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4.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8.xml" ContentType="application/vnd.openxmlformats-officedocument.wordprocessingml.header+xml"/>
  <Override PartName="/word/header7.xml" ContentType="application/vnd.openxmlformats-officedocument.wordprocessingml.header+xml"/>
  <Override PartName="/word/header6.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header18.xml" ContentType="application/vnd.openxmlformats-officedocument.wordprocessingml.header+xml"/>
  <Override PartName="/word/header17.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1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custom3.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5.xml" ContentType="application/vnd.openxmlformats-officedocument.customXml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3.xml" Id="Rf895e26a48e54b5b"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3BCC79" w14:textId="46CDAC7D" w:rsidR="00EE62F5" w:rsidRDefault="00D83FAA" w:rsidP="00EE62F5">
      <w:pPr>
        <w:pStyle w:val="BodyText"/>
      </w:pPr>
      <w:bookmarkStart w:id="0" w:name="_Toc367791208"/>
      <w:r>
        <w:rPr>
          <w:noProof/>
        </w:rPr>
        <w:drawing>
          <wp:inline distT="0" distB="0" distL="0" distR="0" wp14:anchorId="223BD5E9" wp14:editId="223BD5EA">
            <wp:extent cx="1982275" cy="97711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2">
                      <a:extLst>
                        <a:ext uri="{28A0092B-C50C-407E-A947-70E740481C1C}">
                          <a14:useLocalDpi xmlns:a14="http://schemas.microsoft.com/office/drawing/2010/main" val="0"/>
                        </a:ext>
                      </a:extLst>
                    </a:blip>
                    <a:stretch>
                      <a:fillRect/>
                    </a:stretch>
                  </pic:blipFill>
                  <pic:spPr>
                    <a:xfrm>
                      <a:off x="0" y="0"/>
                      <a:ext cx="1988078" cy="979971"/>
                    </a:xfrm>
                    <a:prstGeom prst="rect">
                      <a:avLst/>
                    </a:prstGeom>
                  </pic:spPr>
                </pic:pic>
              </a:graphicData>
            </a:graphic>
          </wp:inline>
        </w:drawing>
      </w:r>
      <w:r w:rsidR="005F6F81">
        <w:rPr>
          <w:noProof/>
        </w:rPr>
        <w:t xml:space="preserve"> </w:t>
      </w:r>
      <w:r w:rsidR="008B7C90">
        <w:rPr>
          <w:noProof/>
        </w:rPr>
        <w:t xml:space="preserve"> </w:t>
      </w:r>
      <w:r>
        <w:rPr>
          <w:noProof/>
        </w:rPr>
        <w:drawing>
          <wp:inline distT="0" distB="0" distL="0" distR="0" wp14:anchorId="223BD5EB" wp14:editId="223BD5EC">
            <wp:extent cx="836960" cy="808934"/>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13">
                      <a:extLst>
                        <a:ext uri="{28A0092B-C50C-407E-A947-70E740481C1C}">
                          <a14:useLocalDpi xmlns:a14="http://schemas.microsoft.com/office/drawing/2010/main" val="0"/>
                        </a:ext>
                      </a:extLst>
                    </a:blip>
                    <a:srcRect l="75738" t="12755" b="12059"/>
                    <a:stretch/>
                  </pic:blipFill>
                  <pic:spPr bwMode="auto">
                    <a:xfrm>
                      <a:off x="0" y="0"/>
                      <a:ext cx="856872" cy="828179"/>
                    </a:xfrm>
                    <a:prstGeom prst="rect">
                      <a:avLst/>
                    </a:prstGeom>
                    <a:ln>
                      <a:noFill/>
                    </a:ln>
                    <a:extLst>
                      <a:ext uri="{53640926-AAD7-44D8-BBD7-CCE9431645EC}">
                        <a14:shadowObscured xmlns:a14="http://schemas.microsoft.com/office/drawing/2010/main"/>
                      </a:ext>
                    </a:extLst>
                  </pic:spPr>
                </pic:pic>
              </a:graphicData>
            </a:graphic>
          </wp:inline>
        </w:drawing>
      </w:r>
    </w:p>
    <w:p w14:paraId="223BCC7A" w14:textId="77777777" w:rsidR="00583D53" w:rsidRPr="00B82278" w:rsidRDefault="00E23661" w:rsidP="00FE2FF7">
      <w:pPr>
        <w:pStyle w:val="CoverTitle"/>
      </w:pPr>
      <w:r>
        <w:t xml:space="preserve">Rapid regional prioritisation for tight and shale gas </w:t>
      </w:r>
      <w:r w:rsidRPr="00E23661">
        <w:t>potential of eastern</w:t>
      </w:r>
      <w:r w:rsidR="00A35055">
        <w:t xml:space="preserve"> and northern</w:t>
      </w:r>
      <w:r w:rsidRPr="00E23661">
        <w:t xml:space="preserve"> Australian basins</w:t>
      </w:r>
      <w:r w:rsidR="00BA594F">
        <w:rPr>
          <w:noProof/>
        </w:rPr>
        <w:drawing>
          <wp:anchor distT="0" distB="0" distL="114300" distR="114300" simplePos="0" relativeHeight="251658243" behindDoc="0" locked="1" layoutInCell="1" allowOverlap="1" wp14:anchorId="223BD5ED" wp14:editId="223BD5EE">
            <wp:simplePos x="0" y="0"/>
            <wp:positionH relativeFrom="page">
              <wp:align>left</wp:align>
            </wp:positionH>
            <wp:positionV relativeFrom="page">
              <wp:posOffset>-958850</wp:posOffset>
            </wp:positionV>
            <wp:extent cx="7596000" cy="2221200"/>
            <wp:effectExtent l="0" t="0" r="5080" b="825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14">
                      <a:extLst>
                        <a:ext uri="{28A0092B-C50C-407E-A947-70E740481C1C}">
                          <a14:useLocalDpi xmlns:a14="http://schemas.microsoft.com/office/drawing/2010/main" val="0"/>
                        </a:ext>
                      </a:extLst>
                    </a:blip>
                    <a:srcRect b="5635"/>
                    <a:stretch/>
                  </pic:blipFill>
                  <pic:spPr bwMode="auto">
                    <a:xfrm>
                      <a:off x="0" y="0"/>
                      <a:ext cx="7596000" cy="222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3BCC7B" w14:textId="544DA23B" w:rsidR="00583D53" w:rsidRPr="00365184" w:rsidRDefault="00E23661" w:rsidP="00365184">
      <w:pPr>
        <w:pStyle w:val="CoverSubtitle"/>
      </w:pPr>
      <w:r w:rsidRPr="00365184">
        <w:t>Geological and Bioregional Assessment</w:t>
      </w:r>
      <w:r w:rsidR="008525B0">
        <w:t>s</w:t>
      </w:r>
      <w:r w:rsidR="00502429">
        <w:t xml:space="preserve"> Program</w:t>
      </w:r>
      <w:r w:rsidRPr="00365184">
        <w:t>: Stage 1</w:t>
      </w:r>
      <w:bookmarkEnd w:id="0"/>
    </w:p>
    <w:p w14:paraId="7C55153F" w14:textId="17C0A519" w:rsidR="00E46B76" w:rsidRDefault="002F498E" w:rsidP="00E46B76">
      <w:pPr>
        <w:pStyle w:val="CoverDate"/>
      </w:pPr>
      <w:r>
        <w:t>June</w:t>
      </w:r>
      <w:r w:rsidR="00E46B76">
        <w:t xml:space="preserve"> 2018</w:t>
      </w:r>
    </w:p>
    <w:p w14:paraId="223BCC7D" w14:textId="225D217A" w:rsidR="00583D53" w:rsidRPr="00F170E9" w:rsidRDefault="00406CFE" w:rsidP="00925483">
      <w:pPr>
        <w:pStyle w:val="CoverImage"/>
        <w:jc w:val="center"/>
      </w:pPr>
      <w:r>
        <w:rPr>
          <w:noProof/>
        </w:rPr>
        <w:drawing>
          <wp:anchor distT="0" distB="0" distL="114300" distR="114300" simplePos="0" relativeHeight="251661320" behindDoc="1" locked="0" layoutInCell="1" allowOverlap="1" wp14:anchorId="2B074D78" wp14:editId="1337F78B">
            <wp:simplePos x="0" y="0"/>
            <wp:positionH relativeFrom="column">
              <wp:posOffset>122132</wp:posOffset>
            </wp:positionH>
            <wp:positionV relativeFrom="paragraph">
              <wp:posOffset>10160</wp:posOffset>
            </wp:positionV>
            <wp:extent cx="5817235" cy="3865880"/>
            <wp:effectExtent l="0" t="0" r="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5">
                      <a:extLst>
                        <a:ext uri="{28A0092B-C50C-407E-A947-70E740481C1C}">
                          <a14:useLocalDpi xmlns:a14="http://schemas.microsoft.com/office/drawing/2010/main" val="0"/>
                        </a:ext>
                      </a:extLst>
                    </a:blip>
                    <a:stretch>
                      <a:fillRect/>
                    </a:stretch>
                  </pic:blipFill>
                  <pic:spPr>
                    <a:xfrm>
                      <a:off x="0" y="0"/>
                      <a:ext cx="5817235" cy="3865880"/>
                    </a:xfrm>
                    <a:prstGeom prst="rect">
                      <a:avLst/>
                    </a:prstGeom>
                  </pic:spPr>
                </pic:pic>
              </a:graphicData>
            </a:graphic>
            <wp14:sizeRelH relativeFrom="margin">
              <wp14:pctWidth>0</wp14:pctWidth>
            </wp14:sizeRelH>
            <wp14:sizeRelV relativeFrom="margin">
              <wp14:pctHeight>0</wp14:pctHeight>
            </wp14:sizeRelV>
          </wp:anchor>
        </w:drawing>
      </w:r>
      <w:r w:rsidR="00EE62F5">
        <w:rPr>
          <w:noProof/>
        </w:rPr>
        <w:drawing>
          <wp:anchor distT="0" distB="0" distL="114300" distR="114300" simplePos="0" relativeHeight="251658242" behindDoc="0" locked="1" layoutInCell="1" allowOverlap="1" wp14:anchorId="223BD5EF" wp14:editId="53C3EAC6">
            <wp:simplePos x="0" y="0"/>
            <wp:positionH relativeFrom="column">
              <wp:posOffset>-27940</wp:posOffset>
            </wp:positionH>
            <wp:positionV relativeFrom="page">
              <wp:posOffset>4906645</wp:posOffset>
            </wp:positionV>
            <wp:extent cx="6161405" cy="57848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extLst>
                        <a:ext uri="{28A0092B-C50C-407E-A947-70E740481C1C}">
                          <a14:useLocalDpi xmlns:a14="http://schemas.microsoft.com/office/drawing/2010/main" val="0"/>
                        </a:ext>
                      </a:extLst>
                    </a:blip>
                    <a:srcRect t="7793"/>
                    <a:stretch>
                      <a:fillRect/>
                    </a:stretch>
                  </pic:blipFill>
                  <pic:spPr bwMode="auto">
                    <a:xfrm>
                      <a:off x="0" y="0"/>
                      <a:ext cx="6161405" cy="578485"/>
                    </a:xfrm>
                    <a:prstGeom prst="rect">
                      <a:avLst/>
                    </a:prstGeom>
                    <a:noFill/>
                  </pic:spPr>
                </pic:pic>
              </a:graphicData>
            </a:graphic>
          </wp:anchor>
        </w:drawing>
      </w:r>
      <w:r w:rsidR="00EE62F5">
        <w:rPr>
          <w:noProof/>
        </w:rPr>
        <w:drawing>
          <wp:anchor distT="0" distB="0" distL="114300" distR="114300" simplePos="0" relativeHeight="251660296" behindDoc="0" locked="1" layoutInCell="1" allowOverlap="1" wp14:anchorId="223BD5F1" wp14:editId="0964ACA0">
            <wp:simplePos x="0" y="0"/>
            <wp:positionH relativeFrom="column">
              <wp:posOffset>1375410</wp:posOffset>
            </wp:positionH>
            <wp:positionV relativeFrom="page">
              <wp:posOffset>8159115</wp:posOffset>
            </wp:positionV>
            <wp:extent cx="5207000" cy="645160"/>
            <wp:effectExtent l="0" t="0" r="0" b="25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pic:spPr>
                </pic:pic>
              </a:graphicData>
            </a:graphic>
          </wp:anchor>
        </w:drawing>
      </w:r>
      <w:r w:rsidR="00EE62F5" w:rsidRPr="00F170E9">
        <w:t xml:space="preserve"> </w:t>
      </w:r>
      <w:r w:rsidR="00583D53">
        <w:br w:type="page"/>
      </w:r>
    </w:p>
    <w:p w14:paraId="69BA0DE8" w14:textId="17FE0FDA" w:rsidR="00EA72F5" w:rsidRPr="00EA72F5" w:rsidRDefault="00EA72F5" w:rsidP="00245268">
      <w:pPr>
        <w:pStyle w:val="CoverImage"/>
        <w:rPr>
          <w:b/>
          <w:color w:val="146692" w:themeColor="text2"/>
          <w:kern w:val="28"/>
          <w:sz w:val="18"/>
        </w:rPr>
      </w:pPr>
      <w:r w:rsidRPr="00EA72F5">
        <w:rPr>
          <w:b/>
          <w:color w:val="146692" w:themeColor="text2"/>
          <w:kern w:val="28"/>
          <w:sz w:val="18"/>
        </w:rPr>
        <w:lastRenderedPageBreak/>
        <w:t>The Geological and Bioregional Assessments Program</w:t>
      </w:r>
    </w:p>
    <w:p w14:paraId="21B4668F" w14:textId="4F9B813D" w:rsidR="00EA72F5" w:rsidRPr="00EA72F5" w:rsidRDefault="00EA72F5" w:rsidP="00EA72F5">
      <w:pPr>
        <w:pStyle w:val="CoverImage"/>
        <w:rPr>
          <w:kern w:val="28"/>
          <w:sz w:val="18"/>
        </w:rPr>
      </w:pPr>
      <w:r w:rsidRPr="00EA72F5">
        <w:rPr>
          <w:kern w:val="28"/>
          <w:sz w:val="18"/>
        </w:rPr>
        <w:t xml:space="preserve">The Geological and Bioregional Assessments Program is a series of independent scientific studies investigating both the shale and tight gas prospectivity of key onshore eastern and northern Australian basins and the potential impacts on water and the environment from their development. The program is managed by the Australian Government Department of the Environment and Energy. For more information, visit </w:t>
      </w:r>
      <w:hyperlink r:id="rId18" w:history="1">
        <w:r w:rsidRPr="00EA72F5">
          <w:rPr>
            <w:rStyle w:val="Hyperlink"/>
            <w:rFonts w:cs="Arial"/>
            <w:kern w:val="28"/>
            <w:sz w:val="18"/>
          </w:rPr>
          <w:t>http://www.bioregionalassessments.gov.au</w:t>
        </w:r>
      </w:hyperlink>
      <w:r w:rsidRPr="00EA72F5">
        <w:rPr>
          <w:kern w:val="28"/>
          <w:sz w:val="18"/>
        </w:rPr>
        <w:t>.</w:t>
      </w:r>
    </w:p>
    <w:p w14:paraId="20CF374B" w14:textId="77777777" w:rsidR="00EA72F5" w:rsidRPr="00EA72F5" w:rsidRDefault="00EA72F5" w:rsidP="00EA72F5">
      <w:pPr>
        <w:pStyle w:val="CoverImage"/>
        <w:rPr>
          <w:b/>
          <w:color w:val="146692" w:themeColor="text2"/>
          <w:kern w:val="28"/>
          <w:sz w:val="18"/>
        </w:rPr>
      </w:pPr>
      <w:r w:rsidRPr="00EA72F5">
        <w:rPr>
          <w:b/>
          <w:color w:val="146692" w:themeColor="text2"/>
          <w:kern w:val="28"/>
          <w:sz w:val="18"/>
        </w:rPr>
        <w:t>Department of the Environment and Energy</w:t>
      </w:r>
    </w:p>
    <w:p w14:paraId="023B8F1F" w14:textId="75D40D06" w:rsidR="00EA72F5" w:rsidRDefault="00EA72F5" w:rsidP="007D7EEA">
      <w:pPr>
        <w:pStyle w:val="VersoPageHeading"/>
      </w:pPr>
      <w:r w:rsidRPr="00EA72F5">
        <w:rPr>
          <w:b w:val="0"/>
          <w:color w:val="auto"/>
        </w:rPr>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19" w:history="1">
        <w:r w:rsidRPr="00EA72F5">
          <w:rPr>
            <w:rStyle w:val="Hyperlink"/>
            <w:rFonts w:cs="Arial"/>
            <w:b w:val="0"/>
          </w:rPr>
          <w:t>http://www.environment.gov.au</w:t>
        </w:r>
      </w:hyperlink>
      <w:r w:rsidRPr="00EA72F5">
        <w:rPr>
          <w:b w:val="0"/>
          <w:color w:val="auto"/>
        </w:rPr>
        <w:t>.</w:t>
      </w:r>
    </w:p>
    <w:p w14:paraId="223BCC83" w14:textId="77777777" w:rsidR="007D7EEA" w:rsidRPr="00381B74" w:rsidRDefault="007D7EEA" w:rsidP="007D7EEA">
      <w:pPr>
        <w:pStyle w:val="VersoPageHeading"/>
      </w:pPr>
      <w:r w:rsidRPr="00381B74">
        <w:t>Geoscience Australia</w:t>
      </w:r>
    </w:p>
    <w:p w14:paraId="223BCC84" w14:textId="77777777" w:rsidR="007D7EEA" w:rsidRPr="009666A9" w:rsidRDefault="007D7EEA" w:rsidP="007D7EEA">
      <w:pPr>
        <w:pStyle w:val="VersoPageText"/>
      </w:pPr>
      <w:r w:rsidRPr="00E3337D">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w:t>
      </w:r>
      <w:r w:rsidRPr="00836426">
        <w:t>contributing</w:t>
      </w:r>
      <w:r w:rsidRPr="00E3337D">
        <w:t xml:space="preserve">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 class research and information. For more information</w:t>
      </w:r>
      <w:r>
        <w:t>,</w:t>
      </w:r>
      <w:r w:rsidRPr="00E3337D">
        <w:t xml:space="preserve"> visit</w:t>
      </w:r>
      <w:r w:rsidRPr="009666A9">
        <w:t xml:space="preserve"> </w:t>
      </w:r>
      <w:hyperlink r:id="rId20" w:history="1">
        <w:r w:rsidRPr="00956707">
          <w:rPr>
            <w:rStyle w:val="Hyperlink"/>
          </w:rPr>
          <w:t>http://www.ga.gov.au</w:t>
        </w:r>
      </w:hyperlink>
      <w:r w:rsidRPr="009666A9">
        <w:t>.</w:t>
      </w:r>
    </w:p>
    <w:p w14:paraId="5B5F069C" w14:textId="77777777" w:rsidR="002F498E" w:rsidRDefault="002F498E" w:rsidP="007D7EEA">
      <w:pPr>
        <w:pStyle w:val="VersoPageHeading"/>
      </w:pPr>
      <w:r w:rsidRPr="002F498E">
        <w:t xml:space="preserve">ISBN: </w:t>
      </w:r>
      <w:r w:rsidRPr="00511A01">
        <w:rPr>
          <w:b w:val="0"/>
          <w:color w:val="auto"/>
        </w:rPr>
        <w:t>978-1-921069-13-0</w:t>
      </w:r>
    </w:p>
    <w:p w14:paraId="223BCC86" w14:textId="678D6849" w:rsidR="007D7EEA" w:rsidRPr="00F53018" w:rsidRDefault="007D7EEA" w:rsidP="007D7EEA">
      <w:pPr>
        <w:pStyle w:val="VersoPageHeading"/>
      </w:pPr>
      <w:r w:rsidRPr="00F53018">
        <w:t>Citation</w:t>
      </w:r>
    </w:p>
    <w:p w14:paraId="7F4969D7" w14:textId="15F18CE4" w:rsidR="006742C1" w:rsidRDefault="006742C1" w:rsidP="00836426">
      <w:pPr>
        <w:pStyle w:val="VersoPageText"/>
      </w:pPr>
      <w:bookmarkStart w:id="1" w:name="Citation"/>
      <w:r w:rsidRPr="006742C1">
        <w:t xml:space="preserve">Hall LS, Buchanan S, Totterdell JM, Lai ÉCS, Langford RP, Sundaram B, Ransley TR, Glenn KC, Heugh A, Inskeep C, Zhu R, </w:t>
      </w:r>
      <w:r w:rsidR="00C47E46">
        <w:t xml:space="preserve">Lech, M, </w:t>
      </w:r>
      <w:r w:rsidRPr="006742C1">
        <w:t>Skeers N and Stewart G. (2018 ) Rapid regional prioritisation for tight and shale gas potential of eastern and northern Australian basins. Geological and Bioregional Assessments Program: Stage 1. Prepared by Geoscience Australia for the Department of the Environment and Energy, Australia.</w:t>
      </w:r>
    </w:p>
    <w:bookmarkEnd w:id="1"/>
    <w:p w14:paraId="223BCC88" w14:textId="77777777" w:rsidR="007D7EEA" w:rsidRPr="00B6318E" w:rsidRDefault="007D7EEA" w:rsidP="007D7EEA">
      <w:pPr>
        <w:pStyle w:val="VersoPageText"/>
      </w:pPr>
      <w:r w:rsidRPr="00B6318E">
        <w:t>Authorship is listed in relative order of contribution.</w:t>
      </w:r>
    </w:p>
    <w:p w14:paraId="223BCC89" w14:textId="77777777" w:rsidR="007D7EEA" w:rsidRPr="00381B74" w:rsidRDefault="007D7EEA" w:rsidP="007D7EEA">
      <w:pPr>
        <w:pStyle w:val="VersoPageHeading"/>
      </w:pPr>
      <w:r w:rsidRPr="00381B74">
        <w:t>Copyright</w:t>
      </w:r>
    </w:p>
    <w:p w14:paraId="164DC713" w14:textId="77777777" w:rsidR="00EA72F5" w:rsidRDefault="007D7EEA" w:rsidP="00EA72F5">
      <w:pPr>
        <w:pStyle w:val="VersoPageText"/>
      </w:pPr>
      <w:r w:rsidRPr="00381B74">
        <w:rPr>
          <w:noProof/>
        </w:rPr>
        <w:lastRenderedPageBreak/>
        <w:drawing>
          <wp:inline distT="0" distB="0" distL="0" distR="0" wp14:anchorId="223BD5F5" wp14:editId="223BD5F6">
            <wp:extent cx="965888" cy="375833"/>
            <wp:effectExtent l="19050" t="0" r="5662"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t xml:space="preserve"> © Commonwealth of Austra</w:t>
      </w:r>
      <w:r w:rsidRPr="00836426">
        <w:rPr>
          <w:b/>
        </w:rPr>
        <w:t>l</w:t>
      </w:r>
      <w:r w:rsidR="00393800">
        <w:t>ia 2018</w:t>
      </w:r>
      <w:r w:rsidRPr="00381B74">
        <w:br/>
      </w:r>
      <w:r w:rsidR="00EA72F5" w:rsidRPr="003A2D53">
        <w:t xml:space="preserve">With the exception of the Commonwealth Coat of Arms and where otherwise noted, all material in this publication is provided under a Creative Commons Attribution 4.0 International Licence </w:t>
      </w:r>
      <w:hyperlink r:id="rId22" w:history="1">
        <w:r w:rsidR="00EA72F5" w:rsidRPr="00DE3817">
          <w:rPr>
            <w:rStyle w:val="Hyperlink"/>
            <w:rFonts w:cs="Arial"/>
          </w:rPr>
          <w:t>https://creativecommons.org/licenses/by/4.0/</w:t>
        </w:r>
      </w:hyperlink>
      <w:r w:rsidR="00EA72F5">
        <w:t xml:space="preserve"> </w:t>
      </w:r>
      <w:r w:rsidR="00EA72F5" w:rsidRPr="003A2D53">
        <w:t xml:space="preserve">. The Geological and Bioregional Assessments Program requests attribution as ‘© Commonwealth of Australia (Geological and Bioregional Assessments Program </w:t>
      </w:r>
      <w:hyperlink r:id="rId23" w:history="1">
        <w:r w:rsidR="00EA72F5" w:rsidRPr="00DE3817">
          <w:rPr>
            <w:rStyle w:val="Hyperlink"/>
            <w:rFonts w:cs="Arial"/>
          </w:rPr>
          <w:t>http://www.bioregionalassessments.gov.au</w:t>
        </w:r>
      </w:hyperlink>
      <w:r w:rsidR="00EA72F5" w:rsidRPr="003A2D53">
        <w:t xml:space="preserve">) </w:t>
      </w:r>
    </w:p>
    <w:p w14:paraId="223BCC8B" w14:textId="414876BC" w:rsidR="007D7EEA" w:rsidRPr="00EA72F5" w:rsidRDefault="007D7EEA" w:rsidP="00EA72F5">
      <w:pPr>
        <w:pStyle w:val="VersoPageText"/>
        <w:rPr>
          <w:b/>
          <w:color w:val="146692" w:themeColor="text2"/>
        </w:rPr>
      </w:pPr>
      <w:r w:rsidRPr="00EA72F5">
        <w:rPr>
          <w:b/>
          <w:color w:val="146692" w:themeColor="text2"/>
        </w:rPr>
        <w:t>Disclaimer</w:t>
      </w:r>
    </w:p>
    <w:p w14:paraId="223BCC8C" w14:textId="5AEB63DE" w:rsidR="007D7EEA" w:rsidRPr="00381B74" w:rsidRDefault="007D7EEA" w:rsidP="007D7EEA">
      <w:pPr>
        <w:pStyle w:val="VersoPageText"/>
      </w:pPr>
      <w:r w:rsidRPr="000A0052">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r w:rsidRPr="00381B74">
        <w:br/>
        <w:t xml:space="preserve">The Bioregional Assessment </w:t>
      </w:r>
      <w:r>
        <w:t>Program</w:t>
      </w:r>
      <w:r w:rsidRPr="00381B74">
        <w:t xml:space="preserve"> is committed to providing web accessible content wherever possible. If you are having difficulties with accessing this document please</w:t>
      </w:r>
      <w:r>
        <w:t xml:space="preserve"> </w:t>
      </w:r>
      <w:r w:rsidRPr="00381B74">
        <w:t xml:space="preserve">contact </w:t>
      </w:r>
      <w:hyperlink r:id="rId24" w:history="1">
        <w:r w:rsidR="00EA72F5" w:rsidRPr="00DE3817">
          <w:rPr>
            <w:rStyle w:val="Hyperlink"/>
            <w:rFonts w:cs="Arial"/>
          </w:rPr>
          <w:t>bioregionalassessments@environment.gov.au</w:t>
        </w:r>
      </w:hyperlink>
      <w:r w:rsidR="00EA72F5">
        <w:t>.</w:t>
      </w:r>
    </w:p>
    <w:p w14:paraId="4A153B89" w14:textId="77777777" w:rsidR="00330372" w:rsidRDefault="007D7EEA" w:rsidP="00330372">
      <w:pPr>
        <w:pStyle w:val="VersoPageHeading"/>
      </w:pPr>
      <w:r w:rsidRPr="00381B74">
        <w:t>Cover photograph</w:t>
      </w:r>
    </w:p>
    <w:p w14:paraId="128001E4" w14:textId="2B99D5EE" w:rsidR="005856BB" w:rsidRPr="00330372" w:rsidRDefault="00330372" w:rsidP="00330372">
      <w:pPr>
        <w:pStyle w:val="VersoPageHeading"/>
        <w:rPr>
          <w:b w:val="0"/>
          <w:noProof/>
          <w:color w:val="auto"/>
        </w:rPr>
      </w:pPr>
      <w:r w:rsidRPr="00330372">
        <w:rPr>
          <w:b w:val="0"/>
          <w:noProof/>
          <w:color w:val="auto"/>
        </w:rPr>
        <w:t xml:space="preserve">Coongie Lakes, by Paul Wainwright and the Department of the Environment and Energy. </w:t>
      </w:r>
      <w:r w:rsidR="005856BB" w:rsidRPr="00330372">
        <w:rPr>
          <w:b w:val="0"/>
          <w:noProof/>
        </w:rPr>
        <w:br w:type="page"/>
      </w:r>
    </w:p>
    <w:p w14:paraId="223BCC91" w14:textId="2ABAF0C9" w:rsidR="007D7EEA" w:rsidRDefault="0070099A" w:rsidP="00FE2FF7">
      <w:pPr>
        <w:pStyle w:val="Heading1notnumbered"/>
        <w:rPr>
          <w:noProof/>
        </w:rPr>
      </w:pPr>
      <w:bookmarkStart w:id="2" w:name="_Toc517101396"/>
      <w:r>
        <w:rPr>
          <w:noProof/>
        </w:rPr>
        <w:lastRenderedPageBreak/>
        <w:t>Executive summary</w:t>
      </w:r>
      <w:bookmarkEnd w:id="2"/>
    </w:p>
    <w:p w14:paraId="11B1DE1A" w14:textId="0BACC5F1" w:rsidR="003B261B" w:rsidRDefault="003B261B" w:rsidP="00174635">
      <w:pPr>
        <w:pStyle w:val="BodyText"/>
      </w:pPr>
      <w:r w:rsidRPr="003B261B">
        <w:t xml:space="preserve">In May 2017, the Australian Government announced a new Geological and Bioregional Assessments </w:t>
      </w:r>
      <w:r w:rsidR="00502429">
        <w:t xml:space="preserve">Program </w:t>
      </w:r>
      <w:r w:rsidRPr="003B261B">
        <w:t xml:space="preserve">to be conducted in three onshore areas that are underexplored but prospective for shale and tight gas. The </w:t>
      </w:r>
      <w:r w:rsidR="00502429">
        <w:t>G</w:t>
      </w:r>
      <w:r w:rsidR="00502429" w:rsidRPr="003B261B">
        <w:t xml:space="preserve">eological </w:t>
      </w:r>
      <w:r w:rsidRPr="003B261B">
        <w:t xml:space="preserve">and </w:t>
      </w:r>
      <w:r w:rsidR="00502429">
        <w:t>B</w:t>
      </w:r>
      <w:r w:rsidR="00502429" w:rsidRPr="003B261B">
        <w:t xml:space="preserve">ioregional </w:t>
      </w:r>
      <w:r w:rsidR="00502429">
        <w:t>A</w:t>
      </w:r>
      <w:r w:rsidR="00502429" w:rsidRPr="003B261B">
        <w:t xml:space="preserve">ssessments </w:t>
      </w:r>
      <w:r w:rsidR="00502429">
        <w:t xml:space="preserve">Program is a series </w:t>
      </w:r>
      <w:r w:rsidR="001D3BB0">
        <w:t xml:space="preserve">of </w:t>
      </w:r>
      <w:r w:rsidR="001D3BB0" w:rsidRPr="003B261B">
        <w:t>independent</w:t>
      </w:r>
      <w:r w:rsidRPr="003B261B">
        <w:t xml:space="preserve"> scientific studies investigating both the shale and tight gas prospectivity of key onshore eastern and northern Australian basins and the potential impacts on water and the environment from tight and shale gas development (</w:t>
      </w:r>
      <w:hyperlink r:id="rId25" w:history="1">
        <w:r w:rsidR="00A3211E" w:rsidRPr="00953DBD">
          <w:rPr>
            <w:rStyle w:val="Hyperlink"/>
          </w:rPr>
          <w:t>https://bioregionalassessments.gov.au/geological-and-bioregional-assessment-program</w:t>
        </w:r>
      </w:hyperlink>
      <w:r w:rsidRPr="003B261B">
        <w:t>).</w:t>
      </w:r>
      <w:r>
        <w:t xml:space="preserve"> </w:t>
      </w:r>
    </w:p>
    <w:p w14:paraId="223BCC93" w14:textId="6E6F4F3C" w:rsidR="00174635" w:rsidRDefault="00174635" w:rsidP="00174635">
      <w:pPr>
        <w:pStyle w:val="BodyText"/>
      </w:pPr>
      <w:r>
        <w:t xml:space="preserve">The </w:t>
      </w:r>
      <w:r w:rsidR="008525B0">
        <w:t>Geological and Bioregional Assessments</w:t>
      </w:r>
      <w:r w:rsidR="00502429">
        <w:t xml:space="preserve"> Program has</w:t>
      </w:r>
      <w:r>
        <w:t xml:space="preserve"> the following</w:t>
      </w:r>
      <w:r w:rsidRPr="00FB314A">
        <w:t xml:space="preserve"> objectives</w:t>
      </w:r>
      <w:r>
        <w:t xml:space="preserve">: </w:t>
      </w:r>
    </w:p>
    <w:p w14:paraId="68236377" w14:textId="5E20E28D" w:rsidR="00234A48" w:rsidRDefault="00085BED" w:rsidP="00D751FF">
      <w:pPr>
        <w:pStyle w:val="ListBullet"/>
      </w:pPr>
      <w:r>
        <w:t>e</w:t>
      </w:r>
      <w:r w:rsidR="00234A48">
        <w:t xml:space="preserve">ncourage exploration to bring new shale and tight gas resources to the </w:t>
      </w:r>
      <w:r w:rsidR="00432D5D">
        <w:t>East Coast Gas Market</w:t>
      </w:r>
      <w:r w:rsidR="00234A48">
        <w:t xml:space="preserve"> within the next five to ten years</w:t>
      </w:r>
      <w:r>
        <w:t>;</w:t>
      </w:r>
    </w:p>
    <w:p w14:paraId="30ABC95D" w14:textId="75CBD2CE" w:rsidR="00234A48" w:rsidRDefault="00085BED" w:rsidP="00D751FF">
      <w:pPr>
        <w:pStyle w:val="ListBullet"/>
      </w:pPr>
      <w:r>
        <w:t>i</w:t>
      </w:r>
      <w:r w:rsidR="00234A48">
        <w:t xml:space="preserve">ncrease the understanding of the potential impacts on water and the environment posed by shale and tight gas development, and </w:t>
      </w:r>
      <w:r w:rsidR="001C537A">
        <w:t xml:space="preserve">identification </w:t>
      </w:r>
      <w:r w:rsidR="00234A48">
        <w:t>of robust monitoring and management practices to support the industry</w:t>
      </w:r>
      <w:r>
        <w:t>;</w:t>
      </w:r>
    </w:p>
    <w:p w14:paraId="4958B54C" w14:textId="6CE23DB3" w:rsidR="00234A48" w:rsidRDefault="00085BED" w:rsidP="00D751FF">
      <w:pPr>
        <w:pStyle w:val="ListBullet"/>
      </w:pPr>
      <w:r>
        <w:lastRenderedPageBreak/>
        <w:t>i</w:t>
      </w:r>
      <w:r w:rsidR="00234A48">
        <w:t>ncrease the efficiency of assessment and ongoing regulation, including through advancing robust assessment material aligning with Commonwealth EPBC Act and State approval processes, and improved reporting and data provision/management approaches, and</w:t>
      </w:r>
      <w:r>
        <w:t>;</w:t>
      </w:r>
    </w:p>
    <w:p w14:paraId="45480C9C" w14:textId="3E65F9FB" w:rsidR="00423679" w:rsidRDefault="00085BED" w:rsidP="00D751FF">
      <w:pPr>
        <w:pStyle w:val="ListBullet"/>
      </w:pPr>
      <w:r>
        <w:t>i</w:t>
      </w:r>
      <w:r w:rsidR="00423679" w:rsidRPr="00423679">
        <w:t>mprove community understanding of the industry.</w:t>
      </w:r>
    </w:p>
    <w:p w14:paraId="7C5C71C6" w14:textId="5C1792DC" w:rsidR="003B261B" w:rsidRDefault="003B261B" w:rsidP="00174635">
      <w:pPr>
        <w:pStyle w:val="BodyText"/>
      </w:pPr>
      <w:r w:rsidRPr="003B261B">
        <w:t xml:space="preserve">Geoscience Australia </w:t>
      </w:r>
      <w:r>
        <w:t xml:space="preserve">(GA) </w:t>
      </w:r>
      <w:r w:rsidRPr="003B261B">
        <w:t xml:space="preserve">and CSIRO are conducting the assessments. The program is managed by the Department of the Environment and Energy </w:t>
      </w:r>
      <w:r>
        <w:t xml:space="preserve">(DoEE) </w:t>
      </w:r>
      <w:r w:rsidRPr="003B261B">
        <w:t>and supported by the Bureau of Meteorology</w:t>
      </w:r>
      <w:r>
        <w:t xml:space="preserve"> (Bo</w:t>
      </w:r>
      <w:r w:rsidR="002A3C26">
        <w:t>M</w:t>
      </w:r>
      <w:r>
        <w:t>)</w:t>
      </w:r>
      <w:r w:rsidRPr="003B261B">
        <w:t xml:space="preserve">. </w:t>
      </w:r>
    </w:p>
    <w:p w14:paraId="1BA75198" w14:textId="68B5E37B" w:rsidR="00E22E0E" w:rsidRDefault="00D95251" w:rsidP="00174635">
      <w:pPr>
        <w:pStyle w:val="BodyText"/>
      </w:pPr>
      <w:r>
        <w:t xml:space="preserve">Stage 1 </w:t>
      </w:r>
      <w:r w:rsidR="003B261B">
        <w:t xml:space="preserve">of the program, conducted by GA, </w:t>
      </w:r>
      <w:r>
        <w:t xml:space="preserve">uses a </w:t>
      </w:r>
      <w:r w:rsidRPr="00D95251">
        <w:t xml:space="preserve">rapid regional prioritisation </w:t>
      </w:r>
      <w:r>
        <w:t>process to</w:t>
      </w:r>
      <w:r w:rsidRPr="00DC2A20">
        <w:t xml:space="preserve"> </w:t>
      </w:r>
      <w:r>
        <w:t>identify the basins with the greatest potential for shale and tight gas development</w:t>
      </w:r>
      <w:r w:rsidR="00B45767">
        <w:t>,</w:t>
      </w:r>
      <w:r>
        <w:t xml:space="preserve"> in eastern and northern Australia, within the next five to ten years. This report </w:t>
      </w:r>
      <w:r w:rsidRPr="008A1642">
        <w:t xml:space="preserve">presents the context of the program and describes the evidence based decision making process used </w:t>
      </w:r>
      <w:r w:rsidR="00DA0923">
        <w:t xml:space="preserve">in Stage 1 </w:t>
      </w:r>
      <w:r w:rsidRPr="008A1642">
        <w:t xml:space="preserve">to narrow the focus of the </w:t>
      </w:r>
      <w:r w:rsidR="00502429">
        <w:t>G</w:t>
      </w:r>
      <w:r w:rsidR="00502429" w:rsidRPr="008A1642">
        <w:t xml:space="preserve">eological </w:t>
      </w:r>
      <w:r w:rsidRPr="008A1642">
        <w:t xml:space="preserve">and </w:t>
      </w:r>
      <w:r w:rsidR="00502429">
        <w:t>B</w:t>
      </w:r>
      <w:r w:rsidRPr="008A1642">
        <w:t xml:space="preserve">ioregional </w:t>
      </w:r>
      <w:r w:rsidR="00502429">
        <w:t>A</w:t>
      </w:r>
      <w:r w:rsidRPr="008A1642">
        <w:t xml:space="preserve">ssessments </w:t>
      </w:r>
      <w:r w:rsidR="00502429">
        <w:t xml:space="preserve">Program </w:t>
      </w:r>
      <w:r w:rsidRPr="008A1642">
        <w:t>to areas of highest priority for further research.</w:t>
      </w:r>
      <w:r w:rsidRPr="00F56B64">
        <w:t xml:space="preserve"> </w:t>
      </w:r>
    </w:p>
    <w:p w14:paraId="223BCC98" w14:textId="77777777" w:rsidR="00174635" w:rsidRPr="00FD2CDA" w:rsidRDefault="00174635" w:rsidP="00174635">
      <w:pPr>
        <w:pStyle w:val="BodyText"/>
        <w:rPr>
          <w:rStyle w:val="Bold"/>
        </w:rPr>
      </w:pPr>
      <w:r w:rsidRPr="00FD2CDA">
        <w:rPr>
          <w:rStyle w:val="Bold"/>
        </w:rPr>
        <w:t>Method</w:t>
      </w:r>
    </w:p>
    <w:p w14:paraId="223BCC99" w14:textId="2BC14041" w:rsidR="00174635" w:rsidRPr="00D95251" w:rsidRDefault="00174635" w:rsidP="00D95251">
      <w:pPr>
        <w:pStyle w:val="BodyText"/>
      </w:pPr>
      <w:r w:rsidRPr="00D95251">
        <w:t>The rapid regional prioritisation methodology was designed by</w:t>
      </w:r>
      <w:r w:rsidR="00D95251" w:rsidRPr="00D95251">
        <w:t xml:space="preserve"> Geoscience Australia (</w:t>
      </w:r>
      <w:r w:rsidRPr="00D95251">
        <w:t>GA</w:t>
      </w:r>
      <w:r w:rsidR="00D95251" w:rsidRPr="00D95251">
        <w:t>)</w:t>
      </w:r>
      <w:r w:rsidRPr="00D95251">
        <w:t xml:space="preserve"> to assist </w:t>
      </w:r>
      <w:r w:rsidR="00DD5207" w:rsidRPr="00DD5207">
        <w:t xml:space="preserve">the </w:t>
      </w:r>
      <w:r w:rsidR="00586AE1">
        <w:t>DoEE</w:t>
      </w:r>
      <w:r w:rsidR="00DD5207">
        <w:t xml:space="preserve"> </w:t>
      </w:r>
      <w:r w:rsidRPr="00D95251">
        <w:t xml:space="preserve">in identifying priority areas for further research. </w:t>
      </w:r>
    </w:p>
    <w:p w14:paraId="223BCC9A" w14:textId="77777777" w:rsidR="00174635" w:rsidRPr="00A770BF" w:rsidRDefault="001B1E72" w:rsidP="00174635">
      <w:pPr>
        <w:pStyle w:val="BodyText"/>
        <w:rPr>
          <w:rStyle w:val="Italic"/>
        </w:rPr>
      </w:pPr>
      <w:r>
        <w:rPr>
          <w:rStyle w:val="Italic"/>
        </w:rPr>
        <w:t>Shortlist</w:t>
      </w:r>
      <w:r w:rsidR="00174635" w:rsidRPr="00A770BF">
        <w:rPr>
          <w:rStyle w:val="Italic"/>
        </w:rPr>
        <w:t xml:space="preserve"> of basins with shale and/or tight gas prospectivity</w:t>
      </w:r>
    </w:p>
    <w:p w14:paraId="2FCABA28" w14:textId="77777777" w:rsidR="00586AE1" w:rsidRDefault="00174635" w:rsidP="00174635">
      <w:pPr>
        <w:pStyle w:val="BodyText"/>
      </w:pPr>
      <w:r w:rsidRPr="006B7E8C">
        <w:lastRenderedPageBreak/>
        <w:t xml:space="preserve">An initial </w:t>
      </w:r>
      <w:r w:rsidR="001B1E72">
        <w:t>shortlist</w:t>
      </w:r>
      <w:r w:rsidRPr="006B7E8C">
        <w:t xml:space="preserve"> of</w:t>
      </w:r>
      <w:r w:rsidR="00D95251">
        <w:t xml:space="preserve"> Australian sedimentary</w:t>
      </w:r>
      <w:r w:rsidRPr="006B7E8C">
        <w:t xml:space="preserve"> basins capable of supplying significant volumes of </w:t>
      </w:r>
      <w:r>
        <w:t>shale and/or tight</w:t>
      </w:r>
      <w:r w:rsidRPr="006B7E8C">
        <w:t xml:space="preserve"> gas to the </w:t>
      </w:r>
      <w:r w:rsidR="008549BE">
        <w:t>East Coast Gas Market</w:t>
      </w:r>
      <w:r w:rsidR="00D95251">
        <w:t xml:space="preserve"> in the next five to ten</w:t>
      </w:r>
      <w:r w:rsidRPr="006B7E8C">
        <w:t xml:space="preserve"> years was identified. </w:t>
      </w:r>
      <w:r w:rsidR="00D95251">
        <w:t>Basins were selected using the following screening criteria:</w:t>
      </w:r>
      <w:r>
        <w:t xml:space="preserve"> </w:t>
      </w:r>
    </w:p>
    <w:p w14:paraId="33289FB4" w14:textId="2218641B" w:rsidR="00586AE1" w:rsidRDefault="00174635" w:rsidP="00586AE1">
      <w:pPr>
        <w:pStyle w:val="ListBullet"/>
      </w:pPr>
      <w:r>
        <w:t xml:space="preserve">proximity to eastern or </w:t>
      </w:r>
      <w:r w:rsidR="000D1D8E">
        <w:t xml:space="preserve">Northern </w:t>
      </w:r>
      <w:r w:rsidR="0086174B">
        <w:t>T</w:t>
      </w:r>
      <w:r w:rsidR="000D1D8E">
        <w:t>erritory</w:t>
      </w:r>
      <w:r>
        <w:t xml:space="preserve"> gas </w:t>
      </w:r>
      <w:r w:rsidRPr="006B7E8C">
        <w:t>market</w:t>
      </w:r>
      <w:r>
        <w:t xml:space="preserve"> infrastructure; </w:t>
      </w:r>
    </w:p>
    <w:p w14:paraId="071F88FE" w14:textId="53D13B9A" w:rsidR="00586AE1" w:rsidRDefault="00174635" w:rsidP="00586AE1">
      <w:pPr>
        <w:pStyle w:val="ListBullet"/>
      </w:pPr>
      <w:r>
        <w:t>active</w:t>
      </w:r>
      <w:r w:rsidRPr="006B7E8C">
        <w:t xml:space="preserve"> industry exploration for shale and/or tight gas </w:t>
      </w:r>
      <w:r w:rsidR="00DD5207">
        <w:t xml:space="preserve">resources </w:t>
      </w:r>
      <w:r w:rsidRPr="006B7E8C">
        <w:t>and;</w:t>
      </w:r>
    </w:p>
    <w:p w14:paraId="2A74EF20" w14:textId="1CE8530C" w:rsidR="00586AE1" w:rsidRDefault="00174635" w:rsidP="00586AE1">
      <w:pPr>
        <w:pStyle w:val="ListBullet"/>
      </w:pPr>
      <w:r w:rsidRPr="006B7E8C">
        <w:t>documented contingent (2C) and/or prospective shale and/or tight gas resources.</w:t>
      </w:r>
      <w:r>
        <w:t xml:space="preserve"> </w:t>
      </w:r>
    </w:p>
    <w:p w14:paraId="223BCC9B" w14:textId="1E861FB0" w:rsidR="00174635" w:rsidRDefault="003C72DC" w:rsidP="00174635">
      <w:pPr>
        <w:pStyle w:val="BodyText"/>
      </w:pPr>
      <w:r>
        <w:t>Regions</w:t>
      </w:r>
      <w:r w:rsidR="00174635" w:rsidRPr="00104FCB">
        <w:t xml:space="preserve"> where </w:t>
      </w:r>
      <w:r w:rsidR="00174635">
        <w:t xml:space="preserve">shale and </w:t>
      </w:r>
      <w:r w:rsidR="00116331">
        <w:t xml:space="preserve">tight </w:t>
      </w:r>
      <w:r w:rsidR="00174635">
        <w:t>gas</w:t>
      </w:r>
      <w:r w:rsidR="00174635" w:rsidRPr="00104FCB">
        <w:t xml:space="preserve"> expl</w:t>
      </w:r>
      <w:r w:rsidR="00DF6F90">
        <w:t>oration</w:t>
      </w:r>
      <w:r w:rsidR="00174635" w:rsidRPr="00104FCB">
        <w:t xml:space="preserve"> is currently occurring – or is likely to occur in the near future – were considered priority areas for early research.</w:t>
      </w:r>
      <w:r w:rsidR="00174635">
        <w:t xml:space="preserve"> The </w:t>
      </w:r>
      <w:r w:rsidR="00174635" w:rsidRPr="00D028B0">
        <w:t xml:space="preserve">results </w:t>
      </w:r>
      <w:r w:rsidR="00DD5207">
        <w:t xml:space="preserve">of the shortlisting process </w:t>
      </w:r>
      <w:r w:rsidR="00174635" w:rsidRPr="00D028B0">
        <w:t xml:space="preserve">are described in </w:t>
      </w:r>
      <w:r w:rsidR="00586AE1">
        <w:t>Section 5.1</w:t>
      </w:r>
      <w:r w:rsidR="00DA0923">
        <w:t xml:space="preserve"> </w:t>
      </w:r>
      <w:r w:rsidR="00174635" w:rsidRPr="00D028B0">
        <w:t xml:space="preserve">of this report and the full review of shale and tight gas resources and exploration activity for eastern and northern Australia can be found </w:t>
      </w:r>
      <w:r w:rsidR="00DD5207">
        <w:t>Appendix A.</w:t>
      </w:r>
    </w:p>
    <w:p w14:paraId="223BCC9C" w14:textId="77777777" w:rsidR="00174635" w:rsidRPr="00A770BF" w:rsidRDefault="00174635" w:rsidP="00174635">
      <w:pPr>
        <w:pStyle w:val="BodyText"/>
        <w:rPr>
          <w:rStyle w:val="Italic"/>
        </w:rPr>
      </w:pPr>
      <w:r w:rsidRPr="00A770BF">
        <w:rPr>
          <w:rStyle w:val="Italic"/>
        </w:rPr>
        <w:t>Data inventory</w:t>
      </w:r>
    </w:p>
    <w:p w14:paraId="223BCC9D" w14:textId="2E0E3182" w:rsidR="00174635" w:rsidRPr="001360CB" w:rsidRDefault="00174635" w:rsidP="00174635">
      <w:pPr>
        <w:pStyle w:val="BodyText"/>
      </w:pPr>
      <w:r>
        <w:t>A r</w:t>
      </w:r>
      <w:r w:rsidRPr="00076DF6">
        <w:t xml:space="preserve">eview </w:t>
      </w:r>
      <w:r>
        <w:t xml:space="preserve">was conducted </w:t>
      </w:r>
      <w:r w:rsidRPr="00076DF6">
        <w:t xml:space="preserve">of </w:t>
      </w:r>
      <w:r w:rsidRPr="007F1EF1">
        <w:t>open file</w:t>
      </w:r>
      <w:r w:rsidR="009B54EC">
        <w:t xml:space="preserve"> </w:t>
      </w:r>
      <w:r w:rsidR="009B54EC" w:rsidRPr="00076DF6">
        <w:t xml:space="preserve">petroleum </w:t>
      </w:r>
      <w:r w:rsidR="009B54EC">
        <w:t xml:space="preserve">data and </w:t>
      </w:r>
      <w:r w:rsidRPr="00076DF6">
        <w:t xml:space="preserve">national scale, environmental </w:t>
      </w:r>
      <w:r>
        <w:t xml:space="preserve">and </w:t>
      </w:r>
      <w:r w:rsidR="004A00D5">
        <w:t>cultural</w:t>
      </w:r>
      <w:r w:rsidR="00DA0923">
        <w:t xml:space="preserve"> </w:t>
      </w:r>
      <w:r w:rsidRPr="00076DF6">
        <w:t xml:space="preserve">data relevant to </w:t>
      </w:r>
      <w:r>
        <w:t xml:space="preserve">each </w:t>
      </w:r>
      <w:r w:rsidR="001B1E72">
        <w:t>shortlist</w:t>
      </w:r>
      <w:r>
        <w:t>ed basin</w:t>
      </w:r>
      <w:r w:rsidRPr="00076DF6">
        <w:t xml:space="preserve">. </w:t>
      </w:r>
      <w:r w:rsidR="003C72DC">
        <w:t>R</w:t>
      </w:r>
      <w:r w:rsidRPr="00076DF6">
        <w:t xml:space="preserve">egional scale data </w:t>
      </w:r>
      <w:r>
        <w:t>were</w:t>
      </w:r>
      <w:r w:rsidRPr="00076DF6">
        <w:t xml:space="preserve"> included, </w:t>
      </w:r>
      <w:r>
        <w:t xml:space="preserve">if national scale datasets were unavailable. Datasets from the original Bioregional Assessment Program were reviewed and updated to ensure currency. Datasets relevant to the geology and shale and tight gas prospectivity of each </w:t>
      </w:r>
      <w:r w:rsidR="001B1E72">
        <w:t>shortlist</w:t>
      </w:r>
      <w:r>
        <w:t xml:space="preserve">ed basin were also added, including </w:t>
      </w:r>
      <w:r w:rsidR="003C72DC">
        <w:t xml:space="preserve">those with the </w:t>
      </w:r>
      <w:r w:rsidR="003C72DC">
        <w:lastRenderedPageBreak/>
        <w:t xml:space="preserve">themes of </w:t>
      </w:r>
      <w:r>
        <w:t>geological provinces</w:t>
      </w:r>
      <w:r w:rsidRPr="00C30F1D">
        <w:t xml:space="preserve">, </w:t>
      </w:r>
      <w:r>
        <w:t>petroleum wells</w:t>
      </w:r>
      <w:r w:rsidRPr="00C30F1D">
        <w:t xml:space="preserve">, </w:t>
      </w:r>
      <w:r>
        <w:t>2D seismic navigation data, 3D seismic data coverage,</w:t>
      </w:r>
      <w:r w:rsidRPr="00C30F1D">
        <w:t xml:space="preserve"> </w:t>
      </w:r>
      <w:r>
        <w:t>oil and gas fields, oil and gas pipelines and other relevant infrastructure. Further details of the</w:t>
      </w:r>
      <w:r w:rsidRPr="006B7E8C">
        <w:t xml:space="preserve"> </w:t>
      </w:r>
      <w:r>
        <w:t xml:space="preserve">data inventory are described in Section </w:t>
      </w:r>
      <w:r>
        <w:fldChar w:fldCharType="begin"/>
      </w:r>
      <w:r>
        <w:instrText xml:space="preserve"> REF _Ref493831579 \r \h </w:instrText>
      </w:r>
      <w:r>
        <w:fldChar w:fldCharType="separate"/>
      </w:r>
      <w:r w:rsidR="004A16F5">
        <w:t>5.2</w:t>
      </w:r>
      <w:r>
        <w:fldChar w:fldCharType="end"/>
      </w:r>
      <w:r>
        <w:t xml:space="preserve"> of this report, and</w:t>
      </w:r>
      <w:r w:rsidR="00C177B2">
        <w:t xml:space="preserve"> the</w:t>
      </w:r>
      <w:r w:rsidR="00301954">
        <w:t xml:space="preserve"> </w:t>
      </w:r>
      <w:r>
        <w:t xml:space="preserve">associated national scale maps are presented </w:t>
      </w:r>
      <w:r w:rsidRPr="006B7E8C">
        <w:t xml:space="preserve">in </w:t>
      </w:r>
      <w:r w:rsidR="00655D02">
        <w:t>Appendix B.</w:t>
      </w:r>
    </w:p>
    <w:p w14:paraId="223BCC9E" w14:textId="77777777" w:rsidR="00174635" w:rsidRPr="00A770BF" w:rsidRDefault="00174635" w:rsidP="00174635">
      <w:pPr>
        <w:pStyle w:val="BodyText"/>
        <w:rPr>
          <w:rStyle w:val="Italic"/>
        </w:rPr>
      </w:pPr>
      <w:r w:rsidRPr="00A770BF">
        <w:rPr>
          <w:rStyle w:val="Italic"/>
        </w:rPr>
        <w:t xml:space="preserve">Audit of </w:t>
      </w:r>
      <w:r w:rsidR="001B1E72">
        <w:rPr>
          <w:rStyle w:val="Italic"/>
        </w:rPr>
        <w:t>shortlist</w:t>
      </w:r>
      <w:r w:rsidRPr="00A770BF">
        <w:rPr>
          <w:rStyle w:val="Italic"/>
        </w:rPr>
        <w:t>ed basins</w:t>
      </w:r>
    </w:p>
    <w:p w14:paraId="69F30B12" w14:textId="77777777" w:rsidR="00E22E0E" w:rsidRDefault="00174635" w:rsidP="00174635">
      <w:pPr>
        <w:pStyle w:val="BodyText"/>
      </w:pPr>
      <w:r>
        <w:t>The data inventory and associated literature w</w:t>
      </w:r>
      <w:r w:rsidR="003C72DC">
        <w:t>ere</w:t>
      </w:r>
      <w:r>
        <w:t xml:space="preserve"> used to underpin a rapid audit of each </w:t>
      </w:r>
      <w:r w:rsidR="001B1E72">
        <w:t>shortlist</w:t>
      </w:r>
      <w:r>
        <w:t>ed basin. Each basin audit was conducted based on the following rapid regional</w:t>
      </w:r>
      <w:r w:rsidR="00416D62">
        <w:t xml:space="preserve"> </w:t>
      </w:r>
      <w:r>
        <w:t>prioritisation criteria: basin geology, resources, market access, infrastructure, regulatory environment, environmental constraints and social factors/constraints. This process aimed to</w:t>
      </w:r>
      <w:r w:rsidR="00E22E0E">
        <w:t>:</w:t>
      </w:r>
    </w:p>
    <w:p w14:paraId="044FF15E" w14:textId="51F30CED" w:rsidR="00E22E0E" w:rsidRDefault="00174635" w:rsidP="00E22E0E">
      <w:pPr>
        <w:pStyle w:val="ListBullet"/>
      </w:pPr>
      <w:r>
        <w:t>capture the current state of knowledge of each basin’s shale and tight gas prospectivity</w:t>
      </w:r>
      <w:r w:rsidR="00E22E0E">
        <w:t>, and;</w:t>
      </w:r>
      <w:r>
        <w:t xml:space="preserve"> </w:t>
      </w:r>
    </w:p>
    <w:p w14:paraId="2424ECC6" w14:textId="6D0AF799" w:rsidR="00E22E0E" w:rsidRDefault="00E22E0E" w:rsidP="00E22E0E">
      <w:pPr>
        <w:pStyle w:val="ListBullet"/>
      </w:pPr>
      <w:r>
        <w:t>i</w:t>
      </w:r>
      <w:r w:rsidR="00174635">
        <w:t xml:space="preserve">dentify the water resources and environmental assets in each basin that could potentially be utilised </w:t>
      </w:r>
      <w:r w:rsidR="00A13D76">
        <w:t>and/</w:t>
      </w:r>
      <w:r w:rsidR="00174635">
        <w:t xml:space="preserve">or be affected by shale and tight </w:t>
      </w:r>
      <w:r w:rsidR="00416D62">
        <w:t xml:space="preserve">gas </w:t>
      </w:r>
      <w:r w:rsidR="00174635">
        <w:t xml:space="preserve">extraction. </w:t>
      </w:r>
    </w:p>
    <w:p w14:paraId="7CF1F939" w14:textId="3229DB95" w:rsidR="00E22E0E" w:rsidRDefault="00174635" w:rsidP="00174635">
      <w:pPr>
        <w:pStyle w:val="BodyText"/>
      </w:pPr>
      <w:r w:rsidRPr="006B7E8C">
        <w:t xml:space="preserve">The results are presented in </w:t>
      </w:r>
      <w:r>
        <w:t xml:space="preserve">Section </w:t>
      </w:r>
      <w:r>
        <w:fldChar w:fldCharType="begin"/>
      </w:r>
      <w:r>
        <w:instrText xml:space="preserve"> REF _Ref493831669 \r \h  \* MERGEFORMAT </w:instrText>
      </w:r>
      <w:r>
        <w:fldChar w:fldCharType="separate"/>
      </w:r>
      <w:r w:rsidR="004A16F5">
        <w:t>5.3</w:t>
      </w:r>
      <w:r>
        <w:fldChar w:fldCharType="end"/>
      </w:r>
      <w:r>
        <w:t xml:space="preserve"> of this report,</w:t>
      </w:r>
      <w:r w:rsidRPr="006B7E8C">
        <w:t xml:space="preserve"> and within the basin summary documents </w:t>
      </w:r>
      <w:r w:rsidR="00655D02">
        <w:t xml:space="preserve">in Appendix </w:t>
      </w:r>
      <w:r w:rsidR="00C177B2">
        <w:t>C</w:t>
      </w:r>
      <w:r w:rsidR="00655D02">
        <w:t>.</w:t>
      </w:r>
      <w:r w:rsidRPr="006B7E8C">
        <w:t xml:space="preserve"> </w:t>
      </w:r>
    </w:p>
    <w:p w14:paraId="223BCCA0" w14:textId="77777777" w:rsidR="00174635" w:rsidRDefault="00174635" w:rsidP="00174635">
      <w:pPr>
        <w:pStyle w:val="BodyText"/>
        <w:rPr>
          <w:rStyle w:val="Bold"/>
        </w:rPr>
      </w:pPr>
      <w:r>
        <w:rPr>
          <w:rStyle w:val="Bold"/>
        </w:rPr>
        <w:t>Results</w:t>
      </w:r>
    </w:p>
    <w:p w14:paraId="223BCCA1" w14:textId="450F3C45" w:rsidR="00174635" w:rsidRDefault="00174635" w:rsidP="00174635">
      <w:pPr>
        <w:pStyle w:val="BodyText"/>
      </w:pPr>
      <w:r>
        <w:lastRenderedPageBreak/>
        <w:t xml:space="preserve">Nine </w:t>
      </w:r>
      <w:r w:rsidR="00156E55">
        <w:t xml:space="preserve">onshore </w:t>
      </w:r>
      <w:r>
        <w:t>basins were identified in which a</w:t>
      </w:r>
      <w:r w:rsidR="003C72DC">
        <w:t>ctive exploration for shale and/</w:t>
      </w:r>
      <w:r>
        <w:t>or tight gas resources is already underway and possible play</w:t>
      </w:r>
      <w:r w:rsidR="00DD5207">
        <w:t>s</w:t>
      </w:r>
      <w:r>
        <w:t>, leads or prospects have al</w:t>
      </w:r>
      <w:r w:rsidR="003C72DC">
        <w:t>ready been identified. These are</w:t>
      </w:r>
      <w:r>
        <w:t>:</w:t>
      </w:r>
    </w:p>
    <w:p w14:paraId="223BCCA2" w14:textId="167CEDAE" w:rsidR="00174635" w:rsidRPr="009D2EB6" w:rsidRDefault="00174635" w:rsidP="00174635">
      <w:pPr>
        <w:pStyle w:val="ListBullet"/>
      </w:pPr>
      <w:r w:rsidRPr="009D2EB6">
        <w:t>Amadeus Basin (</w:t>
      </w:r>
      <w:r w:rsidR="00156E55" w:rsidRPr="009D2EB6">
        <w:t>Northern Territory</w:t>
      </w:r>
      <w:r w:rsidR="00156E55">
        <w:t>, Western Australia, South Australia</w:t>
      </w:r>
      <w:r w:rsidRPr="009D2EB6">
        <w:t>)</w:t>
      </w:r>
      <w:r>
        <w:t>;</w:t>
      </w:r>
    </w:p>
    <w:p w14:paraId="223BCCA3" w14:textId="77777777" w:rsidR="00174635" w:rsidRPr="009D2EB6" w:rsidRDefault="00174635" w:rsidP="00174635">
      <w:pPr>
        <w:pStyle w:val="ListBullet"/>
      </w:pPr>
      <w:r w:rsidRPr="009D2EB6">
        <w:t>Bowen Basin (Queensland)</w:t>
      </w:r>
      <w:r>
        <w:t>;</w:t>
      </w:r>
    </w:p>
    <w:p w14:paraId="223BCCA4" w14:textId="77777777" w:rsidR="00174635" w:rsidRPr="009D2EB6" w:rsidRDefault="00174635" w:rsidP="00174635">
      <w:pPr>
        <w:pStyle w:val="ListBullet"/>
      </w:pPr>
      <w:r w:rsidRPr="009D2EB6">
        <w:t>Clarence-Moreton Basin (Queensland and New South Wales)</w:t>
      </w:r>
      <w:r>
        <w:t>;</w:t>
      </w:r>
    </w:p>
    <w:p w14:paraId="223BCCA5" w14:textId="77777777" w:rsidR="00174635" w:rsidRPr="009D2EB6" w:rsidRDefault="00174635" w:rsidP="00174635">
      <w:pPr>
        <w:pStyle w:val="ListBullet"/>
      </w:pPr>
      <w:r w:rsidRPr="009D2EB6">
        <w:t>Cooper Basin (Queensland and South Australia)</w:t>
      </w:r>
      <w:r>
        <w:t>;</w:t>
      </w:r>
    </w:p>
    <w:p w14:paraId="223BCCA6" w14:textId="47F456A9" w:rsidR="00174635" w:rsidRPr="009D2EB6" w:rsidRDefault="00174635" w:rsidP="00174635">
      <w:pPr>
        <w:pStyle w:val="ListBullet"/>
      </w:pPr>
      <w:r w:rsidRPr="009D2EB6">
        <w:t>Georgina Basin (Northern Territory</w:t>
      </w:r>
      <w:r w:rsidR="00431BF0">
        <w:t xml:space="preserve"> and Queensland</w:t>
      </w:r>
      <w:r w:rsidRPr="009D2EB6">
        <w:t>)</w:t>
      </w:r>
      <w:r>
        <w:t>;</w:t>
      </w:r>
    </w:p>
    <w:p w14:paraId="223BCCA7" w14:textId="51B6E681" w:rsidR="00174635" w:rsidRPr="009D2EB6" w:rsidRDefault="00174635" w:rsidP="00174635">
      <w:pPr>
        <w:pStyle w:val="ListBullet"/>
      </w:pPr>
      <w:r w:rsidRPr="009D2EB6">
        <w:t>Gippsland Basin (Victoria)</w:t>
      </w:r>
      <w:r>
        <w:t>;</w:t>
      </w:r>
    </w:p>
    <w:p w14:paraId="223BCCA8" w14:textId="77777777" w:rsidR="00174635" w:rsidRPr="009D2EB6" w:rsidRDefault="00174635" w:rsidP="00174635">
      <w:pPr>
        <w:pStyle w:val="ListBullet"/>
      </w:pPr>
      <w:r w:rsidRPr="009D2EB6">
        <w:t>Isa Superbasin, within the Mount Isa Province (Northern Territory and Queensland)</w:t>
      </w:r>
      <w:r>
        <w:t>;</w:t>
      </w:r>
    </w:p>
    <w:p w14:paraId="223BCCA9" w14:textId="77777777" w:rsidR="00174635" w:rsidRPr="009D2EB6" w:rsidRDefault="00174635" w:rsidP="00174635">
      <w:pPr>
        <w:pStyle w:val="ListBullet"/>
      </w:pPr>
      <w:r w:rsidRPr="009D2EB6">
        <w:t>McArthur</w:t>
      </w:r>
      <w:r w:rsidR="00A35055">
        <w:t xml:space="preserve"> Basin, including the Beetaloo S</w:t>
      </w:r>
      <w:r w:rsidRPr="009D2EB6">
        <w:t>ub-basin (Northern Territory)</w:t>
      </w:r>
      <w:r>
        <w:t>, and;</w:t>
      </w:r>
    </w:p>
    <w:p w14:paraId="223BCCAA" w14:textId="70B5C8D7" w:rsidR="00174635" w:rsidRDefault="00174635" w:rsidP="00174635">
      <w:pPr>
        <w:pStyle w:val="ListBullet"/>
      </w:pPr>
      <w:r w:rsidRPr="009D2EB6">
        <w:t>Otway Basin (South Australia and Victoria)</w:t>
      </w:r>
      <w:r>
        <w:t>.</w:t>
      </w:r>
    </w:p>
    <w:p w14:paraId="223BCCAB" w14:textId="41DCBE79" w:rsidR="00174635" w:rsidRDefault="00174635" w:rsidP="00174635">
      <w:pPr>
        <w:pStyle w:val="BodyText"/>
      </w:pPr>
      <w:r>
        <w:t xml:space="preserve">Assuming sustained </w:t>
      </w:r>
      <w:r w:rsidR="003C72DC">
        <w:t>investment</w:t>
      </w:r>
      <w:r>
        <w:t xml:space="preserve"> and no other impediment to development (e.g. regulatory restrictions; environmental or social concerns), </w:t>
      </w:r>
      <w:r w:rsidR="00E22E0E">
        <w:t>the</w:t>
      </w:r>
      <w:r w:rsidRPr="00B54532">
        <w:t xml:space="preserve"> </w:t>
      </w:r>
      <w:r>
        <w:t xml:space="preserve">potential </w:t>
      </w:r>
      <w:r w:rsidR="003C72DC">
        <w:t>development timeframes</w:t>
      </w:r>
      <w:r w:rsidR="00E22E0E">
        <w:t xml:space="preserve"> for key plays within these basins was considered to be</w:t>
      </w:r>
      <w:r w:rsidR="003C72DC">
        <w:t xml:space="preserve"> ten </w:t>
      </w:r>
      <w:r w:rsidRPr="00B54532">
        <w:t>year</w:t>
      </w:r>
      <w:r w:rsidR="00416D62">
        <w:t>s</w:t>
      </w:r>
      <w:r w:rsidRPr="00B54532">
        <w:t xml:space="preserve"> or less, </w:t>
      </w:r>
      <w:r>
        <w:t xml:space="preserve">and hence </w:t>
      </w:r>
      <w:r w:rsidR="00E22E0E">
        <w:t>these basins were</w:t>
      </w:r>
      <w:r>
        <w:t xml:space="preserve"> </w:t>
      </w:r>
      <w:r w:rsidR="001B1E72">
        <w:t>shortlist</w:t>
      </w:r>
      <w:r w:rsidRPr="003E46FD">
        <w:t xml:space="preserve">ed as priority areas for </w:t>
      </w:r>
      <w:r>
        <w:t>further</w:t>
      </w:r>
      <w:r w:rsidR="003C72DC">
        <w:t xml:space="preserve"> </w:t>
      </w:r>
      <w:r w:rsidRPr="003E46FD">
        <w:t>research.</w:t>
      </w:r>
    </w:p>
    <w:p w14:paraId="223BCCAC" w14:textId="77777777" w:rsidR="00174635" w:rsidRPr="003C72DC" w:rsidRDefault="00174635" w:rsidP="003C72DC">
      <w:pPr>
        <w:pStyle w:val="BodyText"/>
        <w:rPr>
          <w:rStyle w:val="Italic"/>
        </w:rPr>
      </w:pPr>
      <w:r w:rsidRPr="003C72DC">
        <w:rPr>
          <w:rStyle w:val="Italic"/>
        </w:rPr>
        <w:t>Shale and tight gas prospectivity and confidence</w:t>
      </w:r>
    </w:p>
    <w:p w14:paraId="385EFD88" w14:textId="39FFE7B9" w:rsidR="0079523D" w:rsidRDefault="00174635" w:rsidP="00174635">
      <w:pPr>
        <w:pStyle w:val="BodyText"/>
      </w:pPr>
      <w:r>
        <w:lastRenderedPageBreak/>
        <w:t>The results of the basin audit were used to assign a ‘shale and tight gas prospectivity’ r</w:t>
      </w:r>
      <w:r w:rsidRPr="009B4A57">
        <w:t>ank</w:t>
      </w:r>
      <w:r>
        <w:t xml:space="preserve">ing and a </w:t>
      </w:r>
      <w:r w:rsidR="00DD5207">
        <w:t>‘</w:t>
      </w:r>
      <w:r>
        <w:t>confidence</w:t>
      </w:r>
      <w:r w:rsidR="00DD5207">
        <w:t>’</w:t>
      </w:r>
      <w:r>
        <w:t xml:space="preserve"> ranking to each basin. Both </w:t>
      </w:r>
      <w:r w:rsidRPr="00821AEB">
        <w:t>ranking</w:t>
      </w:r>
      <w:r>
        <w:t>s</w:t>
      </w:r>
      <w:r w:rsidRPr="00821AEB">
        <w:t xml:space="preserve"> </w:t>
      </w:r>
      <w:r>
        <w:t xml:space="preserve">are </w:t>
      </w:r>
      <w:r w:rsidRPr="009B4A57">
        <w:t>qualitative and</w:t>
      </w:r>
      <w:r>
        <w:t xml:space="preserve"> are </w:t>
      </w:r>
      <w:r w:rsidRPr="009B4A57">
        <w:t>based on the level of knowledge and ava</w:t>
      </w:r>
      <w:r>
        <w:t>ilable data for the given basin</w:t>
      </w:r>
      <w:r w:rsidR="003C72DC">
        <w:t xml:space="preserve"> (Figure 0-1</w:t>
      </w:r>
      <w:r w:rsidR="005E1B62">
        <w:t>)</w:t>
      </w:r>
      <w:r w:rsidR="000A76D3">
        <w:t>.</w:t>
      </w:r>
      <w:r w:rsidR="005E1B62">
        <w:t xml:space="preserve"> </w:t>
      </w:r>
      <w:r>
        <w:t xml:space="preserve">Key </w:t>
      </w:r>
      <w:r w:rsidRPr="00174472">
        <w:t>factors considered in assessing</w:t>
      </w:r>
      <w:r>
        <w:t xml:space="preserve"> </w:t>
      </w:r>
      <w:r w:rsidR="002D229B">
        <w:t>the</w:t>
      </w:r>
      <w:r w:rsidR="00DF6F90">
        <w:t xml:space="preserve"> </w:t>
      </w:r>
      <w:r w:rsidR="002D229B">
        <w:t>‘</w:t>
      </w:r>
      <w:r>
        <w:t>shale and</w:t>
      </w:r>
      <w:r w:rsidRPr="00174472">
        <w:t xml:space="preserve"> tight gas prospectivity</w:t>
      </w:r>
      <w:r w:rsidR="002D229B">
        <w:t>’ ranking</w:t>
      </w:r>
      <w:r w:rsidRPr="00174472">
        <w:t xml:space="preserve"> </w:t>
      </w:r>
      <w:r>
        <w:t>include</w:t>
      </w:r>
      <w:r w:rsidR="002D229B">
        <w:t>d</w:t>
      </w:r>
      <w:r w:rsidR="0079523D">
        <w:t>:</w:t>
      </w:r>
    </w:p>
    <w:p w14:paraId="5A2D55F9" w14:textId="08E6C21E" w:rsidR="0079523D" w:rsidRPr="005E0FA1" w:rsidRDefault="00174635" w:rsidP="005E0FA1">
      <w:pPr>
        <w:pStyle w:val="ListBullet"/>
      </w:pPr>
      <w:r w:rsidRPr="003A2E9A">
        <w:t>overall petroleum prospectivity</w:t>
      </w:r>
      <w:r w:rsidR="0079523D" w:rsidRPr="005E0FA1">
        <w:t>;</w:t>
      </w:r>
    </w:p>
    <w:p w14:paraId="1E08DE3E" w14:textId="13CD4BF8" w:rsidR="0079523D" w:rsidRPr="005E0FA1" w:rsidRDefault="00174635" w:rsidP="005E0FA1">
      <w:pPr>
        <w:pStyle w:val="ListBullet"/>
      </w:pPr>
      <w:r w:rsidRPr="005E0FA1">
        <w:t xml:space="preserve">estimated prospective resource area </w:t>
      </w:r>
      <w:r w:rsidR="007B3239" w:rsidRPr="005E0FA1">
        <w:t xml:space="preserve">which may reasonably be developed in a ten year timeframe </w:t>
      </w:r>
      <w:r w:rsidRPr="005E0FA1">
        <w:t>(where such information was available from existing public domain sources</w:t>
      </w:r>
      <w:r w:rsidR="00DD5207" w:rsidRPr="005E0FA1">
        <w:t>)</w:t>
      </w:r>
      <w:r w:rsidR="0079523D" w:rsidRPr="005E0FA1">
        <w:t>;</w:t>
      </w:r>
    </w:p>
    <w:p w14:paraId="20D05456" w14:textId="45E8136E" w:rsidR="0079523D" w:rsidRPr="005E0FA1" w:rsidRDefault="002D229B" w:rsidP="005E0FA1">
      <w:pPr>
        <w:pStyle w:val="ListBullet"/>
      </w:pPr>
      <w:r w:rsidRPr="005E0FA1">
        <w:t>prospective resources</w:t>
      </w:r>
      <w:r w:rsidR="0079523D" w:rsidRPr="005E0FA1">
        <w:t>,</w:t>
      </w:r>
      <w:r w:rsidR="00174635" w:rsidRPr="005E0FA1">
        <w:t xml:space="preserve"> and</w:t>
      </w:r>
      <w:r w:rsidR="0079523D" w:rsidRPr="005E0FA1">
        <w:t>;</w:t>
      </w:r>
    </w:p>
    <w:p w14:paraId="7D4816C5" w14:textId="733E2E7C" w:rsidR="0079523D" w:rsidRPr="005E0FA1" w:rsidRDefault="00174635" w:rsidP="005E0FA1">
      <w:pPr>
        <w:pStyle w:val="ListBullet"/>
      </w:pPr>
      <w:r w:rsidRPr="005E0FA1">
        <w:t>shale</w:t>
      </w:r>
      <w:r w:rsidR="002D229B" w:rsidRPr="005E0FA1">
        <w:t xml:space="preserve"> and/or</w:t>
      </w:r>
      <w:r w:rsidRPr="005E0FA1">
        <w:t xml:space="preserve"> tight gas exploration success to date.</w:t>
      </w:r>
    </w:p>
    <w:p w14:paraId="223BCCAD" w14:textId="6A155E44" w:rsidR="00174635" w:rsidRDefault="00174635">
      <w:pPr>
        <w:pStyle w:val="BodyText"/>
      </w:pPr>
      <w:r w:rsidRPr="009B4A57">
        <w:t xml:space="preserve">The </w:t>
      </w:r>
      <w:r w:rsidR="002D229B">
        <w:t>‘</w:t>
      </w:r>
      <w:r w:rsidRPr="009B4A57">
        <w:t>confidence</w:t>
      </w:r>
      <w:r w:rsidR="002D229B">
        <w:t>’</w:t>
      </w:r>
      <w:r w:rsidRPr="009B4A57">
        <w:t xml:space="preserve"> </w:t>
      </w:r>
      <w:r>
        <w:t>rankings are</w:t>
      </w:r>
      <w:r w:rsidRPr="009B4A57">
        <w:t xml:space="preserve"> based on both the amount of data available within the basin and the quality of that data</w:t>
      </w:r>
      <w:r w:rsidR="003C72DC">
        <w:t xml:space="preserve">. They </w:t>
      </w:r>
      <w:r>
        <w:t>were assessed</w:t>
      </w:r>
      <w:r w:rsidR="00655D02">
        <w:t xml:space="preserve"> </w:t>
      </w:r>
      <w:r w:rsidR="003C72DC">
        <w:t xml:space="preserve">on the </w:t>
      </w:r>
      <w:r>
        <w:t>number of petroleum wells and shale/ tight gas wells drilled to date, line k</w:t>
      </w:r>
      <w:r w:rsidR="00EA72D2">
        <w:t>ilo</w:t>
      </w:r>
      <w:r>
        <w:t>m</w:t>
      </w:r>
      <w:r w:rsidR="00EA72D2">
        <w:t>etres</w:t>
      </w:r>
      <w:r>
        <w:t xml:space="preserve"> of seismic data</w:t>
      </w:r>
      <w:r w:rsidR="003C72DC">
        <w:t xml:space="preserve"> and</w:t>
      </w:r>
      <w:r>
        <w:t xml:space="preserve"> shale/ tight gas exploration status. </w:t>
      </w:r>
      <w:r w:rsidR="00416D62">
        <w:t>Lower data quantity and/or</w:t>
      </w:r>
      <w:r w:rsidRPr="009B4A57">
        <w:t xml:space="preserve"> quality </w:t>
      </w:r>
      <w:r>
        <w:t>resulted</w:t>
      </w:r>
      <w:r w:rsidRPr="009B4A57">
        <w:t xml:space="preserve"> in </w:t>
      </w:r>
      <w:r>
        <w:t xml:space="preserve">a </w:t>
      </w:r>
      <w:r w:rsidRPr="009B4A57">
        <w:t>low</w:t>
      </w:r>
      <w:r w:rsidR="00416D62">
        <w:t>er</w:t>
      </w:r>
      <w:r w:rsidRPr="009B4A57">
        <w:t xml:space="preserve"> confidence for the prospectivity ranking, whereas a high confidence </w:t>
      </w:r>
      <w:r>
        <w:t xml:space="preserve">was used to indicate </w:t>
      </w:r>
      <w:r w:rsidRPr="009B4A57">
        <w:t xml:space="preserve">the </w:t>
      </w:r>
      <w:r w:rsidR="002D229B">
        <w:t>‘shale and</w:t>
      </w:r>
      <w:r w:rsidR="002D229B" w:rsidRPr="00174472">
        <w:t xml:space="preserve"> tight gas prospectivity</w:t>
      </w:r>
      <w:r w:rsidR="002D229B">
        <w:t xml:space="preserve">’ </w:t>
      </w:r>
      <w:r w:rsidR="00A13D76">
        <w:t xml:space="preserve">rating is more </w:t>
      </w:r>
      <w:r w:rsidR="00FA5729">
        <w:t>informed</w:t>
      </w:r>
      <w:r w:rsidR="00A13D76">
        <w:t>.</w:t>
      </w:r>
    </w:p>
    <w:p w14:paraId="223BCCAE" w14:textId="77777777" w:rsidR="00174635" w:rsidRDefault="00174635" w:rsidP="00174635">
      <w:pPr>
        <w:pStyle w:val="BodyText"/>
      </w:pPr>
      <w:r w:rsidRPr="00E6347C">
        <w:t>From this assessment</w:t>
      </w:r>
      <w:r>
        <w:t>:</w:t>
      </w:r>
      <w:r w:rsidRPr="00E6347C">
        <w:t xml:space="preserve"> </w:t>
      </w:r>
    </w:p>
    <w:p w14:paraId="223BCCAF" w14:textId="4C840923" w:rsidR="00174635" w:rsidRPr="0079523D" w:rsidRDefault="00174635" w:rsidP="003A2E9A">
      <w:pPr>
        <w:pStyle w:val="ListBullet"/>
      </w:pPr>
      <w:r w:rsidRPr="003A2E9A">
        <w:lastRenderedPageBreak/>
        <w:t xml:space="preserve">The Cooper Basin is ranked </w:t>
      </w:r>
      <w:r w:rsidRPr="0079523D">
        <w:rPr>
          <w:rStyle w:val="Bold"/>
          <w:b w:val="0"/>
        </w:rPr>
        <w:t>high</w:t>
      </w:r>
      <w:r w:rsidR="00E22E0E">
        <w:rPr>
          <w:rStyle w:val="Bold"/>
          <w:b w:val="0"/>
        </w:rPr>
        <w:t>est</w:t>
      </w:r>
      <w:r w:rsidRPr="0079523D">
        <w:t xml:space="preserve"> in terms of both prospectivity and confidence, reflecting the extensive exploration </w:t>
      </w:r>
      <w:r w:rsidR="002D229B" w:rsidRPr="0079523D">
        <w:t>of both</w:t>
      </w:r>
      <w:r w:rsidRPr="0079523D">
        <w:t xml:space="preserve"> </w:t>
      </w:r>
      <w:r w:rsidR="00FA5729" w:rsidRPr="0079523D">
        <w:t>conventional</w:t>
      </w:r>
      <w:r w:rsidR="002D229B" w:rsidRPr="0079523D">
        <w:t xml:space="preserve"> and unconventional plays already undertaken in this basin and the exploration success to date.</w:t>
      </w:r>
      <w:r w:rsidRPr="0079523D">
        <w:t xml:space="preserve"> </w:t>
      </w:r>
    </w:p>
    <w:p w14:paraId="223BCCB0" w14:textId="7DC47D7B" w:rsidR="00174635" w:rsidRPr="0079523D" w:rsidRDefault="00174635">
      <w:pPr>
        <w:pStyle w:val="ListBullet"/>
      </w:pPr>
      <w:r w:rsidRPr="0079523D">
        <w:t xml:space="preserve">The shale and/or tight gas prospectivity of the McArthur, Bowen </w:t>
      </w:r>
      <w:r w:rsidR="002D229B" w:rsidRPr="0079523D">
        <w:t>and Amadeus basins rank</w:t>
      </w:r>
      <w:r w:rsidRPr="0079523D">
        <w:t xml:space="preserve"> as </w:t>
      </w:r>
      <w:r w:rsidRPr="0079523D">
        <w:rPr>
          <w:rStyle w:val="Italic"/>
          <w:i w:val="0"/>
        </w:rPr>
        <w:t>high</w:t>
      </w:r>
      <w:r w:rsidRPr="0079523D">
        <w:t xml:space="preserve">, based on the quality of known and potential source rocks, while confidence is only </w:t>
      </w:r>
      <w:r w:rsidRPr="0079523D">
        <w:rPr>
          <w:rStyle w:val="Italic"/>
          <w:i w:val="0"/>
        </w:rPr>
        <w:t>moderate</w:t>
      </w:r>
      <w:r w:rsidRPr="0079523D">
        <w:t xml:space="preserve"> reflecting the basins’ mo</w:t>
      </w:r>
      <w:r w:rsidR="00A13D76" w:rsidRPr="0079523D">
        <w:t>re limited exploration history.</w:t>
      </w:r>
    </w:p>
    <w:p w14:paraId="223BCCB1" w14:textId="77777777" w:rsidR="00174635" w:rsidRPr="0079523D" w:rsidRDefault="00174635">
      <w:pPr>
        <w:pStyle w:val="ListBullet"/>
      </w:pPr>
      <w:r w:rsidRPr="0079523D">
        <w:t xml:space="preserve">The Otway Basin ranks as </w:t>
      </w:r>
      <w:r w:rsidRPr="0079523D">
        <w:rPr>
          <w:rStyle w:val="Italic"/>
          <w:i w:val="0"/>
        </w:rPr>
        <w:t>moderate–high</w:t>
      </w:r>
      <w:r w:rsidRPr="0079523D">
        <w:t xml:space="preserve"> prospectivity and high confidence </w:t>
      </w:r>
      <w:r w:rsidR="00A13D76" w:rsidRPr="0079523D">
        <w:t>due to data density and quality.</w:t>
      </w:r>
    </w:p>
    <w:p w14:paraId="223BCCB2" w14:textId="77777777" w:rsidR="00174635" w:rsidRPr="0079523D" w:rsidRDefault="00174635">
      <w:pPr>
        <w:pStyle w:val="ListBullet"/>
      </w:pPr>
      <w:r w:rsidRPr="0079523D">
        <w:t xml:space="preserve">The Isa Superbasin prospectivity ranks as </w:t>
      </w:r>
      <w:r w:rsidRPr="0079523D">
        <w:rPr>
          <w:rStyle w:val="Italic"/>
          <w:i w:val="0"/>
        </w:rPr>
        <w:t>moderate–high</w:t>
      </w:r>
      <w:r w:rsidRPr="0079523D">
        <w:t xml:space="preserve"> due to the booked contingent resources, however confidence is </w:t>
      </w:r>
      <w:r w:rsidR="00DF6F90" w:rsidRPr="0079523D">
        <w:rPr>
          <w:rStyle w:val="Italic"/>
          <w:i w:val="0"/>
        </w:rPr>
        <w:t>low–</w:t>
      </w:r>
      <w:r w:rsidRPr="0079523D">
        <w:rPr>
          <w:rStyle w:val="Italic"/>
          <w:i w:val="0"/>
        </w:rPr>
        <w:t>moderate</w:t>
      </w:r>
      <w:r w:rsidRPr="0079523D">
        <w:t xml:space="preserve"> due </w:t>
      </w:r>
      <w:r w:rsidR="003C72DC" w:rsidRPr="0079523D">
        <w:t>to</w:t>
      </w:r>
      <w:r w:rsidRPr="0079523D">
        <w:t xml:space="preserve"> spar</w:t>
      </w:r>
      <w:r w:rsidR="003C72DC" w:rsidRPr="0079523D">
        <w:t>s</w:t>
      </w:r>
      <w:r w:rsidRPr="0079523D">
        <w:t>e data distribution and ve</w:t>
      </w:r>
      <w:r w:rsidR="00A13D76" w:rsidRPr="0079523D">
        <w:t>ry limited exploration history.</w:t>
      </w:r>
    </w:p>
    <w:p w14:paraId="223BCCB3" w14:textId="7AFFCC29" w:rsidR="00174635" w:rsidRPr="0079523D" w:rsidRDefault="00174635">
      <w:pPr>
        <w:pStyle w:val="ListBullet"/>
      </w:pPr>
      <w:r w:rsidRPr="0079523D">
        <w:t xml:space="preserve">The Gippsland Basin is ranked </w:t>
      </w:r>
      <w:r w:rsidRPr="0079523D">
        <w:rPr>
          <w:rStyle w:val="Italic"/>
          <w:i w:val="0"/>
        </w:rPr>
        <w:t xml:space="preserve">moderate </w:t>
      </w:r>
      <w:r w:rsidRPr="0079523D">
        <w:t xml:space="preserve">for prospectivity </w:t>
      </w:r>
      <w:r w:rsidR="0079523D" w:rsidRPr="0079523D">
        <w:t xml:space="preserve">based </w:t>
      </w:r>
      <w:r w:rsidR="005F68F5">
        <w:t xml:space="preserve">on </w:t>
      </w:r>
      <w:r w:rsidRPr="0079523D">
        <w:t>the relatively small</w:t>
      </w:r>
      <w:r w:rsidR="008C0294" w:rsidRPr="0079523D">
        <w:t xml:space="preserve"> area </w:t>
      </w:r>
      <w:r w:rsidR="005F68F5">
        <w:t xml:space="preserve">in which </w:t>
      </w:r>
      <w:r w:rsidRPr="0079523D">
        <w:t>unconventional gas resources</w:t>
      </w:r>
      <w:r w:rsidR="007B3239" w:rsidRPr="003A2E9A">
        <w:t xml:space="preserve"> </w:t>
      </w:r>
      <w:r w:rsidR="005F68F5">
        <w:t>may be</w:t>
      </w:r>
      <w:r w:rsidR="007B3239" w:rsidRPr="003A2E9A">
        <w:t xml:space="preserve"> developed within a 10 year timeframe</w:t>
      </w:r>
      <w:r w:rsidRPr="0079523D">
        <w:t>, however</w:t>
      </w:r>
      <w:r w:rsidRPr="003A2E9A">
        <w:t xml:space="preserve"> confidence is </w:t>
      </w:r>
      <w:r w:rsidRPr="0079523D">
        <w:rPr>
          <w:rStyle w:val="Italic"/>
          <w:i w:val="0"/>
        </w:rPr>
        <w:t>high</w:t>
      </w:r>
      <w:r w:rsidRPr="0079523D">
        <w:t xml:space="preserve"> due to data density and quality.</w:t>
      </w:r>
    </w:p>
    <w:p w14:paraId="223BCCB4" w14:textId="77777777" w:rsidR="00174635" w:rsidRPr="0079523D" w:rsidRDefault="00174635">
      <w:pPr>
        <w:pStyle w:val="ListBullet"/>
      </w:pPr>
      <w:r w:rsidRPr="0079523D">
        <w:t xml:space="preserve">The Georgina Basin is ranked as </w:t>
      </w:r>
      <w:r w:rsidRPr="0079523D">
        <w:rPr>
          <w:rStyle w:val="Italic"/>
          <w:i w:val="0"/>
        </w:rPr>
        <w:t xml:space="preserve">moderate </w:t>
      </w:r>
      <w:r w:rsidRPr="0079523D">
        <w:t xml:space="preserve">in terms of prospectivity, reflecting the relatively poor results of recent exploration, with a </w:t>
      </w:r>
      <w:r w:rsidRPr="0079523D">
        <w:rPr>
          <w:rStyle w:val="Italic"/>
          <w:i w:val="0"/>
        </w:rPr>
        <w:t>low–moderate</w:t>
      </w:r>
      <w:r w:rsidRPr="0079523D">
        <w:t xml:space="preserve"> confidence reflecting sparse data distribution.</w:t>
      </w:r>
    </w:p>
    <w:p w14:paraId="223BCCB5" w14:textId="1AADEB89" w:rsidR="00174635" w:rsidRPr="0079523D" w:rsidRDefault="00174635">
      <w:pPr>
        <w:pStyle w:val="ListBullet"/>
      </w:pPr>
      <w:r w:rsidRPr="0079523D">
        <w:lastRenderedPageBreak/>
        <w:t xml:space="preserve">The Clarence-Moreton Basin is ranked as </w:t>
      </w:r>
      <w:r w:rsidRPr="0079523D">
        <w:rPr>
          <w:rStyle w:val="Italic"/>
          <w:i w:val="0"/>
        </w:rPr>
        <w:t>low–moderate</w:t>
      </w:r>
      <w:r w:rsidRPr="0079523D">
        <w:t xml:space="preserve"> for both prospectivity and confidence, reflecting the</w:t>
      </w:r>
      <w:r w:rsidR="0079523D" w:rsidRPr="0079523D">
        <w:t xml:space="preserve"> relatively small prospective area,</w:t>
      </w:r>
      <w:r w:rsidRPr="0079523D">
        <w:t xml:space="preserve"> early stage of exploration and limited data.</w:t>
      </w:r>
    </w:p>
    <w:p w14:paraId="223BCCB6" w14:textId="12FCE238" w:rsidR="00174635" w:rsidRDefault="003C72DC" w:rsidP="00174635">
      <w:pPr>
        <w:pStyle w:val="BodyText"/>
      </w:pPr>
      <w:r>
        <w:t xml:space="preserve">Both </w:t>
      </w:r>
      <w:r w:rsidR="002D229B">
        <w:t xml:space="preserve">‘shale and tight gas </w:t>
      </w:r>
      <w:r>
        <w:t>prospectivity</w:t>
      </w:r>
      <w:r w:rsidR="002D229B">
        <w:t>’</w:t>
      </w:r>
      <w:r>
        <w:t xml:space="preserve"> and </w:t>
      </w:r>
      <w:r w:rsidR="002D229B">
        <w:t>‘</w:t>
      </w:r>
      <w:r>
        <w:t>confidence</w:t>
      </w:r>
      <w:r w:rsidR="002D229B">
        <w:t>’</w:t>
      </w:r>
      <w:r w:rsidR="00174635" w:rsidRPr="00E6347C">
        <w:t xml:space="preserve"> rankings could be improved with more data collection an</w:t>
      </w:r>
      <w:r w:rsidR="008E5932">
        <w:t>d by conducting further studies.</w:t>
      </w:r>
    </w:p>
    <w:p w14:paraId="223BCCB7" w14:textId="77777777" w:rsidR="008454B0" w:rsidRPr="00763F1F" w:rsidRDefault="008454B0" w:rsidP="008454B0">
      <w:pPr>
        <w:pStyle w:val="FiguresImagesCentred"/>
      </w:pPr>
      <w:r w:rsidRPr="00C13F18">
        <w:rPr>
          <w:noProof/>
        </w:rPr>
        <w:drawing>
          <wp:inline distT="0" distB="0" distL="0" distR="0" wp14:anchorId="223BD5F7" wp14:editId="223BD5F8">
            <wp:extent cx="5134708" cy="3842114"/>
            <wp:effectExtent l="0" t="0" r="8890" b="635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50387" cy="3853846"/>
                    </a:xfrm>
                    <a:prstGeom prst="rect">
                      <a:avLst/>
                    </a:prstGeom>
                    <a:noFill/>
                    <a:ln>
                      <a:noFill/>
                    </a:ln>
                  </pic:spPr>
                </pic:pic>
              </a:graphicData>
            </a:graphic>
          </wp:inline>
        </w:drawing>
      </w:r>
    </w:p>
    <w:p w14:paraId="223BCCB8" w14:textId="77777777" w:rsidR="008454B0" w:rsidRDefault="003C72DC" w:rsidP="008454B0">
      <w:pPr>
        <w:pStyle w:val="Caption"/>
      </w:pPr>
      <w:bookmarkStart w:id="3" w:name="_Ref494969942"/>
      <w:bookmarkStart w:id="4" w:name="_Toc517101440"/>
      <w:r w:rsidRPr="00AB6721">
        <w:t xml:space="preserve">Figure </w:t>
      </w:r>
      <w:fldSimple w:instr=" STYLEREF 1 \s ">
        <w:r w:rsidR="004A16F5">
          <w:rPr>
            <w:noProof/>
          </w:rPr>
          <w:t>0</w:t>
        </w:r>
      </w:fldSimple>
      <w:r>
        <w:noBreakHyphen/>
      </w:r>
      <w:fldSimple w:instr=" SEQ Figure \* ARABIC \s 1 ">
        <w:r w:rsidR="004A16F5">
          <w:rPr>
            <w:noProof/>
          </w:rPr>
          <w:t>1</w:t>
        </w:r>
      </w:fldSimple>
      <w:bookmarkEnd w:id="3"/>
      <w:r w:rsidRPr="00AB6721">
        <w:t xml:space="preserve"> </w:t>
      </w:r>
      <w:r w:rsidR="008454B0" w:rsidRPr="00AB6721">
        <w:t xml:space="preserve">Shale/ tight gas prospectivity-confidence matrix for </w:t>
      </w:r>
      <w:r w:rsidR="001B1E72">
        <w:t>shortlist</w:t>
      </w:r>
      <w:r w:rsidR="008454B0" w:rsidRPr="00AB6721">
        <w:t>ed basins.</w:t>
      </w:r>
      <w:bookmarkEnd w:id="4"/>
    </w:p>
    <w:p w14:paraId="7A3E2AB4" w14:textId="77777777" w:rsidR="00A26186" w:rsidRPr="00A26186" w:rsidRDefault="00A26186" w:rsidP="00A26186">
      <w:pPr>
        <w:pStyle w:val="BodyText"/>
      </w:pPr>
    </w:p>
    <w:p w14:paraId="223BCCB9" w14:textId="77777777" w:rsidR="00174635" w:rsidRPr="00A770BF" w:rsidRDefault="00174635" w:rsidP="00174635">
      <w:pPr>
        <w:pStyle w:val="BodyText"/>
        <w:rPr>
          <w:rStyle w:val="Italic"/>
        </w:rPr>
      </w:pPr>
      <w:r w:rsidRPr="00A770BF">
        <w:rPr>
          <w:rStyle w:val="Italic"/>
        </w:rPr>
        <w:lastRenderedPageBreak/>
        <w:t>Proximity to market and access to infrastructure</w:t>
      </w:r>
    </w:p>
    <w:p w14:paraId="223BCCBA" w14:textId="2C7AE306" w:rsidR="00174635" w:rsidRDefault="00174635" w:rsidP="00174635">
      <w:pPr>
        <w:pStyle w:val="BodyText"/>
      </w:pPr>
      <w:r>
        <w:t xml:space="preserve">In assessing proximity to the </w:t>
      </w:r>
      <w:r w:rsidR="008549BE">
        <w:t>East Coast Gas Market</w:t>
      </w:r>
      <w:r>
        <w:t xml:space="preserve">, those basins already producing gas directly into the </w:t>
      </w:r>
      <w:r w:rsidR="008549BE">
        <w:t>East Coast Gas Market</w:t>
      </w:r>
      <w:r>
        <w:t xml:space="preserve"> </w:t>
      </w:r>
      <w:r w:rsidR="00FA5729">
        <w:t xml:space="preserve">infrastructure </w:t>
      </w:r>
      <w:r>
        <w:t>were ranked highest.</w:t>
      </w:r>
      <w:r w:rsidRPr="005A2D41">
        <w:t xml:space="preserve"> </w:t>
      </w:r>
      <w:r w:rsidR="005F68F5">
        <w:t>The Northern Gas Pipeline</w:t>
      </w:r>
      <w:r>
        <w:t xml:space="preserve">, scheduled to open by the end of 2018 (Jemena, 2017), will allow gas from </w:t>
      </w:r>
      <w:r w:rsidR="005F68F5">
        <w:t>basins connected to the Northern Territory Gas Market</w:t>
      </w:r>
      <w:r>
        <w:t xml:space="preserve"> to be provided to the </w:t>
      </w:r>
      <w:r w:rsidR="008549BE">
        <w:t>East Coast Gas Market</w:t>
      </w:r>
      <w:r>
        <w:t>. However, the pipeline has limited capacity</w:t>
      </w:r>
      <w:r w:rsidR="008549BE">
        <w:t xml:space="preserve"> (90 TJ/day)</w:t>
      </w:r>
      <w:r>
        <w:t xml:space="preserve">, and </w:t>
      </w:r>
      <w:r w:rsidR="00A13D76">
        <w:t xml:space="preserve">distance </w:t>
      </w:r>
      <w:r w:rsidR="00FA5729">
        <w:t xml:space="preserve">from the customer </w:t>
      </w:r>
      <w:r w:rsidR="00A13D76">
        <w:t>aff</w:t>
      </w:r>
      <w:r w:rsidR="003C72DC">
        <w:t>ects</w:t>
      </w:r>
      <w:r w:rsidR="00A13D76">
        <w:t xml:space="preserve"> transport costs</w:t>
      </w:r>
      <w:r w:rsidR="00FA5729">
        <w:t>, although transport and transmission costs are not a consideration of the prioritisation</w:t>
      </w:r>
      <w:r w:rsidR="00A13D76">
        <w:t>.</w:t>
      </w:r>
    </w:p>
    <w:p w14:paraId="223BCCBB" w14:textId="77777777" w:rsidR="00174635" w:rsidRDefault="00174635" w:rsidP="00174635">
      <w:pPr>
        <w:pStyle w:val="BodyText"/>
      </w:pPr>
      <w:r>
        <w:t xml:space="preserve">The factors considered in assessing access to infrastructure were proximity to existing oil and gas pipelines, additional infrastructure requirements, </w:t>
      </w:r>
      <w:r w:rsidR="003C72DC">
        <w:t xml:space="preserve">availability of </w:t>
      </w:r>
      <w:r>
        <w:t>p</w:t>
      </w:r>
      <w:r w:rsidR="003C72DC">
        <w:t xml:space="preserve">rocessing </w:t>
      </w:r>
      <w:r w:rsidR="003C72DC" w:rsidRPr="00CE3009">
        <w:t>and</w:t>
      </w:r>
      <w:r w:rsidRPr="00CE3009">
        <w:t xml:space="preserve"> storage facilities, road and rail access and proximity to townships</w:t>
      </w:r>
      <w:r w:rsidR="00CE3009" w:rsidRPr="00CE3009">
        <w:t xml:space="preserve">. </w:t>
      </w:r>
      <w:r w:rsidR="00A13D76">
        <w:t>A qualitative ranking was applied to each basin regarding access to infrastructure,</w:t>
      </w:r>
      <w:r w:rsidRPr="00CE3009">
        <w:t xml:space="preserve"> based on the level of knowledge and available data for the given basin.</w:t>
      </w:r>
    </w:p>
    <w:p w14:paraId="223BCCBC" w14:textId="77777777" w:rsidR="00174635" w:rsidRDefault="00174635" w:rsidP="00174635">
      <w:pPr>
        <w:pStyle w:val="BodyText"/>
      </w:pPr>
      <w:r w:rsidRPr="00E6347C">
        <w:t>From this assessment</w:t>
      </w:r>
      <w:r>
        <w:t>:</w:t>
      </w:r>
    </w:p>
    <w:p w14:paraId="223BCCBD" w14:textId="297386E4" w:rsidR="00174635" w:rsidRDefault="00174635" w:rsidP="00174635">
      <w:pPr>
        <w:pStyle w:val="ListBullet"/>
      </w:pPr>
      <w:r>
        <w:t xml:space="preserve">The Cooper, Bowen, Otway and Gippsland basins all have significant existing infrastructure in place connecting them with the </w:t>
      </w:r>
      <w:r w:rsidR="008549BE">
        <w:t>East Coast Gas Market</w:t>
      </w:r>
      <w:r>
        <w:t xml:space="preserve"> including pipelines and gas processing facilities. All regions are well serviced in terms of road and rail, with proximity to </w:t>
      </w:r>
      <w:r w:rsidR="00F57DF3">
        <w:t>townships.</w:t>
      </w:r>
      <w:r>
        <w:t xml:space="preserve"> </w:t>
      </w:r>
    </w:p>
    <w:p w14:paraId="223BCCBE" w14:textId="318DFA61" w:rsidR="00174635" w:rsidRPr="003075C7" w:rsidRDefault="00174635" w:rsidP="00174635">
      <w:pPr>
        <w:pStyle w:val="ListBullet"/>
      </w:pPr>
      <w:r>
        <w:lastRenderedPageBreak/>
        <w:t>The Amad</w:t>
      </w:r>
      <w:r w:rsidR="00DF6F90">
        <w:t>eus and McArthur basins contain</w:t>
      </w:r>
      <w:r>
        <w:t xml:space="preserve"> existing pipeline infrastructure</w:t>
      </w:r>
      <w:r w:rsidR="005F68F5">
        <w:t xml:space="preserve"> connecting them with the Northern Territory Gas market</w:t>
      </w:r>
      <w:r w:rsidR="008549BE">
        <w:t xml:space="preserve">, </w:t>
      </w:r>
      <w:r>
        <w:t xml:space="preserve">but development of any </w:t>
      </w:r>
      <w:r w:rsidR="002D229B">
        <w:t>shale or tight gas</w:t>
      </w:r>
      <w:r>
        <w:t xml:space="preserve"> plays away from the producing fields would require significant further investment. </w:t>
      </w:r>
    </w:p>
    <w:p w14:paraId="223BCCBF" w14:textId="7C27A81A" w:rsidR="00174635" w:rsidRDefault="00174635" w:rsidP="00174635">
      <w:pPr>
        <w:pStyle w:val="ListBullet"/>
      </w:pPr>
      <w:r>
        <w:t xml:space="preserve">Development of shale </w:t>
      </w:r>
      <w:r w:rsidR="00CE3009">
        <w:t>or</w:t>
      </w:r>
      <w:r>
        <w:t xml:space="preserve"> tight gas plays in the Clarence-Moreton Basin would require additional infrastructure </w:t>
      </w:r>
      <w:r w:rsidR="00A13D76">
        <w:t xml:space="preserve">development </w:t>
      </w:r>
      <w:r>
        <w:t xml:space="preserve">as the prospective area is over 100 km from the existing </w:t>
      </w:r>
      <w:r w:rsidR="008549BE">
        <w:t xml:space="preserve">East Coast Gas Market </w:t>
      </w:r>
      <w:r>
        <w:t xml:space="preserve">pipeline network. </w:t>
      </w:r>
    </w:p>
    <w:p w14:paraId="223BCCC0" w14:textId="760EE239" w:rsidR="00174635" w:rsidRDefault="00174635" w:rsidP="00174635">
      <w:pPr>
        <w:pStyle w:val="ListBullet"/>
      </w:pPr>
      <w:r>
        <w:t xml:space="preserve">Development of shale </w:t>
      </w:r>
      <w:r w:rsidR="00CE3009">
        <w:t>or</w:t>
      </w:r>
      <w:r>
        <w:t xml:space="preserve"> tight gas plays in th</w:t>
      </w:r>
      <w:r w:rsidR="00CE3009">
        <w:t>e Georgina Basin and Isa Superb</w:t>
      </w:r>
      <w:r>
        <w:t>asin would require major additional infrastructure development. There are currently no gas processing facilities and the prospective areas</w:t>
      </w:r>
      <w:r w:rsidR="005F68F5">
        <w:t xml:space="preserve"> in both basins</w:t>
      </w:r>
      <w:r>
        <w:t xml:space="preserve"> lie over 200 km from existing pipeline infrastructure.</w:t>
      </w:r>
      <w:r w:rsidR="00CE3009">
        <w:t xml:space="preserve"> </w:t>
      </w:r>
      <w:r w:rsidR="004E31A2">
        <w:t>Both basins are o</w:t>
      </w:r>
      <w:r w:rsidR="004E31A2" w:rsidRPr="003A32E0">
        <w:t>nly poorly to moderately</w:t>
      </w:r>
      <w:r w:rsidR="004E31A2">
        <w:t xml:space="preserve"> well</w:t>
      </w:r>
      <w:r w:rsidR="004E31A2" w:rsidRPr="003A32E0">
        <w:t xml:space="preserve"> service</w:t>
      </w:r>
      <w:r w:rsidR="004E31A2">
        <w:t>d</w:t>
      </w:r>
      <w:r w:rsidR="004E31A2" w:rsidRPr="003A32E0">
        <w:t xml:space="preserve"> </w:t>
      </w:r>
      <w:r w:rsidR="004E31A2">
        <w:t>by road and rail, and are sparsely populated with few townships.</w:t>
      </w:r>
    </w:p>
    <w:p w14:paraId="223BCCC1" w14:textId="77777777" w:rsidR="00174635" w:rsidRPr="009B4A57" w:rsidRDefault="00174635" w:rsidP="00174635">
      <w:pPr>
        <w:pStyle w:val="BodyText"/>
      </w:pPr>
      <w:r w:rsidRPr="00E6347C">
        <w:t xml:space="preserve">These rankings </w:t>
      </w:r>
      <w:r>
        <w:t xml:space="preserve">are intended as a </w:t>
      </w:r>
      <w:r w:rsidR="00C42DBB">
        <w:t xml:space="preserve">relative </w:t>
      </w:r>
      <w:r>
        <w:t>guide to market</w:t>
      </w:r>
      <w:r w:rsidR="00CE3009">
        <w:t xml:space="preserve"> access</w:t>
      </w:r>
      <w:r>
        <w:t xml:space="preserve"> at a whole of basin scale and should not be applied to any individual play. </w:t>
      </w:r>
      <w:r w:rsidR="00CE3009">
        <w:t>Significant additional analysis would be required to</w:t>
      </w:r>
      <w:r>
        <w:t xml:space="preserve"> determine additional infrastructure</w:t>
      </w:r>
      <w:r w:rsidR="00D11B34">
        <w:t xml:space="preserve"> requirements</w:t>
      </w:r>
      <w:r>
        <w:t xml:space="preserve"> a</w:t>
      </w:r>
      <w:r w:rsidR="00CE3009">
        <w:t>t play, lead or prospect level.</w:t>
      </w:r>
    </w:p>
    <w:p w14:paraId="223BCCC2" w14:textId="77777777" w:rsidR="00174635" w:rsidRPr="00A770BF" w:rsidRDefault="00174635" w:rsidP="00174635">
      <w:pPr>
        <w:pStyle w:val="BodyText"/>
        <w:rPr>
          <w:rStyle w:val="Italic"/>
        </w:rPr>
      </w:pPr>
      <w:r w:rsidRPr="00A770BF">
        <w:rPr>
          <w:rStyle w:val="Italic"/>
        </w:rPr>
        <w:t>Regulatory Environment</w:t>
      </w:r>
    </w:p>
    <w:p w14:paraId="223BCCC4" w14:textId="2CF55727" w:rsidR="00174635" w:rsidRDefault="00174635" w:rsidP="003E77C3">
      <w:r w:rsidRPr="003F6AB9">
        <w:t xml:space="preserve">There are moratoria and other regulatory restrictions in New South Wales, Victoria and Tasmania </w:t>
      </w:r>
      <w:r w:rsidR="00901A72">
        <w:t>that prevent or imped</w:t>
      </w:r>
      <w:r w:rsidR="00C42DBB">
        <w:t>e</w:t>
      </w:r>
      <w:r w:rsidRPr="003F6AB9">
        <w:t xml:space="preserve"> onshore gas </w:t>
      </w:r>
      <w:r w:rsidR="00901A72">
        <w:t xml:space="preserve">exploration and </w:t>
      </w:r>
      <w:r w:rsidR="00901A72">
        <w:lastRenderedPageBreak/>
        <w:t xml:space="preserve">development. </w:t>
      </w:r>
      <w:r w:rsidR="00C94EE9">
        <w:t xml:space="preserve"> In April 201</w:t>
      </w:r>
      <w:r w:rsidR="006D6EDF">
        <w:t>8</w:t>
      </w:r>
      <w:r w:rsidR="00C94EE9">
        <w:t xml:space="preserve"> t</w:t>
      </w:r>
      <w:r w:rsidR="001750A9" w:rsidRPr="003739CA">
        <w:t>he Northern Territory</w:t>
      </w:r>
      <w:r w:rsidR="009A3622">
        <w:t xml:space="preserve"> Government lifted the</w:t>
      </w:r>
      <w:r w:rsidR="001750A9" w:rsidRPr="003739CA">
        <w:t xml:space="preserve"> moratorium </w:t>
      </w:r>
      <w:r w:rsidR="009A3622">
        <w:t xml:space="preserve">on hydraulic fracturing </w:t>
      </w:r>
      <w:r w:rsidR="00C94EE9">
        <w:t>over 51% of the Territory</w:t>
      </w:r>
      <w:r w:rsidR="001750A9" w:rsidRPr="003739CA">
        <w:t xml:space="preserve">. </w:t>
      </w:r>
      <w:r w:rsidR="001750A9">
        <w:t xml:space="preserve"> </w:t>
      </w:r>
      <w:r w:rsidR="00C94EE9">
        <w:t xml:space="preserve">The </w:t>
      </w:r>
      <w:r>
        <w:t>South Australia</w:t>
      </w:r>
      <w:r w:rsidR="00C94EE9">
        <w:t>n Government have placed a 10 year moratorium on hydraulic fracturing over the south-east of the state.</w:t>
      </w:r>
      <w:r>
        <w:t xml:space="preserve"> </w:t>
      </w:r>
      <w:r w:rsidR="00C94EE9">
        <w:t xml:space="preserve">Only </w:t>
      </w:r>
      <w:r>
        <w:t xml:space="preserve">Queensland </w:t>
      </w:r>
      <w:r w:rsidR="00C94EE9">
        <w:t xml:space="preserve">has </w:t>
      </w:r>
      <w:r>
        <w:t xml:space="preserve">no current exploration and development restrictions. </w:t>
      </w:r>
      <w:r w:rsidR="00A35055" w:rsidRPr="00A35055">
        <w:t>W</w:t>
      </w:r>
      <w:r w:rsidR="00A35055">
        <w:t>estern Australia</w:t>
      </w:r>
      <w:r w:rsidR="00A35055" w:rsidRPr="00A35055">
        <w:t xml:space="preserve"> does not contribute to the </w:t>
      </w:r>
      <w:r w:rsidR="004A00D5">
        <w:t>East Coast Gas Market</w:t>
      </w:r>
      <w:r w:rsidR="00A35055">
        <w:t xml:space="preserve"> </w:t>
      </w:r>
      <w:r w:rsidR="00A35055" w:rsidRPr="00A35055">
        <w:t>and was therefore not considered</w:t>
      </w:r>
      <w:r w:rsidR="00A35055">
        <w:t>.</w:t>
      </w:r>
    </w:p>
    <w:p w14:paraId="223BCCC5" w14:textId="77777777" w:rsidR="00174635" w:rsidRPr="00A770BF" w:rsidRDefault="00174635" w:rsidP="00174635">
      <w:pPr>
        <w:pStyle w:val="BodyText"/>
        <w:rPr>
          <w:rStyle w:val="Italic"/>
        </w:rPr>
      </w:pPr>
      <w:r w:rsidRPr="00A770BF">
        <w:rPr>
          <w:rStyle w:val="Italic"/>
        </w:rPr>
        <w:t>Groundwater, surface water, environmental and social considerations</w:t>
      </w:r>
    </w:p>
    <w:p w14:paraId="223BCCC6" w14:textId="029C74B3" w:rsidR="000A09E4" w:rsidRDefault="000A09E4" w:rsidP="000A09E4">
      <w:pPr>
        <w:pStyle w:val="BodyText"/>
      </w:pPr>
      <w:r>
        <w:t xml:space="preserve">The basin audits provide information on a range of environmental and social factors that need to be considered as part of shale and tight gas development. Water </w:t>
      </w:r>
      <w:r w:rsidR="009851EC">
        <w:t>is</w:t>
      </w:r>
      <w:r>
        <w:t xml:space="preserve"> of key importance, both as a resource to enable hydraulic fracturing operations and as a resource </w:t>
      </w:r>
      <w:r w:rsidR="00C42DBB">
        <w:t xml:space="preserve">for other users and water-dependent ecosystems </w:t>
      </w:r>
      <w:r>
        <w:t xml:space="preserve">that can be affected by </w:t>
      </w:r>
      <w:r w:rsidR="00C42DBB">
        <w:t>the development of tight and shale gas</w:t>
      </w:r>
      <w:r>
        <w:t xml:space="preserve">. The environmental </w:t>
      </w:r>
      <w:r w:rsidRPr="000B0626">
        <w:t>datasets examined in this report include those with information on principal aquifer types</w:t>
      </w:r>
      <w:r w:rsidR="009851EC">
        <w:t xml:space="preserve">, </w:t>
      </w:r>
      <w:r w:rsidRPr="000B0626">
        <w:t>registered groundwater bores (from the National Groundwater Information System)</w:t>
      </w:r>
      <w:r w:rsidR="00BC2A96">
        <w:t xml:space="preserve"> and</w:t>
      </w:r>
      <w:r w:rsidRPr="000B0626">
        <w:t xml:space="preserve"> groundwater dependant ecosystems</w:t>
      </w:r>
      <w:r w:rsidR="00BC2A96">
        <w:t xml:space="preserve">, </w:t>
      </w:r>
      <w:r w:rsidRPr="000B0626">
        <w:t>wetlands and protected areas (such as national parks</w:t>
      </w:r>
      <w:r w:rsidR="005E1B62">
        <w:t>)</w:t>
      </w:r>
      <w:r w:rsidR="000811F5">
        <w:t>.</w:t>
      </w:r>
      <w:r w:rsidR="005E1B62">
        <w:t xml:space="preserve"> </w:t>
      </w:r>
      <w:r w:rsidRPr="000B0626">
        <w:t>Population, land use types and Indigenous Protected</w:t>
      </w:r>
      <w:r>
        <w:t xml:space="preserve"> Areas (including areas of native title) within the basin</w:t>
      </w:r>
      <w:r w:rsidR="00C42DBB">
        <w:t>s’ area</w:t>
      </w:r>
      <w:r>
        <w:t xml:space="preserve"> were </w:t>
      </w:r>
      <w:r w:rsidR="00C70861">
        <w:t xml:space="preserve">included </w:t>
      </w:r>
      <w:r>
        <w:t>as social factors. National-scale datasets were utilised to enable basin-to-basin comparisons.</w:t>
      </w:r>
    </w:p>
    <w:p w14:paraId="223BCCC7" w14:textId="77777777" w:rsidR="000A09E4" w:rsidRDefault="000A09E4" w:rsidP="000A09E4">
      <w:pPr>
        <w:pStyle w:val="BodyText"/>
      </w:pPr>
      <w:r>
        <w:lastRenderedPageBreak/>
        <w:t>Principal aquifer productivity from national-scale data ranges from low-moderate (Clarence</w:t>
      </w:r>
      <w:r w:rsidR="00836426">
        <w:t>-</w:t>
      </w:r>
      <w:r>
        <w:t>Moreton</w:t>
      </w:r>
      <w:r w:rsidR="009851EC">
        <w:t xml:space="preserve"> Basin</w:t>
      </w:r>
      <w:r>
        <w:t>) to highly productive aquifers in the Amadeus, Bowen, Cooper, Georgina, McArthur</w:t>
      </w:r>
      <w:r w:rsidR="00BA4E2C">
        <w:t xml:space="preserve">, Gippsland </w:t>
      </w:r>
      <w:r>
        <w:t xml:space="preserve">and Otway </w:t>
      </w:r>
      <w:r w:rsidR="009851EC">
        <w:t>b</w:t>
      </w:r>
      <w:r>
        <w:t>asins</w:t>
      </w:r>
      <w:r w:rsidR="009851EC">
        <w:t>.</w:t>
      </w:r>
    </w:p>
    <w:p w14:paraId="223BCCC9" w14:textId="578CBF17" w:rsidR="000A09E4" w:rsidRDefault="000A09E4" w:rsidP="000A09E4">
      <w:pPr>
        <w:pStyle w:val="BodyText"/>
      </w:pPr>
      <w:r>
        <w:t>All basins h</w:t>
      </w:r>
      <w:r w:rsidR="009851EC">
        <w:t>ave</w:t>
      </w:r>
      <w:r>
        <w:t xml:space="preserve"> both </w:t>
      </w:r>
      <w:r w:rsidR="009851EC" w:rsidRPr="007D6EBC">
        <w:rPr>
          <w:color w:val="auto"/>
        </w:rPr>
        <w:t xml:space="preserve">groundwater dependant ecosystems </w:t>
      </w:r>
      <w:r w:rsidR="009851EC">
        <w:rPr>
          <w:color w:val="auto"/>
        </w:rPr>
        <w:t>(</w:t>
      </w:r>
      <w:r>
        <w:t>GDEs</w:t>
      </w:r>
      <w:r w:rsidR="009851EC">
        <w:t>)</w:t>
      </w:r>
      <w:r>
        <w:t xml:space="preserve"> and wetlands present. </w:t>
      </w:r>
      <w:r w:rsidR="00211415">
        <w:t xml:space="preserve">These areas are potentially sensitive to variations in the level of groundwater extraction. </w:t>
      </w:r>
      <w:r>
        <w:t xml:space="preserve">The </w:t>
      </w:r>
      <w:r w:rsidR="009851EC">
        <w:t>Otway and Amadeus basins have the</w:t>
      </w:r>
      <w:r>
        <w:t xml:space="preserve"> </w:t>
      </w:r>
      <w:r w:rsidR="009851EC">
        <w:t>smallest</w:t>
      </w:r>
      <w:r>
        <w:t xml:space="preserve"> GD</w:t>
      </w:r>
      <w:r w:rsidR="009851EC">
        <w:t>E area, at</w:t>
      </w:r>
      <w:r>
        <w:t xml:space="preserve"> 1</w:t>
      </w:r>
      <w:r w:rsidR="00FF6923">
        <w:t>,</w:t>
      </w:r>
      <w:r>
        <w:t>500km</w:t>
      </w:r>
      <w:r w:rsidRPr="006B07A3">
        <w:rPr>
          <w:rStyle w:val="Superscript"/>
        </w:rPr>
        <w:t>2</w:t>
      </w:r>
      <w:r>
        <w:t xml:space="preserve"> and 1</w:t>
      </w:r>
      <w:r w:rsidR="00FF6923">
        <w:t>,</w:t>
      </w:r>
      <w:r>
        <w:t>600km</w:t>
      </w:r>
      <w:r w:rsidRPr="006B07A3">
        <w:rPr>
          <w:rStyle w:val="Superscript"/>
        </w:rPr>
        <w:t>2</w:t>
      </w:r>
      <w:r>
        <w:t xml:space="preserve"> respectively</w:t>
      </w:r>
      <w:r w:rsidR="009851EC">
        <w:t xml:space="preserve">, </w:t>
      </w:r>
      <w:r>
        <w:t>while the Bowen and Cooper basins have the largest GDE area coverages at 26,000 km</w:t>
      </w:r>
      <w:r w:rsidRPr="006B07A3">
        <w:rPr>
          <w:rStyle w:val="Superscript"/>
        </w:rPr>
        <w:t>2</w:t>
      </w:r>
      <w:r>
        <w:t xml:space="preserve"> and 13,800 km</w:t>
      </w:r>
      <w:r w:rsidRPr="006B07A3">
        <w:rPr>
          <w:rStyle w:val="Superscript"/>
        </w:rPr>
        <w:t>2</w:t>
      </w:r>
      <w:r>
        <w:t xml:space="preserve"> respectively. The basins with the lowest area of wetland</w:t>
      </w:r>
      <w:r w:rsidR="000C22F9">
        <w:t>s</w:t>
      </w:r>
      <w:r>
        <w:t xml:space="preserve"> are the Amadeus and Clarence-Moreton </w:t>
      </w:r>
      <w:r w:rsidR="005F68F5">
        <w:t xml:space="preserve">basins </w:t>
      </w:r>
      <w:r>
        <w:t>with 50 km</w:t>
      </w:r>
      <w:r w:rsidRPr="006B07A3">
        <w:rPr>
          <w:rStyle w:val="Superscript"/>
        </w:rPr>
        <w:t>2</w:t>
      </w:r>
      <w:r>
        <w:t xml:space="preserve"> and 300 km</w:t>
      </w:r>
      <w:r w:rsidRPr="006B07A3">
        <w:rPr>
          <w:rStyle w:val="Superscript"/>
        </w:rPr>
        <w:t>2</w:t>
      </w:r>
      <w:r>
        <w:t xml:space="preserve"> respectively; while large areas of the Cooper Basin (16,200 km</w:t>
      </w:r>
      <w:r w:rsidRPr="006B07A3">
        <w:rPr>
          <w:rStyle w:val="Superscript"/>
        </w:rPr>
        <w:t>2</w:t>
      </w:r>
      <w:r>
        <w:t>), Mount Isa Province (6</w:t>
      </w:r>
      <w:r w:rsidR="00FF6923">
        <w:t>,</w:t>
      </w:r>
      <w:r>
        <w:t>300 km</w:t>
      </w:r>
      <w:r w:rsidRPr="006B07A3">
        <w:rPr>
          <w:rStyle w:val="Superscript"/>
        </w:rPr>
        <w:t>2</w:t>
      </w:r>
      <w:r>
        <w:t>) and McArthur Basin (5</w:t>
      </w:r>
      <w:r w:rsidR="00FF6923">
        <w:t>,</w:t>
      </w:r>
      <w:r>
        <w:t>400 km</w:t>
      </w:r>
      <w:r w:rsidRPr="006B07A3">
        <w:rPr>
          <w:rStyle w:val="Superscript"/>
        </w:rPr>
        <w:t>2</w:t>
      </w:r>
      <w:r>
        <w:t xml:space="preserve">) contain </w:t>
      </w:r>
      <w:r w:rsidR="00DA6F0F">
        <w:t>environmentally significant</w:t>
      </w:r>
      <w:r>
        <w:t xml:space="preserve"> wetlands. </w:t>
      </w:r>
    </w:p>
    <w:p w14:paraId="223BCCCA" w14:textId="1DE6B92B" w:rsidR="000A09E4" w:rsidRDefault="000A09E4" w:rsidP="000A09E4">
      <w:pPr>
        <w:pStyle w:val="BodyText"/>
      </w:pPr>
      <w:r>
        <w:t>The population within the basin assessed varied by four orders of magnitude, from 1,000,400 within the Clarence-Moreton Basin to 400 within Cooper Basin</w:t>
      </w:r>
      <w:r w:rsidR="00240E1E">
        <w:t xml:space="preserve"> (ABS, 2016)</w:t>
      </w:r>
      <w:r>
        <w:t>.</w:t>
      </w:r>
    </w:p>
    <w:p w14:paraId="223BCCCB" w14:textId="77777777" w:rsidR="00174635" w:rsidRPr="00A770BF" w:rsidRDefault="00D07024" w:rsidP="00174635">
      <w:pPr>
        <w:pStyle w:val="BodyText"/>
        <w:rPr>
          <w:rStyle w:val="Bold"/>
        </w:rPr>
      </w:pPr>
      <w:r>
        <w:rPr>
          <w:rStyle w:val="Bold"/>
        </w:rPr>
        <w:t>Outcomes</w:t>
      </w:r>
    </w:p>
    <w:p w14:paraId="223BCCCC" w14:textId="77777777" w:rsidR="00174635" w:rsidRPr="00A770BF" w:rsidRDefault="00174635" w:rsidP="00174635">
      <w:pPr>
        <w:pStyle w:val="BodyText"/>
        <w:rPr>
          <w:rStyle w:val="Italic"/>
        </w:rPr>
      </w:pPr>
      <w:r w:rsidRPr="00A770BF">
        <w:rPr>
          <w:rStyle w:val="Italic"/>
        </w:rPr>
        <w:t>Basin geology, prospectivity, market access and regulatory environment</w:t>
      </w:r>
    </w:p>
    <w:p w14:paraId="223BCCCD" w14:textId="297177E9" w:rsidR="00174635" w:rsidRPr="00D70EB0" w:rsidRDefault="00174635" w:rsidP="00174635">
      <w:pPr>
        <w:pStyle w:val="BodyText"/>
      </w:pPr>
      <w:r w:rsidRPr="00D70EB0">
        <w:t xml:space="preserve">Basins most likely to </w:t>
      </w:r>
      <w:r w:rsidR="003E74F8">
        <w:t>deliver</w:t>
      </w:r>
      <w:r w:rsidR="003E74F8" w:rsidRPr="00D70EB0">
        <w:t xml:space="preserve"> </w:t>
      </w:r>
      <w:r w:rsidRPr="00D70EB0">
        <w:t>new shale and</w:t>
      </w:r>
      <w:r w:rsidR="00D11B34">
        <w:t>/or</w:t>
      </w:r>
      <w:r w:rsidRPr="00D70EB0">
        <w:t xml:space="preserve"> tight gas resources to </w:t>
      </w:r>
      <w:r w:rsidR="005F68F5">
        <w:t>market</w:t>
      </w:r>
      <w:r w:rsidR="00432D5D" w:rsidRPr="00F7701F">
        <w:t xml:space="preserve"> </w:t>
      </w:r>
      <w:r w:rsidRPr="00D70EB0">
        <w:t>within five to ten years need to match the following criteria:</w:t>
      </w:r>
    </w:p>
    <w:p w14:paraId="223BCCCE" w14:textId="7CABC006" w:rsidR="00174635" w:rsidRPr="003B1A79" w:rsidRDefault="00174635" w:rsidP="003B1A79">
      <w:pPr>
        <w:pStyle w:val="ListBullet"/>
      </w:pPr>
      <w:r w:rsidRPr="003B1A79">
        <w:lastRenderedPageBreak/>
        <w:t>high prospectivity for shale/ tight gas resources</w:t>
      </w:r>
      <w:r w:rsidR="005F68F5">
        <w:t>, and;</w:t>
      </w:r>
    </w:p>
    <w:p w14:paraId="223BCCD0" w14:textId="24E4E357" w:rsidR="00174635" w:rsidRPr="003B1A79" w:rsidRDefault="00174635" w:rsidP="005F68F5">
      <w:pPr>
        <w:pStyle w:val="ListBullet"/>
      </w:pPr>
      <w:r w:rsidRPr="003B1A79">
        <w:t xml:space="preserve">moderate to high confidence </w:t>
      </w:r>
      <w:r w:rsidR="000C22F9" w:rsidRPr="003B1A79">
        <w:t>i</w:t>
      </w:r>
      <w:r w:rsidR="000C22F9">
        <w:t>s</w:t>
      </w:r>
      <w:r w:rsidR="000C22F9" w:rsidRPr="003B1A79">
        <w:t xml:space="preserve"> </w:t>
      </w:r>
      <w:r w:rsidR="00D968C1">
        <w:t>due to the</w:t>
      </w:r>
      <w:r w:rsidRPr="003B1A79">
        <w:t xml:space="preserve"> level of data collected/ exploration status</w:t>
      </w:r>
      <w:r w:rsidR="005F68F5">
        <w:t>.</w:t>
      </w:r>
    </w:p>
    <w:p w14:paraId="3016F6BD" w14:textId="63F294B2" w:rsidR="003B1A79" w:rsidRDefault="003B1A79" w:rsidP="00174635">
      <w:pPr>
        <w:pStyle w:val="BodyText"/>
      </w:pPr>
      <w:r>
        <w:t>The</w:t>
      </w:r>
      <w:r w:rsidR="00174635" w:rsidRPr="00D70EB0">
        <w:t xml:space="preserve"> </w:t>
      </w:r>
      <w:r>
        <w:t xml:space="preserve">Amadeus, Bowen, </w:t>
      </w:r>
      <w:r w:rsidR="00174635" w:rsidRPr="00D70EB0">
        <w:t>Cooper</w:t>
      </w:r>
      <w:r w:rsidR="003209A7">
        <w:t xml:space="preserve">, </w:t>
      </w:r>
      <w:r w:rsidR="00174635" w:rsidRPr="00D70EB0">
        <w:t xml:space="preserve">Otway </w:t>
      </w:r>
      <w:r w:rsidR="003209A7">
        <w:t>and McArthur b</w:t>
      </w:r>
      <w:r w:rsidR="00174635" w:rsidRPr="00D70EB0">
        <w:t>asin</w:t>
      </w:r>
      <w:r w:rsidR="003209A7">
        <w:t>s</w:t>
      </w:r>
      <w:r w:rsidR="00174635">
        <w:t xml:space="preserve">, </w:t>
      </w:r>
      <w:r>
        <w:t>and Isa Superbasin</w:t>
      </w:r>
      <w:r w:rsidR="003209A7">
        <w:t>,</w:t>
      </w:r>
      <w:r>
        <w:t xml:space="preserve"> </w:t>
      </w:r>
      <w:r w:rsidR="00174635">
        <w:t xml:space="preserve">meet </w:t>
      </w:r>
      <w:r>
        <w:t xml:space="preserve">the above </w:t>
      </w:r>
      <w:r w:rsidR="00D07024">
        <w:t xml:space="preserve">prioritisation </w:t>
      </w:r>
      <w:r w:rsidR="00174635">
        <w:t xml:space="preserve">criteria. </w:t>
      </w:r>
      <w:r w:rsidR="003209A7">
        <w:t>The</w:t>
      </w:r>
      <w:r>
        <w:t xml:space="preserve"> relatively small prospective area</w:t>
      </w:r>
      <w:r w:rsidR="0079523D">
        <w:t>s</w:t>
      </w:r>
      <w:r>
        <w:t xml:space="preserve"> of the Gippsland and Clarence-Moreton basins, and the poor exploration s</w:t>
      </w:r>
      <w:r w:rsidR="003209A7">
        <w:t>uccesses in the Georgina Basin, mean these basins fail to meet the prospectivity criteria.</w:t>
      </w:r>
    </w:p>
    <w:p w14:paraId="7825C041" w14:textId="0F98E1B3" w:rsidR="003B1A79" w:rsidRPr="003B1A79" w:rsidRDefault="003B1A79" w:rsidP="005E0FA1">
      <w:pPr>
        <w:pStyle w:val="ListBullet"/>
        <w:numPr>
          <w:ilvl w:val="0"/>
          <w:numId w:val="0"/>
        </w:numPr>
      </w:pPr>
      <w:r w:rsidRPr="00EC159E">
        <w:t xml:space="preserve">Regulatory constraints, such as exploration or hydraulic fracturing moratoria, may prevent or significantly impede onshore gas exploration and development. </w:t>
      </w:r>
      <w:r w:rsidR="003209A7" w:rsidRPr="00EC159E">
        <w:t xml:space="preserve">Of the top ranked prospectivity basins, the </w:t>
      </w:r>
      <w:r w:rsidRPr="00EC159E">
        <w:t>Cooper and Bowen basins remain unaffected by current restrictions; along with the majority of the prospective area of the Isa Superbasin</w:t>
      </w:r>
      <w:r w:rsidR="0079523D" w:rsidRPr="00EC159E">
        <w:t xml:space="preserve"> (located in Queensland</w:t>
      </w:r>
      <w:r w:rsidR="005E1B62" w:rsidRPr="00EC159E">
        <w:t>)</w:t>
      </w:r>
      <w:r w:rsidR="00CC0285" w:rsidRPr="00EC159E">
        <w:t>.</w:t>
      </w:r>
      <w:r w:rsidR="005E1B62" w:rsidRPr="00EC159E">
        <w:t xml:space="preserve"> </w:t>
      </w:r>
      <w:r w:rsidR="009A3622" w:rsidRPr="00EC159E">
        <w:t>In April 201</w:t>
      </w:r>
      <w:r w:rsidR="00E7153F" w:rsidRPr="00EC159E">
        <w:t>8</w:t>
      </w:r>
      <w:r w:rsidR="009A3622" w:rsidRPr="00EC159E">
        <w:t xml:space="preserve"> </w:t>
      </w:r>
      <w:r w:rsidR="003209A7" w:rsidRPr="00EC159E">
        <w:t xml:space="preserve">the </w:t>
      </w:r>
      <w:r w:rsidR="00B4500F" w:rsidRPr="00EC159E">
        <w:t xml:space="preserve">Northern Territory </w:t>
      </w:r>
      <w:r w:rsidR="009A3622" w:rsidRPr="00EC159E">
        <w:t xml:space="preserve">Government </w:t>
      </w:r>
      <w:r w:rsidR="00C94EE9" w:rsidRPr="00EC159E">
        <w:t>lifted</w:t>
      </w:r>
      <w:r w:rsidR="009A3622" w:rsidRPr="00EC159E">
        <w:t xml:space="preserve"> the moratorium on </w:t>
      </w:r>
      <w:r w:rsidR="00B4500F" w:rsidRPr="00EC159E">
        <w:t xml:space="preserve">hydraulic fracturing </w:t>
      </w:r>
      <w:r w:rsidR="00C94EE9" w:rsidRPr="00EC159E">
        <w:t xml:space="preserve">for 51% of </w:t>
      </w:r>
      <w:r w:rsidR="00B4500F" w:rsidRPr="00EC159E">
        <w:t>the Northern Territory</w:t>
      </w:r>
      <w:r w:rsidR="00CC0285" w:rsidRPr="00EC159E">
        <w:t>.</w:t>
      </w:r>
      <w:r w:rsidR="005E1B62" w:rsidRPr="00EC159E">
        <w:t xml:space="preserve"> </w:t>
      </w:r>
      <w:r w:rsidR="00B4500F" w:rsidRPr="00EC159E">
        <w:t xml:space="preserve">The </w:t>
      </w:r>
      <w:r w:rsidRPr="00EC159E">
        <w:t xml:space="preserve">Otway </w:t>
      </w:r>
      <w:r w:rsidR="009A3622" w:rsidRPr="00EC159E">
        <w:t xml:space="preserve">basin is impacted by moratorium on hydraulic fracturing in the south-east </w:t>
      </w:r>
      <w:r w:rsidR="00E7153F" w:rsidRPr="00EC159E">
        <w:t xml:space="preserve">of South Australia </w:t>
      </w:r>
      <w:r w:rsidR="009A3622" w:rsidRPr="00EC159E">
        <w:t>and the on-going ban on hydraulic fracturing in Victoria, which also impacts the G</w:t>
      </w:r>
      <w:r w:rsidRPr="00EC159E">
        <w:t xml:space="preserve">ippsland </w:t>
      </w:r>
      <w:r w:rsidR="003209A7" w:rsidRPr="00EC159E">
        <w:t>b</w:t>
      </w:r>
      <w:r w:rsidRPr="00EC159E">
        <w:t>asin</w:t>
      </w:r>
      <w:r w:rsidR="009A3622" w:rsidRPr="00EC159E">
        <w:t>.</w:t>
      </w:r>
      <w:r w:rsidR="009A3622">
        <w:t xml:space="preserve"> </w:t>
      </w:r>
    </w:p>
    <w:p w14:paraId="223BCCD3" w14:textId="77777777" w:rsidR="00174635" w:rsidRPr="00A770BF" w:rsidRDefault="00174635" w:rsidP="00174635">
      <w:pPr>
        <w:pStyle w:val="BodyText"/>
        <w:rPr>
          <w:rStyle w:val="Italic"/>
        </w:rPr>
      </w:pPr>
      <w:r w:rsidRPr="00A770BF">
        <w:rPr>
          <w:rStyle w:val="Italic"/>
        </w:rPr>
        <w:t>Groundwater, surface water, environ</w:t>
      </w:r>
      <w:r w:rsidR="00A13D76">
        <w:rPr>
          <w:rStyle w:val="Italic"/>
        </w:rPr>
        <w:t>mental and social considerations</w:t>
      </w:r>
    </w:p>
    <w:p w14:paraId="223BCCD4" w14:textId="35F02B0A" w:rsidR="000A09E4" w:rsidRPr="009851EC" w:rsidRDefault="000A09E4" w:rsidP="000A09E4">
      <w:pPr>
        <w:pStyle w:val="BodyText"/>
      </w:pPr>
      <w:r w:rsidRPr="009851EC">
        <w:t xml:space="preserve">No prioritisation was undertaken with regard to groundwater, surface water, environmental and social considerations, as this requires subjective values to </w:t>
      </w:r>
      <w:r w:rsidRPr="009851EC">
        <w:lastRenderedPageBreak/>
        <w:t>be placed on items that have a diverse range of values attached to them across the community</w:t>
      </w:r>
      <w:r w:rsidR="00DA6F0F">
        <w:t xml:space="preserve"> </w:t>
      </w:r>
      <w:r w:rsidR="00DA6F0F" w:rsidRPr="009851EC">
        <w:t>(e</w:t>
      </w:r>
      <w:r w:rsidR="00DA6F0F">
        <w:t>.</w:t>
      </w:r>
      <w:r w:rsidR="00DA6F0F" w:rsidRPr="009851EC">
        <w:t>g. National Parks, existing groundwater use</w:t>
      </w:r>
      <w:r w:rsidR="005E1B62">
        <w:t>)</w:t>
      </w:r>
      <w:r w:rsidR="005A3B36">
        <w:t>.</w:t>
      </w:r>
      <w:r w:rsidR="005E1B62">
        <w:t xml:space="preserve"> </w:t>
      </w:r>
    </w:p>
    <w:p w14:paraId="223BCCD5" w14:textId="6A486493" w:rsidR="000A09E4" w:rsidRPr="009851EC" w:rsidRDefault="000A09E4" w:rsidP="000A09E4">
      <w:pPr>
        <w:pStyle w:val="BodyText"/>
      </w:pPr>
      <w:r w:rsidRPr="009851EC">
        <w:t xml:space="preserve">The national-scale data used in this assessment show that all basins, to greater or lesser degrees, have aquifers capable of supplying groundwater of varying quality. However, local and regional variations </w:t>
      </w:r>
      <w:r w:rsidR="007A66BA">
        <w:t>d</w:t>
      </w:r>
      <w:r w:rsidR="007A66BA" w:rsidRPr="009851EC">
        <w:t xml:space="preserve">o </w:t>
      </w:r>
      <w:r w:rsidRPr="009851EC">
        <w:t xml:space="preserve">this exist. The level of hydrogeological information </w:t>
      </w:r>
      <w:r w:rsidR="004079EA">
        <w:t xml:space="preserve">– including groundwater systems understanding, groundwater quality, groundwater flow, and groundwater planning and use – </w:t>
      </w:r>
      <w:r w:rsidRPr="009851EC">
        <w:t>varie</w:t>
      </w:r>
      <w:r w:rsidR="008A48BE">
        <w:t>s</w:t>
      </w:r>
      <w:r w:rsidRPr="009851EC">
        <w:t xml:space="preserve"> widely between individual basins assessed</w:t>
      </w:r>
      <w:r w:rsidR="00DA6F0F">
        <w:t>.</w:t>
      </w:r>
      <w:r w:rsidRPr="009851EC">
        <w:t xml:space="preserve"> </w:t>
      </w:r>
      <w:r w:rsidR="00DA6F0F">
        <w:t xml:space="preserve">Furthermore, hydrogeological understanding </w:t>
      </w:r>
      <w:r w:rsidRPr="009851EC">
        <w:t>decrease</w:t>
      </w:r>
      <w:r w:rsidR="008A48BE">
        <w:t>s</w:t>
      </w:r>
      <w:r w:rsidRPr="009851EC">
        <w:t xml:space="preserve"> with depth.</w:t>
      </w:r>
    </w:p>
    <w:p w14:paraId="223BCCD7" w14:textId="77777777" w:rsidR="000A09E4" w:rsidRPr="009851EC" w:rsidRDefault="000A09E4" w:rsidP="000A09E4">
      <w:pPr>
        <w:pStyle w:val="BodyText"/>
      </w:pPr>
      <w:r w:rsidRPr="009851EC">
        <w:t>The spatial distribution of other social and environmental factors show</w:t>
      </w:r>
      <w:r w:rsidR="00E10728">
        <w:t>s</w:t>
      </w:r>
      <w:r w:rsidRPr="009851EC">
        <w:t xml:space="preserve"> a high level of variation between basins, which should be considered when selecting basins for Stage 2.</w:t>
      </w:r>
    </w:p>
    <w:p w14:paraId="223BCCE7" w14:textId="77777777" w:rsidR="00174635" w:rsidRDefault="00174635" w:rsidP="0070099A">
      <w:pPr>
        <w:pStyle w:val="BodyText"/>
      </w:pPr>
    </w:p>
    <w:p w14:paraId="223BCCE8" w14:textId="77777777" w:rsidR="000A0567" w:rsidRPr="0070099A" w:rsidRDefault="000A0567" w:rsidP="0070099A">
      <w:pPr>
        <w:pStyle w:val="BodyText"/>
        <w:sectPr w:rsidR="000A0567" w:rsidRPr="0070099A" w:rsidSect="00EB07BB">
          <w:footerReference w:type="even" r:id="rId27"/>
          <w:footerReference w:type="default" r:id="rId28"/>
          <w:footerReference w:type="first" r:id="rId29"/>
          <w:pgSz w:w="11906" w:h="16838" w:code="9"/>
          <w:pgMar w:top="1077" w:right="1134" w:bottom="709" w:left="1134" w:header="510" w:footer="794" w:gutter="0"/>
          <w:pgNumType w:fmt="lowerRoman" w:start="1"/>
          <w:cols w:space="284"/>
          <w:titlePg/>
          <w:docGrid w:linePitch="360"/>
        </w:sectPr>
      </w:pPr>
    </w:p>
    <w:p w14:paraId="7B4E71D3" w14:textId="77777777" w:rsidR="009D2BF2" w:rsidRDefault="009D2BF2" w:rsidP="00FE2FF7">
      <w:pPr>
        <w:pStyle w:val="TOCHeading"/>
      </w:pPr>
    </w:p>
    <w:p w14:paraId="21AFCFC2" w14:textId="77777777" w:rsidR="009D2BF2" w:rsidRDefault="009D2BF2">
      <w:pPr>
        <w:spacing w:after="180"/>
        <w:rPr>
          <w:rFonts w:asciiTheme="majorHAnsi" w:eastAsia="Times New Roman" w:hAnsiTheme="majorHAnsi"/>
          <w:b/>
          <w:color w:val="146692" w:themeColor="text2"/>
          <w:sz w:val="44"/>
          <w:szCs w:val="72"/>
        </w:rPr>
      </w:pPr>
      <w:r>
        <w:br w:type="page"/>
      </w:r>
    </w:p>
    <w:p w14:paraId="223BCCE9" w14:textId="0B71A411" w:rsidR="00A943B2" w:rsidRDefault="00A943B2" w:rsidP="00FE2FF7">
      <w:pPr>
        <w:pStyle w:val="TOCHeading"/>
      </w:pPr>
      <w:r w:rsidRPr="007A56F9">
        <w:lastRenderedPageBreak/>
        <w:t>Contents</w:t>
      </w:r>
    </w:p>
    <w:p w14:paraId="791F6462" w14:textId="77777777" w:rsidR="009D2BF2" w:rsidRDefault="003450C4">
      <w:pPr>
        <w:pStyle w:val="TOC1"/>
        <w:rPr>
          <w:rFonts w:asciiTheme="minorHAnsi" w:eastAsiaTheme="minorEastAsia" w:hAnsiTheme="minorHAnsi" w:cstheme="minorBidi"/>
          <w:b w:val="0"/>
          <w:color w:val="auto"/>
          <w:sz w:val="22"/>
          <w:szCs w:val="22"/>
        </w:rPr>
      </w:pPr>
      <w:r>
        <w:fldChar w:fldCharType="begin"/>
      </w:r>
      <w:r>
        <w:instrText xml:space="preserve"> TOC \o "2-3" \h \z \t "Heading 1,1,Heading 9,1,Heading 1 not numbered,1" </w:instrText>
      </w:r>
      <w:r>
        <w:fldChar w:fldCharType="separate"/>
      </w:r>
      <w:hyperlink w:anchor="_Toc517101396" w:history="1">
        <w:r w:rsidR="009D2BF2" w:rsidRPr="00124A2E">
          <w:rPr>
            <w:rStyle w:val="Hyperlink"/>
          </w:rPr>
          <w:t>Executive summary</w:t>
        </w:r>
        <w:r w:rsidR="009D2BF2">
          <w:rPr>
            <w:webHidden/>
          </w:rPr>
          <w:tab/>
        </w:r>
        <w:r w:rsidR="009D2BF2">
          <w:rPr>
            <w:webHidden/>
          </w:rPr>
          <w:fldChar w:fldCharType="begin"/>
        </w:r>
        <w:r w:rsidR="009D2BF2">
          <w:rPr>
            <w:webHidden/>
          </w:rPr>
          <w:instrText xml:space="preserve"> PAGEREF _Toc517101396 \h </w:instrText>
        </w:r>
        <w:r w:rsidR="009D2BF2">
          <w:rPr>
            <w:webHidden/>
          </w:rPr>
        </w:r>
        <w:r w:rsidR="009D2BF2">
          <w:rPr>
            <w:webHidden/>
          </w:rPr>
          <w:fldChar w:fldCharType="separate"/>
        </w:r>
        <w:r w:rsidR="004A16F5">
          <w:rPr>
            <w:webHidden/>
          </w:rPr>
          <w:t>iii</w:t>
        </w:r>
        <w:r w:rsidR="009D2BF2">
          <w:rPr>
            <w:webHidden/>
          </w:rPr>
          <w:fldChar w:fldCharType="end"/>
        </w:r>
      </w:hyperlink>
    </w:p>
    <w:p w14:paraId="445AFDBC" w14:textId="77777777" w:rsidR="009D2BF2" w:rsidRDefault="00A3211E">
      <w:pPr>
        <w:pStyle w:val="TOC1"/>
        <w:rPr>
          <w:rFonts w:asciiTheme="minorHAnsi" w:eastAsiaTheme="minorEastAsia" w:hAnsiTheme="minorHAnsi" w:cstheme="minorBidi"/>
          <w:b w:val="0"/>
          <w:color w:val="auto"/>
          <w:sz w:val="22"/>
          <w:szCs w:val="22"/>
        </w:rPr>
      </w:pPr>
      <w:hyperlink w:anchor="_Toc517101397" w:history="1">
        <w:r w:rsidR="009D2BF2" w:rsidRPr="00124A2E">
          <w:rPr>
            <w:rStyle w:val="Hyperlink"/>
          </w:rPr>
          <w:t>Contributors to the Technical Program</w:t>
        </w:r>
        <w:r w:rsidR="009D2BF2">
          <w:rPr>
            <w:webHidden/>
          </w:rPr>
          <w:tab/>
        </w:r>
        <w:r w:rsidR="009D2BF2">
          <w:rPr>
            <w:webHidden/>
          </w:rPr>
          <w:fldChar w:fldCharType="begin"/>
        </w:r>
        <w:r w:rsidR="009D2BF2">
          <w:rPr>
            <w:webHidden/>
          </w:rPr>
          <w:instrText xml:space="preserve"> PAGEREF _Toc517101397 \h </w:instrText>
        </w:r>
        <w:r w:rsidR="009D2BF2">
          <w:rPr>
            <w:webHidden/>
          </w:rPr>
        </w:r>
        <w:r w:rsidR="009D2BF2">
          <w:rPr>
            <w:webHidden/>
          </w:rPr>
          <w:fldChar w:fldCharType="separate"/>
        </w:r>
        <w:r w:rsidR="004A16F5">
          <w:rPr>
            <w:webHidden/>
          </w:rPr>
          <w:t>6</w:t>
        </w:r>
        <w:r w:rsidR="009D2BF2">
          <w:rPr>
            <w:webHidden/>
          </w:rPr>
          <w:fldChar w:fldCharType="end"/>
        </w:r>
      </w:hyperlink>
    </w:p>
    <w:p w14:paraId="71C4F221" w14:textId="77777777" w:rsidR="009D2BF2" w:rsidRDefault="00A3211E">
      <w:pPr>
        <w:pStyle w:val="TOC1"/>
        <w:rPr>
          <w:rFonts w:asciiTheme="minorHAnsi" w:eastAsiaTheme="minorEastAsia" w:hAnsiTheme="minorHAnsi" w:cstheme="minorBidi"/>
          <w:b w:val="0"/>
          <w:color w:val="auto"/>
          <w:sz w:val="22"/>
          <w:szCs w:val="22"/>
        </w:rPr>
      </w:pPr>
      <w:hyperlink w:anchor="_Toc517101398" w:history="1">
        <w:r w:rsidR="009D2BF2" w:rsidRPr="00124A2E">
          <w:rPr>
            <w:rStyle w:val="Hyperlink"/>
          </w:rPr>
          <w:t>Acknowledgements</w:t>
        </w:r>
        <w:r w:rsidR="009D2BF2">
          <w:rPr>
            <w:webHidden/>
          </w:rPr>
          <w:tab/>
        </w:r>
        <w:r w:rsidR="009D2BF2">
          <w:rPr>
            <w:webHidden/>
          </w:rPr>
          <w:fldChar w:fldCharType="begin"/>
        </w:r>
        <w:r w:rsidR="009D2BF2">
          <w:rPr>
            <w:webHidden/>
          </w:rPr>
          <w:instrText xml:space="preserve"> PAGEREF _Toc517101398 \h </w:instrText>
        </w:r>
        <w:r w:rsidR="009D2BF2">
          <w:rPr>
            <w:webHidden/>
          </w:rPr>
        </w:r>
        <w:r w:rsidR="009D2BF2">
          <w:rPr>
            <w:webHidden/>
          </w:rPr>
          <w:fldChar w:fldCharType="separate"/>
        </w:r>
        <w:r w:rsidR="004A16F5">
          <w:rPr>
            <w:webHidden/>
          </w:rPr>
          <w:t>7</w:t>
        </w:r>
        <w:r w:rsidR="009D2BF2">
          <w:rPr>
            <w:webHidden/>
          </w:rPr>
          <w:fldChar w:fldCharType="end"/>
        </w:r>
      </w:hyperlink>
    </w:p>
    <w:p w14:paraId="2B89DE37" w14:textId="77777777" w:rsidR="009D2BF2" w:rsidRDefault="00A3211E">
      <w:pPr>
        <w:pStyle w:val="TOC1"/>
        <w:rPr>
          <w:rFonts w:asciiTheme="minorHAnsi" w:eastAsiaTheme="minorEastAsia" w:hAnsiTheme="minorHAnsi" w:cstheme="minorBidi"/>
          <w:b w:val="0"/>
          <w:color w:val="auto"/>
          <w:sz w:val="22"/>
          <w:szCs w:val="22"/>
        </w:rPr>
      </w:pPr>
      <w:hyperlink w:anchor="_Toc517101399" w:history="1">
        <w:r w:rsidR="009D2BF2" w:rsidRPr="00124A2E">
          <w:rPr>
            <w:rStyle w:val="Hyperlink"/>
          </w:rPr>
          <w:t>Rapid regional basin prioritisation</w:t>
        </w:r>
        <w:r w:rsidR="009D2BF2">
          <w:rPr>
            <w:webHidden/>
          </w:rPr>
          <w:tab/>
        </w:r>
        <w:r w:rsidR="009D2BF2">
          <w:rPr>
            <w:webHidden/>
          </w:rPr>
          <w:fldChar w:fldCharType="begin"/>
        </w:r>
        <w:r w:rsidR="009D2BF2">
          <w:rPr>
            <w:webHidden/>
          </w:rPr>
          <w:instrText xml:space="preserve"> PAGEREF _Toc517101399 \h </w:instrText>
        </w:r>
        <w:r w:rsidR="009D2BF2">
          <w:rPr>
            <w:webHidden/>
          </w:rPr>
        </w:r>
        <w:r w:rsidR="009D2BF2">
          <w:rPr>
            <w:webHidden/>
          </w:rPr>
          <w:fldChar w:fldCharType="separate"/>
        </w:r>
        <w:r w:rsidR="004A16F5">
          <w:rPr>
            <w:webHidden/>
          </w:rPr>
          <w:t>9</w:t>
        </w:r>
        <w:r w:rsidR="009D2BF2">
          <w:rPr>
            <w:webHidden/>
          </w:rPr>
          <w:fldChar w:fldCharType="end"/>
        </w:r>
      </w:hyperlink>
    </w:p>
    <w:p w14:paraId="631EB221" w14:textId="77777777" w:rsidR="009D2BF2" w:rsidRDefault="00A3211E">
      <w:pPr>
        <w:pStyle w:val="TOC1"/>
        <w:rPr>
          <w:rFonts w:asciiTheme="minorHAnsi" w:eastAsiaTheme="minorEastAsia" w:hAnsiTheme="minorHAnsi" w:cstheme="minorBidi"/>
          <w:b w:val="0"/>
          <w:color w:val="auto"/>
          <w:sz w:val="22"/>
          <w:szCs w:val="22"/>
        </w:rPr>
      </w:pPr>
      <w:hyperlink w:anchor="_Toc517101400" w:history="1">
        <w:r w:rsidR="009D2BF2" w:rsidRPr="00124A2E">
          <w:rPr>
            <w:rStyle w:val="Hyperlink"/>
          </w:rPr>
          <w:t>1</w:t>
        </w:r>
        <w:r w:rsidR="009D2BF2">
          <w:rPr>
            <w:rFonts w:asciiTheme="minorHAnsi" w:eastAsiaTheme="minorEastAsia" w:hAnsiTheme="minorHAnsi" w:cstheme="minorBidi"/>
            <w:b w:val="0"/>
            <w:color w:val="auto"/>
            <w:sz w:val="22"/>
            <w:szCs w:val="22"/>
          </w:rPr>
          <w:tab/>
        </w:r>
        <w:r w:rsidR="009D2BF2" w:rsidRPr="00124A2E">
          <w:rPr>
            <w:rStyle w:val="Hyperlink"/>
          </w:rPr>
          <w:t>Introduction</w:t>
        </w:r>
        <w:r w:rsidR="009D2BF2">
          <w:rPr>
            <w:webHidden/>
          </w:rPr>
          <w:tab/>
        </w:r>
        <w:r w:rsidR="009D2BF2">
          <w:rPr>
            <w:webHidden/>
          </w:rPr>
          <w:fldChar w:fldCharType="begin"/>
        </w:r>
        <w:r w:rsidR="009D2BF2">
          <w:rPr>
            <w:webHidden/>
          </w:rPr>
          <w:instrText xml:space="preserve"> PAGEREF _Toc517101400 \h </w:instrText>
        </w:r>
        <w:r w:rsidR="009D2BF2">
          <w:rPr>
            <w:webHidden/>
          </w:rPr>
        </w:r>
        <w:r w:rsidR="009D2BF2">
          <w:rPr>
            <w:webHidden/>
          </w:rPr>
          <w:fldChar w:fldCharType="separate"/>
        </w:r>
        <w:r w:rsidR="004A16F5">
          <w:rPr>
            <w:webHidden/>
          </w:rPr>
          <w:t>11</w:t>
        </w:r>
        <w:r w:rsidR="009D2BF2">
          <w:rPr>
            <w:webHidden/>
          </w:rPr>
          <w:fldChar w:fldCharType="end"/>
        </w:r>
      </w:hyperlink>
    </w:p>
    <w:p w14:paraId="2BA48723" w14:textId="77777777" w:rsidR="009D2BF2" w:rsidRDefault="00A3211E">
      <w:pPr>
        <w:pStyle w:val="TOC1"/>
        <w:rPr>
          <w:rFonts w:asciiTheme="minorHAnsi" w:eastAsiaTheme="minorEastAsia" w:hAnsiTheme="minorHAnsi" w:cstheme="minorBidi"/>
          <w:b w:val="0"/>
          <w:color w:val="auto"/>
          <w:sz w:val="22"/>
          <w:szCs w:val="22"/>
        </w:rPr>
      </w:pPr>
      <w:hyperlink w:anchor="_Toc517101401" w:history="1">
        <w:r w:rsidR="009D2BF2" w:rsidRPr="00124A2E">
          <w:rPr>
            <w:rStyle w:val="Hyperlink"/>
          </w:rPr>
          <w:t>2</w:t>
        </w:r>
        <w:r w:rsidR="009D2BF2">
          <w:rPr>
            <w:rFonts w:asciiTheme="minorHAnsi" w:eastAsiaTheme="minorEastAsia" w:hAnsiTheme="minorHAnsi" w:cstheme="minorBidi"/>
            <w:b w:val="0"/>
            <w:color w:val="auto"/>
            <w:sz w:val="22"/>
            <w:szCs w:val="22"/>
          </w:rPr>
          <w:tab/>
        </w:r>
        <w:r w:rsidR="009D2BF2" w:rsidRPr="00124A2E">
          <w:rPr>
            <w:rStyle w:val="Hyperlink"/>
          </w:rPr>
          <w:t>Objective</w:t>
        </w:r>
        <w:r w:rsidR="009D2BF2">
          <w:rPr>
            <w:webHidden/>
          </w:rPr>
          <w:tab/>
        </w:r>
        <w:r w:rsidR="009D2BF2">
          <w:rPr>
            <w:webHidden/>
          </w:rPr>
          <w:fldChar w:fldCharType="begin"/>
        </w:r>
        <w:r w:rsidR="009D2BF2">
          <w:rPr>
            <w:webHidden/>
          </w:rPr>
          <w:instrText xml:space="preserve"> PAGEREF _Toc517101401 \h </w:instrText>
        </w:r>
        <w:r w:rsidR="009D2BF2">
          <w:rPr>
            <w:webHidden/>
          </w:rPr>
        </w:r>
        <w:r w:rsidR="009D2BF2">
          <w:rPr>
            <w:webHidden/>
          </w:rPr>
          <w:fldChar w:fldCharType="separate"/>
        </w:r>
        <w:r w:rsidR="004A16F5">
          <w:rPr>
            <w:webHidden/>
          </w:rPr>
          <w:t>13</w:t>
        </w:r>
        <w:r w:rsidR="009D2BF2">
          <w:rPr>
            <w:webHidden/>
          </w:rPr>
          <w:fldChar w:fldCharType="end"/>
        </w:r>
      </w:hyperlink>
    </w:p>
    <w:p w14:paraId="61E119D0" w14:textId="77777777" w:rsidR="009D2BF2" w:rsidRDefault="00A3211E">
      <w:pPr>
        <w:pStyle w:val="TOC1"/>
        <w:rPr>
          <w:rFonts w:asciiTheme="minorHAnsi" w:eastAsiaTheme="minorEastAsia" w:hAnsiTheme="minorHAnsi" w:cstheme="minorBidi"/>
          <w:b w:val="0"/>
          <w:color w:val="auto"/>
          <w:sz w:val="22"/>
          <w:szCs w:val="22"/>
        </w:rPr>
      </w:pPr>
      <w:hyperlink w:anchor="_Toc517101402" w:history="1">
        <w:r w:rsidR="009D2BF2" w:rsidRPr="00124A2E">
          <w:rPr>
            <w:rStyle w:val="Hyperlink"/>
          </w:rPr>
          <w:t>3</w:t>
        </w:r>
        <w:r w:rsidR="009D2BF2">
          <w:rPr>
            <w:rFonts w:asciiTheme="minorHAnsi" w:eastAsiaTheme="minorEastAsia" w:hAnsiTheme="minorHAnsi" w:cstheme="minorBidi"/>
            <w:b w:val="0"/>
            <w:color w:val="auto"/>
            <w:sz w:val="22"/>
            <w:szCs w:val="22"/>
          </w:rPr>
          <w:tab/>
        </w:r>
        <w:r w:rsidR="009D2BF2" w:rsidRPr="00124A2E">
          <w:rPr>
            <w:rStyle w:val="Hyperlink"/>
          </w:rPr>
          <w:t>Outline of rapid regional basin prioritisation methodology</w:t>
        </w:r>
        <w:r w:rsidR="009D2BF2">
          <w:rPr>
            <w:webHidden/>
          </w:rPr>
          <w:tab/>
        </w:r>
        <w:r w:rsidR="009D2BF2">
          <w:rPr>
            <w:webHidden/>
          </w:rPr>
          <w:fldChar w:fldCharType="begin"/>
        </w:r>
        <w:r w:rsidR="009D2BF2">
          <w:rPr>
            <w:webHidden/>
          </w:rPr>
          <w:instrText xml:space="preserve"> PAGEREF _Toc517101402 \h </w:instrText>
        </w:r>
        <w:r w:rsidR="009D2BF2">
          <w:rPr>
            <w:webHidden/>
          </w:rPr>
        </w:r>
        <w:r w:rsidR="009D2BF2">
          <w:rPr>
            <w:webHidden/>
          </w:rPr>
          <w:fldChar w:fldCharType="separate"/>
        </w:r>
        <w:r w:rsidR="004A16F5">
          <w:rPr>
            <w:webHidden/>
          </w:rPr>
          <w:t>15</w:t>
        </w:r>
        <w:r w:rsidR="009D2BF2">
          <w:rPr>
            <w:webHidden/>
          </w:rPr>
          <w:fldChar w:fldCharType="end"/>
        </w:r>
      </w:hyperlink>
    </w:p>
    <w:p w14:paraId="13A82113" w14:textId="77777777" w:rsidR="009D2BF2" w:rsidRDefault="00A3211E">
      <w:pPr>
        <w:pStyle w:val="TOC2"/>
        <w:rPr>
          <w:rFonts w:asciiTheme="minorHAnsi" w:eastAsiaTheme="minorEastAsia" w:hAnsiTheme="minorHAnsi" w:cstheme="minorBidi"/>
          <w:sz w:val="22"/>
          <w:szCs w:val="22"/>
        </w:rPr>
      </w:pPr>
      <w:hyperlink w:anchor="_Toc517101403" w:history="1">
        <w:r w:rsidR="009D2BF2" w:rsidRPr="00124A2E">
          <w:rPr>
            <w:rStyle w:val="Hyperlink"/>
          </w:rPr>
          <w:t>3.1</w:t>
        </w:r>
        <w:r w:rsidR="009D2BF2">
          <w:rPr>
            <w:rFonts w:asciiTheme="minorHAnsi" w:eastAsiaTheme="minorEastAsia" w:hAnsiTheme="minorHAnsi" w:cstheme="minorBidi"/>
            <w:sz w:val="22"/>
            <w:szCs w:val="22"/>
          </w:rPr>
          <w:tab/>
        </w:r>
        <w:r w:rsidR="009D2BF2" w:rsidRPr="00124A2E">
          <w:rPr>
            <w:rStyle w:val="Hyperlink"/>
          </w:rPr>
          <w:t>Basin shortlist</w:t>
        </w:r>
        <w:r w:rsidR="009D2BF2">
          <w:rPr>
            <w:webHidden/>
          </w:rPr>
          <w:tab/>
        </w:r>
        <w:r w:rsidR="009D2BF2">
          <w:rPr>
            <w:webHidden/>
          </w:rPr>
          <w:fldChar w:fldCharType="begin"/>
        </w:r>
        <w:r w:rsidR="009D2BF2">
          <w:rPr>
            <w:webHidden/>
          </w:rPr>
          <w:instrText xml:space="preserve"> PAGEREF _Toc517101403 \h </w:instrText>
        </w:r>
        <w:r w:rsidR="009D2BF2">
          <w:rPr>
            <w:webHidden/>
          </w:rPr>
        </w:r>
        <w:r w:rsidR="009D2BF2">
          <w:rPr>
            <w:webHidden/>
          </w:rPr>
          <w:fldChar w:fldCharType="separate"/>
        </w:r>
        <w:r w:rsidR="004A16F5">
          <w:rPr>
            <w:webHidden/>
          </w:rPr>
          <w:t>15</w:t>
        </w:r>
        <w:r w:rsidR="009D2BF2">
          <w:rPr>
            <w:webHidden/>
          </w:rPr>
          <w:fldChar w:fldCharType="end"/>
        </w:r>
      </w:hyperlink>
    </w:p>
    <w:p w14:paraId="34098795" w14:textId="77777777" w:rsidR="009D2BF2" w:rsidRDefault="00A3211E">
      <w:pPr>
        <w:pStyle w:val="TOC2"/>
        <w:rPr>
          <w:rFonts w:asciiTheme="minorHAnsi" w:eastAsiaTheme="minorEastAsia" w:hAnsiTheme="minorHAnsi" w:cstheme="minorBidi"/>
          <w:sz w:val="22"/>
          <w:szCs w:val="22"/>
        </w:rPr>
      </w:pPr>
      <w:hyperlink w:anchor="_Toc517101404" w:history="1">
        <w:r w:rsidR="009D2BF2" w:rsidRPr="00124A2E">
          <w:rPr>
            <w:rStyle w:val="Hyperlink"/>
          </w:rPr>
          <w:t>3.2</w:t>
        </w:r>
        <w:r w:rsidR="009D2BF2">
          <w:rPr>
            <w:rFonts w:asciiTheme="minorHAnsi" w:eastAsiaTheme="minorEastAsia" w:hAnsiTheme="minorHAnsi" w:cstheme="minorBidi"/>
            <w:sz w:val="22"/>
            <w:szCs w:val="22"/>
          </w:rPr>
          <w:tab/>
        </w:r>
        <w:r w:rsidR="009D2BF2" w:rsidRPr="00124A2E">
          <w:rPr>
            <w:rStyle w:val="Hyperlink"/>
          </w:rPr>
          <w:t>Data inventory</w:t>
        </w:r>
        <w:r w:rsidR="009D2BF2">
          <w:rPr>
            <w:webHidden/>
          </w:rPr>
          <w:tab/>
        </w:r>
        <w:r w:rsidR="009D2BF2">
          <w:rPr>
            <w:webHidden/>
          </w:rPr>
          <w:fldChar w:fldCharType="begin"/>
        </w:r>
        <w:r w:rsidR="009D2BF2">
          <w:rPr>
            <w:webHidden/>
          </w:rPr>
          <w:instrText xml:space="preserve"> PAGEREF _Toc517101404 \h </w:instrText>
        </w:r>
        <w:r w:rsidR="009D2BF2">
          <w:rPr>
            <w:webHidden/>
          </w:rPr>
        </w:r>
        <w:r w:rsidR="009D2BF2">
          <w:rPr>
            <w:webHidden/>
          </w:rPr>
          <w:fldChar w:fldCharType="separate"/>
        </w:r>
        <w:r w:rsidR="004A16F5">
          <w:rPr>
            <w:webHidden/>
          </w:rPr>
          <w:t>16</w:t>
        </w:r>
        <w:r w:rsidR="009D2BF2">
          <w:rPr>
            <w:webHidden/>
          </w:rPr>
          <w:fldChar w:fldCharType="end"/>
        </w:r>
      </w:hyperlink>
    </w:p>
    <w:p w14:paraId="6CA32303" w14:textId="77777777" w:rsidR="009D2BF2" w:rsidRDefault="00A3211E">
      <w:pPr>
        <w:pStyle w:val="TOC2"/>
        <w:rPr>
          <w:rFonts w:asciiTheme="minorHAnsi" w:eastAsiaTheme="minorEastAsia" w:hAnsiTheme="minorHAnsi" w:cstheme="minorBidi"/>
          <w:sz w:val="22"/>
          <w:szCs w:val="22"/>
        </w:rPr>
      </w:pPr>
      <w:hyperlink w:anchor="_Toc517101405" w:history="1">
        <w:r w:rsidR="009D2BF2" w:rsidRPr="00124A2E">
          <w:rPr>
            <w:rStyle w:val="Hyperlink"/>
          </w:rPr>
          <w:t>3.3</w:t>
        </w:r>
        <w:r w:rsidR="009D2BF2">
          <w:rPr>
            <w:rFonts w:asciiTheme="minorHAnsi" w:eastAsiaTheme="minorEastAsia" w:hAnsiTheme="minorHAnsi" w:cstheme="minorBidi"/>
            <w:sz w:val="22"/>
            <w:szCs w:val="22"/>
          </w:rPr>
          <w:tab/>
        </w:r>
        <w:r w:rsidR="009D2BF2" w:rsidRPr="00124A2E">
          <w:rPr>
            <w:rStyle w:val="Hyperlink"/>
          </w:rPr>
          <w:t>Audit of shortlisted basins</w:t>
        </w:r>
        <w:r w:rsidR="009D2BF2">
          <w:rPr>
            <w:webHidden/>
          </w:rPr>
          <w:tab/>
        </w:r>
        <w:r w:rsidR="009D2BF2">
          <w:rPr>
            <w:webHidden/>
          </w:rPr>
          <w:fldChar w:fldCharType="begin"/>
        </w:r>
        <w:r w:rsidR="009D2BF2">
          <w:rPr>
            <w:webHidden/>
          </w:rPr>
          <w:instrText xml:space="preserve"> PAGEREF _Toc517101405 \h </w:instrText>
        </w:r>
        <w:r w:rsidR="009D2BF2">
          <w:rPr>
            <w:webHidden/>
          </w:rPr>
        </w:r>
        <w:r w:rsidR="009D2BF2">
          <w:rPr>
            <w:webHidden/>
          </w:rPr>
          <w:fldChar w:fldCharType="separate"/>
        </w:r>
        <w:r w:rsidR="004A16F5">
          <w:rPr>
            <w:webHidden/>
          </w:rPr>
          <w:t>16</w:t>
        </w:r>
        <w:r w:rsidR="009D2BF2">
          <w:rPr>
            <w:webHidden/>
          </w:rPr>
          <w:fldChar w:fldCharType="end"/>
        </w:r>
      </w:hyperlink>
    </w:p>
    <w:p w14:paraId="498319A8" w14:textId="77777777" w:rsidR="009D2BF2" w:rsidRDefault="00A3211E">
      <w:pPr>
        <w:pStyle w:val="TOC2"/>
        <w:rPr>
          <w:rFonts w:asciiTheme="minorHAnsi" w:eastAsiaTheme="minorEastAsia" w:hAnsiTheme="minorHAnsi" w:cstheme="minorBidi"/>
          <w:sz w:val="22"/>
          <w:szCs w:val="22"/>
        </w:rPr>
      </w:pPr>
      <w:hyperlink w:anchor="_Toc517101406" w:history="1">
        <w:r w:rsidR="009D2BF2" w:rsidRPr="00124A2E">
          <w:rPr>
            <w:rStyle w:val="Hyperlink"/>
          </w:rPr>
          <w:t>3.4</w:t>
        </w:r>
        <w:r w:rsidR="009D2BF2">
          <w:rPr>
            <w:rFonts w:asciiTheme="minorHAnsi" w:eastAsiaTheme="minorEastAsia" w:hAnsiTheme="minorHAnsi" w:cstheme="minorBidi"/>
            <w:sz w:val="22"/>
            <w:szCs w:val="22"/>
          </w:rPr>
          <w:tab/>
        </w:r>
        <w:r w:rsidR="009D2BF2" w:rsidRPr="00124A2E">
          <w:rPr>
            <w:rStyle w:val="Hyperlink"/>
          </w:rPr>
          <w:t>Stakeholder engagement</w:t>
        </w:r>
        <w:r w:rsidR="009D2BF2">
          <w:rPr>
            <w:webHidden/>
          </w:rPr>
          <w:tab/>
        </w:r>
        <w:r w:rsidR="009D2BF2">
          <w:rPr>
            <w:webHidden/>
          </w:rPr>
          <w:fldChar w:fldCharType="begin"/>
        </w:r>
        <w:r w:rsidR="009D2BF2">
          <w:rPr>
            <w:webHidden/>
          </w:rPr>
          <w:instrText xml:space="preserve"> PAGEREF _Toc517101406 \h </w:instrText>
        </w:r>
        <w:r w:rsidR="009D2BF2">
          <w:rPr>
            <w:webHidden/>
          </w:rPr>
        </w:r>
        <w:r w:rsidR="009D2BF2">
          <w:rPr>
            <w:webHidden/>
          </w:rPr>
          <w:fldChar w:fldCharType="separate"/>
        </w:r>
        <w:r w:rsidR="004A16F5">
          <w:rPr>
            <w:webHidden/>
          </w:rPr>
          <w:t>17</w:t>
        </w:r>
        <w:r w:rsidR="009D2BF2">
          <w:rPr>
            <w:webHidden/>
          </w:rPr>
          <w:fldChar w:fldCharType="end"/>
        </w:r>
      </w:hyperlink>
    </w:p>
    <w:p w14:paraId="457C2DB4" w14:textId="77777777" w:rsidR="009D2BF2" w:rsidRDefault="00A3211E">
      <w:pPr>
        <w:pStyle w:val="TOC2"/>
        <w:rPr>
          <w:rFonts w:asciiTheme="minorHAnsi" w:eastAsiaTheme="minorEastAsia" w:hAnsiTheme="minorHAnsi" w:cstheme="minorBidi"/>
          <w:sz w:val="22"/>
          <w:szCs w:val="22"/>
        </w:rPr>
      </w:pPr>
      <w:hyperlink w:anchor="_Toc517101407" w:history="1">
        <w:r w:rsidR="009D2BF2" w:rsidRPr="00124A2E">
          <w:rPr>
            <w:rStyle w:val="Hyperlink"/>
          </w:rPr>
          <w:t>3.5</w:t>
        </w:r>
        <w:r w:rsidR="009D2BF2">
          <w:rPr>
            <w:rFonts w:asciiTheme="minorHAnsi" w:eastAsiaTheme="minorEastAsia" w:hAnsiTheme="minorHAnsi" w:cstheme="minorBidi"/>
            <w:sz w:val="22"/>
            <w:szCs w:val="22"/>
          </w:rPr>
          <w:tab/>
        </w:r>
        <w:r w:rsidR="009D2BF2" w:rsidRPr="00124A2E">
          <w:rPr>
            <w:rStyle w:val="Hyperlink"/>
          </w:rPr>
          <w:t>Reporting</w:t>
        </w:r>
        <w:r w:rsidR="009D2BF2">
          <w:rPr>
            <w:webHidden/>
          </w:rPr>
          <w:tab/>
        </w:r>
        <w:r w:rsidR="009D2BF2">
          <w:rPr>
            <w:webHidden/>
          </w:rPr>
          <w:fldChar w:fldCharType="begin"/>
        </w:r>
        <w:r w:rsidR="009D2BF2">
          <w:rPr>
            <w:webHidden/>
          </w:rPr>
          <w:instrText xml:space="preserve"> PAGEREF _Toc517101407 \h </w:instrText>
        </w:r>
        <w:r w:rsidR="009D2BF2">
          <w:rPr>
            <w:webHidden/>
          </w:rPr>
        </w:r>
        <w:r w:rsidR="009D2BF2">
          <w:rPr>
            <w:webHidden/>
          </w:rPr>
          <w:fldChar w:fldCharType="separate"/>
        </w:r>
        <w:r w:rsidR="004A16F5">
          <w:rPr>
            <w:webHidden/>
          </w:rPr>
          <w:t>18</w:t>
        </w:r>
        <w:r w:rsidR="009D2BF2">
          <w:rPr>
            <w:webHidden/>
          </w:rPr>
          <w:fldChar w:fldCharType="end"/>
        </w:r>
      </w:hyperlink>
    </w:p>
    <w:p w14:paraId="47F22CE7" w14:textId="77777777" w:rsidR="009D2BF2" w:rsidRDefault="00A3211E">
      <w:pPr>
        <w:pStyle w:val="TOC1"/>
        <w:rPr>
          <w:rFonts w:asciiTheme="minorHAnsi" w:eastAsiaTheme="minorEastAsia" w:hAnsiTheme="minorHAnsi" w:cstheme="minorBidi"/>
          <w:b w:val="0"/>
          <w:color w:val="auto"/>
          <w:sz w:val="22"/>
          <w:szCs w:val="22"/>
        </w:rPr>
      </w:pPr>
      <w:hyperlink w:anchor="_Toc517101408" w:history="1">
        <w:r w:rsidR="009D2BF2" w:rsidRPr="00124A2E">
          <w:rPr>
            <w:rStyle w:val="Hyperlink"/>
          </w:rPr>
          <w:t>4</w:t>
        </w:r>
        <w:r w:rsidR="009D2BF2">
          <w:rPr>
            <w:rFonts w:asciiTheme="minorHAnsi" w:eastAsiaTheme="minorEastAsia" w:hAnsiTheme="minorHAnsi" w:cstheme="minorBidi"/>
            <w:b w:val="0"/>
            <w:color w:val="auto"/>
            <w:sz w:val="22"/>
            <w:szCs w:val="22"/>
          </w:rPr>
          <w:tab/>
        </w:r>
        <w:r w:rsidR="009D2BF2" w:rsidRPr="00124A2E">
          <w:rPr>
            <w:rStyle w:val="Hyperlink"/>
          </w:rPr>
          <w:t>Gas resources</w:t>
        </w:r>
        <w:r w:rsidR="009D2BF2">
          <w:rPr>
            <w:webHidden/>
          </w:rPr>
          <w:tab/>
        </w:r>
        <w:r w:rsidR="009D2BF2">
          <w:rPr>
            <w:webHidden/>
          </w:rPr>
          <w:fldChar w:fldCharType="begin"/>
        </w:r>
        <w:r w:rsidR="009D2BF2">
          <w:rPr>
            <w:webHidden/>
          </w:rPr>
          <w:instrText xml:space="preserve"> PAGEREF _Toc517101408 \h </w:instrText>
        </w:r>
        <w:r w:rsidR="009D2BF2">
          <w:rPr>
            <w:webHidden/>
          </w:rPr>
        </w:r>
        <w:r w:rsidR="009D2BF2">
          <w:rPr>
            <w:webHidden/>
          </w:rPr>
          <w:fldChar w:fldCharType="separate"/>
        </w:r>
        <w:r w:rsidR="004A16F5">
          <w:rPr>
            <w:webHidden/>
          </w:rPr>
          <w:t>19</w:t>
        </w:r>
        <w:r w:rsidR="009D2BF2">
          <w:rPr>
            <w:webHidden/>
          </w:rPr>
          <w:fldChar w:fldCharType="end"/>
        </w:r>
      </w:hyperlink>
    </w:p>
    <w:p w14:paraId="30B183F1" w14:textId="77777777" w:rsidR="009D2BF2" w:rsidRDefault="00A3211E">
      <w:pPr>
        <w:pStyle w:val="TOC2"/>
        <w:rPr>
          <w:rFonts w:asciiTheme="minorHAnsi" w:eastAsiaTheme="minorEastAsia" w:hAnsiTheme="minorHAnsi" w:cstheme="minorBidi"/>
          <w:sz w:val="22"/>
          <w:szCs w:val="22"/>
        </w:rPr>
      </w:pPr>
      <w:hyperlink w:anchor="_Toc517101409" w:history="1">
        <w:r w:rsidR="009D2BF2" w:rsidRPr="00124A2E">
          <w:rPr>
            <w:rStyle w:val="Hyperlink"/>
          </w:rPr>
          <w:t>4.1</w:t>
        </w:r>
        <w:r w:rsidR="009D2BF2">
          <w:rPr>
            <w:rFonts w:asciiTheme="minorHAnsi" w:eastAsiaTheme="minorEastAsia" w:hAnsiTheme="minorHAnsi" w:cstheme="minorBidi"/>
            <w:sz w:val="22"/>
            <w:szCs w:val="22"/>
          </w:rPr>
          <w:tab/>
        </w:r>
        <w:r w:rsidR="009D2BF2" w:rsidRPr="00124A2E">
          <w:rPr>
            <w:rStyle w:val="Hyperlink"/>
          </w:rPr>
          <w:t>Conventional and unconventional gas resources</w:t>
        </w:r>
        <w:r w:rsidR="009D2BF2">
          <w:rPr>
            <w:webHidden/>
          </w:rPr>
          <w:tab/>
        </w:r>
        <w:r w:rsidR="009D2BF2">
          <w:rPr>
            <w:webHidden/>
          </w:rPr>
          <w:fldChar w:fldCharType="begin"/>
        </w:r>
        <w:r w:rsidR="009D2BF2">
          <w:rPr>
            <w:webHidden/>
          </w:rPr>
          <w:instrText xml:space="preserve"> PAGEREF _Toc517101409 \h </w:instrText>
        </w:r>
        <w:r w:rsidR="009D2BF2">
          <w:rPr>
            <w:webHidden/>
          </w:rPr>
        </w:r>
        <w:r w:rsidR="009D2BF2">
          <w:rPr>
            <w:webHidden/>
          </w:rPr>
          <w:fldChar w:fldCharType="separate"/>
        </w:r>
        <w:r w:rsidR="004A16F5">
          <w:rPr>
            <w:webHidden/>
          </w:rPr>
          <w:t>19</w:t>
        </w:r>
        <w:r w:rsidR="009D2BF2">
          <w:rPr>
            <w:webHidden/>
          </w:rPr>
          <w:fldChar w:fldCharType="end"/>
        </w:r>
      </w:hyperlink>
    </w:p>
    <w:p w14:paraId="251F8F37" w14:textId="77777777" w:rsidR="009D2BF2" w:rsidRDefault="00A3211E">
      <w:pPr>
        <w:pStyle w:val="TOC3"/>
        <w:rPr>
          <w:rFonts w:asciiTheme="minorHAnsi" w:eastAsiaTheme="minorEastAsia" w:hAnsiTheme="minorHAnsi" w:cstheme="minorBidi"/>
          <w:sz w:val="22"/>
          <w:szCs w:val="22"/>
        </w:rPr>
      </w:pPr>
      <w:hyperlink w:anchor="_Toc517101410" w:history="1">
        <w:r w:rsidR="009D2BF2" w:rsidRPr="00124A2E">
          <w:rPr>
            <w:rStyle w:val="Hyperlink"/>
          </w:rPr>
          <w:t>4.1.1</w:t>
        </w:r>
        <w:r w:rsidR="009D2BF2">
          <w:rPr>
            <w:rFonts w:asciiTheme="minorHAnsi" w:eastAsiaTheme="minorEastAsia" w:hAnsiTheme="minorHAnsi" w:cstheme="minorBidi"/>
            <w:sz w:val="22"/>
            <w:szCs w:val="22"/>
          </w:rPr>
          <w:tab/>
        </w:r>
        <w:r w:rsidR="009D2BF2" w:rsidRPr="00124A2E">
          <w:rPr>
            <w:rStyle w:val="Hyperlink"/>
          </w:rPr>
          <w:t>The Petroleum System</w:t>
        </w:r>
        <w:r w:rsidR="009D2BF2">
          <w:rPr>
            <w:webHidden/>
          </w:rPr>
          <w:tab/>
        </w:r>
        <w:r w:rsidR="009D2BF2">
          <w:rPr>
            <w:webHidden/>
          </w:rPr>
          <w:fldChar w:fldCharType="begin"/>
        </w:r>
        <w:r w:rsidR="009D2BF2">
          <w:rPr>
            <w:webHidden/>
          </w:rPr>
          <w:instrText xml:space="preserve"> PAGEREF _Toc517101410 \h </w:instrText>
        </w:r>
        <w:r w:rsidR="009D2BF2">
          <w:rPr>
            <w:webHidden/>
          </w:rPr>
        </w:r>
        <w:r w:rsidR="009D2BF2">
          <w:rPr>
            <w:webHidden/>
          </w:rPr>
          <w:fldChar w:fldCharType="separate"/>
        </w:r>
        <w:r w:rsidR="004A16F5">
          <w:rPr>
            <w:webHidden/>
          </w:rPr>
          <w:t>19</w:t>
        </w:r>
        <w:r w:rsidR="009D2BF2">
          <w:rPr>
            <w:webHidden/>
          </w:rPr>
          <w:fldChar w:fldCharType="end"/>
        </w:r>
      </w:hyperlink>
    </w:p>
    <w:p w14:paraId="46C60294" w14:textId="77777777" w:rsidR="009D2BF2" w:rsidRDefault="00A3211E">
      <w:pPr>
        <w:pStyle w:val="TOC3"/>
        <w:rPr>
          <w:rFonts w:asciiTheme="minorHAnsi" w:eastAsiaTheme="minorEastAsia" w:hAnsiTheme="minorHAnsi" w:cstheme="minorBidi"/>
          <w:sz w:val="22"/>
          <w:szCs w:val="22"/>
        </w:rPr>
      </w:pPr>
      <w:hyperlink w:anchor="_Toc517101411" w:history="1">
        <w:r w:rsidR="009D2BF2" w:rsidRPr="00124A2E">
          <w:rPr>
            <w:rStyle w:val="Hyperlink"/>
          </w:rPr>
          <w:t>4.1.2</w:t>
        </w:r>
        <w:r w:rsidR="009D2BF2">
          <w:rPr>
            <w:rFonts w:asciiTheme="minorHAnsi" w:eastAsiaTheme="minorEastAsia" w:hAnsiTheme="minorHAnsi" w:cstheme="minorBidi"/>
            <w:sz w:val="22"/>
            <w:szCs w:val="22"/>
          </w:rPr>
          <w:tab/>
        </w:r>
        <w:r w:rsidR="009D2BF2" w:rsidRPr="00124A2E">
          <w:rPr>
            <w:rStyle w:val="Hyperlink"/>
          </w:rPr>
          <w:t>Conventional petroleum accumulations</w:t>
        </w:r>
        <w:r w:rsidR="009D2BF2">
          <w:rPr>
            <w:webHidden/>
          </w:rPr>
          <w:tab/>
        </w:r>
        <w:r w:rsidR="009D2BF2">
          <w:rPr>
            <w:webHidden/>
          </w:rPr>
          <w:fldChar w:fldCharType="begin"/>
        </w:r>
        <w:r w:rsidR="009D2BF2">
          <w:rPr>
            <w:webHidden/>
          </w:rPr>
          <w:instrText xml:space="preserve"> PAGEREF _Toc517101411 \h </w:instrText>
        </w:r>
        <w:r w:rsidR="009D2BF2">
          <w:rPr>
            <w:webHidden/>
          </w:rPr>
        </w:r>
        <w:r w:rsidR="009D2BF2">
          <w:rPr>
            <w:webHidden/>
          </w:rPr>
          <w:fldChar w:fldCharType="separate"/>
        </w:r>
        <w:r w:rsidR="004A16F5">
          <w:rPr>
            <w:webHidden/>
          </w:rPr>
          <w:t>19</w:t>
        </w:r>
        <w:r w:rsidR="009D2BF2">
          <w:rPr>
            <w:webHidden/>
          </w:rPr>
          <w:fldChar w:fldCharType="end"/>
        </w:r>
      </w:hyperlink>
    </w:p>
    <w:p w14:paraId="355DBA30" w14:textId="77777777" w:rsidR="009D2BF2" w:rsidRDefault="00A3211E">
      <w:pPr>
        <w:pStyle w:val="TOC3"/>
        <w:rPr>
          <w:rFonts w:asciiTheme="minorHAnsi" w:eastAsiaTheme="minorEastAsia" w:hAnsiTheme="minorHAnsi" w:cstheme="minorBidi"/>
          <w:sz w:val="22"/>
          <w:szCs w:val="22"/>
        </w:rPr>
      </w:pPr>
      <w:hyperlink w:anchor="_Toc517101412" w:history="1">
        <w:r w:rsidR="009D2BF2" w:rsidRPr="00124A2E">
          <w:rPr>
            <w:rStyle w:val="Hyperlink"/>
          </w:rPr>
          <w:t>4.1.3</w:t>
        </w:r>
        <w:r w:rsidR="009D2BF2">
          <w:rPr>
            <w:rFonts w:asciiTheme="minorHAnsi" w:eastAsiaTheme="minorEastAsia" w:hAnsiTheme="minorHAnsi" w:cstheme="minorBidi"/>
            <w:sz w:val="22"/>
            <w:szCs w:val="22"/>
          </w:rPr>
          <w:tab/>
        </w:r>
        <w:r w:rsidR="009D2BF2" w:rsidRPr="00124A2E">
          <w:rPr>
            <w:rStyle w:val="Hyperlink"/>
          </w:rPr>
          <w:t>Unconventional accumulations</w:t>
        </w:r>
        <w:r w:rsidR="009D2BF2">
          <w:rPr>
            <w:webHidden/>
          </w:rPr>
          <w:tab/>
        </w:r>
        <w:r w:rsidR="009D2BF2">
          <w:rPr>
            <w:webHidden/>
          </w:rPr>
          <w:fldChar w:fldCharType="begin"/>
        </w:r>
        <w:r w:rsidR="009D2BF2">
          <w:rPr>
            <w:webHidden/>
          </w:rPr>
          <w:instrText xml:space="preserve"> PAGEREF _Toc517101412 \h </w:instrText>
        </w:r>
        <w:r w:rsidR="009D2BF2">
          <w:rPr>
            <w:webHidden/>
          </w:rPr>
        </w:r>
        <w:r w:rsidR="009D2BF2">
          <w:rPr>
            <w:webHidden/>
          </w:rPr>
          <w:fldChar w:fldCharType="separate"/>
        </w:r>
        <w:r w:rsidR="004A16F5">
          <w:rPr>
            <w:webHidden/>
          </w:rPr>
          <w:t>19</w:t>
        </w:r>
        <w:r w:rsidR="009D2BF2">
          <w:rPr>
            <w:webHidden/>
          </w:rPr>
          <w:fldChar w:fldCharType="end"/>
        </w:r>
      </w:hyperlink>
    </w:p>
    <w:p w14:paraId="67BC95C8" w14:textId="77777777" w:rsidR="009D2BF2" w:rsidRDefault="00A3211E">
      <w:pPr>
        <w:pStyle w:val="TOC2"/>
        <w:rPr>
          <w:rFonts w:asciiTheme="minorHAnsi" w:eastAsiaTheme="minorEastAsia" w:hAnsiTheme="minorHAnsi" w:cstheme="minorBidi"/>
          <w:sz w:val="22"/>
          <w:szCs w:val="22"/>
        </w:rPr>
      </w:pPr>
      <w:hyperlink w:anchor="_Toc517101413" w:history="1">
        <w:r w:rsidR="009D2BF2" w:rsidRPr="00124A2E">
          <w:rPr>
            <w:rStyle w:val="Hyperlink"/>
          </w:rPr>
          <w:t>4.2</w:t>
        </w:r>
        <w:r w:rsidR="009D2BF2">
          <w:rPr>
            <w:rFonts w:asciiTheme="minorHAnsi" w:eastAsiaTheme="minorEastAsia" w:hAnsiTheme="minorHAnsi" w:cstheme="minorBidi"/>
            <w:sz w:val="22"/>
            <w:szCs w:val="22"/>
          </w:rPr>
          <w:tab/>
        </w:r>
        <w:r w:rsidR="009D2BF2" w:rsidRPr="00124A2E">
          <w:rPr>
            <w:rStyle w:val="Hyperlink"/>
          </w:rPr>
          <w:t>Australia’s shale and tight gas resources</w:t>
        </w:r>
        <w:r w:rsidR="009D2BF2">
          <w:rPr>
            <w:webHidden/>
          </w:rPr>
          <w:tab/>
        </w:r>
        <w:r w:rsidR="009D2BF2">
          <w:rPr>
            <w:webHidden/>
          </w:rPr>
          <w:fldChar w:fldCharType="begin"/>
        </w:r>
        <w:r w:rsidR="009D2BF2">
          <w:rPr>
            <w:webHidden/>
          </w:rPr>
          <w:instrText xml:space="preserve"> PAGEREF _Toc517101413 \h </w:instrText>
        </w:r>
        <w:r w:rsidR="009D2BF2">
          <w:rPr>
            <w:webHidden/>
          </w:rPr>
        </w:r>
        <w:r w:rsidR="009D2BF2">
          <w:rPr>
            <w:webHidden/>
          </w:rPr>
          <w:fldChar w:fldCharType="separate"/>
        </w:r>
        <w:r w:rsidR="004A16F5">
          <w:rPr>
            <w:webHidden/>
          </w:rPr>
          <w:t>21</w:t>
        </w:r>
        <w:r w:rsidR="009D2BF2">
          <w:rPr>
            <w:webHidden/>
          </w:rPr>
          <w:fldChar w:fldCharType="end"/>
        </w:r>
      </w:hyperlink>
    </w:p>
    <w:p w14:paraId="48CB0B66" w14:textId="77777777" w:rsidR="009D2BF2" w:rsidRDefault="00A3211E">
      <w:pPr>
        <w:pStyle w:val="TOC2"/>
        <w:rPr>
          <w:rFonts w:asciiTheme="minorHAnsi" w:eastAsiaTheme="minorEastAsia" w:hAnsiTheme="minorHAnsi" w:cstheme="minorBidi"/>
          <w:sz w:val="22"/>
          <w:szCs w:val="22"/>
        </w:rPr>
      </w:pPr>
      <w:hyperlink w:anchor="_Toc517101414" w:history="1">
        <w:r w:rsidR="009D2BF2" w:rsidRPr="00124A2E">
          <w:rPr>
            <w:rStyle w:val="Hyperlink"/>
          </w:rPr>
          <w:t>4.3</w:t>
        </w:r>
        <w:r w:rsidR="009D2BF2">
          <w:rPr>
            <w:rFonts w:asciiTheme="minorHAnsi" w:eastAsiaTheme="minorEastAsia" w:hAnsiTheme="minorHAnsi" w:cstheme="minorBidi"/>
            <w:sz w:val="22"/>
            <w:szCs w:val="22"/>
          </w:rPr>
          <w:tab/>
        </w:r>
        <w:r w:rsidR="009D2BF2" w:rsidRPr="00124A2E">
          <w:rPr>
            <w:rStyle w:val="Hyperlink"/>
          </w:rPr>
          <w:t>Australian gas markets</w:t>
        </w:r>
        <w:r w:rsidR="009D2BF2">
          <w:rPr>
            <w:webHidden/>
          </w:rPr>
          <w:tab/>
        </w:r>
        <w:r w:rsidR="009D2BF2">
          <w:rPr>
            <w:webHidden/>
          </w:rPr>
          <w:fldChar w:fldCharType="begin"/>
        </w:r>
        <w:r w:rsidR="009D2BF2">
          <w:rPr>
            <w:webHidden/>
          </w:rPr>
          <w:instrText xml:space="preserve"> PAGEREF _Toc517101414 \h </w:instrText>
        </w:r>
        <w:r w:rsidR="009D2BF2">
          <w:rPr>
            <w:webHidden/>
          </w:rPr>
        </w:r>
        <w:r w:rsidR="009D2BF2">
          <w:rPr>
            <w:webHidden/>
          </w:rPr>
          <w:fldChar w:fldCharType="separate"/>
        </w:r>
        <w:r w:rsidR="004A16F5">
          <w:rPr>
            <w:webHidden/>
          </w:rPr>
          <w:t>23</w:t>
        </w:r>
        <w:r w:rsidR="009D2BF2">
          <w:rPr>
            <w:webHidden/>
          </w:rPr>
          <w:fldChar w:fldCharType="end"/>
        </w:r>
      </w:hyperlink>
    </w:p>
    <w:p w14:paraId="3081178E" w14:textId="77777777" w:rsidR="009D2BF2" w:rsidRDefault="00A3211E">
      <w:pPr>
        <w:pStyle w:val="TOC3"/>
        <w:rPr>
          <w:rFonts w:asciiTheme="minorHAnsi" w:eastAsiaTheme="minorEastAsia" w:hAnsiTheme="minorHAnsi" w:cstheme="minorBidi"/>
          <w:sz w:val="22"/>
          <w:szCs w:val="22"/>
        </w:rPr>
      </w:pPr>
      <w:hyperlink w:anchor="_Toc517101415" w:history="1">
        <w:r w:rsidR="009D2BF2" w:rsidRPr="00124A2E">
          <w:rPr>
            <w:rStyle w:val="Hyperlink"/>
          </w:rPr>
          <w:t>4.3.1</w:t>
        </w:r>
        <w:r w:rsidR="009D2BF2">
          <w:rPr>
            <w:rFonts w:asciiTheme="minorHAnsi" w:eastAsiaTheme="minorEastAsia" w:hAnsiTheme="minorHAnsi" w:cstheme="minorBidi"/>
            <w:sz w:val="22"/>
            <w:szCs w:val="22"/>
          </w:rPr>
          <w:tab/>
        </w:r>
        <w:r w:rsidR="009D2BF2" w:rsidRPr="00124A2E">
          <w:rPr>
            <w:rStyle w:val="Hyperlink"/>
          </w:rPr>
          <w:t>Gas supply chain</w:t>
        </w:r>
        <w:r w:rsidR="009D2BF2">
          <w:rPr>
            <w:webHidden/>
          </w:rPr>
          <w:tab/>
        </w:r>
        <w:r w:rsidR="009D2BF2">
          <w:rPr>
            <w:webHidden/>
          </w:rPr>
          <w:fldChar w:fldCharType="begin"/>
        </w:r>
        <w:r w:rsidR="009D2BF2">
          <w:rPr>
            <w:webHidden/>
          </w:rPr>
          <w:instrText xml:space="preserve"> PAGEREF _Toc517101415 \h </w:instrText>
        </w:r>
        <w:r w:rsidR="009D2BF2">
          <w:rPr>
            <w:webHidden/>
          </w:rPr>
        </w:r>
        <w:r w:rsidR="009D2BF2">
          <w:rPr>
            <w:webHidden/>
          </w:rPr>
          <w:fldChar w:fldCharType="separate"/>
        </w:r>
        <w:r w:rsidR="004A16F5">
          <w:rPr>
            <w:webHidden/>
          </w:rPr>
          <w:t>23</w:t>
        </w:r>
        <w:r w:rsidR="009D2BF2">
          <w:rPr>
            <w:webHidden/>
          </w:rPr>
          <w:fldChar w:fldCharType="end"/>
        </w:r>
      </w:hyperlink>
    </w:p>
    <w:p w14:paraId="637171B5" w14:textId="77777777" w:rsidR="009D2BF2" w:rsidRDefault="00A3211E">
      <w:pPr>
        <w:pStyle w:val="TOC3"/>
        <w:rPr>
          <w:rFonts w:asciiTheme="minorHAnsi" w:eastAsiaTheme="minorEastAsia" w:hAnsiTheme="minorHAnsi" w:cstheme="minorBidi"/>
          <w:sz w:val="22"/>
          <w:szCs w:val="22"/>
        </w:rPr>
      </w:pPr>
      <w:hyperlink w:anchor="_Toc517101416" w:history="1">
        <w:r w:rsidR="009D2BF2" w:rsidRPr="00124A2E">
          <w:rPr>
            <w:rStyle w:val="Hyperlink"/>
          </w:rPr>
          <w:t>4.3.2</w:t>
        </w:r>
        <w:r w:rsidR="009D2BF2">
          <w:rPr>
            <w:rFonts w:asciiTheme="minorHAnsi" w:eastAsiaTheme="minorEastAsia" w:hAnsiTheme="minorHAnsi" w:cstheme="minorBidi"/>
            <w:sz w:val="22"/>
            <w:szCs w:val="22"/>
          </w:rPr>
          <w:tab/>
        </w:r>
        <w:r w:rsidR="009D2BF2" w:rsidRPr="00124A2E">
          <w:rPr>
            <w:rStyle w:val="Hyperlink"/>
          </w:rPr>
          <w:t>Regional gas markets</w:t>
        </w:r>
        <w:r w:rsidR="009D2BF2">
          <w:rPr>
            <w:webHidden/>
          </w:rPr>
          <w:tab/>
        </w:r>
        <w:r w:rsidR="009D2BF2">
          <w:rPr>
            <w:webHidden/>
          </w:rPr>
          <w:fldChar w:fldCharType="begin"/>
        </w:r>
        <w:r w:rsidR="009D2BF2">
          <w:rPr>
            <w:webHidden/>
          </w:rPr>
          <w:instrText xml:space="preserve"> PAGEREF _Toc517101416 \h </w:instrText>
        </w:r>
        <w:r w:rsidR="009D2BF2">
          <w:rPr>
            <w:webHidden/>
          </w:rPr>
        </w:r>
        <w:r w:rsidR="009D2BF2">
          <w:rPr>
            <w:webHidden/>
          </w:rPr>
          <w:fldChar w:fldCharType="separate"/>
        </w:r>
        <w:r w:rsidR="004A16F5">
          <w:rPr>
            <w:webHidden/>
          </w:rPr>
          <w:t>25</w:t>
        </w:r>
        <w:r w:rsidR="009D2BF2">
          <w:rPr>
            <w:webHidden/>
          </w:rPr>
          <w:fldChar w:fldCharType="end"/>
        </w:r>
      </w:hyperlink>
    </w:p>
    <w:p w14:paraId="122425C4" w14:textId="77777777" w:rsidR="009D2BF2" w:rsidRDefault="00A3211E">
      <w:pPr>
        <w:pStyle w:val="TOC2"/>
        <w:rPr>
          <w:rFonts w:asciiTheme="minorHAnsi" w:eastAsiaTheme="minorEastAsia" w:hAnsiTheme="minorHAnsi" w:cstheme="minorBidi"/>
          <w:sz w:val="22"/>
          <w:szCs w:val="22"/>
        </w:rPr>
      </w:pPr>
      <w:hyperlink w:anchor="_Toc517101417" w:history="1">
        <w:r w:rsidR="009D2BF2" w:rsidRPr="00124A2E">
          <w:rPr>
            <w:rStyle w:val="Hyperlink"/>
          </w:rPr>
          <w:t>4.4</w:t>
        </w:r>
        <w:r w:rsidR="009D2BF2">
          <w:rPr>
            <w:rFonts w:asciiTheme="minorHAnsi" w:eastAsiaTheme="minorEastAsia" w:hAnsiTheme="minorHAnsi" w:cstheme="minorBidi"/>
            <w:sz w:val="22"/>
            <w:szCs w:val="22"/>
          </w:rPr>
          <w:tab/>
        </w:r>
        <w:r w:rsidR="009D2BF2" w:rsidRPr="00124A2E">
          <w:rPr>
            <w:rStyle w:val="Hyperlink"/>
          </w:rPr>
          <w:t>Shale and tight gas exploration, development and management</w:t>
        </w:r>
        <w:r w:rsidR="009D2BF2">
          <w:rPr>
            <w:webHidden/>
          </w:rPr>
          <w:tab/>
        </w:r>
        <w:r w:rsidR="009D2BF2">
          <w:rPr>
            <w:webHidden/>
          </w:rPr>
          <w:fldChar w:fldCharType="begin"/>
        </w:r>
        <w:r w:rsidR="009D2BF2">
          <w:rPr>
            <w:webHidden/>
          </w:rPr>
          <w:instrText xml:space="preserve"> PAGEREF _Toc517101417 \h </w:instrText>
        </w:r>
        <w:r w:rsidR="009D2BF2">
          <w:rPr>
            <w:webHidden/>
          </w:rPr>
        </w:r>
        <w:r w:rsidR="009D2BF2">
          <w:rPr>
            <w:webHidden/>
          </w:rPr>
          <w:fldChar w:fldCharType="separate"/>
        </w:r>
        <w:r w:rsidR="004A16F5">
          <w:rPr>
            <w:webHidden/>
          </w:rPr>
          <w:t>28</w:t>
        </w:r>
        <w:r w:rsidR="009D2BF2">
          <w:rPr>
            <w:webHidden/>
          </w:rPr>
          <w:fldChar w:fldCharType="end"/>
        </w:r>
      </w:hyperlink>
    </w:p>
    <w:p w14:paraId="0FC99118" w14:textId="77777777" w:rsidR="009D2BF2" w:rsidRDefault="00A3211E">
      <w:pPr>
        <w:pStyle w:val="TOC3"/>
        <w:rPr>
          <w:rFonts w:asciiTheme="minorHAnsi" w:eastAsiaTheme="minorEastAsia" w:hAnsiTheme="minorHAnsi" w:cstheme="minorBidi"/>
          <w:sz w:val="22"/>
          <w:szCs w:val="22"/>
        </w:rPr>
      </w:pPr>
      <w:hyperlink w:anchor="_Toc517101418" w:history="1">
        <w:r w:rsidR="009D2BF2" w:rsidRPr="00124A2E">
          <w:rPr>
            <w:rStyle w:val="Hyperlink"/>
          </w:rPr>
          <w:t>4.4.1</w:t>
        </w:r>
        <w:r w:rsidR="009D2BF2">
          <w:rPr>
            <w:rFonts w:asciiTheme="minorHAnsi" w:eastAsiaTheme="minorEastAsia" w:hAnsiTheme="minorHAnsi" w:cstheme="minorBidi"/>
            <w:sz w:val="22"/>
            <w:szCs w:val="22"/>
          </w:rPr>
          <w:tab/>
        </w:r>
        <w:r w:rsidR="009D2BF2" w:rsidRPr="00124A2E">
          <w:rPr>
            <w:rStyle w:val="Hyperlink"/>
          </w:rPr>
          <w:t>Extraction technologies</w:t>
        </w:r>
        <w:r w:rsidR="009D2BF2">
          <w:rPr>
            <w:webHidden/>
          </w:rPr>
          <w:tab/>
        </w:r>
        <w:r w:rsidR="009D2BF2">
          <w:rPr>
            <w:webHidden/>
          </w:rPr>
          <w:fldChar w:fldCharType="begin"/>
        </w:r>
        <w:r w:rsidR="009D2BF2">
          <w:rPr>
            <w:webHidden/>
          </w:rPr>
          <w:instrText xml:space="preserve"> PAGEREF _Toc517101418 \h </w:instrText>
        </w:r>
        <w:r w:rsidR="009D2BF2">
          <w:rPr>
            <w:webHidden/>
          </w:rPr>
        </w:r>
        <w:r w:rsidR="009D2BF2">
          <w:rPr>
            <w:webHidden/>
          </w:rPr>
          <w:fldChar w:fldCharType="separate"/>
        </w:r>
        <w:r w:rsidR="004A16F5">
          <w:rPr>
            <w:webHidden/>
          </w:rPr>
          <w:t>29</w:t>
        </w:r>
        <w:r w:rsidR="009D2BF2">
          <w:rPr>
            <w:webHidden/>
          </w:rPr>
          <w:fldChar w:fldCharType="end"/>
        </w:r>
      </w:hyperlink>
    </w:p>
    <w:p w14:paraId="42D004BC" w14:textId="77777777" w:rsidR="009D2BF2" w:rsidRDefault="00A3211E">
      <w:pPr>
        <w:pStyle w:val="TOC3"/>
        <w:rPr>
          <w:rFonts w:asciiTheme="minorHAnsi" w:eastAsiaTheme="minorEastAsia" w:hAnsiTheme="minorHAnsi" w:cstheme="minorBidi"/>
          <w:sz w:val="22"/>
          <w:szCs w:val="22"/>
        </w:rPr>
      </w:pPr>
      <w:hyperlink w:anchor="_Toc517101419" w:history="1">
        <w:r w:rsidR="009D2BF2" w:rsidRPr="00124A2E">
          <w:rPr>
            <w:rStyle w:val="Hyperlink"/>
          </w:rPr>
          <w:t>4.4.2</w:t>
        </w:r>
        <w:r w:rsidR="009D2BF2">
          <w:rPr>
            <w:rFonts w:asciiTheme="minorHAnsi" w:eastAsiaTheme="minorEastAsia" w:hAnsiTheme="minorHAnsi" w:cstheme="minorBidi"/>
            <w:sz w:val="22"/>
            <w:szCs w:val="22"/>
          </w:rPr>
          <w:tab/>
        </w:r>
        <w:r w:rsidR="009D2BF2" w:rsidRPr="00124A2E">
          <w:rPr>
            <w:rStyle w:val="Hyperlink"/>
          </w:rPr>
          <w:t>Stages of shale and tight gas exploration and development</w:t>
        </w:r>
        <w:r w:rsidR="009D2BF2">
          <w:rPr>
            <w:webHidden/>
          </w:rPr>
          <w:tab/>
        </w:r>
        <w:r w:rsidR="009D2BF2">
          <w:rPr>
            <w:webHidden/>
          </w:rPr>
          <w:fldChar w:fldCharType="begin"/>
        </w:r>
        <w:r w:rsidR="009D2BF2">
          <w:rPr>
            <w:webHidden/>
          </w:rPr>
          <w:instrText xml:space="preserve"> PAGEREF _Toc517101419 \h </w:instrText>
        </w:r>
        <w:r w:rsidR="009D2BF2">
          <w:rPr>
            <w:webHidden/>
          </w:rPr>
        </w:r>
        <w:r w:rsidR="009D2BF2">
          <w:rPr>
            <w:webHidden/>
          </w:rPr>
          <w:fldChar w:fldCharType="separate"/>
        </w:r>
        <w:r w:rsidR="004A16F5">
          <w:rPr>
            <w:webHidden/>
          </w:rPr>
          <w:t>30</w:t>
        </w:r>
        <w:r w:rsidR="009D2BF2">
          <w:rPr>
            <w:webHidden/>
          </w:rPr>
          <w:fldChar w:fldCharType="end"/>
        </w:r>
      </w:hyperlink>
    </w:p>
    <w:p w14:paraId="415270EC" w14:textId="77777777" w:rsidR="009D2BF2" w:rsidRDefault="00A3211E">
      <w:pPr>
        <w:pStyle w:val="TOC1"/>
        <w:rPr>
          <w:rFonts w:asciiTheme="minorHAnsi" w:eastAsiaTheme="minorEastAsia" w:hAnsiTheme="minorHAnsi" w:cstheme="minorBidi"/>
          <w:b w:val="0"/>
          <w:color w:val="auto"/>
          <w:sz w:val="22"/>
          <w:szCs w:val="22"/>
        </w:rPr>
      </w:pPr>
      <w:hyperlink w:anchor="_Toc517101420" w:history="1">
        <w:r w:rsidR="009D2BF2" w:rsidRPr="00124A2E">
          <w:rPr>
            <w:rStyle w:val="Hyperlink"/>
          </w:rPr>
          <w:t>5</w:t>
        </w:r>
        <w:r w:rsidR="009D2BF2">
          <w:rPr>
            <w:rFonts w:asciiTheme="minorHAnsi" w:eastAsiaTheme="minorEastAsia" w:hAnsiTheme="minorHAnsi" w:cstheme="minorBidi"/>
            <w:b w:val="0"/>
            <w:color w:val="auto"/>
            <w:sz w:val="22"/>
            <w:szCs w:val="22"/>
          </w:rPr>
          <w:tab/>
        </w:r>
        <w:r w:rsidR="009D2BF2" w:rsidRPr="00124A2E">
          <w:rPr>
            <w:rStyle w:val="Hyperlink"/>
          </w:rPr>
          <w:t>Rapid regional basin prioritisation</w:t>
        </w:r>
        <w:r w:rsidR="009D2BF2">
          <w:rPr>
            <w:webHidden/>
          </w:rPr>
          <w:tab/>
        </w:r>
        <w:r w:rsidR="009D2BF2">
          <w:rPr>
            <w:webHidden/>
          </w:rPr>
          <w:fldChar w:fldCharType="begin"/>
        </w:r>
        <w:r w:rsidR="009D2BF2">
          <w:rPr>
            <w:webHidden/>
          </w:rPr>
          <w:instrText xml:space="preserve"> PAGEREF _Toc517101420 \h </w:instrText>
        </w:r>
        <w:r w:rsidR="009D2BF2">
          <w:rPr>
            <w:webHidden/>
          </w:rPr>
        </w:r>
        <w:r w:rsidR="009D2BF2">
          <w:rPr>
            <w:webHidden/>
          </w:rPr>
          <w:fldChar w:fldCharType="separate"/>
        </w:r>
        <w:r w:rsidR="004A16F5">
          <w:rPr>
            <w:webHidden/>
          </w:rPr>
          <w:t>33</w:t>
        </w:r>
        <w:r w:rsidR="009D2BF2">
          <w:rPr>
            <w:webHidden/>
          </w:rPr>
          <w:fldChar w:fldCharType="end"/>
        </w:r>
      </w:hyperlink>
    </w:p>
    <w:p w14:paraId="12C2D24C" w14:textId="77777777" w:rsidR="009D2BF2" w:rsidRDefault="00A3211E">
      <w:pPr>
        <w:pStyle w:val="TOC2"/>
        <w:rPr>
          <w:rFonts w:asciiTheme="minorHAnsi" w:eastAsiaTheme="minorEastAsia" w:hAnsiTheme="minorHAnsi" w:cstheme="minorBidi"/>
          <w:sz w:val="22"/>
          <w:szCs w:val="22"/>
        </w:rPr>
      </w:pPr>
      <w:hyperlink w:anchor="_Toc517101421" w:history="1">
        <w:r w:rsidR="009D2BF2" w:rsidRPr="00124A2E">
          <w:rPr>
            <w:rStyle w:val="Hyperlink"/>
          </w:rPr>
          <w:t>5.1</w:t>
        </w:r>
        <w:r w:rsidR="009D2BF2">
          <w:rPr>
            <w:rFonts w:asciiTheme="minorHAnsi" w:eastAsiaTheme="minorEastAsia" w:hAnsiTheme="minorHAnsi" w:cstheme="minorBidi"/>
            <w:sz w:val="22"/>
            <w:szCs w:val="22"/>
          </w:rPr>
          <w:tab/>
        </w:r>
        <w:r w:rsidR="009D2BF2" w:rsidRPr="00124A2E">
          <w:rPr>
            <w:rStyle w:val="Hyperlink"/>
          </w:rPr>
          <w:t>Shortlist of basins with shale and/or tight gas prospectivity</w:t>
        </w:r>
        <w:r w:rsidR="009D2BF2">
          <w:rPr>
            <w:webHidden/>
          </w:rPr>
          <w:tab/>
        </w:r>
        <w:r w:rsidR="009D2BF2">
          <w:rPr>
            <w:webHidden/>
          </w:rPr>
          <w:fldChar w:fldCharType="begin"/>
        </w:r>
        <w:r w:rsidR="009D2BF2">
          <w:rPr>
            <w:webHidden/>
          </w:rPr>
          <w:instrText xml:space="preserve"> PAGEREF _Toc517101421 \h </w:instrText>
        </w:r>
        <w:r w:rsidR="009D2BF2">
          <w:rPr>
            <w:webHidden/>
          </w:rPr>
        </w:r>
        <w:r w:rsidR="009D2BF2">
          <w:rPr>
            <w:webHidden/>
          </w:rPr>
          <w:fldChar w:fldCharType="separate"/>
        </w:r>
        <w:r w:rsidR="004A16F5">
          <w:rPr>
            <w:webHidden/>
          </w:rPr>
          <w:t>33</w:t>
        </w:r>
        <w:r w:rsidR="009D2BF2">
          <w:rPr>
            <w:webHidden/>
          </w:rPr>
          <w:fldChar w:fldCharType="end"/>
        </w:r>
      </w:hyperlink>
    </w:p>
    <w:p w14:paraId="570A68CD" w14:textId="77777777" w:rsidR="009D2BF2" w:rsidRDefault="00A3211E">
      <w:pPr>
        <w:pStyle w:val="TOC3"/>
        <w:rPr>
          <w:rFonts w:asciiTheme="minorHAnsi" w:eastAsiaTheme="minorEastAsia" w:hAnsiTheme="minorHAnsi" w:cstheme="minorBidi"/>
          <w:sz w:val="22"/>
          <w:szCs w:val="22"/>
        </w:rPr>
      </w:pPr>
      <w:hyperlink w:anchor="_Toc517101422" w:history="1">
        <w:r w:rsidR="009D2BF2" w:rsidRPr="00124A2E">
          <w:rPr>
            <w:rStyle w:val="Hyperlink"/>
          </w:rPr>
          <w:t>5.1.1</w:t>
        </w:r>
        <w:r w:rsidR="009D2BF2">
          <w:rPr>
            <w:rFonts w:asciiTheme="minorHAnsi" w:eastAsiaTheme="minorEastAsia" w:hAnsiTheme="minorHAnsi" w:cstheme="minorBidi"/>
            <w:sz w:val="22"/>
            <w:szCs w:val="22"/>
          </w:rPr>
          <w:tab/>
        </w:r>
        <w:r w:rsidR="009D2BF2" w:rsidRPr="00124A2E">
          <w:rPr>
            <w:rStyle w:val="Hyperlink"/>
          </w:rPr>
          <w:t>Eastern and northern Australian sedimentary basins</w:t>
        </w:r>
        <w:r w:rsidR="009D2BF2">
          <w:rPr>
            <w:webHidden/>
          </w:rPr>
          <w:tab/>
        </w:r>
        <w:r w:rsidR="009D2BF2">
          <w:rPr>
            <w:webHidden/>
          </w:rPr>
          <w:fldChar w:fldCharType="begin"/>
        </w:r>
        <w:r w:rsidR="009D2BF2">
          <w:rPr>
            <w:webHidden/>
          </w:rPr>
          <w:instrText xml:space="preserve"> PAGEREF _Toc517101422 \h </w:instrText>
        </w:r>
        <w:r w:rsidR="009D2BF2">
          <w:rPr>
            <w:webHidden/>
          </w:rPr>
        </w:r>
        <w:r w:rsidR="009D2BF2">
          <w:rPr>
            <w:webHidden/>
          </w:rPr>
          <w:fldChar w:fldCharType="separate"/>
        </w:r>
        <w:r w:rsidR="004A16F5">
          <w:rPr>
            <w:webHidden/>
          </w:rPr>
          <w:t>33</w:t>
        </w:r>
        <w:r w:rsidR="009D2BF2">
          <w:rPr>
            <w:webHidden/>
          </w:rPr>
          <w:fldChar w:fldCharType="end"/>
        </w:r>
      </w:hyperlink>
    </w:p>
    <w:p w14:paraId="45636D58" w14:textId="77777777" w:rsidR="009D2BF2" w:rsidRDefault="00A3211E">
      <w:pPr>
        <w:pStyle w:val="TOC3"/>
        <w:rPr>
          <w:rFonts w:asciiTheme="minorHAnsi" w:eastAsiaTheme="minorEastAsia" w:hAnsiTheme="minorHAnsi" w:cstheme="minorBidi"/>
          <w:sz w:val="22"/>
          <w:szCs w:val="22"/>
        </w:rPr>
      </w:pPr>
      <w:hyperlink w:anchor="_Toc517101423" w:history="1">
        <w:r w:rsidR="009D2BF2" w:rsidRPr="00124A2E">
          <w:rPr>
            <w:rStyle w:val="Hyperlink"/>
          </w:rPr>
          <w:t>5.1.2</w:t>
        </w:r>
        <w:r w:rsidR="009D2BF2">
          <w:rPr>
            <w:rFonts w:asciiTheme="minorHAnsi" w:eastAsiaTheme="minorEastAsia" w:hAnsiTheme="minorHAnsi" w:cstheme="minorBidi"/>
            <w:sz w:val="22"/>
            <w:szCs w:val="22"/>
          </w:rPr>
          <w:tab/>
        </w:r>
        <w:r w:rsidR="009D2BF2" w:rsidRPr="00124A2E">
          <w:rPr>
            <w:rStyle w:val="Hyperlink"/>
          </w:rPr>
          <w:t>Approximate development timeframe</w:t>
        </w:r>
        <w:r w:rsidR="009D2BF2">
          <w:rPr>
            <w:webHidden/>
          </w:rPr>
          <w:tab/>
        </w:r>
        <w:r w:rsidR="009D2BF2">
          <w:rPr>
            <w:webHidden/>
          </w:rPr>
          <w:fldChar w:fldCharType="begin"/>
        </w:r>
        <w:r w:rsidR="009D2BF2">
          <w:rPr>
            <w:webHidden/>
          </w:rPr>
          <w:instrText xml:space="preserve"> PAGEREF _Toc517101423 \h </w:instrText>
        </w:r>
        <w:r w:rsidR="009D2BF2">
          <w:rPr>
            <w:webHidden/>
          </w:rPr>
        </w:r>
        <w:r w:rsidR="009D2BF2">
          <w:rPr>
            <w:webHidden/>
          </w:rPr>
          <w:fldChar w:fldCharType="separate"/>
        </w:r>
        <w:r w:rsidR="004A16F5">
          <w:rPr>
            <w:webHidden/>
          </w:rPr>
          <w:t>34</w:t>
        </w:r>
        <w:r w:rsidR="009D2BF2">
          <w:rPr>
            <w:webHidden/>
          </w:rPr>
          <w:fldChar w:fldCharType="end"/>
        </w:r>
      </w:hyperlink>
    </w:p>
    <w:p w14:paraId="12669FE4" w14:textId="77777777" w:rsidR="009D2BF2" w:rsidRDefault="00A3211E">
      <w:pPr>
        <w:pStyle w:val="TOC2"/>
        <w:rPr>
          <w:rFonts w:asciiTheme="minorHAnsi" w:eastAsiaTheme="minorEastAsia" w:hAnsiTheme="minorHAnsi" w:cstheme="minorBidi"/>
          <w:sz w:val="22"/>
          <w:szCs w:val="22"/>
        </w:rPr>
      </w:pPr>
      <w:hyperlink w:anchor="_Toc517101424" w:history="1">
        <w:r w:rsidR="009D2BF2" w:rsidRPr="00124A2E">
          <w:rPr>
            <w:rStyle w:val="Hyperlink"/>
          </w:rPr>
          <w:t>5.2</w:t>
        </w:r>
        <w:r w:rsidR="009D2BF2">
          <w:rPr>
            <w:rFonts w:asciiTheme="minorHAnsi" w:eastAsiaTheme="minorEastAsia" w:hAnsiTheme="minorHAnsi" w:cstheme="minorBidi"/>
            <w:sz w:val="22"/>
            <w:szCs w:val="22"/>
          </w:rPr>
          <w:tab/>
        </w:r>
        <w:r w:rsidR="009D2BF2" w:rsidRPr="00124A2E">
          <w:rPr>
            <w:rStyle w:val="Hyperlink"/>
          </w:rPr>
          <w:t>Data inventory</w:t>
        </w:r>
        <w:r w:rsidR="009D2BF2">
          <w:rPr>
            <w:webHidden/>
          </w:rPr>
          <w:tab/>
        </w:r>
        <w:r w:rsidR="009D2BF2">
          <w:rPr>
            <w:webHidden/>
          </w:rPr>
          <w:fldChar w:fldCharType="begin"/>
        </w:r>
        <w:r w:rsidR="009D2BF2">
          <w:rPr>
            <w:webHidden/>
          </w:rPr>
          <w:instrText xml:space="preserve"> PAGEREF _Toc517101424 \h </w:instrText>
        </w:r>
        <w:r w:rsidR="009D2BF2">
          <w:rPr>
            <w:webHidden/>
          </w:rPr>
        </w:r>
        <w:r w:rsidR="009D2BF2">
          <w:rPr>
            <w:webHidden/>
          </w:rPr>
          <w:fldChar w:fldCharType="separate"/>
        </w:r>
        <w:r w:rsidR="004A16F5">
          <w:rPr>
            <w:webHidden/>
          </w:rPr>
          <w:t>40</w:t>
        </w:r>
        <w:r w:rsidR="009D2BF2">
          <w:rPr>
            <w:webHidden/>
          </w:rPr>
          <w:fldChar w:fldCharType="end"/>
        </w:r>
      </w:hyperlink>
    </w:p>
    <w:p w14:paraId="061095EB" w14:textId="77777777" w:rsidR="009D2BF2" w:rsidRDefault="00A3211E">
      <w:pPr>
        <w:pStyle w:val="TOC3"/>
        <w:rPr>
          <w:rFonts w:asciiTheme="minorHAnsi" w:eastAsiaTheme="minorEastAsia" w:hAnsiTheme="minorHAnsi" w:cstheme="minorBidi"/>
          <w:sz w:val="22"/>
          <w:szCs w:val="22"/>
        </w:rPr>
      </w:pPr>
      <w:hyperlink w:anchor="_Toc517101425" w:history="1">
        <w:r w:rsidR="009D2BF2" w:rsidRPr="00124A2E">
          <w:rPr>
            <w:rStyle w:val="Hyperlink"/>
          </w:rPr>
          <w:t>5.2.1</w:t>
        </w:r>
        <w:r w:rsidR="009D2BF2">
          <w:rPr>
            <w:rFonts w:asciiTheme="minorHAnsi" w:eastAsiaTheme="minorEastAsia" w:hAnsiTheme="minorHAnsi" w:cstheme="minorBidi"/>
            <w:sz w:val="22"/>
            <w:szCs w:val="22"/>
          </w:rPr>
          <w:tab/>
        </w:r>
        <w:r w:rsidR="009D2BF2" w:rsidRPr="00124A2E">
          <w:rPr>
            <w:rStyle w:val="Hyperlink"/>
          </w:rPr>
          <w:t>Topographic datasets</w:t>
        </w:r>
        <w:r w:rsidR="009D2BF2">
          <w:rPr>
            <w:webHidden/>
          </w:rPr>
          <w:tab/>
        </w:r>
        <w:r w:rsidR="009D2BF2">
          <w:rPr>
            <w:webHidden/>
          </w:rPr>
          <w:fldChar w:fldCharType="begin"/>
        </w:r>
        <w:r w:rsidR="009D2BF2">
          <w:rPr>
            <w:webHidden/>
          </w:rPr>
          <w:instrText xml:space="preserve"> PAGEREF _Toc517101425 \h </w:instrText>
        </w:r>
        <w:r w:rsidR="009D2BF2">
          <w:rPr>
            <w:webHidden/>
          </w:rPr>
        </w:r>
        <w:r w:rsidR="009D2BF2">
          <w:rPr>
            <w:webHidden/>
          </w:rPr>
          <w:fldChar w:fldCharType="separate"/>
        </w:r>
        <w:r w:rsidR="004A16F5">
          <w:rPr>
            <w:webHidden/>
          </w:rPr>
          <w:t>41</w:t>
        </w:r>
        <w:r w:rsidR="009D2BF2">
          <w:rPr>
            <w:webHidden/>
          </w:rPr>
          <w:fldChar w:fldCharType="end"/>
        </w:r>
      </w:hyperlink>
    </w:p>
    <w:p w14:paraId="455412AA" w14:textId="77777777" w:rsidR="009D2BF2" w:rsidRDefault="00A3211E">
      <w:pPr>
        <w:pStyle w:val="TOC3"/>
        <w:rPr>
          <w:rFonts w:asciiTheme="minorHAnsi" w:eastAsiaTheme="minorEastAsia" w:hAnsiTheme="minorHAnsi" w:cstheme="minorBidi"/>
          <w:sz w:val="22"/>
          <w:szCs w:val="22"/>
        </w:rPr>
      </w:pPr>
      <w:hyperlink w:anchor="_Toc517101426" w:history="1">
        <w:r w:rsidR="009D2BF2" w:rsidRPr="00124A2E">
          <w:rPr>
            <w:rStyle w:val="Hyperlink"/>
          </w:rPr>
          <w:t>5.2.2</w:t>
        </w:r>
        <w:r w:rsidR="009D2BF2">
          <w:rPr>
            <w:rFonts w:asciiTheme="minorHAnsi" w:eastAsiaTheme="minorEastAsia" w:hAnsiTheme="minorHAnsi" w:cstheme="minorBidi"/>
            <w:sz w:val="22"/>
            <w:szCs w:val="22"/>
          </w:rPr>
          <w:tab/>
        </w:r>
        <w:r w:rsidR="009D2BF2" w:rsidRPr="00124A2E">
          <w:rPr>
            <w:rStyle w:val="Hyperlink"/>
          </w:rPr>
          <w:t>Geological datasets</w:t>
        </w:r>
        <w:r w:rsidR="009D2BF2">
          <w:rPr>
            <w:webHidden/>
          </w:rPr>
          <w:tab/>
        </w:r>
        <w:r w:rsidR="009D2BF2">
          <w:rPr>
            <w:webHidden/>
          </w:rPr>
          <w:fldChar w:fldCharType="begin"/>
        </w:r>
        <w:r w:rsidR="009D2BF2">
          <w:rPr>
            <w:webHidden/>
          </w:rPr>
          <w:instrText xml:space="preserve"> PAGEREF _Toc517101426 \h </w:instrText>
        </w:r>
        <w:r w:rsidR="009D2BF2">
          <w:rPr>
            <w:webHidden/>
          </w:rPr>
        </w:r>
        <w:r w:rsidR="009D2BF2">
          <w:rPr>
            <w:webHidden/>
          </w:rPr>
          <w:fldChar w:fldCharType="separate"/>
        </w:r>
        <w:r w:rsidR="004A16F5">
          <w:rPr>
            <w:webHidden/>
          </w:rPr>
          <w:t>41</w:t>
        </w:r>
        <w:r w:rsidR="009D2BF2">
          <w:rPr>
            <w:webHidden/>
          </w:rPr>
          <w:fldChar w:fldCharType="end"/>
        </w:r>
      </w:hyperlink>
    </w:p>
    <w:p w14:paraId="455CE9BC" w14:textId="77777777" w:rsidR="009D2BF2" w:rsidRDefault="00A3211E">
      <w:pPr>
        <w:pStyle w:val="TOC3"/>
        <w:rPr>
          <w:rFonts w:asciiTheme="minorHAnsi" w:eastAsiaTheme="minorEastAsia" w:hAnsiTheme="minorHAnsi" w:cstheme="minorBidi"/>
          <w:sz w:val="22"/>
          <w:szCs w:val="22"/>
        </w:rPr>
      </w:pPr>
      <w:hyperlink w:anchor="_Toc517101427" w:history="1">
        <w:r w:rsidR="009D2BF2" w:rsidRPr="00124A2E">
          <w:rPr>
            <w:rStyle w:val="Hyperlink"/>
          </w:rPr>
          <w:t>5.2.3</w:t>
        </w:r>
        <w:r w:rsidR="009D2BF2">
          <w:rPr>
            <w:rFonts w:asciiTheme="minorHAnsi" w:eastAsiaTheme="minorEastAsia" w:hAnsiTheme="minorHAnsi" w:cstheme="minorBidi"/>
            <w:sz w:val="22"/>
            <w:szCs w:val="22"/>
          </w:rPr>
          <w:tab/>
        </w:r>
        <w:r w:rsidR="009D2BF2" w:rsidRPr="00124A2E">
          <w:rPr>
            <w:rStyle w:val="Hyperlink"/>
          </w:rPr>
          <w:t>Petroleum datasets</w:t>
        </w:r>
        <w:r w:rsidR="009D2BF2">
          <w:rPr>
            <w:webHidden/>
          </w:rPr>
          <w:tab/>
        </w:r>
        <w:r w:rsidR="009D2BF2">
          <w:rPr>
            <w:webHidden/>
          </w:rPr>
          <w:fldChar w:fldCharType="begin"/>
        </w:r>
        <w:r w:rsidR="009D2BF2">
          <w:rPr>
            <w:webHidden/>
          </w:rPr>
          <w:instrText xml:space="preserve"> PAGEREF _Toc517101427 \h </w:instrText>
        </w:r>
        <w:r w:rsidR="009D2BF2">
          <w:rPr>
            <w:webHidden/>
          </w:rPr>
        </w:r>
        <w:r w:rsidR="009D2BF2">
          <w:rPr>
            <w:webHidden/>
          </w:rPr>
          <w:fldChar w:fldCharType="separate"/>
        </w:r>
        <w:r w:rsidR="004A16F5">
          <w:rPr>
            <w:webHidden/>
          </w:rPr>
          <w:t>42</w:t>
        </w:r>
        <w:r w:rsidR="009D2BF2">
          <w:rPr>
            <w:webHidden/>
          </w:rPr>
          <w:fldChar w:fldCharType="end"/>
        </w:r>
      </w:hyperlink>
    </w:p>
    <w:p w14:paraId="187FB34E" w14:textId="77777777" w:rsidR="009D2BF2" w:rsidRDefault="00A3211E">
      <w:pPr>
        <w:pStyle w:val="TOC3"/>
        <w:rPr>
          <w:rFonts w:asciiTheme="minorHAnsi" w:eastAsiaTheme="minorEastAsia" w:hAnsiTheme="minorHAnsi" w:cstheme="minorBidi"/>
          <w:sz w:val="22"/>
          <w:szCs w:val="22"/>
        </w:rPr>
      </w:pPr>
      <w:hyperlink w:anchor="_Toc517101428" w:history="1">
        <w:r w:rsidR="009D2BF2" w:rsidRPr="00124A2E">
          <w:rPr>
            <w:rStyle w:val="Hyperlink"/>
          </w:rPr>
          <w:t>5.2.4</w:t>
        </w:r>
        <w:r w:rsidR="009D2BF2">
          <w:rPr>
            <w:rFonts w:asciiTheme="minorHAnsi" w:eastAsiaTheme="minorEastAsia" w:hAnsiTheme="minorHAnsi" w:cstheme="minorBidi"/>
            <w:sz w:val="22"/>
            <w:szCs w:val="22"/>
          </w:rPr>
          <w:tab/>
        </w:r>
        <w:r w:rsidR="009D2BF2" w:rsidRPr="00124A2E">
          <w:rPr>
            <w:rStyle w:val="Hyperlink"/>
          </w:rPr>
          <w:t>Groundwater, surface water, environmental assets and social datasets</w:t>
        </w:r>
        <w:r w:rsidR="009D2BF2">
          <w:rPr>
            <w:webHidden/>
          </w:rPr>
          <w:tab/>
        </w:r>
        <w:r w:rsidR="009D2BF2">
          <w:rPr>
            <w:webHidden/>
          </w:rPr>
          <w:fldChar w:fldCharType="begin"/>
        </w:r>
        <w:r w:rsidR="009D2BF2">
          <w:rPr>
            <w:webHidden/>
          </w:rPr>
          <w:instrText xml:space="preserve"> PAGEREF _Toc517101428 \h </w:instrText>
        </w:r>
        <w:r w:rsidR="009D2BF2">
          <w:rPr>
            <w:webHidden/>
          </w:rPr>
        </w:r>
        <w:r w:rsidR="009D2BF2">
          <w:rPr>
            <w:webHidden/>
          </w:rPr>
          <w:fldChar w:fldCharType="separate"/>
        </w:r>
        <w:r w:rsidR="004A16F5">
          <w:rPr>
            <w:webHidden/>
          </w:rPr>
          <w:t>47</w:t>
        </w:r>
        <w:r w:rsidR="009D2BF2">
          <w:rPr>
            <w:webHidden/>
          </w:rPr>
          <w:fldChar w:fldCharType="end"/>
        </w:r>
      </w:hyperlink>
    </w:p>
    <w:p w14:paraId="760E814A" w14:textId="77777777" w:rsidR="009D2BF2" w:rsidRDefault="00A3211E">
      <w:pPr>
        <w:pStyle w:val="TOC2"/>
        <w:rPr>
          <w:rFonts w:asciiTheme="minorHAnsi" w:eastAsiaTheme="minorEastAsia" w:hAnsiTheme="minorHAnsi" w:cstheme="minorBidi"/>
          <w:sz w:val="22"/>
          <w:szCs w:val="22"/>
        </w:rPr>
      </w:pPr>
      <w:hyperlink w:anchor="_Toc517101429" w:history="1">
        <w:r w:rsidR="009D2BF2" w:rsidRPr="00124A2E">
          <w:rPr>
            <w:rStyle w:val="Hyperlink"/>
          </w:rPr>
          <w:t>5.3</w:t>
        </w:r>
        <w:r w:rsidR="009D2BF2">
          <w:rPr>
            <w:rFonts w:asciiTheme="minorHAnsi" w:eastAsiaTheme="minorEastAsia" w:hAnsiTheme="minorHAnsi" w:cstheme="minorBidi"/>
            <w:sz w:val="22"/>
            <w:szCs w:val="22"/>
          </w:rPr>
          <w:tab/>
        </w:r>
        <w:r w:rsidR="009D2BF2" w:rsidRPr="00124A2E">
          <w:rPr>
            <w:rStyle w:val="Hyperlink"/>
          </w:rPr>
          <w:t>Audit of shortlisted basins</w:t>
        </w:r>
        <w:r w:rsidR="009D2BF2">
          <w:rPr>
            <w:webHidden/>
          </w:rPr>
          <w:tab/>
        </w:r>
        <w:r w:rsidR="009D2BF2">
          <w:rPr>
            <w:webHidden/>
          </w:rPr>
          <w:fldChar w:fldCharType="begin"/>
        </w:r>
        <w:r w:rsidR="009D2BF2">
          <w:rPr>
            <w:webHidden/>
          </w:rPr>
          <w:instrText xml:space="preserve"> PAGEREF _Toc517101429 \h </w:instrText>
        </w:r>
        <w:r w:rsidR="009D2BF2">
          <w:rPr>
            <w:webHidden/>
          </w:rPr>
        </w:r>
        <w:r w:rsidR="009D2BF2">
          <w:rPr>
            <w:webHidden/>
          </w:rPr>
          <w:fldChar w:fldCharType="separate"/>
        </w:r>
        <w:r w:rsidR="004A16F5">
          <w:rPr>
            <w:webHidden/>
          </w:rPr>
          <w:t>53</w:t>
        </w:r>
        <w:r w:rsidR="009D2BF2">
          <w:rPr>
            <w:webHidden/>
          </w:rPr>
          <w:fldChar w:fldCharType="end"/>
        </w:r>
      </w:hyperlink>
    </w:p>
    <w:p w14:paraId="2582D870" w14:textId="77777777" w:rsidR="009D2BF2" w:rsidRDefault="00A3211E">
      <w:pPr>
        <w:pStyle w:val="TOC3"/>
        <w:rPr>
          <w:rFonts w:asciiTheme="minorHAnsi" w:eastAsiaTheme="minorEastAsia" w:hAnsiTheme="minorHAnsi" w:cstheme="minorBidi"/>
          <w:sz w:val="22"/>
          <w:szCs w:val="22"/>
        </w:rPr>
      </w:pPr>
      <w:hyperlink w:anchor="_Toc517101430" w:history="1">
        <w:r w:rsidR="009D2BF2" w:rsidRPr="00124A2E">
          <w:rPr>
            <w:rStyle w:val="Hyperlink"/>
          </w:rPr>
          <w:t>5.3.1</w:t>
        </w:r>
        <w:r w:rsidR="009D2BF2">
          <w:rPr>
            <w:rFonts w:asciiTheme="minorHAnsi" w:eastAsiaTheme="minorEastAsia" w:hAnsiTheme="minorHAnsi" w:cstheme="minorBidi"/>
            <w:sz w:val="22"/>
            <w:szCs w:val="22"/>
          </w:rPr>
          <w:tab/>
        </w:r>
        <w:r w:rsidR="009D2BF2" w:rsidRPr="00124A2E">
          <w:rPr>
            <w:rStyle w:val="Hyperlink"/>
          </w:rPr>
          <w:t>Basin geology, prospectivity, market infrastructure access and regulatory environment</w:t>
        </w:r>
        <w:r w:rsidR="009D2BF2">
          <w:rPr>
            <w:webHidden/>
          </w:rPr>
          <w:tab/>
        </w:r>
        <w:r w:rsidR="009D2BF2">
          <w:rPr>
            <w:webHidden/>
          </w:rPr>
          <w:fldChar w:fldCharType="begin"/>
        </w:r>
        <w:r w:rsidR="009D2BF2">
          <w:rPr>
            <w:webHidden/>
          </w:rPr>
          <w:instrText xml:space="preserve"> PAGEREF _Toc517101430 \h </w:instrText>
        </w:r>
        <w:r w:rsidR="009D2BF2">
          <w:rPr>
            <w:webHidden/>
          </w:rPr>
        </w:r>
        <w:r w:rsidR="009D2BF2">
          <w:rPr>
            <w:webHidden/>
          </w:rPr>
          <w:fldChar w:fldCharType="separate"/>
        </w:r>
        <w:r w:rsidR="004A16F5">
          <w:rPr>
            <w:webHidden/>
          </w:rPr>
          <w:t>55</w:t>
        </w:r>
        <w:r w:rsidR="009D2BF2">
          <w:rPr>
            <w:webHidden/>
          </w:rPr>
          <w:fldChar w:fldCharType="end"/>
        </w:r>
      </w:hyperlink>
    </w:p>
    <w:p w14:paraId="27B61189" w14:textId="77777777" w:rsidR="009D2BF2" w:rsidRDefault="00A3211E">
      <w:pPr>
        <w:pStyle w:val="TOC3"/>
        <w:rPr>
          <w:rFonts w:asciiTheme="minorHAnsi" w:eastAsiaTheme="minorEastAsia" w:hAnsiTheme="minorHAnsi" w:cstheme="minorBidi"/>
          <w:sz w:val="22"/>
          <w:szCs w:val="22"/>
        </w:rPr>
      </w:pPr>
      <w:hyperlink w:anchor="_Toc517101431" w:history="1">
        <w:r w:rsidR="009D2BF2" w:rsidRPr="00124A2E">
          <w:rPr>
            <w:rStyle w:val="Hyperlink"/>
          </w:rPr>
          <w:t>5.3.2</w:t>
        </w:r>
        <w:r w:rsidR="009D2BF2">
          <w:rPr>
            <w:rFonts w:asciiTheme="minorHAnsi" w:eastAsiaTheme="minorEastAsia" w:hAnsiTheme="minorHAnsi" w:cstheme="minorBidi"/>
            <w:sz w:val="22"/>
            <w:szCs w:val="22"/>
          </w:rPr>
          <w:tab/>
        </w:r>
        <w:r w:rsidR="009D2BF2" w:rsidRPr="00124A2E">
          <w:rPr>
            <w:rStyle w:val="Hyperlink"/>
          </w:rPr>
          <w:t>Groundwater, surface water, environmental and social considerations</w:t>
        </w:r>
        <w:r w:rsidR="009D2BF2">
          <w:rPr>
            <w:webHidden/>
          </w:rPr>
          <w:tab/>
        </w:r>
        <w:r w:rsidR="009D2BF2">
          <w:rPr>
            <w:webHidden/>
          </w:rPr>
          <w:fldChar w:fldCharType="begin"/>
        </w:r>
        <w:r w:rsidR="009D2BF2">
          <w:rPr>
            <w:webHidden/>
          </w:rPr>
          <w:instrText xml:space="preserve"> PAGEREF _Toc517101431 \h </w:instrText>
        </w:r>
        <w:r w:rsidR="009D2BF2">
          <w:rPr>
            <w:webHidden/>
          </w:rPr>
        </w:r>
        <w:r w:rsidR="009D2BF2">
          <w:rPr>
            <w:webHidden/>
          </w:rPr>
          <w:fldChar w:fldCharType="separate"/>
        </w:r>
        <w:r w:rsidR="004A16F5">
          <w:rPr>
            <w:webHidden/>
          </w:rPr>
          <w:t>67</w:t>
        </w:r>
        <w:r w:rsidR="009D2BF2">
          <w:rPr>
            <w:webHidden/>
          </w:rPr>
          <w:fldChar w:fldCharType="end"/>
        </w:r>
      </w:hyperlink>
    </w:p>
    <w:p w14:paraId="0ECB8E3D" w14:textId="77777777" w:rsidR="009D2BF2" w:rsidRDefault="00A3211E">
      <w:pPr>
        <w:pStyle w:val="TOC1"/>
        <w:rPr>
          <w:rFonts w:asciiTheme="minorHAnsi" w:eastAsiaTheme="minorEastAsia" w:hAnsiTheme="minorHAnsi" w:cstheme="minorBidi"/>
          <w:b w:val="0"/>
          <w:color w:val="auto"/>
          <w:sz w:val="22"/>
          <w:szCs w:val="22"/>
        </w:rPr>
      </w:pPr>
      <w:hyperlink w:anchor="_Toc517101432" w:history="1">
        <w:r w:rsidR="009D2BF2" w:rsidRPr="00124A2E">
          <w:rPr>
            <w:rStyle w:val="Hyperlink"/>
          </w:rPr>
          <w:t>6</w:t>
        </w:r>
        <w:r w:rsidR="009D2BF2">
          <w:rPr>
            <w:rFonts w:asciiTheme="minorHAnsi" w:eastAsiaTheme="minorEastAsia" w:hAnsiTheme="minorHAnsi" w:cstheme="minorBidi"/>
            <w:b w:val="0"/>
            <w:color w:val="auto"/>
            <w:sz w:val="22"/>
            <w:szCs w:val="22"/>
          </w:rPr>
          <w:tab/>
        </w:r>
        <w:r w:rsidR="009D2BF2" w:rsidRPr="00124A2E">
          <w:rPr>
            <w:rStyle w:val="Hyperlink"/>
          </w:rPr>
          <w:t>Summary</w:t>
        </w:r>
        <w:r w:rsidR="009D2BF2">
          <w:rPr>
            <w:webHidden/>
          </w:rPr>
          <w:tab/>
        </w:r>
        <w:r w:rsidR="009D2BF2">
          <w:rPr>
            <w:webHidden/>
          </w:rPr>
          <w:fldChar w:fldCharType="begin"/>
        </w:r>
        <w:r w:rsidR="009D2BF2">
          <w:rPr>
            <w:webHidden/>
          </w:rPr>
          <w:instrText xml:space="preserve"> PAGEREF _Toc517101432 \h </w:instrText>
        </w:r>
        <w:r w:rsidR="009D2BF2">
          <w:rPr>
            <w:webHidden/>
          </w:rPr>
        </w:r>
        <w:r w:rsidR="009D2BF2">
          <w:rPr>
            <w:webHidden/>
          </w:rPr>
          <w:fldChar w:fldCharType="separate"/>
        </w:r>
        <w:r w:rsidR="004A16F5">
          <w:rPr>
            <w:webHidden/>
          </w:rPr>
          <w:t>79</w:t>
        </w:r>
        <w:r w:rsidR="009D2BF2">
          <w:rPr>
            <w:webHidden/>
          </w:rPr>
          <w:fldChar w:fldCharType="end"/>
        </w:r>
      </w:hyperlink>
    </w:p>
    <w:p w14:paraId="321C68FE" w14:textId="77777777" w:rsidR="009D2BF2" w:rsidRDefault="00A3211E">
      <w:pPr>
        <w:pStyle w:val="TOC2"/>
        <w:rPr>
          <w:rFonts w:asciiTheme="minorHAnsi" w:eastAsiaTheme="minorEastAsia" w:hAnsiTheme="minorHAnsi" w:cstheme="minorBidi"/>
          <w:sz w:val="22"/>
          <w:szCs w:val="22"/>
        </w:rPr>
      </w:pPr>
      <w:hyperlink w:anchor="_Toc517101433" w:history="1">
        <w:r w:rsidR="009D2BF2" w:rsidRPr="00124A2E">
          <w:rPr>
            <w:rStyle w:val="Hyperlink"/>
          </w:rPr>
          <w:t>6.1</w:t>
        </w:r>
        <w:r w:rsidR="009D2BF2">
          <w:rPr>
            <w:rFonts w:asciiTheme="minorHAnsi" w:eastAsiaTheme="minorEastAsia" w:hAnsiTheme="minorHAnsi" w:cstheme="minorBidi"/>
            <w:sz w:val="22"/>
            <w:szCs w:val="22"/>
          </w:rPr>
          <w:tab/>
        </w:r>
        <w:r w:rsidR="009D2BF2" w:rsidRPr="00124A2E">
          <w:rPr>
            <w:rStyle w:val="Hyperlink"/>
          </w:rPr>
          <w:t>Basin geology, prospectivity, market access and regulatory environment</w:t>
        </w:r>
        <w:r w:rsidR="009D2BF2">
          <w:rPr>
            <w:webHidden/>
          </w:rPr>
          <w:tab/>
        </w:r>
        <w:r w:rsidR="009D2BF2">
          <w:rPr>
            <w:webHidden/>
          </w:rPr>
          <w:fldChar w:fldCharType="begin"/>
        </w:r>
        <w:r w:rsidR="009D2BF2">
          <w:rPr>
            <w:webHidden/>
          </w:rPr>
          <w:instrText xml:space="preserve"> PAGEREF _Toc517101433 \h </w:instrText>
        </w:r>
        <w:r w:rsidR="009D2BF2">
          <w:rPr>
            <w:webHidden/>
          </w:rPr>
        </w:r>
        <w:r w:rsidR="009D2BF2">
          <w:rPr>
            <w:webHidden/>
          </w:rPr>
          <w:fldChar w:fldCharType="separate"/>
        </w:r>
        <w:r w:rsidR="004A16F5">
          <w:rPr>
            <w:webHidden/>
          </w:rPr>
          <w:t>79</w:t>
        </w:r>
        <w:r w:rsidR="009D2BF2">
          <w:rPr>
            <w:webHidden/>
          </w:rPr>
          <w:fldChar w:fldCharType="end"/>
        </w:r>
      </w:hyperlink>
    </w:p>
    <w:p w14:paraId="06F49FE9" w14:textId="77777777" w:rsidR="009D2BF2" w:rsidRDefault="00A3211E">
      <w:pPr>
        <w:pStyle w:val="TOC2"/>
        <w:rPr>
          <w:rFonts w:asciiTheme="minorHAnsi" w:eastAsiaTheme="minorEastAsia" w:hAnsiTheme="minorHAnsi" w:cstheme="minorBidi"/>
          <w:sz w:val="22"/>
          <w:szCs w:val="22"/>
        </w:rPr>
      </w:pPr>
      <w:hyperlink w:anchor="_Toc517101434" w:history="1">
        <w:r w:rsidR="009D2BF2" w:rsidRPr="00124A2E">
          <w:rPr>
            <w:rStyle w:val="Hyperlink"/>
          </w:rPr>
          <w:t>6.2</w:t>
        </w:r>
        <w:r w:rsidR="009D2BF2">
          <w:rPr>
            <w:rFonts w:asciiTheme="minorHAnsi" w:eastAsiaTheme="minorEastAsia" w:hAnsiTheme="minorHAnsi" w:cstheme="minorBidi"/>
            <w:sz w:val="22"/>
            <w:szCs w:val="22"/>
          </w:rPr>
          <w:tab/>
        </w:r>
        <w:r w:rsidR="009D2BF2" w:rsidRPr="00124A2E">
          <w:rPr>
            <w:rStyle w:val="Hyperlink"/>
          </w:rPr>
          <w:t>Groundwater, surface water, environmental and social considerations</w:t>
        </w:r>
        <w:r w:rsidR="009D2BF2">
          <w:rPr>
            <w:webHidden/>
          </w:rPr>
          <w:tab/>
        </w:r>
        <w:r w:rsidR="009D2BF2">
          <w:rPr>
            <w:webHidden/>
          </w:rPr>
          <w:fldChar w:fldCharType="begin"/>
        </w:r>
        <w:r w:rsidR="009D2BF2">
          <w:rPr>
            <w:webHidden/>
          </w:rPr>
          <w:instrText xml:space="preserve"> PAGEREF _Toc517101434 \h </w:instrText>
        </w:r>
        <w:r w:rsidR="009D2BF2">
          <w:rPr>
            <w:webHidden/>
          </w:rPr>
        </w:r>
        <w:r w:rsidR="009D2BF2">
          <w:rPr>
            <w:webHidden/>
          </w:rPr>
          <w:fldChar w:fldCharType="separate"/>
        </w:r>
        <w:r w:rsidR="004A16F5">
          <w:rPr>
            <w:webHidden/>
          </w:rPr>
          <w:t>84</w:t>
        </w:r>
        <w:r w:rsidR="009D2BF2">
          <w:rPr>
            <w:webHidden/>
          </w:rPr>
          <w:fldChar w:fldCharType="end"/>
        </w:r>
      </w:hyperlink>
    </w:p>
    <w:p w14:paraId="71A753A1" w14:textId="77777777" w:rsidR="009D2BF2" w:rsidRDefault="00A3211E">
      <w:pPr>
        <w:pStyle w:val="TOC3"/>
        <w:rPr>
          <w:rFonts w:asciiTheme="minorHAnsi" w:eastAsiaTheme="minorEastAsia" w:hAnsiTheme="minorHAnsi" w:cstheme="minorBidi"/>
          <w:sz w:val="22"/>
          <w:szCs w:val="22"/>
        </w:rPr>
      </w:pPr>
      <w:hyperlink w:anchor="_Toc517101435" w:history="1">
        <w:r w:rsidR="009D2BF2" w:rsidRPr="00124A2E">
          <w:rPr>
            <w:rStyle w:val="Hyperlink"/>
          </w:rPr>
          <w:t>References</w:t>
        </w:r>
        <w:r w:rsidR="009D2BF2">
          <w:rPr>
            <w:webHidden/>
          </w:rPr>
          <w:tab/>
        </w:r>
        <w:r w:rsidR="009D2BF2">
          <w:rPr>
            <w:webHidden/>
          </w:rPr>
          <w:fldChar w:fldCharType="begin"/>
        </w:r>
        <w:r w:rsidR="009D2BF2">
          <w:rPr>
            <w:webHidden/>
          </w:rPr>
          <w:instrText xml:space="preserve"> PAGEREF _Toc517101435 \h </w:instrText>
        </w:r>
        <w:r w:rsidR="009D2BF2">
          <w:rPr>
            <w:webHidden/>
          </w:rPr>
        </w:r>
        <w:r w:rsidR="009D2BF2">
          <w:rPr>
            <w:webHidden/>
          </w:rPr>
          <w:fldChar w:fldCharType="separate"/>
        </w:r>
        <w:r w:rsidR="004A16F5">
          <w:rPr>
            <w:webHidden/>
          </w:rPr>
          <w:t>85</w:t>
        </w:r>
        <w:r w:rsidR="009D2BF2">
          <w:rPr>
            <w:webHidden/>
          </w:rPr>
          <w:fldChar w:fldCharType="end"/>
        </w:r>
      </w:hyperlink>
    </w:p>
    <w:p w14:paraId="3B404B36" w14:textId="77777777" w:rsidR="009D2BF2" w:rsidRDefault="00A3211E">
      <w:pPr>
        <w:pStyle w:val="TOC3"/>
        <w:rPr>
          <w:rFonts w:asciiTheme="minorHAnsi" w:eastAsiaTheme="minorEastAsia" w:hAnsiTheme="minorHAnsi" w:cstheme="minorBidi"/>
          <w:sz w:val="22"/>
          <w:szCs w:val="22"/>
        </w:rPr>
      </w:pPr>
      <w:hyperlink w:anchor="_Toc517101436" w:history="1">
        <w:r w:rsidR="009D2BF2" w:rsidRPr="00124A2E">
          <w:rPr>
            <w:rStyle w:val="Hyperlink"/>
          </w:rPr>
          <w:t>Decimal numbering system</w:t>
        </w:r>
        <w:r w:rsidR="009D2BF2">
          <w:rPr>
            <w:webHidden/>
          </w:rPr>
          <w:tab/>
        </w:r>
        <w:r w:rsidR="009D2BF2">
          <w:rPr>
            <w:webHidden/>
          </w:rPr>
          <w:fldChar w:fldCharType="begin"/>
        </w:r>
        <w:r w:rsidR="009D2BF2">
          <w:rPr>
            <w:webHidden/>
          </w:rPr>
          <w:instrText xml:space="preserve"> PAGEREF _Toc517101436 \h </w:instrText>
        </w:r>
        <w:r w:rsidR="009D2BF2">
          <w:rPr>
            <w:webHidden/>
          </w:rPr>
        </w:r>
        <w:r w:rsidR="009D2BF2">
          <w:rPr>
            <w:webHidden/>
          </w:rPr>
          <w:fldChar w:fldCharType="separate"/>
        </w:r>
        <w:r w:rsidR="004A16F5">
          <w:rPr>
            <w:webHidden/>
          </w:rPr>
          <w:t>97</w:t>
        </w:r>
        <w:r w:rsidR="009D2BF2">
          <w:rPr>
            <w:webHidden/>
          </w:rPr>
          <w:fldChar w:fldCharType="end"/>
        </w:r>
      </w:hyperlink>
    </w:p>
    <w:p w14:paraId="2C923D0C" w14:textId="77777777" w:rsidR="009D2BF2" w:rsidRDefault="00A3211E">
      <w:pPr>
        <w:pStyle w:val="TOC3"/>
        <w:rPr>
          <w:rFonts w:asciiTheme="minorHAnsi" w:eastAsiaTheme="minorEastAsia" w:hAnsiTheme="minorHAnsi" w:cstheme="minorBidi"/>
          <w:sz w:val="22"/>
          <w:szCs w:val="22"/>
        </w:rPr>
      </w:pPr>
      <w:hyperlink w:anchor="_Toc517101437" w:history="1">
        <w:r w:rsidR="009D2BF2" w:rsidRPr="00124A2E">
          <w:rPr>
            <w:rStyle w:val="Hyperlink"/>
          </w:rPr>
          <w:t>Energy measurement</w:t>
        </w:r>
        <w:r w:rsidR="009D2BF2">
          <w:rPr>
            <w:webHidden/>
          </w:rPr>
          <w:tab/>
        </w:r>
        <w:r w:rsidR="009D2BF2">
          <w:rPr>
            <w:webHidden/>
          </w:rPr>
          <w:fldChar w:fldCharType="begin"/>
        </w:r>
        <w:r w:rsidR="009D2BF2">
          <w:rPr>
            <w:webHidden/>
          </w:rPr>
          <w:instrText xml:space="preserve"> PAGEREF _Toc517101437 \h </w:instrText>
        </w:r>
        <w:r w:rsidR="009D2BF2">
          <w:rPr>
            <w:webHidden/>
          </w:rPr>
        </w:r>
        <w:r w:rsidR="009D2BF2">
          <w:rPr>
            <w:webHidden/>
          </w:rPr>
          <w:fldChar w:fldCharType="separate"/>
        </w:r>
        <w:r w:rsidR="004A16F5">
          <w:rPr>
            <w:webHidden/>
          </w:rPr>
          <w:t>97</w:t>
        </w:r>
        <w:r w:rsidR="009D2BF2">
          <w:rPr>
            <w:webHidden/>
          </w:rPr>
          <w:fldChar w:fldCharType="end"/>
        </w:r>
      </w:hyperlink>
    </w:p>
    <w:p w14:paraId="013CB474" w14:textId="77777777" w:rsidR="009D2BF2" w:rsidRDefault="00A3211E">
      <w:pPr>
        <w:pStyle w:val="TOC3"/>
        <w:rPr>
          <w:rFonts w:asciiTheme="minorHAnsi" w:eastAsiaTheme="minorEastAsia" w:hAnsiTheme="minorHAnsi" w:cstheme="minorBidi"/>
          <w:sz w:val="22"/>
          <w:szCs w:val="22"/>
        </w:rPr>
      </w:pPr>
      <w:hyperlink w:anchor="_Toc517101438" w:history="1">
        <w:r w:rsidR="009D2BF2" w:rsidRPr="00124A2E">
          <w:rPr>
            <w:rStyle w:val="Hyperlink"/>
          </w:rPr>
          <w:t>Fuel-specific to standard unit conversion factors</w:t>
        </w:r>
        <w:r w:rsidR="009D2BF2">
          <w:rPr>
            <w:webHidden/>
          </w:rPr>
          <w:tab/>
        </w:r>
        <w:r w:rsidR="009D2BF2">
          <w:rPr>
            <w:webHidden/>
          </w:rPr>
          <w:fldChar w:fldCharType="begin"/>
        </w:r>
        <w:r w:rsidR="009D2BF2">
          <w:rPr>
            <w:webHidden/>
          </w:rPr>
          <w:instrText xml:space="preserve"> PAGEREF _Toc517101438 \h </w:instrText>
        </w:r>
        <w:r w:rsidR="009D2BF2">
          <w:rPr>
            <w:webHidden/>
          </w:rPr>
        </w:r>
        <w:r w:rsidR="009D2BF2">
          <w:rPr>
            <w:webHidden/>
          </w:rPr>
          <w:fldChar w:fldCharType="separate"/>
        </w:r>
        <w:r w:rsidR="004A16F5">
          <w:rPr>
            <w:webHidden/>
          </w:rPr>
          <w:t>98</w:t>
        </w:r>
        <w:r w:rsidR="009D2BF2">
          <w:rPr>
            <w:webHidden/>
          </w:rPr>
          <w:fldChar w:fldCharType="end"/>
        </w:r>
      </w:hyperlink>
    </w:p>
    <w:p w14:paraId="10E3775F" w14:textId="77777777" w:rsidR="009D2BF2" w:rsidRDefault="00A3211E">
      <w:pPr>
        <w:pStyle w:val="TOC3"/>
        <w:rPr>
          <w:rFonts w:asciiTheme="minorHAnsi" w:eastAsiaTheme="minorEastAsia" w:hAnsiTheme="minorHAnsi" w:cstheme="minorBidi"/>
          <w:sz w:val="22"/>
          <w:szCs w:val="22"/>
        </w:rPr>
      </w:pPr>
      <w:hyperlink w:anchor="_Toc517101439" w:history="1">
        <w:r w:rsidR="009D2BF2" w:rsidRPr="00124A2E">
          <w:rPr>
            <w:rStyle w:val="Hyperlink"/>
          </w:rPr>
          <w:t>Energy content conversion factors</w:t>
        </w:r>
        <w:r w:rsidR="009D2BF2">
          <w:rPr>
            <w:webHidden/>
          </w:rPr>
          <w:tab/>
        </w:r>
        <w:r w:rsidR="009D2BF2">
          <w:rPr>
            <w:webHidden/>
          </w:rPr>
          <w:fldChar w:fldCharType="begin"/>
        </w:r>
        <w:r w:rsidR="009D2BF2">
          <w:rPr>
            <w:webHidden/>
          </w:rPr>
          <w:instrText xml:space="preserve"> PAGEREF _Toc517101439 \h </w:instrText>
        </w:r>
        <w:r w:rsidR="009D2BF2">
          <w:rPr>
            <w:webHidden/>
          </w:rPr>
        </w:r>
        <w:r w:rsidR="009D2BF2">
          <w:rPr>
            <w:webHidden/>
          </w:rPr>
          <w:fldChar w:fldCharType="separate"/>
        </w:r>
        <w:r w:rsidR="004A16F5">
          <w:rPr>
            <w:webHidden/>
          </w:rPr>
          <w:t>98</w:t>
        </w:r>
        <w:r w:rsidR="009D2BF2">
          <w:rPr>
            <w:webHidden/>
          </w:rPr>
          <w:fldChar w:fldCharType="end"/>
        </w:r>
      </w:hyperlink>
    </w:p>
    <w:p w14:paraId="223BCD27" w14:textId="77777777" w:rsidR="003053C7" w:rsidRPr="0013472C" w:rsidRDefault="003450C4" w:rsidP="005E0FA1">
      <w:pPr>
        <w:pStyle w:val="BodyText"/>
      </w:pPr>
      <w:r>
        <w:rPr>
          <w:noProof/>
          <w:color w:val="146692" w:themeColor="text2"/>
        </w:rPr>
        <w:fldChar w:fldCharType="end"/>
      </w:r>
      <w:r w:rsidR="003053C7">
        <w:br w:type="page"/>
      </w:r>
    </w:p>
    <w:p w14:paraId="223BCD28" w14:textId="77777777" w:rsidR="00A943B2" w:rsidRDefault="004D139E" w:rsidP="00FE2FF7">
      <w:pPr>
        <w:pStyle w:val="TOCHeading"/>
      </w:pPr>
      <w:r w:rsidRPr="007A56F9">
        <w:lastRenderedPageBreak/>
        <w:t>F</w:t>
      </w:r>
      <w:r w:rsidR="00A943B2" w:rsidRPr="007A56F9">
        <w:t>igures</w:t>
      </w:r>
    </w:p>
    <w:p w14:paraId="0E08F163" w14:textId="77777777" w:rsidR="009D2BF2" w:rsidRDefault="004B38AE">
      <w:pPr>
        <w:pStyle w:val="TableofFigures"/>
        <w:rPr>
          <w:rFonts w:asciiTheme="minorHAnsi" w:eastAsiaTheme="minorEastAsia" w:hAnsiTheme="minorHAnsi" w:cstheme="minorBidi"/>
          <w:noProof/>
          <w:color w:val="auto"/>
          <w:sz w:val="22"/>
          <w:szCs w:val="22"/>
        </w:rPr>
      </w:pPr>
      <w:r>
        <w:fldChar w:fldCharType="begin"/>
      </w:r>
      <w:r w:rsidR="00A943B2">
        <w:instrText xml:space="preserve"> TOC \h \z \c "Figure" </w:instrText>
      </w:r>
      <w:r>
        <w:fldChar w:fldCharType="separate"/>
      </w:r>
      <w:hyperlink w:anchor="_Toc517101440" w:history="1">
        <w:r w:rsidR="009D2BF2" w:rsidRPr="00A31B18">
          <w:rPr>
            <w:rStyle w:val="Hyperlink"/>
            <w:noProof/>
          </w:rPr>
          <w:t>Figure 0</w:t>
        </w:r>
        <w:r w:rsidR="009D2BF2" w:rsidRPr="00A31B18">
          <w:rPr>
            <w:rStyle w:val="Hyperlink"/>
            <w:noProof/>
          </w:rPr>
          <w:noBreakHyphen/>
          <w:t>1 Shale/ tight gas prospectivity-confidence matrix for shortlisted basins.</w:t>
        </w:r>
        <w:r w:rsidR="009D2BF2">
          <w:rPr>
            <w:noProof/>
            <w:webHidden/>
          </w:rPr>
          <w:tab/>
        </w:r>
        <w:r w:rsidR="009D2BF2">
          <w:rPr>
            <w:noProof/>
            <w:webHidden/>
          </w:rPr>
          <w:fldChar w:fldCharType="begin"/>
        </w:r>
        <w:r w:rsidR="009D2BF2">
          <w:rPr>
            <w:noProof/>
            <w:webHidden/>
          </w:rPr>
          <w:instrText xml:space="preserve"> PAGEREF _Toc517101440 \h </w:instrText>
        </w:r>
        <w:r w:rsidR="009D2BF2">
          <w:rPr>
            <w:noProof/>
            <w:webHidden/>
          </w:rPr>
        </w:r>
        <w:r w:rsidR="009D2BF2">
          <w:rPr>
            <w:noProof/>
            <w:webHidden/>
          </w:rPr>
          <w:fldChar w:fldCharType="separate"/>
        </w:r>
        <w:r w:rsidR="004A16F5">
          <w:rPr>
            <w:noProof/>
            <w:webHidden/>
          </w:rPr>
          <w:t>vi</w:t>
        </w:r>
        <w:r w:rsidR="009D2BF2">
          <w:rPr>
            <w:noProof/>
            <w:webHidden/>
          </w:rPr>
          <w:fldChar w:fldCharType="end"/>
        </w:r>
      </w:hyperlink>
    </w:p>
    <w:p w14:paraId="08211E29"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1" w:history="1">
        <w:r w:rsidR="009D2BF2" w:rsidRPr="00A31B18">
          <w:rPr>
            <w:rStyle w:val="Hyperlink"/>
            <w:noProof/>
          </w:rPr>
          <w:t>Figure 4</w:t>
        </w:r>
        <w:r w:rsidR="009D2BF2" w:rsidRPr="00A31B18">
          <w:rPr>
            <w:rStyle w:val="Hyperlink"/>
            <w:noProof/>
          </w:rPr>
          <w:noBreakHyphen/>
          <w:t>1: Schematic showing some of the types of oil and gas accumulations (after Wyoming State Geological Survey, 2018).</w:t>
        </w:r>
        <w:r w:rsidR="009D2BF2">
          <w:rPr>
            <w:noProof/>
            <w:webHidden/>
          </w:rPr>
          <w:tab/>
        </w:r>
        <w:r w:rsidR="009D2BF2">
          <w:rPr>
            <w:noProof/>
            <w:webHidden/>
          </w:rPr>
          <w:fldChar w:fldCharType="begin"/>
        </w:r>
        <w:r w:rsidR="009D2BF2">
          <w:rPr>
            <w:noProof/>
            <w:webHidden/>
          </w:rPr>
          <w:instrText xml:space="preserve"> PAGEREF _Toc517101441 \h </w:instrText>
        </w:r>
        <w:r w:rsidR="009D2BF2">
          <w:rPr>
            <w:noProof/>
            <w:webHidden/>
          </w:rPr>
        </w:r>
        <w:r w:rsidR="009D2BF2">
          <w:rPr>
            <w:noProof/>
            <w:webHidden/>
          </w:rPr>
          <w:fldChar w:fldCharType="separate"/>
        </w:r>
        <w:r w:rsidR="004A16F5">
          <w:rPr>
            <w:noProof/>
            <w:webHidden/>
          </w:rPr>
          <w:t>20</w:t>
        </w:r>
        <w:r w:rsidR="009D2BF2">
          <w:rPr>
            <w:noProof/>
            <w:webHidden/>
          </w:rPr>
          <w:fldChar w:fldCharType="end"/>
        </w:r>
      </w:hyperlink>
    </w:p>
    <w:p w14:paraId="798ED166"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2" w:history="1">
        <w:r w:rsidR="009D2BF2" w:rsidRPr="00A31B18">
          <w:rPr>
            <w:rStyle w:val="Hyperlink"/>
            <w:noProof/>
          </w:rPr>
          <w:t>Figure 4</w:t>
        </w:r>
        <w:r w:rsidR="009D2BF2" w:rsidRPr="00A31B18">
          <w:rPr>
            <w:rStyle w:val="Hyperlink"/>
            <w:noProof/>
          </w:rPr>
          <w:noBreakHyphen/>
          <w:t>2</w:t>
        </w:r>
        <w:r w:rsidR="009D2BF2">
          <w:rPr>
            <w:noProof/>
            <w:webHidden/>
          </w:rPr>
          <w:tab/>
        </w:r>
        <w:r w:rsidR="009D2BF2">
          <w:rPr>
            <w:noProof/>
            <w:webHidden/>
          </w:rPr>
          <w:fldChar w:fldCharType="begin"/>
        </w:r>
        <w:r w:rsidR="009D2BF2">
          <w:rPr>
            <w:noProof/>
            <w:webHidden/>
          </w:rPr>
          <w:instrText xml:space="preserve"> PAGEREF _Toc517101442 \h </w:instrText>
        </w:r>
        <w:r w:rsidR="009D2BF2">
          <w:rPr>
            <w:noProof/>
            <w:webHidden/>
          </w:rPr>
        </w:r>
        <w:r w:rsidR="009D2BF2">
          <w:rPr>
            <w:noProof/>
            <w:webHidden/>
          </w:rPr>
          <w:fldChar w:fldCharType="separate"/>
        </w:r>
        <w:r w:rsidR="004A16F5">
          <w:rPr>
            <w:noProof/>
            <w:webHidden/>
          </w:rPr>
          <w:t>22</w:t>
        </w:r>
        <w:r w:rsidR="009D2BF2">
          <w:rPr>
            <w:noProof/>
            <w:webHidden/>
          </w:rPr>
          <w:fldChar w:fldCharType="end"/>
        </w:r>
      </w:hyperlink>
    </w:p>
    <w:p w14:paraId="77043355"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3" w:history="1">
        <w:r w:rsidR="009D2BF2" w:rsidRPr="00A31B18">
          <w:rPr>
            <w:rStyle w:val="Hyperlink"/>
            <w:noProof/>
          </w:rPr>
          <w:t>Figure 4</w:t>
        </w:r>
        <w:r w:rsidR="009D2BF2" w:rsidRPr="00A31B18">
          <w:rPr>
            <w:rStyle w:val="Hyperlink"/>
            <w:noProof/>
          </w:rPr>
          <w:noBreakHyphen/>
          <w:t>3 Australia’s gas supply chain (GA and BREE, 2014).</w:t>
        </w:r>
        <w:r w:rsidR="009D2BF2">
          <w:rPr>
            <w:noProof/>
            <w:webHidden/>
          </w:rPr>
          <w:tab/>
        </w:r>
        <w:r w:rsidR="009D2BF2">
          <w:rPr>
            <w:noProof/>
            <w:webHidden/>
          </w:rPr>
          <w:fldChar w:fldCharType="begin"/>
        </w:r>
        <w:r w:rsidR="009D2BF2">
          <w:rPr>
            <w:noProof/>
            <w:webHidden/>
          </w:rPr>
          <w:instrText xml:space="preserve"> PAGEREF _Toc517101443 \h </w:instrText>
        </w:r>
        <w:r w:rsidR="009D2BF2">
          <w:rPr>
            <w:noProof/>
            <w:webHidden/>
          </w:rPr>
        </w:r>
        <w:r w:rsidR="009D2BF2">
          <w:rPr>
            <w:noProof/>
            <w:webHidden/>
          </w:rPr>
          <w:fldChar w:fldCharType="separate"/>
        </w:r>
        <w:r w:rsidR="004A16F5">
          <w:rPr>
            <w:noProof/>
            <w:webHidden/>
          </w:rPr>
          <w:t>24</w:t>
        </w:r>
        <w:r w:rsidR="009D2BF2">
          <w:rPr>
            <w:noProof/>
            <w:webHidden/>
          </w:rPr>
          <w:fldChar w:fldCharType="end"/>
        </w:r>
      </w:hyperlink>
    </w:p>
    <w:p w14:paraId="773238B0"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4" w:history="1">
        <w:r w:rsidR="009D2BF2" w:rsidRPr="00A31B18">
          <w:rPr>
            <w:rStyle w:val="Hyperlink"/>
            <w:noProof/>
          </w:rPr>
          <w:t>Figure 4</w:t>
        </w:r>
        <w:r w:rsidR="009D2BF2" w:rsidRPr="00A31B18">
          <w:rPr>
            <w:rStyle w:val="Hyperlink"/>
            <w:noProof/>
          </w:rPr>
          <w:noBreakHyphen/>
          <w:t>4 Australia’s gas pipelines (GA, 2015a) and processing facilities (GA, 2015b).</w:t>
        </w:r>
        <w:r w:rsidR="009D2BF2">
          <w:rPr>
            <w:noProof/>
            <w:webHidden/>
          </w:rPr>
          <w:tab/>
        </w:r>
        <w:r w:rsidR="009D2BF2">
          <w:rPr>
            <w:noProof/>
            <w:webHidden/>
          </w:rPr>
          <w:fldChar w:fldCharType="begin"/>
        </w:r>
        <w:r w:rsidR="009D2BF2">
          <w:rPr>
            <w:noProof/>
            <w:webHidden/>
          </w:rPr>
          <w:instrText xml:space="preserve"> PAGEREF _Toc517101444 \h </w:instrText>
        </w:r>
        <w:r w:rsidR="009D2BF2">
          <w:rPr>
            <w:noProof/>
            <w:webHidden/>
          </w:rPr>
        </w:r>
        <w:r w:rsidR="009D2BF2">
          <w:rPr>
            <w:noProof/>
            <w:webHidden/>
          </w:rPr>
          <w:fldChar w:fldCharType="separate"/>
        </w:r>
        <w:r w:rsidR="004A16F5">
          <w:rPr>
            <w:noProof/>
            <w:webHidden/>
          </w:rPr>
          <w:t>26</w:t>
        </w:r>
        <w:r w:rsidR="009D2BF2">
          <w:rPr>
            <w:noProof/>
            <w:webHidden/>
          </w:rPr>
          <w:fldChar w:fldCharType="end"/>
        </w:r>
      </w:hyperlink>
    </w:p>
    <w:p w14:paraId="5CB5BF08"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5" w:history="1">
        <w:r w:rsidR="009D2BF2" w:rsidRPr="00A31B18">
          <w:rPr>
            <w:rStyle w:val="Hyperlink"/>
            <w:noProof/>
          </w:rPr>
          <w:t>Figure 4</w:t>
        </w:r>
        <w:r w:rsidR="009D2BF2" w:rsidRPr="00A31B18">
          <w:rPr>
            <w:rStyle w:val="Hyperlink"/>
            <w:noProof/>
          </w:rPr>
          <w:noBreakHyphen/>
          <w:t>5 Resource pyramid (GA and BREE, 2014).</w:t>
        </w:r>
        <w:r w:rsidR="009D2BF2">
          <w:rPr>
            <w:noProof/>
            <w:webHidden/>
          </w:rPr>
          <w:tab/>
        </w:r>
        <w:r w:rsidR="009D2BF2">
          <w:rPr>
            <w:noProof/>
            <w:webHidden/>
          </w:rPr>
          <w:fldChar w:fldCharType="begin"/>
        </w:r>
        <w:r w:rsidR="009D2BF2">
          <w:rPr>
            <w:noProof/>
            <w:webHidden/>
          </w:rPr>
          <w:instrText xml:space="preserve"> PAGEREF _Toc517101445 \h </w:instrText>
        </w:r>
        <w:r w:rsidR="009D2BF2">
          <w:rPr>
            <w:noProof/>
            <w:webHidden/>
          </w:rPr>
        </w:r>
        <w:r w:rsidR="009D2BF2">
          <w:rPr>
            <w:noProof/>
            <w:webHidden/>
          </w:rPr>
          <w:fldChar w:fldCharType="separate"/>
        </w:r>
        <w:r w:rsidR="004A16F5">
          <w:rPr>
            <w:noProof/>
            <w:webHidden/>
          </w:rPr>
          <w:t>28</w:t>
        </w:r>
        <w:r w:rsidR="009D2BF2">
          <w:rPr>
            <w:noProof/>
            <w:webHidden/>
          </w:rPr>
          <w:fldChar w:fldCharType="end"/>
        </w:r>
      </w:hyperlink>
    </w:p>
    <w:p w14:paraId="436E82ED"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6" w:history="1">
        <w:r w:rsidR="009D2BF2" w:rsidRPr="00A31B18">
          <w:rPr>
            <w:rStyle w:val="Hyperlink"/>
            <w:noProof/>
          </w:rPr>
          <w:t>Figure 5</w:t>
        </w:r>
        <w:r w:rsidR="009D2BF2" w:rsidRPr="00A31B18">
          <w:rPr>
            <w:rStyle w:val="Hyperlink"/>
            <w:noProof/>
          </w:rPr>
          <w:noBreakHyphen/>
          <w:t>1 Australian sedimentary basins and gas market location. Province outlines from Stewart et al. (2013). Oil and gas pipelines from GA (2015a).</w:t>
        </w:r>
        <w:r w:rsidR="009D2BF2">
          <w:rPr>
            <w:noProof/>
            <w:webHidden/>
          </w:rPr>
          <w:tab/>
        </w:r>
        <w:r w:rsidR="009D2BF2">
          <w:rPr>
            <w:noProof/>
            <w:webHidden/>
          </w:rPr>
          <w:fldChar w:fldCharType="begin"/>
        </w:r>
        <w:r w:rsidR="009D2BF2">
          <w:rPr>
            <w:noProof/>
            <w:webHidden/>
          </w:rPr>
          <w:instrText xml:space="preserve"> PAGEREF _Toc517101446 \h </w:instrText>
        </w:r>
        <w:r w:rsidR="009D2BF2">
          <w:rPr>
            <w:noProof/>
            <w:webHidden/>
          </w:rPr>
        </w:r>
        <w:r w:rsidR="009D2BF2">
          <w:rPr>
            <w:noProof/>
            <w:webHidden/>
          </w:rPr>
          <w:fldChar w:fldCharType="separate"/>
        </w:r>
        <w:r w:rsidR="004A16F5">
          <w:rPr>
            <w:noProof/>
            <w:webHidden/>
          </w:rPr>
          <w:t>34</w:t>
        </w:r>
        <w:r w:rsidR="009D2BF2">
          <w:rPr>
            <w:noProof/>
            <w:webHidden/>
          </w:rPr>
          <w:fldChar w:fldCharType="end"/>
        </w:r>
      </w:hyperlink>
    </w:p>
    <w:p w14:paraId="01A1A2F5"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7" w:history="1">
        <w:r w:rsidR="009D2BF2" w:rsidRPr="00A31B18">
          <w:rPr>
            <w:rStyle w:val="Hyperlink"/>
            <w:noProof/>
          </w:rPr>
          <w:t>Figure 5</w:t>
        </w:r>
        <w:r w:rsidR="009D2BF2" w:rsidRPr="00A31B18">
          <w:rPr>
            <w:rStyle w:val="Hyperlink"/>
            <w:noProof/>
          </w:rPr>
          <w:noBreakHyphen/>
          <w:t>2 Modified PRMS scheme (PRMS, 2007), with approximate development timeframes, assuming sustained funding of activities and no other impediment to development (e.g. regulatory restrictions; environmental or social concerns).</w:t>
        </w:r>
        <w:r w:rsidR="009D2BF2">
          <w:rPr>
            <w:noProof/>
            <w:webHidden/>
          </w:rPr>
          <w:tab/>
        </w:r>
        <w:r w:rsidR="009D2BF2">
          <w:rPr>
            <w:noProof/>
            <w:webHidden/>
          </w:rPr>
          <w:fldChar w:fldCharType="begin"/>
        </w:r>
        <w:r w:rsidR="009D2BF2">
          <w:rPr>
            <w:noProof/>
            <w:webHidden/>
          </w:rPr>
          <w:instrText xml:space="preserve"> PAGEREF _Toc517101447 \h </w:instrText>
        </w:r>
        <w:r w:rsidR="009D2BF2">
          <w:rPr>
            <w:noProof/>
            <w:webHidden/>
          </w:rPr>
        </w:r>
        <w:r w:rsidR="009D2BF2">
          <w:rPr>
            <w:noProof/>
            <w:webHidden/>
          </w:rPr>
          <w:fldChar w:fldCharType="separate"/>
        </w:r>
        <w:r w:rsidR="004A16F5">
          <w:rPr>
            <w:noProof/>
            <w:webHidden/>
          </w:rPr>
          <w:t>36</w:t>
        </w:r>
        <w:r w:rsidR="009D2BF2">
          <w:rPr>
            <w:noProof/>
            <w:webHidden/>
          </w:rPr>
          <w:fldChar w:fldCharType="end"/>
        </w:r>
      </w:hyperlink>
    </w:p>
    <w:p w14:paraId="30F530DA"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8" w:history="1">
        <w:r w:rsidR="009D2BF2" w:rsidRPr="00A31B18">
          <w:rPr>
            <w:rStyle w:val="Hyperlink"/>
            <w:noProof/>
          </w:rPr>
          <w:t>Figure 5</w:t>
        </w:r>
        <w:r w:rsidR="009D2BF2" w:rsidRPr="00A31B18">
          <w:rPr>
            <w:rStyle w:val="Hyperlink"/>
            <w:noProof/>
          </w:rPr>
          <w:noBreakHyphen/>
          <w:t>3 Australian basins classified by level of exploration activity for shale/ tight gas. Labelled sedimentary basins are those with reported 2C or prospective resources and on-going industry activity (as permitted by current regulatory environments). Basin outlines are sourced from Stewart et al. (2013), with the exception of the Isa Superbasin, which has been estimated from DNRM (2017). Oil and gas pipelines from GA (2015a). Key wells targeting shale and/or tight gas plays are also shown. Note that this well coverage is not exhaustive, as there are inconsistencies between how wells have been classified depending on the information source.</w:t>
        </w:r>
        <w:r w:rsidR="009D2BF2">
          <w:rPr>
            <w:noProof/>
            <w:webHidden/>
          </w:rPr>
          <w:tab/>
        </w:r>
        <w:r w:rsidR="009D2BF2">
          <w:rPr>
            <w:noProof/>
            <w:webHidden/>
          </w:rPr>
          <w:fldChar w:fldCharType="begin"/>
        </w:r>
        <w:r w:rsidR="009D2BF2">
          <w:rPr>
            <w:noProof/>
            <w:webHidden/>
          </w:rPr>
          <w:instrText xml:space="preserve"> PAGEREF _Toc517101448 \h </w:instrText>
        </w:r>
        <w:r w:rsidR="009D2BF2">
          <w:rPr>
            <w:noProof/>
            <w:webHidden/>
          </w:rPr>
        </w:r>
        <w:r w:rsidR="009D2BF2">
          <w:rPr>
            <w:noProof/>
            <w:webHidden/>
          </w:rPr>
          <w:fldChar w:fldCharType="separate"/>
        </w:r>
        <w:r w:rsidR="004A16F5">
          <w:rPr>
            <w:noProof/>
            <w:webHidden/>
          </w:rPr>
          <w:t>38</w:t>
        </w:r>
        <w:r w:rsidR="009D2BF2">
          <w:rPr>
            <w:noProof/>
            <w:webHidden/>
          </w:rPr>
          <w:fldChar w:fldCharType="end"/>
        </w:r>
      </w:hyperlink>
    </w:p>
    <w:p w14:paraId="495FD63D" w14:textId="77777777" w:rsidR="009D2BF2" w:rsidRDefault="00A3211E">
      <w:pPr>
        <w:pStyle w:val="TableofFigures"/>
        <w:rPr>
          <w:rFonts w:asciiTheme="minorHAnsi" w:eastAsiaTheme="minorEastAsia" w:hAnsiTheme="minorHAnsi" w:cstheme="minorBidi"/>
          <w:noProof/>
          <w:color w:val="auto"/>
          <w:sz w:val="22"/>
          <w:szCs w:val="22"/>
        </w:rPr>
      </w:pPr>
      <w:hyperlink w:anchor="_Toc517101449" w:history="1">
        <w:r w:rsidR="009D2BF2" w:rsidRPr="00A31B18">
          <w:rPr>
            <w:rStyle w:val="Hyperlink"/>
            <w:noProof/>
          </w:rPr>
          <w:t>Figure 5</w:t>
        </w:r>
        <w:r w:rsidR="009D2BF2" w:rsidRPr="00A31B18">
          <w:rPr>
            <w:rStyle w:val="Hyperlink"/>
            <w:noProof/>
          </w:rPr>
          <w:noBreakHyphen/>
          <w:t>4 Distribution of petroleum wells and 2D seismic data across Australia.</w:t>
        </w:r>
        <w:r w:rsidR="009D2BF2">
          <w:rPr>
            <w:noProof/>
            <w:webHidden/>
          </w:rPr>
          <w:tab/>
        </w:r>
        <w:r w:rsidR="009D2BF2">
          <w:rPr>
            <w:noProof/>
            <w:webHidden/>
          </w:rPr>
          <w:fldChar w:fldCharType="begin"/>
        </w:r>
        <w:r w:rsidR="009D2BF2">
          <w:rPr>
            <w:noProof/>
            <w:webHidden/>
          </w:rPr>
          <w:instrText xml:space="preserve"> PAGEREF _Toc517101449 \h </w:instrText>
        </w:r>
        <w:r w:rsidR="009D2BF2">
          <w:rPr>
            <w:noProof/>
            <w:webHidden/>
          </w:rPr>
        </w:r>
        <w:r w:rsidR="009D2BF2">
          <w:rPr>
            <w:noProof/>
            <w:webHidden/>
          </w:rPr>
          <w:fldChar w:fldCharType="separate"/>
        </w:r>
        <w:r w:rsidR="004A16F5">
          <w:rPr>
            <w:noProof/>
            <w:webHidden/>
          </w:rPr>
          <w:t>43</w:t>
        </w:r>
        <w:r w:rsidR="009D2BF2">
          <w:rPr>
            <w:noProof/>
            <w:webHidden/>
          </w:rPr>
          <w:fldChar w:fldCharType="end"/>
        </w:r>
      </w:hyperlink>
    </w:p>
    <w:p w14:paraId="7CAACC98"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0" w:history="1">
        <w:r w:rsidR="009D2BF2" w:rsidRPr="00A31B18">
          <w:rPr>
            <w:rStyle w:val="Hyperlink"/>
            <w:noProof/>
          </w:rPr>
          <w:t>Figure 5</w:t>
        </w:r>
        <w:r w:rsidR="009D2BF2" w:rsidRPr="00A31B18">
          <w:rPr>
            <w:rStyle w:val="Hyperlink"/>
            <w:noProof/>
          </w:rPr>
          <w:noBreakHyphen/>
          <w:t>5 Location of shortlisted onshore basins considered for audit.</w:t>
        </w:r>
        <w:r w:rsidR="009D2BF2">
          <w:rPr>
            <w:noProof/>
            <w:webHidden/>
          </w:rPr>
          <w:tab/>
        </w:r>
        <w:r w:rsidR="009D2BF2">
          <w:rPr>
            <w:noProof/>
            <w:webHidden/>
          </w:rPr>
          <w:fldChar w:fldCharType="begin"/>
        </w:r>
        <w:r w:rsidR="009D2BF2">
          <w:rPr>
            <w:noProof/>
            <w:webHidden/>
          </w:rPr>
          <w:instrText xml:space="preserve"> PAGEREF _Toc517101450 \h </w:instrText>
        </w:r>
        <w:r w:rsidR="009D2BF2">
          <w:rPr>
            <w:noProof/>
            <w:webHidden/>
          </w:rPr>
        </w:r>
        <w:r w:rsidR="009D2BF2">
          <w:rPr>
            <w:noProof/>
            <w:webHidden/>
          </w:rPr>
          <w:fldChar w:fldCharType="separate"/>
        </w:r>
        <w:r w:rsidR="004A16F5">
          <w:rPr>
            <w:noProof/>
            <w:webHidden/>
          </w:rPr>
          <w:t>54</w:t>
        </w:r>
        <w:r w:rsidR="009D2BF2">
          <w:rPr>
            <w:noProof/>
            <w:webHidden/>
          </w:rPr>
          <w:fldChar w:fldCharType="end"/>
        </w:r>
      </w:hyperlink>
    </w:p>
    <w:p w14:paraId="3F77D110"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1" w:history="1">
        <w:r w:rsidR="009D2BF2" w:rsidRPr="00A31B18">
          <w:rPr>
            <w:rStyle w:val="Hyperlink"/>
            <w:noProof/>
          </w:rPr>
          <w:t>Figure 5</w:t>
        </w:r>
        <w:r w:rsidR="009D2BF2" w:rsidRPr="00A31B18">
          <w:rPr>
            <w:rStyle w:val="Hyperlink"/>
            <w:noProof/>
          </w:rPr>
          <w:noBreakHyphen/>
          <w:t>6 Shale/ tight gas prospectivity-confidence matrix for shortlisted basins.</w:t>
        </w:r>
        <w:r w:rsidR="009D2BF2">
          <w:rPr>
            <w:noProof/>
            <w:webHidden/>
          </w:rPr>
          <w:tab/>
        </w:r>
        <w:r w:rsidR="009D2BF2">
          <w:rPr>
            <w:noProof/>
            <w:webHidden/>
          </w:rPr>
          <w:fldChar w:fldCharType="begin"/>
        </w:r>
        <w:r w:rsidR="009D2BF2">
          <w:rPr>
            <w:noProof/>
            <w:webHidden/>
          </w:rPr>
          <w:instrText xml:space="preserve"> PAGEREF _Toc517101451 \h </w:instrText>
        </w:r>
        <w:r w:rsidR="009D2BF2">
          <w:rPr>
            <w:noProof/>
            <w:webHidden/>
          </w:rPr>
        </w:r>
        <w:r w:rsidR="009D2BF2">
          <w:rPr>
            <w:noProof/>
            <w:webHidden/>
          </w:rPr>
          <w:fldChar w:fldCharType="separate"/>
        </w:r>
        <w:r w:rsidR="004A16F5">
          <w:rPr>
            <w:noProof/>
            <w:webHidden/>
          </w:rPr>
          <w:t>63</w:t>
        </w:r>
        <w:r w:rsidR="009D2BF2">
          <w:rPr>
            <w:noProof/>
            <w:webHidden/>
          </w:rPr>
          <w:fldChar w:fldCharType="end"/>
        </w:r>
      </w:hyperlink>
    </w:p>
    <w:p w14:paraId="729C37BD"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2" w:history="1">
        <w:r w:rsidR="009D2BF2" w:rsidRPr="00A31B18">
          <w:rPr>
            <w:rStyle w:val="Hyperlink"/>
            <w:noProof/>
          </w:rPr>
          <w:t>Figure 5</w:t>
        </w:r>
        <w:r w:rsidR="009D2BF2" w:rsidRPr="00A31B18">
          <w:rPr>
            <w:rStyle w:val="Hyperlink"/>
            <w:noProof/>
          </w:rPr>
          <w:noBreakHyphen/>
          <w:t>7: Shale/ tight gas prospectivity-infrastructure matrix for shortlisted basins. Red: basin located closer to the Northern Territory Gas Market. Purple: basin in proximity to the East Coast Gas Market.</w:t>
        </w:r>
        <w:r w:rsidR="009D2BF2">
          <w:rPr>
            <w:noProof/>
            <w:webHidden/>
          </w:rPr>
          <w:tab/>
        </w:r>
        <w:r w:rsidR="009D2BF2">
          <w:rPr>
            <w:noProof/>
            <w:webHidden/>
          </w:rPr>
          <w:fldChar w:fldCharType="begin"/>
        </w:r>
        <w:r w:rsidR="009D2BF2">
          <w:rPr>
            <w:noProof/>
            <w:webHidden/>
          </w:rPr>
          <w:instrText xml:space="preserve"> PAGEREF _Toc517101452 \h </w:instrText>
        </w:r>
        <w:r w:rsidR="009D2BF2">
          <w:rPr>
            <w:noProof/>
            <w:webHidden/>
          </w:rPr>
        </w:r>
        <w:r w:rsidR="009D2BF2">
          <w:rPr>
            <w:noProof/>
            <w:webHidden/>
          </w:rPr>
          <w:fldChar w:fldCharType="separate"/>
        </w:r>
        <w:r w:rsidR="004A16F5">
          <w:rPr>
            <w:noProof/>
            <w:webHidden/>
          </w:rPr>
          <w:t>65</w:t>
        </w:r>
        <w:r w:rsidR="009D2BF2">
          <w:rPr>
            <w:noProof/>
            <w:webHidden/>
          </w:rPr>
          <w:fldChar w:fldCharType="end"/>
        </w:r>
      </w:hyperlink>
    </w:p>
    <w:p w14:paraId="0C105D7F" w14:textId="77777777" w:rsidR="00257641" w:rsidRDefault="004B38AE" w:rsidP="00462182">
      <w:pPr>
        <w:pStyle w:val="TableofFigures"/>
        <w:rPr>
          <w:noProof/>
        </w:rPr>
      </w:pPr>
      <w:r>
        <w:fldChar w:fldCharType="end"/>
      </w:r>
      <w:r>
        <w:rPr>
          <w:sz w:val="22"/>
        </w:rPr>
        <w:fldChar w:fldCharType="begin"/>
      </w:r>
      <w:r w:rsidR="003053C7">
        <w:instrText xml:space="preserve"> TOC \h \z \c "Apx Figure" </w:instrText>
      </w:r>
      <w:r>
        <w:rPr>
          <w:sz w:val="22"/>
        </w:rPr>
        <w:fldChar w:fldCharType="separate"/>
      </w:r>
    </w:p>
    <w:p w14:paraId="223BCD3C" w14:textId="2D1DE11E" w:rsidR="00A943B2" w:rsidRDefault="004B38AE" w:rsidP="00FE2FF7">
      <w:pPr>
        <w:pStyle w:val="TOCHeading"/>
      </w:pPr>
      <w:r>
        <w:lastRenderedPageBreak/>
        <w:fldChar w:fldCharType="end"/>
      </w:r>
      <w:r w:rsidR="004D139E">
        <w:t>T</w:t>
      </w:r>
      <w:r w:rsidR="00A943B2">
        <w:t>ables</w:t>
      </w:r>
    </w:p>
    <w:p w14:paraId="45CEBC5C" w14:textId="77777777" w:rsidR="009D2BF2" w:rsidRDefault="004B38AE">
      <w:pPr>
        <w:pStyle w:val="TableofFigures"/>
        <w:rPr>
          <w:rFonts w:asciiTheme="minorHAnsi" w:eastAsiaTheme="minorEastAsia" w:hAnsiTheme="minorHAnsi" w:cstheme="minorBidi"/>
          <w:noProof/>
          <w:color w:val="auto"/>
          <w:sz w:val="22"/>
          <w:szCs w:val="22"/>
        </w:rPr>
      </w:pPr>
      <w:r>
        <w:fldChar w:fldCharType="begin"/>
      </w:r>
      <w:r w:rsidR="00A943B2">
        <w:instrText xml:space="preserve"> TOC \h \z \c "Table" </w:instrText>
      </w:r>
      <w:r>
        <w:fldChar w:fldCharType="separate"/>
      </w:r>
      <w:hyperlink w:anchor="_Toc517101453" w:history="1">
        <w:r w:rsidR="009D2BF2" w:rsidRPr="00E549B7">
          <w:rPr>
            <w:rStyle w:val="Hyperlink"/>
            <w:noProof/>
          </w:rPr>
          <w:t>Table 3</w:t>
        </w:r>
        <w:r w:rsidR="009D2BF2" w:rsidRPr="00E549B7">
          <w:rPr>
            <w:rStyle w:val="Hyperlink"/>
            <w:noProof/>
          </w:rPr>
          <w:noBreakHyphen/>
          <w:t>1 Geological and Bioregional Assessments Program Stage 1 rapid regional basin prioritisation process methodology</w:t>
        </w:r>
        <w:r w:rsidR="009D2BF2">
          <w:rPr>
            <w:noProof/>
            <w:webHidden/>
          </w:rPr>
          <w:tab/>
        </w:r>
        <w:r w:rsidR="009D2BF2">
          <w:rPr>
            <w:noProof/>
            <w:webHidden/>
          </w:rPr>
          <w:fldChar w:fldCharType="begin"/>
        </w:r>
        <w:r w:rsidR="009D2BF2">
          <w:rPr>
            <w:noProof/>
            <w:webHidden/>
          </w:rPr>
          <w:instrText xml:space="preserve"> PAGEREF _Toc517101453 \h </w:instrText>
        </w:r>
        <w:r w:rsidR="009D2BF2">
          <w:rPr>
            <w:noProof/>
            <w:webHidden/>
          </w:rPr>
        </w:r>
        <w:r w:rsidR="009D2BF2">
          <w:rPr>
            <w:noProof/>
            <w:webHidden/>
          </w:rPr>
          <w:fldChar w:fldCharType="separate"/>
        </w:r>
        <w:r w:rsidR="004A16F5">
          <w:rPr>
            <w:noProof/>
            <w:webHidden/>
          </w:rPr>
          <w:t>15</w:t>
        </w:r>
        <w:r w:rsidR="009D2BF2">
          <w:rPr>
            <w:noProof/>
            <w:webHidden/>
          </w:rPr>
          <w:fldChar w:fldCharType="end"/>
        </w:r>
      </w:hyperlink>
    </w:p>
    <w:p w14:paraId="271CF21C"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4" w:history="1">
        <w:r w:rsidR="009D2BF2" w:rsidRPr="00E549B7">
          <w:rPr>
            <w:rStyle w:val="Hyperlink"/>
            <w:noProof/>
          </w:rPr>
          <w:t>Table 4</w:t>
        </w:r>
        <w:r w:rsidR="009D2BF2" w:rsidRPr="00E549B7">
          <w:rPr>
            <w:rStyle w:val="Hyperlink"/>
            <w:noProof/>
          </w:rPr>
          <w:noBreakHyphen/>
          <w:t>1 Major gas transmission pipelines in eastern and northern Australia (AER, 2017)</w:t>
        </w:r>
        <w:r w:rsidR="009D2BF2">
          <w:rPr>
            <w:noProof/>
            <w:webHidden/>
          </w:rPr>
          <w:tab/>
        </w:r>
        <w:r w:rsidR="009D2BF2">
          <w:rPr>
            <w:noProof/>
            <w:webHidden/>
          </w:rPr>
          <w:fldChar w:fldCharType="begin"/>
        </w:r>
        <w:r w:rsidR="009D2BF2">
          <w:rPr>
            <w:noProof/>
            <w:webHidden/>
          </w:rPr>
          <w:instrText xml:space="preserve"> PAGEREF _Toc517101454 \h </w:instrText>
        </w:r>
        <w:r w:rsidR="009D2BF2">
          <w:rPr>
            <w:noProof/>
            <w:webHidden/>
          </w:rPr>
        </w:r>
        <w:r w:rsidR="009D2BF2">
          <w:rPr>
            <w:noProof/>
            <w:webHidden/>
          </w:rPr>
          <w:fldChar w:fldCharType="separate"/>
        </w:r>
        <w:r w:rsidR="004A16F5">
          <w:rPr>
            <w:noProof/>
            <w:webHidden/>
          </w:rPr>
          <w:t>26</w:t>
        </w:r>
        <w:r w:rsidR="009D2BF2">
          <w:rPr>
            <w:noProof/>
            <w:webHidden/>
          </w:rPr>
          <w:fldChar w:fldCharType="end"/>
        </w:r>
      </w:hyperlink>
    </w:p>
    <w:p w14:paraId="1C80EA1A"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5" w:history="1">
        <w:r w:rsidR="009D2BF2" w:rsidRPr="00E549B7">
          <w:rPr>
            <w:rStyle w:val="Hyperlink"/>
            <w:noProof/>
          </w:rPr>
          <w:t>Table 5</w:t>
        </w:r>
        <w:r w:rsidR="009D2BF2" w:rsidRPr="00E549B7">
          <w:rPr>
            <w:rStyle w:val="Hyperlink"/>
            <w:noProof/>
          </w:rPr>
          <w:noBreakHyphen/>
          <w:t>1 Approximate timeframe for delivery to market by stage of development. This assumes sustained funding of activities and no other impediment to development (e.g. regulatory restrictions; environmental or social concerns).</w:t>
        </w:r>
        <w:r w:rsidR="009D2BF2">
          <w:rPr>
            <w:noProof/>
            <w:webHidden/>
          </w:rPr>
          <w:tab/>
        </w:r>
        <w:r w:rsidR="009D2BF2">
          <w:rPr>
            <w:noProof/>
            <w:webHidden/>
          </w:rPr>
          <w:fldChar w:fldCharType="begin"/>
        </w:r>
        <w:r w:rsidR="009D2BF2">
          <w:rPr>
            <w:noProof/>
            <w:webHidden/>
          </w:rPr>
          <w:instrText xml:space="preserve"> PAGEREF _Toc517101455 \h </w:instrText>
        </w:r>
        <w:r w:rsidR="009D2BF2">
          <w:rPr>
            <w:noProof/>
            <w:webHidden/>
          </w:rPr>
        </w:r>
        <w:r w:rsidR="009D2BF2">
          <w:rPr>
            <w:noProof/>
            <w:webHidden/>
          </w:rPr>
          <w:fldChar w:fldCharType="separate"/>
        </w:r>
        <w:r w:rsidR="004A16F5">
          <w:rPr>
            <w:noProof/>
            <w:webHidden/>
          </w:rPr>
          <w:t>35</w:t>
        </w:r>
        <w:r w:rsidR="009D2BF2">
          <w:rPr>
            <w:noProof/>
            <w:webHidden/>
          </w:rPr>
          <w:fldChar w:fldCharType="end"/>
        </w:r>
      </w:hyperlink>
    </w:p>
    <w:p w14:paraId="18A19754"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6" w:history="1">
        <w:r w:rsidR="009D2BF2" w:rsidRPr="00E549B7">
          <w:rPr>
            <w:rStyle w:val="Hyperlink"/>
            <w:noProof/>
          </w:rPr>
          <w:t>Table 5</w:t>
        </w:r>
        <w:r w:rsidR="009D2BF2" w:rsidRPr="00E549B7">
          <w:rPr>
            <w:rStyle w:val="Hyperlink"/>
            <w:noProof/>
          </w:rPr>
          <w:noBreakHyphen/>
          <w:t xml:space="preserve">2 Shale and tight gas exploration status of Australian basins based on AERA (2018) and additional references presented in Appendix A. Note basins with no reported resources and no industry activity were excluded. *AWT International (2013) reported prospective resources for the Toolebuc Formation shale gas play in the Eromanga Basin, but subsequent drilling results were poorer than expected so this number is now considered unreliable and has been disregarded for this study. **Contingent resources have been booked in the Galilee Basin (Comet Ridge, 2017), however it is unclear what proportion of this (if any) represents tight rather than </w:t>
        </w:r>
        <w:r w:rsidR="009D2BF2" w:rsidRPr="00E549B7">
          <w:rPr>
            <w:rStyle w:val="Hyperlink"/>
            <w:noProof/>
          </w:rPr>
          <w:lastRenderedPageBreak/>
          <w:t>conventional gas. ***Assuming a generic 10% recovery factor on reported gas-in-place for comparison purposes.</w:t>
        </w:r>
        <w:r w:rsidR="009D2BF2">
          <w:rPr>
            <w:noProof/>
            <w:webHidden/>
          </w:rPr>
          <w:tab/>
        </w:r>
        <w:r w:rsidR="009D2BF2">
          <w:rPr>
            <w:noProof/>
            <w:webHidden/>
          </w:rPr>
          <w:fldChar w:fldCharType="begin"/>
        </w:r>
        <w:r w:rsidR="009D2BF2">
          <w:rPr>
            <w:noProof/>
            <w:webHidden/>
          </w:rPr>
          <w:instrText xml:space="preserve"> PAGEREF _Toc517101456 \h </w:instrText>
        </w:r>
        <w:r w:rsidR="009D2BF2">
          <w:rPr>
            <w:noProof/>
            <w:webHidden/>
          </w:rPr>
        </w:r>
        <w:r w:rsidR="009D2BF2">
          <w:rPr>
            <w:noProof/>
            <w:webHidden/>
          </w:rPr>
          <w:fldChar w:fldCharType="separate"/>
        </w:r>
        <w:r w:rsidR="004A16F5">
          <w:rPr>
            <w:noProof/>
            <w:webHidden/>
          </w:rPr>
          <w:t>39</w:t>
        </w:r>
        <w:r w:rsidR="009D2BF2">
          <w:rPr>
            <w:noProof/>
            <w:webHidden/>
          </w:rPr>
          <w:fldChar w:fldCharType="end"/>
        </w:r>
      </w:hyperlink>
    </w:p>
    <w:p w14:paraId="0A37279E"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7" w:history="1">
        <w:r w:rsidR="009D2BF2" w:rsidRPr="00E549B7">
          <w:rPr>
            <w:rStyle w:val="Hyperlink"/>
            <w:noProof/>
          </w:rPr>
          <w:t>Table 5</w:t>
        </w:r>
        <w:r w:rsidR="009D2BF2" w:rsidRPr="00E549B7">
          <w:rPr>
            <w:rStyle w:val="Hyperlink"/>
            <w:noProof/>
          </w:rPr>
          <w:noBreakHyphen/>
          <w:t>3 National-scale datasets relating to geology and petroleum used in this report, indicating the sources and the date when the datasets were downloaded. A full list of the datasets incorporated in the data inventory can be found in Appendix B.</w:t>
        </w:r>
        <w:r w:rsidR="009D2BF2">
          <w:rPr>
            <w:noProof/>
            <w:webHidden/>
          </w:rPr>
          <w:tab/>
        </w:r>
        <w:r w:rsidR="009D2BF2">
          <w:rPr>
            <w:noProof/>
            <w:webHidden/>
          </w:rPr>
          <w:fldChar w:fldCharType="begin"/>
        </w:r>
        <w:r w:rsidR="009D2BF2">
          <w:rPr>
            <w:noProof/>
            <w:webHidden/>
          </w:rPr>
          <w:instrText xml:space="preserve"> PAGEREF _Toc517101457 \h </w:instrText>
        </w:r>
        <w:r w:rsidR="009D2BF2">
          <w:rPr>
            <w:noProof/>
            <w:webHidden/>
          </w:rPr>
        </w:r>
        <w:r w:rsidR="009D2BF2">
          <w:rPr>
            <w:noProof/>
            <w:webHidden/>
          </w:rPr>
          <w:fldChar w:fldCharType="separate"/>
        </w:r>
        <w:r w:rsidR="004A16F5">
          <w:rPr>
            <w:noProof/>
            <w:webHidden/>
          </w:rPr>
          <w:t>44</w:t>
        </w:r>
        <w:r w:rsidR="009D2BF2">
          <w:rPr>
            <w:noProof/>
            <w:webHidden/>
          </w:rPr>
          <w:fldChar w:fldCharType="end"/>
        </w:r>
      </w:hyperlink>
    </w:p>
    <w:p w14:paraId="00F7916C"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8" w:history="1">
        <w:r w:rsidR="009D2BF2" w:rsidRPr="00E549B7">
          <w:rPr>
            <w:rStyle w:val="Hyperlink"/>
            <w:noProof/>
          </w:rPr>
          <w:t>Table 5</w:t>
        </w:r>
        <w:r w:rsidR="009D2BF2" w:rsidRPr="00E549B7">
          <w:rPr>
            <w:rStyle w:val="Hyperlink"/>
            <w:noProof/>
          </w:rPr>
          <w:noBreakHyphen/>
          <w:t>4 National-scale datasets relating to ground water, surface water, environmental assets and social factors used in this report, indicating the sources and the date when the datasets were downloaded.</w:t>
        </w:r>
        <w:r w:rsidR="009D2BF2">
          <w:rPr>
            <w:noProof/>
            <w:webHidden/>
          </w:rPr>
          <w:tab/>
        </w:r>
        <w:r w:rsidR="009D2BF2">
          <w:rPr>
            <w:noProof/>
            <w:webHidden/>
          </w:rPr>
          <w:fldChar w:fldCharType="begin"/>
        </w:r>
        <w:r w:rsidR="009D2BF2">
          <w:rPr>
            <w:noProof/>
            <w:webHidden/>
          </w:rPr>
          <w:instrText xml:space="preserve"> PAGEREF _Toc517101458 \h </w:instrText>
        </w:r>
        <w:r w:rsidR="009D2BF2">
          <w:rPr>
            <w:noProof/>
            <w:webHidden/>
          </w:rPr>
        </w:r>
        <w:r w:rsidR="009D2BF2">
          <w:rPr>
            <w:noProof/>
            <w:webHidden/>
          </w:rPr>
          <w:fldChar w:fldCharType="separate"/>
        </w:r>
        <w:r w:rsidR="004A16F5">
          <w:rPr>
            <w:noProof/>
            <w:webHidden/>
          </w:rPr>
          <w:t>51</w:t>
        </w:r>
        <w:r w:rsidR="009D2BF2">
          <w:rPr>
            <w:noProof/>
            <w:webHidden/>
          </w:rPr>
          <w:fldChar w:fldCharType="end"/>
        </w:r>
      </w:hyperlink>
    </w:p>
    <w:p w14:paraId="3492987A" w14:textId="77777777" w:rsidR="009D2BF2" w:rsidRDefault="00A3211E">
      <w:pPr>
        <w:pStyle w:val="TableofFigures"/>
        <w:rPr>
          <w:rFonts w:asciiTheme="minorHAnsi" w:eastAsiaTheme="minorEastAsia" w:hAnsiTheme="minorHAnsi" w:cstheme="minorBidi"/>
          <w:noProof/>
          <w:color w:val="auto"/>
          <w:sz w:val="22"/>
          <w:szCs w:val="22"/>
        </w:rPr>
      </w:pPr>
      <w:hyperlink w:anchor="_Toc517101459" w:history="1">
        <w:r w:rsidR="009D2BF2" w:rsidRPr="00E549B7">
          <w:rPr>
            <w:rStyle w:val="Hyperlink"/>
            <w:noProof/>
          </w:rPr>
          <w:t>Table 5</w:t>
        </w:r>
        <w:r w:rsidR="009D2BF2" w:rsidRPr="00E549B7">
          <w:rPr>
            <w:rStyle w:val="Hyperlink"/>
            <w:noProof/>
          </w:rPr>
          <w:noBreakHyphen/>
          <w:t>5 Summary of onshore basin prospectivity rankings. * Area based on formation extent only; ** Area based on formation and gas window extent.</w:t>
        </w:r>
        <w:r w:rsidR="009D2BF2">
          <w:rPr>
            <w:noProof/>
            <w:webHidden/>
          </w:rPr>
          <w:tab/>
        </w:r>
        <w:r w:rsidR="009D2BF2">
          <w:rPr>
            <w:noProof/>
            <w:webHidden/>
          </w:rPr>
          <w:fldChar w:fldCharType="begin"/>
        </w:r>
        <w:r w:rsidR="009D2BF2">
          <w:rPr>
            <w:noProof/>
            <w:webHidden/>
          </w:rPr>
          <w:instrText xml:space="preserve"> PAGEREF _Toc517101459 \h </w:instrText>
        </w:r>
        <w:r w:rsidR="009D2BF2">
          <w:rPr>
            <w:noProof/>
            <w:webHidden/>
          </w:rPr>
        </w:r>
        <w:r w:rsidR="009D2BF2">
          <w:rPr>
            <w:noProof/>
            <w:webHidden/>
          </w:rPr>
          <w:fldChar w:fldCharType="separate"/>
        </w:r>
        <w:r w:rsidR="004A16F5">
          <w:rPr>
            <w:noProof/>
            <w:webHidden/>
          </w:rPr>
          <w:t>60</w:t>
        </w:r>
        <w:r w:rsidR="009D2BF2">
          <w:rPr>
            <w:noProof/>
            <w:webHidden/>
          </w:rPr>
          <w:fldChar w:fldCharType="end"/>
        </w:r>
      </w:hyperlink>
    </w:p>
    <w:p w14:paraId="76F05BA8" w14:textId="77777777" w:rsidR="009D2BF2" w:rsidRDefault="00A3211E">
      <w:pPr>
        <w:pStyle w:val="TableofFigures"/>
        <w:rPr>
          <w:rFonts w:asciiTheme="minorHAnsi" w:eastAsiaTheme="minorEastAsia" w:hAnsiTheme="minorHAnsi" w:cstheme="minorBidi"/>
          <w:noProof/>
          <w:color w:val="auto"/>
          <w:sz w:val="22"/>
          <w:szCs w:val="22"/>
        </w:rPr>
      </w:pPr>
      <w:hyperlink w:anchor="_Toc517101460" w:history="1">
        <w:r w:rsidR="009D2BF2" w:rsidRPr="00E549B7">
          <w:rPr>
            <w:rStyle w:val="Hyperlink"/>
            <w:noProof/>
          </w:rPr>
          <w:t>Table 5</w:t>
        </w:r>
        <w:r w:rsidR="009D2BF2" w:rsidRPr="00E549B7">
          <w:rPr>
            <w:rStyle w:val="Hyperlink"/>
            <w:noProof/>
          </w:rPr>
          <w:noBreakHyphen/>
          <w:t>6: Summary of onshore basin confidence rankings based on data density and overall exploration status.</w:t>
        </w:r>
        <w:r w:rsidR="009D2BF2">
          <w:rPr>
            <w:noProof/>
            <w:webHidden/>
          </w:rPr>
          <w:tab/>
        </w:r>
        <w:r w:rsidR="009D2BF2">
          <w:rPr>
            <w:noProof/>
            <w:webHidden/>
          </w:rPr>
          <w:fldChar w:fldCharType="begin"/>
        </w:r>
        <w:r w:rsidR="009D2BF2">
          <w:rPr>
            <w:noProof/>
            <w:webHidden/>
          </w:rPr>
          <w:instrText xml:space="preserve"> PAGEREF _Toc517101460 \h </w:instrText>
        </w:r>
        <w:r w:rsidR="009D2BF2">
          <w:rPr>
            <w:noProof/>
            <w:webHidden/>
          </w:rPr>
        </w:r>
        <w:r w:rsidR="009D2BF2">
          <w:rPr>
            <w:noProof/>
            <w:webHidden/>
          </w:rPr>
          <w:fldChar w:fldCharType="separate"/>
        </w:r>
        <w:r w:rsidR="004A16F5">
          <w:rPr>
            <w:noProof/>
            <w:webHidden/>
          </w:rPr>
          <w:t>61</w:t>
        </w:r>
        <w:r w:rsidR="009D2BF2">
          <w:rPr>
            <w:noProof/>
            <w:webHidden/>
          </w:rPr>
          <w:fldChar w:fldCharType="end"/>
        </w:r>
      </w:hyperlink>
    </w:p>
    <w:p w14:paraId="7DF9317A" w14:textId="77777777" w:rsidR="009D2BF2" w:rsidRDefault="00A3211E">
      <w:pPr>
        <w:pStyle w:val="TableofFigures"/>
        <w:rPr>
          <w:rFonts w:asciiTheme="minorHAnsi" w:eastAsiaTheme="minorEastAsia" w:hAnsiTheme="minorHAnsi" w:cstheme="minorBidi"/>
          <w:noProof/>
          <w:color w:val="auto"/>
          <w:sz w:val="22"/>
          <w:szCs w:val="22"/>
        </w:rPr>
      </w:pPr>
      <w:hyperlink w:anchor="_Toc517101461" w:history="1">
        <w:r w:rsidR="009D2BF2" w:rsidRPr="00E549B7">
          <w:rPr>
            <w:rStyle w:val="Hyperlink"/>
            <w:noProof/>
          </w:rPr>
          <w:t>Table 5</w:t>
        </w:r>
        <w:r w:rsidR="009D2BF2" w:rsidRPr="00E549B7">
          <w:rPr>
            <w:rStyle w:val="Hyperlink"/>
            <w:noProof/>
          </w:rPr>
          <w:noBreakHyphen/>
          <w:t>7 Summary of market access and infrastructure.</w:t>
        </w:r>
        <w:r w:rsidR="009D2BF2">
          <w:rPr>
            <w:noProof/>
            <w:webHidden/>
          </w:rPr>
          <w:tab/>
        </w:r>
        <w:r w:rsidR="009D2BF2">
          <w:rPr>
            <w:noProof/>
            <w:webHidden/>
          </w:rPr>
          <w:fldChar w:fldCharType="begin"/>
        </w:r>
        <w:r w:rsidR="009D2BF2">
          <w:rPr>
            <w:noProof/>
            <w:webHidden/>
          </w:rPr>
          <w:instrText xml:space="preserve"> PAGEREF _Toc517101461 \h </w:instrText>
        </w:r>
        <w:r w:rsidR="009D2BF2">
          <w:rPr>
            <w:noProof/>
            <w:webHidden/>
          </w:rPr>
        </w:r>
        <w:r w:rsidR="009D2BF2">
          <w:rPr>
            <w:noProof/>
            <w:webHidden/>
          </w:rPr>
          <w:fldChar w:fldCharType="separate"/>
        </w:r>
        <w:r w:rsidR="004A16F5">
          <w:rPr>
            <w:noProof/>
            <w:webHidden/>
          </w:rPr>
          <w:t>66</w:t>
        </w:r>
        <w:r w:rsidR="009D2BF2">
          <w:rPr>
            <w:noProof/>
            <w:webHidden/>
          </w:rPr>
          <w:fldChar w:fldCharType="end"/>
        </w:r>
      </w:hyperlink>
    </w:p>
    <w:p w14:paraId="5BEC1E10" w14:textId="77777777" w:rsidR="009D2BF2" w:rsidRDefault="00A3211E">
      <w:pPr>
        <w:pStyle w:val="TableofFigures"/>
        <w:rPr>
          <w:rFonts w:asciiTheme="minorHAnsi" w:eastAsiaTheme="minorEastAsia" w:hAnsiTheme="minorHAnsi" w:cstheme="minorBidi"/>
          <w:noProof/>
          <w:color w:val="auto"/>
          <w:sz w:val="22"/>
          <w:szCs w:val="22"/>
        </w:rPr>
      </w:pPr>
      <w:hyperlink w:anchor="_Toc517101462" w:history="1">
        <w:r w:rsidR="009D2BF2" w:rsidRPr="00E549B7">
          <w:rPr>
            <w:rStyle w:val="Hyperlink"/>
            <w:noProof/>
          </w:rPr>
          <w:t>Table 5</w:t>
        </w:r>
        <w:r w:rsidR="009D2BF2" w:rsidRPr="00E549B7">
          <w:rPr>
            <w:rStyle w:val="Hyperlink"/>
            <w:noProof/>
          </w:rPr>
          <w:noBreakHyphen/>
          <w:t>8 Summary of moratoria and other regulatory restrictions preventing or impeding onshore shale and/or gas exploration and development by states connected to the East Coast and Northern Territory gas markets.</w:t>
        </w:r>
        <w:r w:rsidR="009D2BF2">
          <w:rPr>
            <w:noProof/>
            <w:webHidden/>
          </w:rPr>
          <w:tab/>
        </w:r>
        <w:r w:rsidR="009D2BF2">
          <w:rPr>
            <w:noProof/>
            <w:webHidden/>
          </w:rPr>
          <w:fldChar w:fldCharType="begin"/>
        </w:r>
        <w:r w:rsidR="009D2BF2">
          <w:rPr>
            <w:noProof/>
            <w:webHidden/>
          </w:rPr>
          <w:instrText xml:space="preserve"> PAGEREF _Toc517101462 \h </w:instrText>
        </w:r>
        <w:r w:rsidR="009D2BF2">
          <w:rPr>
            <w:noProof/>
            <w:webHidden/>
          </w:rPr>
        </w:r>
        <w:r w:rsidR="009D2BF2">
          <w:rPr>
            <w:noProof/>
            <w:webHidden/>
          </w:rPr>
          <w:fldChar w:fldCharType="separate"/>
        </w:r>
        <w:r w:rsidR="004A16F5">
          <w:rPr>
            <w:noProof/>
            <w:webHidden/>
          </w:rPr>
          <w:t>67</w:t>
        </w:r>
        <w:r w:rsidR="009D2BF2">
          <w:rPr>
            <w:noProof/>
            <w:webHidden/>
          </w:rPr>
          <w:fldChar w:fldCharType="end"/>
        </w:r>
      </w:hyperlink>
    </w:p>
    <w:p w14:paraId="0C4A38B0" w14:textId="77777777" w:rsidR="009D2BF2" w:rsidRDefault="00A3211E">
      <w:pPr>
        <w:pStyle w:val="TableofFigures"/>
        <w:rPr>
          <w:rFonts w:asciiTheme="minorHAnsi" w:eastAsiaTheme="minorEastAsia" w:hAnsiTheme="minorHAnsi" w:cstheme="minorBidi"/>
          <w:noProof/>
          <w:color w:val="auto"/>
          <w:sz w:val="22"/>
          <w:szCs w:val="22"/>
        </w:rPr>
      </w:pPr>
      <w:hyperlink w:anchor="_Toc517101463" w:history="1">
        <w:r w:rsidR="009D2BF2" w:rsidRPr="00E549B7">
          <w:rPr>
            <w:rStyle w:val="Hyperlink"/>
            <w:noProof/>
          </w:rPr>
          <w:t>Table 5</w:t>
        </w:r>
        <w:r w:rsidR="009D2BF2" w:rsidRPr="00E549B7">
          <w:rPr>
            <w:rStyle w:val="Hyperlink"/>
            <w:noProof/>
          </w:rPr>
          <w:noBreakHyphen/>
          <w:t>9 Summary table of the key characteristics on groundwater and surface water resources, and environmental and social factors. Further details are found in the relevant section of Appendix C for each basin.</w:t>
        </w:r>
        <w:r w:rsidR="009D2BF2">
          <w:rPr>
            <w:noProof/>
            <w:webHidden/>
          </w:rPr>
          <w:tab/>
        </w:r>
        <w:r w:rsidR="009D2BF2">
          <w:rPr>
            <w:noProof/>
            <w:webHidden/>
          </w:rPr>
          <w:fldChar w:fldCharType="begin"/>
        </w:r>
        <w:r w:rsidR="009D2BF2">
          <w:rPr>
            <w:noProof/>
            <w:webHidden/>
          </w:rPr>
          <w:instrText xml:space="preserve"> PAGEREF _Toc517101463 \h </w:instrText>
        </w:r>
        <w:r w:rsidR="009D2BF2">
          <w:rPr>
            <w:noProof/>
            <w:webHidden/>
          </w:rPr>
        </w:r>
        <w:r w:rsidR="009D2BF2">
          <w:rPr>
            <w:noProof/>
            <w:webHidden/>
          </w:rPr>
          <w:fldChar w:fldCharType="separate"/>
        </w:r>
        <w:r w:rsidR="004A16F5">
          <w:rPr>
            <w:noProof/>
            <w:webHidden/>
          </w:rPr>
          <w:t>69</w:t>
        </w:r>
        <w:r w:rsidR="009D2BF2">
          <w:rPr>
            <w:noProof/>
            <w:webHidden/>
          </w:rPr>
          <w:fldChar w:fldCharType="end"/>
        </w:r>
      </w:hyperlink>
    </w:p>
    <w:p w14:paraId="166D687E" w14:textId="77777777" w:rsidR="009D2BF2" w:rsidRDefault="00A3211E">
      <w:pPr>
        <w:pStyle w:val="TableofFigures"/>
        <w:rPr>
          <w:rFonts w:asciiTheme="minorHAnsi" w:eastAsiaTheme="minorEastAsia" w:hAnsiTheme="minorHAnsi" w:cstheme="minorBidi"/>
          <w:noProof/>
          <w:color w:val="auto"/>
          <w:sz w:val="22"/>
          <w:szCs w:val="22"/>
        </w:rPr>
      </w:pPr>
      <w:hyperlink w:anchor="_Toc517101464" w:history="1">
        <w:r w:rsidR="009D2BF2" w:rsidRPr="00E549B7">
          <w:rPr>
            <w:rStyle w:val="Hyperlink"/>
            <w:noProof/>
          </w:rPr>
          <w:t>Table 6</w:t>
        </w:r>
        <w:r w:rsidR="009D2BF2" w:rsidRPr="00E549B7">
          <w:rPr>
            <w:rStyle w:val="Hyperlink"/>
            <w:noProof/>
          </w:rPr>
          <w:noBreakHyphen/>
          <w:t>1 Summary of rapid regional rapid prioritisation results for each shortlisted basin by the following themes: basin geology, shale/ tight gas resource prospectivity, gas market, additional infrastructure requirements and regulatory environment.</w:t>
        </w:r>
        <w:r w:rsidR="009D2BF2">
          <w:rPr>
            <w:noProof/>
            <w:webHidden/>
          </w:rPr>
          <w:tab/>
        </w:r>
        <w:r w:rsidR="009D2BF2">
          <w:rPr>
            <w:noProof/>
            <w:webHidden/>
          </w:rPr>
          <w:fldChar w:fldCharType="begin"/>
        </w:r>
        <w:r w:rsidR="009D2BF2">
          <w:rPr>
            <w:noProof/>
            <w:webHidden/>
          </w:rPr>
          <w:instrText xml:space="preserve"> PAGEREF _Toc517101464 \h </w:instrText>
        </w:r>
        <w:r w:rsidR="009D2BF2">
          <w:rPr>
            <w:noProof/>
            <w:webHidden/>
          </w:rPr>
        </w:r>
        <w:r w:rsidR="009D2BF2">
          <w:rPr>
            <w:noProof/>
            <w:webHidden/>
          </w:rPr>
          <w:fldChar w:fldCharType="separate"/>
        </w:r>
        <w:r w:rsidR="004A16F5">
          <w:rPr>
            <w:noProof/>
            <w:webHidden/>
          </w:rPr>
          <w:t>83</w:t>
        </w:r>
        <w:r w:rsidR="009D2BF2">
          <w:rPr>
            <w:noProof/>
            <w:webHidden/>
          </w:rPr>
          <w:fldChar w:fldCharType="end"/>
        </w:r>
      </w:hyperlink>
    </w:p>
    <w:p w14:paraId="7E4E7838" w14:textId="77777777" w:rsidR="009D2BF2" w:rsidRDefault="00A3211E">
      <w:pPr>
        <w:pStyle w:val="TableofFigures"/>
        <w:rPr>
          <w:rFonts w:asciiTheme="minorHAnsi" w:eastAsiaTheme="minorEastAsia" w:hAnsiTheme="minorHAnsi" w:cstheme="minorBidi"/>
          <w:noProof/>
          <w:color w:val="auto"/>
          <w:sz w:val="22"/>
          <w:szCs w:val="22"/>
        </w:rPr>
      </w:pPr>
      <w:hyperlink w:anchor="_Toc517101465" w:history="1">
        <w:r w:rsidR="009D2BF2" w:rsidRPr="00E549B7">
          <w:rPr>
            <w:rStyle w:val="Hyperlink"/>
            <w:noProof/>
          </w:rPr>
          <w:t>Table 6</w:t>
        </w:r>
        <w:r w:rsidR="009D2BF2" w:rsidRPr="00E549B7">
          <w:rPr>
            <w:rStyle w:val="Hyperlink"/>
            <w:noProof/>
          </w:rPr>
          <w:noBreakHyphen/>
          <w:t>2: List of shortened forms.</w:t>
        </w:r>
        <w:r w:rsidR="009D2BF2">
          <w:rPr>
            <w:noProof/>
            <w:webHidden/>
          </w:rPr>
          <w:tab/>
        </w:r>
        <w:r w:rsidR="009D2BF2">
          <w:rPr>
            <w:noProof/>
            <w:webHidden/>
          </w:rPr>
          <w:fldChar w:fldCharType="begin"/>
        </w:r>
        <w:r w:rsidR="009D2BF2">
          <w:rPr>
            <w:noProof/>
            <w:webHidden/>
          </w:rPr>
          <w:instrText xml:space="preserve"> PAGEREF _Toc517101465 \h </w:instrText>
        </w:r>
        <w:r w:rsidR="009D2BF2">
          <w:rPr>
            <w:noProof/>
            <w:webHidden/>
          </w:rPr>
        </w:r>
        <w:r w:rsidR="009D2BF2">
          <w:rPr>
            <w:noProof/>
            <w:webHidden/>
          </w:rPr>
          <w:fldChar w:fldCharType="separate"/>
        </w:r>
        <w:r w:rsidR="004A16F5">
          <w:rPr>
            <w:noProof/>
            <w:webHidden/>
          </w:rPr>
          <w:t>95</w:t>
        </w:r>
        <w:r w:rsidR="009D2BF2">
          <w:rPr>
            <w:noProof/>
            <w:webHidden/>
          </w:rPr>
          <w:fldChar w:fldCharType="end"/>
        </w:r>
      </w:hyperlink>
    </w:p>
    <w:p w14:paraId="223BCD4A" w14:textId="5AB7442A" w:rsidR="008C6FD7" w:rsidRDefault="004B38AE" w:rsidP="008A48BE">
      <w:pPr>
        <w:pStyle w:val="TableofFigures"/>
      </w:pPr>
      <w:r>
        <w:fldChar w:fldCharType="end"/>
      </w:r>
    </w:p>
    <w:p w14:paraId="55525133" w14:textId="77777777" w:rsidR="008C6FD7" w:rsidRPr="008C6FD7" w:rsidRDefault="008C6FD7" w:rsidP="005E0FA1"/>
    <w:p w14:paraId="307E1200" w14:textId="77777777" w:rsidR="008C6FD7" w:rsidRPr="008C6FD7" w:rsidRDefault="008C6FD7" w:rsidP="005E0FA1"/>
    <w:p w14:paraId="6990B514" w14:textId="77777777" w:rsidR="008C6FD7" w:rsidRPr="008C6FD7" w:rsidRDefault="008C6FD7" w:rsidP="005E0FA1"/>
    <w:p w14:paraId="1232D6D7" w14:textId="77777777" w:rsidR="008C6FD7" w:rsidRPr="000A7C31" w:rsidRDefault="008C6FD7" w:rsidP="005E0FA1"/>
    <w:p w14:paraId="20E28EF1" w14:textId="77777777" w:rsidR="008C6FD7" w:rsidRPr="00F07F10" w:rsidRDefault="008C6FD7" w:rsidP="005E0FA1"/>
    <w:p w14:paraId="43F9ED06" w14:textId="77777777" w:rsidR="008C6FD7" w:rsidRPr="00F07F10" w:rsidRDefault="008C6FD7" w:rsidP="005E0FA1"/>
    <w:p w14:paraId="2D4802F1" w14:textId="77777777" w:rsidR="008C6FD7" w:rsidRPr="003A49B6" w:rsidRDefault="008C6FD7" w:rsidP="005E0FA1"/>
    <w:p w14:paraId="73657416" w14:textId="77777777" w:rsidR="008C6FD7" w:rsidRPr="008C6FD7" w:rsidRDefault="008C6FD7" w:rsidP="005E0FA1"/>
    <w:p w14:paraId="67970B4A" w14:textId="77777777" w:rsidR="008C6FD7" w:rsidRPr="008C6FD7" w:rsidRDefault="008C6FD7" w:rsidP="005E0FA1"/>
    <w:p w14:paraId="11C654A1" w14:textId="77777777" w:rsidR="008C6FD7" w:rsidRPr="008C6FD7" w:rsidRDefault="008C6FD7" w:rsidP="005E0FA1"/>
    <w:p w14:paraId="7A0562E5" w14:textId="77777777" w:rsidR="008C6FD7" w:rsidRPr="008C6FD7" w:rsidRDefault="008C6FD7" w:rsidP="005E0FA1"/>
    <w:p w14:paraId="632929F7" w14:textId="77777777" w:rsidR="008C6FD7" w:rsidRPr="008C6FD7" w:rsidRDefault="008C6FD7" w:rsidP="005E0FA1"/>
    <w:p w14:paraId="3CDA1C37" w14:textId="77777777" w:rsidR="008C6FD7" w:rsidRPr="008C6FD7" w:rsidRDefault="008C6FD7" w:rsidP="005E0FA1"/>
    <w:p w14:paraId="4379947D" w14:textId="77777777" w:rsidR="008C6FD7" w:rsidRPr="008C6FD7" w:rsidRDefault="008C6FD7" w:rsidP="005E0FA1"/>
    <w:p w14:paraId="43BEED2D" w14:textId="2A426145" w:rsidR="008C6FD7" w:rsidRDefault="008C6FD7" w:rsidP="008C6FD7"/>
    <w:p w14:paraId="4F9A5015" w14:textId="77777777" w:rsidR="002D1B9B" w:rsidRPr="008C6FD7" w:rsidRDefault="002D1B9B" w:rsidP="005E0FA1">
      <w:pPr>
        <w:jc w:val="center"/>
      </w:pPr>
    </w:p>
    <w:p w14:paraId="223BCD4B" w14:textId="6B007DF4" w:rsidR="002D1B9B" w:rsidRDefault="002D1B9B" w:rsidP="00FE2FF7">
      <w:pPr>
        <w:pStyle w:val="Heading1notnumbered"/>
      </w:pPr>
      <w:bookmarkStart w:id="5" w:name="_Toc517101397"/>
      <w:r>
        <w:lastRenderedPageBreak/>
        <w:t xml:space="preserve">Contributors to the </w:t>
      </w:r>
      <w:r w:rsidR="000A0052">
        <w:t>Technical </w:t>
      </w:r>
      <w:r>
        <w:t>Program</w:t>
      </w:r>
      <w:bookmarkEnd w:id="5"/>
    </w:p>
    <w:p w14:paraId="78BE10EA" w14:textId="34FF596C" w:rsidR="004779D6" w:rsidRDefault="004779D6" w:rsidP="00760658">
      <w:pPr>
        <w:pStyle w:val="BodyText"/>
        <w:rPr>
          <w:sz w:val="23"/>
          <w:szCs w:val="23"/>
        </w:rPr>
      </w:pPr>
      <w:r>
        <w:rPr>
          <w:sz w:val="23"/>
          <w:szCs w:val="23"/>
        </w:rPr>
        <w:t xml:space="preserve">The following individuals have contributed to the </w:t>
      </w:r>
      <w:r w:rsidR="008F2723">
        <w:rPr>
          <w:sz w:val="23"/>
          <w:szCs w:val="23"/>
        </w:rPr>
        <w:t xml:space="preserve">Stage 1 of the </w:t>
      </w:r>
      <w:r w:rsidR="008525B0">
        <w:rPr>
          <w:sz w:val="23"/>
          <w:szCs w:val="23"/>
        </w:rPr>
        <w:t xml:space="preserve">Geological and Bioregional Assessments </w:t>
      </w:r>
      <w:r w:rsidR="00502429">
        <w:rPr>
          <w:sz w:val="23"/>
          <w:szCs w:val="23"/>
        </w:rPr>
        <w:t>Program</w:t>
      </w:r>
      <w:r w:rsidR="008F2723">
        <w:rPr>
          <w:sz w:val="23"/>
          <w:szCs w:val="23"/>
        </w:rPr>
        <w:t>.</w:t>
      </w:r>
      <w:r>
        <w:rPr>
          <w:sz w:val="23"/>
          <w:szCs w:val="23"/>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3227"/>
        <w:gridCol w:w="6245"/>
      </w:tblGrid>
      <w:tr w:rsidR="004779D6" w:rsidRPr="004779D6" w14:paraId="6DA4E5DC" w14:textId="77777777" w:rsidTr="005E0FA1">
        <w:trPr>
          <w:trHeight w:val="126"/>
        </w:trPr>
        <w:tc>
          <w:tcPr>
            <w:tcW w:w="3227" w:type="dxa"/>
          </w:tcPr>
          <w:p w14:paraId="4443DA64" w14:textId="146D3794" w:rsidR="004779D6" w:rsidRPr="004779D6" w:rsidRDefault="004779D6" w:rsidP="005E0FA1">
            <w:pPr>
              <w:pStyle w:val="TableTextLeft"/>
              <w:rPr>
                <w:rFonts w:eastAsiaTheme="minorHAnsi"/>
              </w:rPr>
            </w:pPr>
          </w:p>
        </w:tc>
        <w:tc>
          <w:tcPr>
            <w:tcW w:w="6245" w:type="dxa"/>
          </w:tcPr>
          <w:p w14:paraId="7A1E0B50" w14:textId="77777777" w:rsidR="004779D6" w:rsidRPr="005E0FA1" w:rsidRDefault="004779D6" w:rsidP="005E0FA1">
            <w:pPr>
              <w:pStyle w:val="TableTextLeft"/>
              <w:rPr>
                <w:rFonts w:eastAsiaTheme="minorHAnsi"/>
                <w:highlight w:val="yellow"/>
              </w:rPr>
            </w:pPr>
          </w:p>
        </w:tc>
      </w:tr>
      <w:tr w:rsidR="004779D6" w:rsidRPr="004779D6" w14:paraId="21687C2D" w14:textId="77777777" w:rsidTr="005E0FA1">
        <w:trPr>
          <w:trHeight w:val="126"/>
        </w:trPr>
        <w:tc>
          <w:tcPr>
            <w:tcW w:w="3227" w:type="dxa"/>
          </w:tcPr>
          <w:p w14:paraId="6A13150B" w14:textId="5AED0C64" w:rsidR="004779D6" w:rsidRPr="004779D6" w:rsidRDefault="004779D6" w:rsidP="005E0FA1">
            <w:pPr>
              <w:pStyle w:val="TableTextLeft"/>
              <w:rPr>
                <w:rFonts w:eastAsiaTheme="minorHAnsi"/>
              </w:rPr>
            </w:pPr>
          </w:p>
        </w:tc>
        <w:tc>
          <w:tcPr>
            <w:tcW w:w="6245" w:type="dxa"/>
          </w:tcPr>
          <w:p w14:paraId="791B2507" w14:textId="51EAD7C5" w:rsidR="00696D71" w:rsidRPr="005E0FA1" w:rsidRDefault="00696D71" w:rsidP="005E0FA1">
            <w:pPr>
              <w:pStyle w:val="TableTextLeft"/>
              <w:rPr>
                <w:rFonts w:eastAsiaTheme="minorHAnsi"/>
                <w:highlight w:val="yellow"/>
              </w:rPr>
            </w:pPr>
          </w:p>
        </w:tc>
      </w:tr>
      <w:tr w:rsidR="008F2723" w:rsidRPr="004779D6" w14:paraId="553A5CF4" w14:textId="77777777" w:rsidTr="005E0FA1">
        <w:trPr>
          <w:trHeight w:val="126"/>
        </w:trPr>
        <w:tc>
          <w:tcPr>
            <w:tcW w:w="3227" w:type="dxa"/>
          </w:tcPr>
          <w:p w14:paraId="24873FB1" w14:textId="0A5DBB4E" w:rsidR="008F2723" w:rsidRPr="004779D6" w:rsidRDefault="008F2723" w:rsidP="005E0FA1">
            <w:pPr>
              <w:pStyle w:val="TableTextLeft"/>
              <w:rPr>
                <w:rFonts w:eastAsiaTheme="minorHAnsi"/>
              </w:rPr>
            </w:pPr>
            <w:r w:rsidRPr="004779D6">
              <w:rPr>
                <w:rFonts w:eastAsiaTheme="minorHAnsi"/>
              </w:rPr>
              <w:t xml:space="preserve">Science Directors </w:t>
            </w:r>
          </w:p>
        </w:tc>
        <w:tc>
          <w:tcPr>
            <w:tcW w:w="6245" w:type="dxa"/>
          </w:tcPr>
          <w:p w14:paraId="7096E23F" w14:textId="33952C28" w:rsidR="008F2723" w:rsidRDefault="008F2723" w:rsidP="005E0FA1">
            <w:pPr>
              <w:pStyle w:val="TableTextLeft"/>
              <w:rPr>
                <w:rFonts w:eastAsiaTheme="minorHAnsi"/>
              </w:rPr>
            </w:pPr>
            <w:r w:rsidRPr="004779D6">
              <w:rPr>
                <w:rFonts w:eastAsiaTheme="minorHAnsi"/>
              </w:rPr>
              <w:t xml:space="preserve">Geoscience Australia: </w:t>
            </w:r>
            <w:r>
              <w:rPr>
                <w:rFonts w:eastAsiaTheme="minorHAnsi"/>
              </w:rPr>
              <w:t>Baskaran Sundaram, Lisa Hall</w:t>
            </w:r>
            <w:r w:rsidRPr="004779D6">
              <w:rPr>
                <w:rFonts w:eastAsiaTheme="minorHAnsi"/>
              </w:rPr>
              <w:t xml:space="preserve"> </w:t>
            </w:r>
          </w:p>
          <w:p w14:paraId="59347143" w14:textId="77777777" w:rsidR="008F2723" w:rsidRDefault="008F2723" w:rsidP="005E0FA1">
            <w:pPr>
              <w:pStyle w:val="TableTextLeft"/>
              <w:rPr>
                <w:rFonts w:eastAsiaTheme="minorHAnsi"/>
              </w:rPr>
            </w:pPr>
          </w:p>
          <w:p w14:paraId="73A327CA" w14:textId="77777777" w:rsidR="00E248F7" w:rsidRPr="004779D6" w:rsidRDefault="00E248F7" w:rsidP="005E0FA1">
            <w:pPr>
              <w:pStyle w:val="TableTextLeft"/>
              <w:rPr>
                <w:rFonts w:eastAsiaTheme="minorHAnsi"/>
              </w:rPr>
            </w:pPr>
          </w:p>
        </w:tc>
      </w:tr>
      <w:tr w:rsidR="008F2723" w:rsidRPr="004779D6" w14:paraId="60C678C2" w14:textId="77777777" w:rsidTr="005E0FA1">
        <w:trPr>
          <w:trHeight w:val="337"/>
        </w:trPr>
        <w:tc>
          <w:tcPr>
            <w:tcW w:w="3227" w:type="dxa"/>
          </w:tcPr>
          <w:p w14:paraId="450DCEA4" w14:textId="77777777" w:rsidR="008F2723" w:rsidRDefault="006625D0" w:rsidP="005E0FA1">
            <w:pPr>
              <w:pStyle w:val="TableTextLeft"/>
              <w:rPr>
                <w:rFonts w:eastAsiaTheme="minorHAnsi"/>
              </w:rPr>
            </w:pPr>
            <w:r>
              <w:rPr>
                <w:rFonts w:eastAsiaTheme="minorHAnsi"/>
              </w:rPr>
              <w:t>Program</w:t>
            </w:r>
            <w:r w:rsidR="008F2723" w:rsidRPr="004779D6">
              <w:rPr>
                <w:rFonts w:eastAsiaTheme="minorHAnsi"/>
              </w:rPr>
              <w:t xml:space="preserve"> management </w:t>
            </w:r>
          </w:p>
          <w:p w14:paraId="3B0CDE1F" w14:textId="1688DEE8" w:rsidR="00D76EB2" w:rsidRPr="004779D6" w:rsidRDefault="00D76EB2" w:rsidP="005E0FA1">
            <w:pPr>
              <w:pStyle w:val="TableTextLeft"/>
              <w:rPr>
                <w:rFonts w:eastAsiaTheme="minorHAnsi"/>
              </w:rPr>
            </w:pPr>
          </w:p>
        </w:tc>
        <w:tc>
          <w:tcPr>
            <w:tcW w:w="6245" w:type="dxa"/>
          </w:tcPr>
          <w:p w14:paraId="490CCEE7" w14:textId="041DE052" w:rsidR="008F2723" w:rsidRDefault="008F2723" w:rsidP="005E0FA1">
            <w:pPr>
              <w:pStyle w:val="TableTextLeft"/>
              <w:rPr>
                <w:rFonts w:eastAsiaTheme="minorHAnsi"/>
              </w:rPr>
            </w:pPr>
            <w:r w:rsidRPr="004779D6">
              <w:rPr>
                <w:rFonts w:eastAsiaTheme="minorHAnsi"/>
              </w:rPr>
              <w:t>Geoscience Australi</w:t>
            </w:r>
            <w:r>
              <w:rPr>
                <w:rFonts w:eastAsiaTheme="minorHAnsi"/>
              </w:rPr>
              <w:t>a: Narelle Neumann, Merrie-Ellen Gunning</w:t>
            </w:r>
            <w:r w:rsidR="005873A6">
              <w:rPr>
                <w:rFonts w:eastAsiaTheme="minorHAnsi"/>
              </w:rPr>
              <w:t>, Irina Borissova</w:t>
            </w:r>
            <w:r w:rsidR="004E7BC0">
              <w:rPr>
                <w:rFonts w:eastAsiaTheme="minorHAnsi"/>
              </w:rPr>
              <w:t>, Baskaran Sundaram</w:t>
            </w:r>
            <w:r w:rsidRPr="004779D6">
              <w:rPr>
                <w:rFonts w:eastAsiaTheme="minorHAnsi"/>
              </w:rPr>
              <w:t xml:space="preserve"> </w:t>
            </w:r>
          </w:p>
          <w:p w14:paraId="0A14F34D" w14:textId="77777777" w:rsidR="008F2723" w:rsidRPr="004779D6" w:rsidRDefault="008F2723" w:rsidP="005E0FA1">
            <w:pPr>
              <w:pStyle w:val="TableTextLeft"/>
              <w:rPr>
                <w:rFonts w:eastAsiaTheme="minorHAnsi"/>
              </w:rPr>
            </w:pPr>
          </w:p>
        </w:tc>
      </w:tr>
      <w:tr w:rsidR="008F2723" w:rsidRPr="004779D6" w14:paraId="5DED4F61" w14:textId="77777777" w:rsidTr="005E0FA1">
        <w:trPr>
          <w:trHeight w:val="80"/>
        </w:trPr>
        <w:tc>
          <w:tcPr>
            <w:tcW w:w="3227" w:type="dxa"/>
          </w:tcPr>
          <w:p w14:paraId="391395A0" w14:textId="0A04A855" w:rsidR="008F2723" w:rsidRPr="004779D6" w:rsidRDefault="008F2723" w:rsidP="005E0FA1">
            <w:pPr>
              <w:pStyle w:val="TableTextLeft"/>
              <w:rPr>
                <w:rFonts w:eastAsiaTheme="minorHAnsi"/>
              </w:rPr>
            </w:pPr>
            <w:r w:rsidRPr="004779D6">
              <w:rPr>
                <w:rFonts w:eastAsiaTheme="minorHAnsi"/>
              </w:rPr>
              <w:t xml:space="preserve">Project Leaders </w:t>
            </w:r>
          </w:p>
        </w:tc>
        <w:tc>
          <w:tcPr>
            <w:tcW w:w="6245" w:type="dxa"/>
          </w:tcPr>
          <w:p w14:paraId="06F8EE63" w14:textId="6B180963" w:rsidR="008F2723" w:rsidRDefault="008F2723" w:rsidP="005E0FA1">
            <w:pPr>
              <w:pStyle w:val="TableTextLeft"/>
              <w:rPr>
                <w:rFonts w:eastAsiaTheme="minorHAnsi"/>
              </w:rPr>
            </w:pPr>
            <w:r w:rsidRPr="004779D6">
              <w:rPr>
                <w:rFonts w:eastAsiaTheme="minorHAnsi"/>
              </w:rPr>
              <w:t xml:space="preserve">Geoscience Australia: </w:t>
            </w:r>
            <w:r>
              <w:rPr>
                <w:rFonts w:eastAsiaTheme="minorHAnsi"/>
              </w:rPr>
              <w:t>Lisa Hall</w:t>
            </w:r>
            <w:r w:rsidR="006625D0">
              <w:rPr>
                <w:rFonts w:eastAsiaTheme="minorHAnsi"/>
              </w:rPr>
              <w:t>, Baskaran Sundaram</w:t>
            </w:r>
          </w:p>
          <w:p w14:paraId="59424210" w14:textId="0004E8EB" w:rsidR="008F2723" w:rsidRPr="004779D6" w:rsidRDefault="008F2723" w:rsidP="005E0FA1">
            <w:pPr>
              <w:pStyle w:val="TableTextLeft"/>
              <w:rPr>
                <w:rFonts w:eastAsiaTheme="minorHAnsi"/>
              </w:rPr>
            </w:pPr>
          </w:p>
        </w:tc>
      </w:tr>
      <w:tr w:rsidR="008F2723" w:rsidRPr="004779D6" w14:paraId="73C969FD" w14:textId="77777777" w:rsidTr="005E0FA1">
        <w:trPr>
          <w:trHeight w:val="337"/>
        </w:trPr>
        <w:tc>
          <w:tcPr>
            <w:tcW w:w="3227" w:type="dxa"/>
          </w:tcPr>
          <w:p w14:paraId="740B27D5" w14:textId="2B38988A" w:rsidR="008F2723" w:rsidRPr="004779D6" w:rsidRDefault="008F2723" w:rsidP="005E0FA1">
            <w:pPr>
              <w:pStyle w:val="TableTextLeft"/>
              <w:rPr>
                <w:rFonts w:eastAsiaTheme="minorHAnsi"/>
              </w:rPr>
            </w:pPr>
            <w:r>
              <w:rPr>
                <w:rFonts w:eastAsiaTheme="minorHAnsi"/>
              </w:rPr>
              <w:t>Geology</w:t>
            </w:r>
            <w:r w:rsidRPr="004779D6">
              <w:rPr>
                <w:rFonts w:eastAsiaTheme="minorHAnsi"/>
              </w:rPr>
              <w:t xml:space="preserve"> </w:t>
            </w:r>
          </w:p>
        </w:tc>
        <w:tc>
          <w:tcPr>
            <w:tcW w:w="6245" w:type="dxa"/>
          </w:tcPr>
          <w:p w14:paraId="2F727B69" w14:textId="71CDD727" w:rsidR="008F2723" w:rsidRDefault="008F2723" w:rsidP="005E0FA1">
            <w:pPr>
              <w:pStyle w:val="TableTextLeft"/>
              <w:rPr>
                <w:rFonts w:eastAsiaTheme="minorHAnsi"/>
              </w:rPr>
            </w:pPr>
            <w:r w:rsidRPr="004779D6">
              <w:rPr>
                <w:rFonts w:eastAsiaTheme="minorHAnsi"/>
              </w:rPr>
              <w:t xml:space="preserve">Geoscience Australia: </w:t>
            </w:r>
            <w:r>
              <w:rPr>
                <w:rFonts w:eastAsiaTheme="minorHAnsi"/>
              </w:rPr>
              <w:t>Lisa Hall, Rob Langford, Jennie Totterdell, Aaron Heugh</w:t>
            </w:r>
            <w:r w:rsidR="004E7BC0">
              <w:rPr>
                <w:rFonts w:eastAsiaTheme="minorHAnsi"/>
              </w:rPr>
              <w:t>, Ron Zhu</w:t>
            </w:r>
            <w:r w:rsidR="001530D7">
              <w:rPr>
                <w:rFonts w:eastAsiaTheme="minorHAnsi"/>
              </w:rPr>
              <w:t>, Megan Lech</w:t>
            </w:r>
          </w:p>
          <w:p w14:paraId="15F1AEBE" w14:textId="77777777" w:rsidR="008F2723" w:rsidRPr="004779D6" w:rsidRDefault="008F2723" w:rsidP="005E0FA1">
            <w:pPr>
              <w:pStyle w:val="TableTextLeft"/>
              <w:rPr>
                <w:rFonts w:eastAsiaTheme="minorHAnsi"/>
              </w:rPr>
            </w:pPr>
          </w:p>
        </w:tc>
      </w:tr>
      <w:tr w:rsidR="008F2723" w:rsidRPr="004779D6" w14:paraId="55335A19" w14:textId="77777777" w:rsidTr="005E0FA1">
        <w:trPr>
          <w:trHeight w:val="337"/>
        </w:trPr>
        <w:tc>
          <w:tcPr>
            <w:tcW w:w="3227" w:type="dxa"/>
          </w:tcPr>
          <w:p w14:paraId="10F40D3E" w14:textId="57A2FA4F" w:rsidR="008F2723" w:rsidRPr="004779D6" w:rsidRDefault="008F2723" w:rsidP="005E0FA1">
            <w:pPr>
              <w:pStyle w:val="TableTextLeft"/>
              <w:rPr>
                <w:rFonts w:eastAsiaTheme="minorHAnsi"/>
              </w:rPr>
            </w:pPr>
            <w:r>
              <w:rPr>
                <w:rFonts w:eastAsiaTheme="minorHAnsi"/>
              </w:rPr>
              <w:t>Hydrogeology</w:t>
            </w:r>
            <w:r w:rsidRPr="004779D6">
              <w:rPr>
                <w:rFonts w:eastAsiaTheme="minorHAnsi"/>
              </w:rPr>
              <w:t xml:space="preserve"> </w:t>
            </w:r>
          </w:p>
        </w:tc>
        <w:tc>
          <w:tcPr>
            <w:tcW w:w="6245" w:type="dxa"/>
          </w:tcPr>
          <w:p w14:paraId="43070607" w14:textId="4F069C56" w:rsidR="008F2723" w:rsidRDefault="008F2723" w:rsidP="005E0FA1">
            <w:pPr>
              <w:pStyle w:val="TableTextLeft"/>
              <w:rPr>
                <w:rFonts w:eastAsiaTheme="minorHAnsi"/>
              </w:rPr>
            </w:pPr>
            <w:r w:rsidRPr="004779D6">
              <w:rPr>
                <w:rFonts w:eastAsiaTheme="minorHAnsi"/>
              </w:rPr>
              <w:t xml:space="preserve">Geoscience Australia: </w:t>
            </w:r>
            <w:r>
              <w:rPr>
                <w:rFonts w:eastAsiaTheme="minorHAnsi"/>
              </w:rPr>
              <w:t xml:space="preserve">Sam Buchanan, </w:t>
            </w:r>
            <w:r w:rsidR="004E7BC0" w:rsidRPr="004E7BC0">
              <w:rPr>
                <w:rFonts w:eastAsiaTheme="minorHAnsi"/>
              </w:rPr>
              <w:t>É</w:t>
            </w:r>
            <w:r>
              <w:rPr>
                <w:rFonts w:eastAsiaTheme="minorHAnsi"/>
              </w:rPr>
              <w:t>amon L</w:t>
            </w:r>
            <w:r w:rsidR="004E7BC0">
              <w:rPr>
                <w:rFonts w:eastAsiaTheme="minorHAnsi"/>
              </w:rPr>
              <w:t>ai</w:t>
            </w:r>
            <w:r>
              <w:rPr>
                <w:rFonts w:eastAsiaTheme="minorHAnsi"/>
              </w:rPr>
              <w:t>, Baskaran Sundaram, Tim Ransley, Kriton Glenn</w:t>
            </w:r>
          </w:p>
          <w:p w14:paraId="675F7C60" w14:textId="77777777" w:rsidR="008F2723" w:rsidRPr="004779D6" w:rsidRDefault="008F2723" w:rsidP="005E0FA1">
            <w:pPr>
              <w:pStyle w:val="TableTextLeft"/>
              <w:rPr>
                <w:rFonts w:eastAsiaTheme="minorHAnsi"/>
              </w:rPr>
            </w:pPr>
          </w:p>
        </w:tc>
      </w:tr>
      <w:tr w:rsidR="008F2723" w:rsidRPr="004779D6" w14:paraId="674B4CB7" w14:textId="77777777" w:rsidTr="005E0FA1">
        <w:trPr>
          <w:trHeight w:val="550"/>
        </w:trPr>
        <w:tc>
          <w:tcPr>
            <w:tcW w:w="3227" w:type="dxa"/>
          </w:tcPr>
          <w:p w14:paraId="2E144826" w14:textId="70944F83" w:rsidR="008F2723" w:rsidRPr="004779D6" w:rsidRDefault="008F2723" w:rsidP="005E0FA1">
            <w:pPr>
              <w:pStyle w:val="TableTextLeft"/>
              <w:rPr>
                <w:rFonts w:eastAsiaTheme="minorHAnsi"/>
              </w:rPr>
            </w:pPr>
            <w:r>
              <w:rPr>
                <w:rFonts w:eastAsiaTheme="minorHAnsi"/>
              </w:rPr>
              <w:t>Information management</w:t>
            </w:r>
          </w:p>
        </w:tc>
        <w:tc>
          <w:tcPr>
            <w:tcW w:w="6245" w:type="dxa"/>
          </w:tcPr>
          <w:p w14:paraId="73DBD37F" w14:textId="334878C2" w:rsidR="008F2723" w:rsidRDefault="008F2723" w:rsidP="005E0FA1">
            <w:pPr>
              <w:pStyle w:val="TableTextLeft"/>
              <w:rPr>
                <w:rFonts w:eastAsiaTheme="minorHAnsi"/>
              </w:rPr>
            </w:pPr>
            <w:r w:rsidRPr="004779D6">
              <w:rPr>
                <w:rFonts w:eastAsiaTheme="minorHAnsi"/>
              </w:rPr>
              <w:t xml:space="preserve">Geoscience Australia: </w:t>
            </w:r>
            <w:r>
              <w:rPr>
                <w:rFonts w:eastAsiaTheme="minorHAnsi"/>
              </w:rPr>
              <w:t xml:space="preserve">Chris Inskeep, Nigel Skeers, Gerard Stewart, </w:t>
            </w:r>
            <w:r w:rsidR="007671DA">
              <w:rPr>
                <w:rFonts w:eastAsiaTheme="minorHAnsi"/>
              </w:rPr>
              <w:br/>
            </w:r>
            <w:r>
              <w:rPr>
                <w:rFonts w:eastAsiaTheme="minorHAnsi"/>
              </w:rPr>
              <w:t>Matti Peljo, Murray Woods</w:t>
            </w:r>
            <w:r w:rsidRPr="004779D6">
              <w:rPr>
                <w:rFonts w:eastAsiaTheme="minorHAnsi"/>
              </w:rPr>
              <w:t xml:space="preserve"> </w:t>
            </w:r>
          </w:p>
          <w:p w14:paraId="6D977AB4" w14:textId="77777777" w:rsidR="008F2723" w:rsidRPr="004779D6" w:rsidRDefault="008F2723" w:rsidP="005E0FA1">
            <w:pPr>
              <w:pStyle w:val="TableTextLeft"/>
              <w:rPr>
                <w:rFonts w:eastAsiaTheme="minorHAnsi"/>
              </w:rPr>
            </w:pPr>
          </w:p>
        </w:tc>
      </w:tr>
      <w:tr w:rsidR="008F2723" w:rsidRPr="004779D6" w14:paraId="33CAB97F" w14:textId="77777777" w:rsidTr="005E0FA1">
        <w:trPr>
          <w:trHeight w:val="762"/>
        </w:trPr>
        <w:tc>
          <w:tcPr>
            <w:tcW w:w="3227" w:type="dxa"/>
          </w:tcPr>
          <w:p w14:paraId="08BFC4BB" w14:textId="67E152AA" w:rsidR="008F2723" w:rsidRPr="004779D6" w:rsidRDefault="008F2723" w:rsidP="005E0FA1">
            <w:pPr>
              <w:pStyle w:val="TableTextLeft"/>
              <w:rPr>
                <w:rFonts w:eastAsiaTheme="minorHAnsi"/>
              </w:rPr>
            </w:pPr>
            <w:r>
              <w:rPr>
                <w:rFonts w:eastAsiaTheme="minorHAnsi"/>
              </w:rPr>
              <w:t>Support</w:t>
            </w:r>
          </w:p>
        </w:tc>
        <w:tc>
          <w:tcPr>
            <w:tcW w:w="6245" w:type="dxa"/>
          </w:tcPr>
          <w:p w14:paraId="27AD4728" w14:textId="11E47944" w:rsidR="008F2723" w:rsidRDefault="008F2723" w:rsidP="005E0FA1">
            <w:pPr>
              <w:pStyle w:val="TableTextLeft"/>
              <w:rPr>
                <w:rFonts w:eastAsiaTheme="minorHAnsi"/>
              </w:rPr>
            </w:pPr>
            <w:r w:rsidRPr="004779D6">
              <w:rPr>
                <w:rFonts w:eastAsiaTheme="minorHAnsi"/>
              </w:rPr>
              <w:t xml:space="preserve">Geoscience Australia: </w:t>
            </w:r>
            <w:r w:rsidR="005873A6" w:rsidRPr="005873A6">
              <w:rPr>
                <w:rFonts w:eastAsiaTheme="minorHAnsi"/>
              </w:rPr>
              <w:t>Paul Rossiter</w:t>
            </w:r>
            <w:r w:rsidR="005873A6">
              <w:rPr>
                <w:rFonts w:eastAsiaTheme="minorHAnsi"/>
              </w:rPr>
              <w:t>,</w:t>
            </w:r>
            <w:r w:rsidR="005873A6" w:rsidRPr="005873A6">
              <w:rPr>
                <w:rFonts w:eastAsiaTheme="minorHAnsi"/>
              </w:rPr>
              <w:t xml:space="preserve"> John Pugh</w:t>
            </w:r>
            <w:r w:rsidR="005873A6">
              <w:rPr>
                <w:rFonts w:eastAsiaTheme="minorHAnsi"/>
              </w:rPr>
              <w:t>,</w:t>
            </w:r>
            <w:r w:rsidR="005873A6" w:rsidRPr="005873A6">
              <w:rPr>
                <w:rFonts w:eastAsiaTheme="minorHAnsi"/>
              </w:rPr>
              <w:t xml:space="preserve"> </w:t>
            </w:r>
            <w:r>
              <w:rPr>
                <w:rFonts w:eastAsiaTheme="minorHAnsi"/>
              </w:rPr>
              <w:t>Wendy Van Tol</w:t>
            </w:r>
          </w:p>
          <w:p w14:paraId="3FEAF521" w14:textId="59AFF54A" w:rsidR="008F2723" w:rsidRPr="004779D6" w:rsidRDefault="008F2723" w:rsidP="005E0FA1">
            <w:pPr>
              <w:pStyle w:val="TableTextLeft"/>
              <w:rPr>
                <w:rFonts w:eastAsiaTheme="minorHAnsi"/>
              </w:rPr>
            </w:pPr>
          </w:p>
        </w:tc>
      </w:tr>
      <w:tr w:rsidR="008F2723" w:rsidRPr="004779D6" w14:paraId="37E6B52D" w14:textId="77777777" w:rsidTr="005E0FA1">
        <w:trPr>
          <w:trHeight w:val="370"/>
        </w:trPr>
        <w:tc>
          <w:tcPr>
            <w:tcW w:w="3227" w:type="dxa"/>
          </w:tcPr>
          <w:p w14:paraId="195C6ABA" w14:textId="1B802AB7" w:rsidR="008F2723" w:rsidRPr="004779D6" w:rsidRDefault="008F2723" w:rsidP="004779D6">
            <w:pPr>
              <w:autoSpaceDE w:val="0"/>
              <w:autoSpaceDN w:val="0"/>
              <w:adjustRightInd w:val="0"/>
              <w:spacing w:before="0" w:after="0" w:line="240" w:lineRule="auto"/>
              <w:rPr>
                <w:rFonts w:eastAsiaTheme="minorHAnsi" w:cs="Calibri"/>
                <w:sz w:val="20"/>
                <w:szCs w:val="20"/>
              </w:rPr>
            </w:pPr>
          </w:p>
        </w:tc>
        <w:tc>
          <w:tcPr>
            <w:tcW w:w="6245" w:type="dxa"/>
          </w:tcPr>
          <w:p w14:paraId="0977117E" w14:textId="1DFA0435" w:rsidR="008F2723" w:rsidRPr="004779D6" w:rsidRDefault="008F2723" w:rsidP="004779D6">
            <w:pPr>
              <w:autoSpaceDE w:val="0"/>
              <w:autoSpaceDN w:val="0"/>
              <w:adjustRightInd w:val="0"/>
              <w:spacing w:before="0" w:after="0" w:line="240" w:lineRule="auto"/>
              <w:rPr>
                <w:rFonts w:eastAsiaTheme="minorHAnsi" w:cs="Calibri"/>
                <w:sz w:val="20"/>
                <w:szCs w:val="20"/>
              </w:rPr>
            </w:pPr>
          </w:p>
        </w:tc>
      </w:tr>
    </w:tbl>
    <w:p w14:paraId="223BCD4D" w14:textId="77777777" w:rsidR="00174635" w:rsidRDefault="00174635" w:rsidP="0070099A">
      <w:pPr>
        <w:pStyle w:val="BodyText"/>
      </w:pPr>
    </w:p>
    <w:p w14:paraId="223BCD4E" w14:textId="77777777" w:rsidR="002D1B9B" w:rsidRDefault="002D1B9B" w:rsidP="00FE2FF7">
      <w:pPr>
        <w:pStyle w:val="Heading1notnumbered"/>
      </w:pPr>
      <w:bookmarkStart w:id="6" w:name="_Toc517101398"/>
      <w:r>
        <w:lastRenderedPageBreak/>
        <w:t>Acknowledgements</w:t>
      </w:r>
      <w:bookmarkEnd w:id="6"/>
    </w:p>
    <w:p w14:paraId="223BCD50" w14:textId="77777777" w:rsidR="00530B43" w:rsidRDefault="00530B43" w:rsidP="00530B43">
      <w:pPr>
        <w:pStyle w:val="BodyText"/>
      </w:pPr>
      <w:r>
        <w:t xml:space="preserve">This technical product was reviewed by several groups: </w:t>
      </w:r>
    </w:p>
    <w:p w14:paraId="223BCD51" w14:textId="1FFEC05A" w:rsidR="00530B43" w:rsidRDefault="00530B43" w:rsidP="00530B43">
      <w:pPr>
        <w:pStyle w:val="ListBullet"/>
      </w:pPr>
      <w:r>
        <w:t xml:space="preserve">Senior Science Leaders: </w:t>
      </w:r>
      <w:r w:rsidR="00444BDC">
        <w:t xml:space="preserve">Andrew </w:t>
      </w:r>
      <w:r w:rsidR="00861B24">
        <w:t xml:space="preserve">Heap (Chief of Resources Division, Geoscience Australia), </w:t>
      </w:r>
      <w:r w:rsidR="00444BDC">
        <w:t>St</w:t>
      </w:r>
      <w:r w:rsidR="00C54B87">
        <w:t>u</w:t>
      </w:r>
      <w:r w:rsidR="00444BDC">
        <w:t xml:space="preserve">art Minchin (Chief of </w:t>
      </w:r>
      <w:r w:rsidR="007E480B">
        <w:t xml:space="preserve">Environmental Geoscience </w:t>
      </w:r>
      <w:r w:rsidR="00444BDC">
        <w:t>Division, Geoscience Australia), Merrie-Ellen Gunning</w:t>
      </w:r>
      <w:r>
        <w:t xml:space="preserve"> (</w:t>
      </w:r>
      <w:r w:rsidR="00444BDC">
        <w:t xml:space="preserve">acting </w:t>
      </w:r>
      <w:r w:rsidR="007E480B">
        <w:t xml:space="preserve">Energy Systems </w:t>
      </w:r>
      <w:r w:rsidR="00444BDC">
        <w:t>Branch Head, Geoscience Australia</w:t>
      </w:r>
      <w:r>
        <w:t xml:space="preserve">), </w:t>
      </w:r>
      <w:r w:rsidR="00444BDC">
        <w:t>Narelle Neumann</w:t>
      </w:r>
      <w:r>
        <w:t xml:space="preserve"> (</w:t>
      </w:r>
      <w:r w:rsidR="007E480B">
        <w:t xml:space="preserve">Groundwater </w:t>
      </w:r>
      <w:r w:rsidR="00444BDC">
        <w:t>Branch Head, Geoscience Australia</w:t>
      </w:r>
      <w:r>
        <w:t>)</w:t>
      </w:r>
      <w:r w:rsidR="00D8565B">
        <w:t>, Andrew Barrett (Resources Advice and Promotion Branch Head, Geoscience Australia).</w:t>
      </w:r>
    </w:p>
    <w:p w14:paraId="223BCD52" w14:textId="02D80F3F" w:rsidR="00530B43" w:rsidRDefault="007E480B" w:rsidP="00530B43">
      <w:pPr>
        <w:pStyle w:val="ListBullet"/>
      </w:pPr>
      <w:r>
        <w:t xml:space="preserve">Science </w:t>
      </w:r>
      <w:r w:rsidR="005471B9">
        <w:t>Reviewers</w:t>
      </w:r>
      <w:r w:rsidR="00530B43">
        <w:t xml:space="preserve">: </w:t>
      </w:r>
      <w:r w:rsidR="00604D82">
        <w:t>Riko Hashimoto, Karen Higgins, Stephen Hostetler and</w:t>
      </w:r>
      <w:r w:rsidR="00AC64B5">
        <w:t xml:space="preserve"> </w:t>
      </w:r>
      <w:r w:rsidR="00604D82">
        <w:t>Meredith Orr (Geoscience Australia)</w:t>
      </w:r>
      <w:r w:rsidR="00444BDC">
        <w:t>.</w:t>
      </w:r>
    </w:p>
    <w:p w14:paraId="223BCD53" w14:textId="35CD93D7" w:rsidR="00530B43" w:rsidRDefault="00530B43" w:rsidP="00FC2CCC">
      <w:pPr>
        <w:pStyle w:val="BodyText"/>
      </w:pPr>
      <w:r>
        <w:t xml:space="preserve">Valuable comments were also provided by </w:t>
      </w:r>
      <w:r w:rsidR="00444BDC">
        <w:t>Bridgette Lewis and Anthony Budd (Geoscience Australia).</w:t>
      </w:r>
    </w:p>
    <w:p w14:paraId="583D2F3A" w14:textId="20C32088" w:rsidR="00EE4023" w:rsidRDefault="00EE4023" w:rsidP="00FC2CCC">
      <w:pPr>
        <w:pStyle w:val="BodyText"/>
      </w:pPr>
      <w:r>
        <w:tab/>
      </w:r>
    </w:p>
    <w:bookmarkStart w:id="7" w:name="_Toc316902172" w:displacedByCustomXml="next"/>
    <w:sdt>
      <w:sdtPr>
        <w:id w:val="4893490"/>
        <w:docPartObj>
          <w:docPartGallery w:val="Cover Pages"/>
        </w:docPartObj>
      </w:sdtPr>
      <w:sdtEndPr/>
      <w:sdtContent>
        <w:sdt>
          <w:sdtPr>
            <w:id w:val="4893489"/>
            <w:docPartObj>
              <w:docPartGallery w:val="Cover Pages"/>
            </w:docPartObj>
          </w:sdtPr>
          <w:sdtEndPr/>
          <w:sdtContent>
            <w:p w14:paraId="223BCD58" w14:textId="66F49D6A" w:rsidR="002706B7" w:rsidRDefault="00DE3EF9" w:rsidP="00FC2CCC">
              <w:pPr>
                <w:pStyle w:val="BodyText"/>
              </w:pPr>
              <w:r>
                <w:t xml:space="preserve"> </w:t>
              </w:r>
            </w:p>
            <w:p w14:paraId="55F878C1" w14:textId="77777777" w:rsidR="00DE3EF9" w:rsidRDefault="00DE3EF9" w:rsidP="00FC2CCC">
              <w:pPr>
                <w:pStyle w:val="BodyText"/>
              </w:pPr>
            </w:p>
            <w:p w14:paraId="5AD945FC" w14:textId="77777777" w:rsidR="00626009" w:rsidRDefault="00626009" w:rsidP="00FC2CCC">
              <w:pPr>
                <w:pStyle w:val="BodyText"/>
              </w:pPr>
            </w:p>
            <w:p w14:paraId="3BF253F3" w14:textId="77777777" w:rsidR="00626009" w:rsidRDefault="00626009">
              <w:pPr>
                <w:spacing w:after="180"/>
              </w:pPr>
              <w:r>
                <w:br w:type="page"/>
              </w:r>
            </w:p>
            <w:p w14:paraId="2F770825" w14:textId="77777777" w:rsidR="00626009" w:rsidRDefault="00626009" w:rsidP="00FC2CCC">
              <w:pPr>
                <w:pStyle w:val="BodyText"/>
              </w:pPr>
            </w:p>
            <w:p w14:paraId="45AC3CA9" w14:textId="77777777" w:rsidR="00626009" w:rsidRDefault="00626009">
              <w:pPr>
                <w:spacing w:after="180"/>
              </w:pPr>
              <w:r>
                <w:br w:type="page"/>
              </w:r>
            </w:p>
            <w:p w14:paraId="3E0B6068" w14:textId="04803635" w:rsidR="00DE3EF9" w:rsidRDefault="00DE3EF9" w:rsidP="00FC2CCC">
              <w:pPr>
                <w:pStyle w:val="BodyText"/>
              </w:pPr>
            </w:p>
            <w:p w14:paraId="30738309" w14:textId="34C67DAC" w:rsidR="00DE3EF9" w:rsidRDefault="00F963B2" w:rsidP="00626009">
              <w:pPr>
                <w:spacing w:after="180"/>
              </w:pPr>
              <w:r w:rsidRPr="00FC2CCC">
                <w:rPr>
                  <w:noProof/>
                </w:rPr>
                <w:drawing>
                  <wp:inline distT="0" distB="0" distL="0" distR="0" wp14:anchorId="1AC9D0DC" wp14:editId="4B5E3674">
                    <wp:extent cx="6120000" cy="1898206"/>
                    <wp:effectExtent l="0" t="0" r="0" b="698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6120000" cy="1898206"/>
                            </a:xfrm>
                            <a:prstGeom prst="rect">
                              <a:avLst/>
                            </a:prstGeom>
                            <a:noFill/>
                            <a:ln>
                              <a:noFill/>
                            </a:ln>
                          </pic:spPr>
                        </pic:pic>
                      </a:graphicData>
                    </a:graphic>
                  </wp:inline>
                </w:drawing>
              </w:r>
            </w:p>
            <w:p w14:paraId="223BCD59" w14:textId="0549669D" w:rsidR="00C70AB5" w:rsidRDefault="0070099A" w:rsidP="0016051B">
              <w:pPr>
                <w:pStyle w:val="Heading1"/>
                <w:numPr>
                  <w:ilvl w:val="0"/>
                  <w:numId w:val="0"/>
                </w:numPr>
              </w:pPr>
              <w:bookmarkStart w:id="8" w:name="_Toc517101399"/>
              <w:bookmarkEnd w:id="7"/>
              <w:r w:rsidRPr="00FE2FF7">
                <w:t xml:space="preserve">Rapid regional </w:t>
              </w:r>
              <w:r w:rsidR="0016051B">
                <w:t xml:space="preserve">basin </w:t>
              </w:r>
              <w:r w:rsidRPr="00FE2FF7">
                <w:t>prioritisation</w:t>
              </w:r>
              <w:bookmarkEnd w:id="8"/>
            </w:p>
            <w:p w14:paraId="5F9E3746" w14:textId="5C83DC48" w:rsidR="00E8497F" w:rsidRDefault="0070099A" w:rsidP="00C70AB5">
              <w:pPr>
                <w:pStyle w:val="BodyText"/>
              </w:pPr>
              <w:r w:rsidRPr="00FE2FF7">
                <w:t xml:space="preserve"> </w:t>
              </w:r>
              <w:r w:rsidR="00E8497F">
                <w:rPr>
                  <w:noProof/>
                </w:rPr>
                <w:drawing>
                  <wp:anchor distT="0" distB="0" distL="114300" distR="114300" simplePos="0" relativeHeight="251663368" behindDoc="0" locked="0" layoutInCell="1" allowOverlap="1" wp14:anchorId="6E16B82C" wp14:editId="2B502036">
                    <wp:simplePos x="0" y="0"/>
                    <wp:positionH relativeFrom="margin">
                      <wp:posOffset>0</wp:posOffset>
                    </wp:positionH>
                    <wp:positionV relativeFrom="margin">
                      <wp:posOffset>4645660</wp:posOffset>
                    </wp:positionV>
                    <wp:extent cx="6120000" cy="45360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rot="10800000" flipV="1">
                              <a:off x="0" y="0"/>
                              <a:ext cx="6120000" cy="4536000"/>
                            </a:xfrm>
                            <a:prstGeom prst="rect">
                              <a:avLst/>
                            </a:prstGeom>
                            <a:noFill/>
                          </pic:spPr>
                        </pic:pic>
                      </a:graphicData>
                    </a:graphic>
                    <wp14:sizeRelH relativeFrom="margin">
                      <wp14:pctWidth>0</wp14:pctWidth>
                    </wp14:sizeRelH>
                    <wp14:sizeRelV relativeFrom="margin">
                      <wp14:pctHeight>0</wp14:pctHeight>
                    </wp14:sizeRelV>
                  </wp:anchor>
                </w:drawing>
              </w:r>
            </w:p>
            <w:p w14:paraId="6DEEC5F7" w14:textId="77777777" w:rsidR="009D2BF2" w:rsidRDefault="009D2BF2" w:rsidP="00626009">
              <w:pPr>
                <w:spacing w:after="180"/>
              </w:pPr>
            </w:p>
            <w:p w14:paraId="223BCD5B" w14:textId="71671A5E" w:rsidR="008B4BF0" w:rsidRDefault="009D2BF2" w:rsidP="00626009">
              <w:pPr>
                <w:spacing w:after="180"/>
              </w:pPr>
              <w:r>
                <w:br w:type="page"/>
              </w:r>
            </w:p>
          </w:sdtContent>
        </w:sdt>
      </w:sdtContent>
    </w:sdt>
    <w:bookmarkStart w:id="9" w:name="_Toc369079383" w:displacedByCustomXml="prev"/>
    <w:bookmarkStart w:id="10" w:name="_Toc316485991" w:displacedByCustomXml="prev"/>
    <w:p w14:paraId="223BCD5C" w14:textId="7E1CA2DF" w:rsidR="00174635" w:rsidRDefault="0093393E" w:rsidP="00E8799B">
      <w:pPr>
        <w:pStyle w:val="Heading1"/>
      </w:pPr>
      <w:bookmarkStart w:id="11" w:name="_Toc517101400"/>
      <w:r>
        <w:lastRenderedPageBreak/>
        <w:t>Introduction</w:t>
      </w:r>
      <w:bookmarkEnd w:id="11"/>
    </w:p>
    <w:p w14:paraId="125B4285" w14:textId="5CC906BA" w:rsidR="00992A8B" w:rsidRDefault="005267F0" w:rsidP="00992A8B">
      <w:pPr>
        <w:pStyle w:val="BodyText"/>
      </w:pPr>
      <w:r w:rsidRPr="005267F0">
        <w:t xml:space="preserve">In May 2017, the Australian Government announced a new </w:t>
      </w:r>
      <w:r>
        <w:t>G</w:t>
      </w:r>
      <w:r w:rsidRPr="005267F0">
        <w:t xml:space="preserve">eological and </w:t>
      </w:r>
      <w:r>
        <w:t>B</w:t>
      </w:r>
      <w:r w:rsidRPr="005267F0">
        <w:t xml:space="preserve">ioregional </w:t>
      </w:r>
      <w:r>
        <w:t>A</w:t>
      </w:r>
      <w:r w:rsidRPr="005267F0">
        <w:t xml:space="preserve">ssessments </w:t>
      </w:r>
      <w:r w:rsidR="00502429">
        <w:t xml:space="preserve">Program </w:t>
      </w:r>
      <w:r w:rsidRPr="005267F0">
        <w:t>to be conducted in three onshore areas that are underexplored but prospective for shale and tight gas.</w:t>
      </w:r>
      <w:r>
        <w:t xml:space="preserve"> </w:t>
      </w:r>
      <w:r w:rsidR="00992A8B">
        <w:t>The</w:t>
      </w:r>
      <w:r w:rsidR="00992A8B" w:rsidRPr="00DC2A20">
        <w:t xml:space="preserve"> </w:t>
      </w:r>
      <w:r w:rsidR="00502429">
        <w:t>G</w:t>
      </w:r>
      <w:r w:rsidR="00502429" w:rsidRPr="00DC2A20">
        <w:t xml:space="preserve">eological </w:t>
      </w:r>
      <w:r w:rsidR="00992A8B" w:rsidRPr="00DC2A20">
        <w:t xml:space="preserve">and </w:t>
      </w:r>
      <w:r w:rsidR="00502429">
        <w:t>B</w:t>
      </w:r>
      <w:r w:rsidR="00502429" w:rsidRPr="00DC2A20">
        <w:t xml:space="preserve">ioregional </w:t>
      </w:r>
      <w:r w:rsidR="00502429">
        <w:t>A</w:t>
      </w:r>
      <w:r w:rsidR="00502429" w:rsidRPr="00DC2A20">
        <w:t xml:space="preserve">ssessments </w:t>
      </w:r>
      <w:r w:rsidR="00502429">
        <w:t xml:space="preserve">Program is a series of </w:t>
      </w:r>
      <w:r w:rsidR="00992A8B" w:rsidRPr="00DC2A20">
        <w:t>independent scientific studies in</w:t>
      </w:r>
      <w:r w:rsidR="00992A8B">
        <w:t xml:space="preserve">vestigating both the shale and tight gas prospectivity of key onshore eastern and northern Australian basins and </w:t>
      </w:r>
      <w:r w:rsidR="00992A8B" w:rsidRPr="00DC2A20">
        <w:t xml:space="preserve">the potential impacts on water and the environment from </w:t>
      </w:r>
      <w:r w:rsidR="00992A8B">
        <w:t>tight and shale</w:t>
      </w:r>
      <w:r w:rsidR="00992A8B" w:rsidRPr="00DC2A20">
        <w:t xml:space="preserve"> gas</w:t>
      </w:r>
      <w:r w:rsidR="00992A8B">
        <w:t xml:space="preserve"> development</w:t>
      </w:r>
      <w:r w:rsidR="008525B0">
        <w:t xml:space="preserve"> (</w:t>
      </w:r>
      <w:hyperlink r:id="rId31" w:history="1">
        <w:r w:rsidR="00A3211E" w:rsidRPr="00953DBD">
          <w:rPr>
            <w:rStyle w:val="Hyperlink"/>
          </w:rPr>
          <w:t>https://bioregionalassessments.gov.au/geological-and-bioregional-assessment-program</w:t>
        </w:r>
      </w:hyperlink>
      <w:bookmarkStart w:id="12" w:name="_GoBack"/>
      <w:bookmarkEnd w:id="12"/>
      <w:r w:rsidR="008525B0">
        <w:t>).</w:t>
      </w:r>
    </w:p>
    <w:p w14:paraId="39C5F898" w14:textId="3A3C4BBA" w:rsidR="00D751FF" w:rsidRDefault="00D751FF" w:rsidP="00D751FF">
      <w:pPr>
        <w:pStyle w:val="BodyText"/>
      </w:pPr>
      <w:r>
        <w:t xml:space="preserve">The </w:t>
      </w:r>
      <w:r w:rsidR="008525B0">
        <w:t xml:space="preserve">Geological and Bioregional Assessments </w:t>
      </w:r>
      <w:r w:rsidR="00502429">
        <w:t xml:space="preserve">Program </w:t>
      </w:r>
      <w:r w:rsidR="00D76EB2">
        <w:t>has the</w:t>
      </w:r>
      <w:r>
        <w:t xml:space="preserve"> following</w:t>
      </w:r>
      <w:r w:rsidRPr="00FB314A">
        <w:t xml:space="preserve"> objectives</w:t>
      </w:r>
      <w:r>
        <w:t xml:space="preserve">: </w:t>
      </w:r>
    </w:p>
    <w:p w14:paraId="4CA05AEE" w14:textId="77777777" w:rsidR="00AC0A1E" w:rsidRDefault="00D751FF" w:rsidP="00AC0A1E">
      <w:pPr>
        <w:pStyle w:val="ListBullet"/>
        <w:numPr>
          <w:ilvl w:val="0"/>
          <w:numId w:val="32"/>
        </w:numPr>
        <w:ind w:left="567" w:hanging="283"/>
      </w:pPr>
      <w:r>
        <w:t>encourage exploration to bring new shale and tight gas resources to the East Coast Gas Market within the next five to ten years;</w:t>
      </w:r>
    </w:p>
    <w:p w14:paraId="3132B202" w14:textId="77777777" w:rsidR="00AC0A1E" w:rsidRDefault="00D751FF" w:rsidP="00AC0A1E">
      <w:pPr>
        <w:pStyle w:val="ListBullet"/>
        <w:numPr>
          <w:ilvl w:val="0"/>
          <w:numId w:val="32"/>
        </w:numPr>
        <w:ind w:left="567" w:hanging="283"/>
      </w:pPr>
      <w:r>
        <w:t xml:space="preserve">increase the understanding of the potential impacts on water and the environment posed by shale and tight gas development, and </w:t>
      </w:r>
      <w:r w:rsidR="00A84E75">
        <w:t xml:space="preserve">identification </w:t>
      </w:r>
      <w:r>
        <w:t>of robust monitoring and management practices to support the industry;</w:t>
      </w:r>
    </w:p>
    <w:p w14:paraId="0B2EAF1D" w14:textId="00E3C39C" w:rsidR="00D751FF" w:rsidRDefault="00D751FF" w:rsidP="00AC0A1E">
      <w:pPr>
        <w:pStyle w:val="ListBullet"/>
        <w:numPr>
          <w:ilvl w:val="0"/>
          <w:numId w:val="32"/>
        </w:numPr>
        <w:ind w:left="567" w:hanging="283"/>
      </w:pPr>
      <w:r>
        <w:lastRenderedPageBreak/>
        <w:t>increase the efficiency of assessment and ongoing regulation, including through advancing robust assessment material aligning with Commonwealth EPBC Act and State approval processes, and improved reporting and data provision/management approaches, and;</w:t>
      </w:r>
    </w:p>
    <w:p w14:paraId="1900938D" w14:textId="77777777" w:rsidR="00D751FF" w:rsidRDefault="00D751FF" w:rsidP="00AC0A1E">
      <w:pPr>
        <w:pStyle w:val="ListBullet"/>
        <w:numPr>
          <w:ilvl w:val="0"/>
          <w:numId w:val="32"/>
        </w:numPr>
        <w:ind w:left="567" w:hanging="283"/>
      </w:pPr>
      <w:r>
        <w:t>i</w:t>
      </w:r>
      <w:r w:rsidRPr="00423679">
        <w:t>mprove community understanding of the industry.</w:t>
      </w:r>
    </w:p>
    <w:p w14:paraId="223BCD62" w14:textId="3413FCD6" w:rsidR="0093393E" w:rsidRPr="00DC2A20" w:rsidRDefault="0093393E" w:rsidP="0093393E">
      <w:pPr>
        <w:pStyle w:val="BodyText"/>
      </w:pPr>
      <w:r w:rsidRPr="00DC2A20">
        <w:t xml:space="preserve">The </w:t>
      </w:r>
      <w:r w:rsidR="008525B0">
        <w:t xml:space="preserve">Geological and Bioregional Assessments </w:t>
      </w:r>
      <w:r w:rsidR="00502429">
        <w:t xml:space="preserve">Program </w:t>
      </w:r>
      <w:r w:rsidRPr="00DC2A20">
        <w:t>commence</w:t>
      </w:r>
      <w:r>
        <w:t>d</w:t>
      </w:r>
      <w:r w:rsidRPr="00DC2A20">
        <w:t xml:space="preserve"> in </w:t>
      </w:r>
      <w:r>
        <w:t xml:space="preserve">July </w:t>
      </w:r>
      <w:r w:rsidRPr="00DC2A20">
        <w:t>2017</w:t>
      </w:r>
      <w:r>
        <w:t xml:space="preserve"> </w:t>
      </w:r>
      <w:r w:rsidRPr="00DC2A20">
        <w:t>and will be completed in three stages</w:t>
      </w:r>
      <w:r w:rsidR="001C3E08">
        <w:t xml:space="preserve"> over a three to four</w:t>
      </w:r>
      <w:r>
        <w:t xml:space="preserve"> year period</w:t>
      </w:r>
      <w:r w:rsidRPr="00DC2A20">
        <w:t xml:space="preserve">, </w:t>
      </w:r>
      <w:r>
        <w:t>as described below.</w:t>
      </w:r>
    </w:p>
    <w:p w14:paraId="223BCD63" w14:textId="48145ED0" w:rsidR="0093393E" w:rsidRDefault="0093393E" w:rsidP="0093393E">
      <w:pPr>
        <w:pStyle w:val="ListBullet"/>
      </w:pPr>
      <w:r w:rsidRPr="00B05E3E">
        <w:rPr>
          <w:rStyle w:val="Bold"/>
        </w:rPr>
        <w:t>Stage 1 Rapid Regional Basin Prioritisation:</w:t>
      </w:r>
      <w:r w:rsidRPr="00DC2A20">
        <w:t xml:space="preserve"> </w:t>
      </w:r>
      <w:r>
        <w:t>A r</w:t>
      </w:r>
      <w:r w:rsidRPr="00DC2A20">
        <w:t xml:space="preserve">apid </w:t>
      </w:r>
      <w:r>
        <w:t>r</w:t>
      </w:r>
      <w:r w:rsidRPr="00DC2A20">
        <w:t xml:space="preserve">egional </w:t>
      </w:r>
      <w:r>
        <w:t>p</w:t>
      </w:r>
      <w:r w:rsidRPr="00DC2A20">
        <w:t xml:space="preserve">rioritisation </w:t>
      </w:r>
      <w:r>
        <w:t xml:space="preserve">process </w:t>
      </w:r>
      <w:r w:rsidRPr="00DC2A20">
        <w:t xml:space="preserve">will narrow the focus of the geological and bioregional resource assessments. </w:t>
      </w:r>
      <w:r w:rsidR="00DA0923">
        <w:t>After this assessment and consultation with state governments and industry, t</w:t>
      </w:r>
      <w:r w:rsidR="00DA0923" w:rsidRPr="00DC2A20">
        <w:t xml:space="preserve">hree </w:t>
      </w:r>
      <w:r>
        <w:t>basins</w:t>
      </w:r>
      <w:r w:rsidRPr="00DC2A20">
        <w:t xml:space="preserve"> will be chosen</w:t>
      </w:r>
      <w:r w:rsidR="00B03133">
        <w:t xml:space="preserve"> by the </w:t>
      </w:r>
      <w:r w:rsidR="006C59F3">
        <w:t xml:space="preserve">Australian Government </w:t>
      </w:r>
      <w:r w:rsidRPr="00DC2A20">
        <w:t xml:space="preserve">for detailed study </w:t>
      </w:r>
      <w:r>
        <w:t>in Stage 2.</w:t>
      </w:r>
    </w:p>
    <w:p w14:paraId="223BCD64" w14:textId="45EB63B6" w:rsidR="0093393E" w:rsidRPr="00DC2A20" w:rsidRDefault="0093393E" w:rsidP="0093393E">
      <w:pPr>
        <w:pStyle w:val="ListBullet"/>
      </w:pPr>
      <w:r w:rsidRPr="00B05E3E">
        <w:rPr>
          <w:rStyle w:val="Bold"/>
        </w:rPr>
        <w:t>Stage 2 Geological and Environmental Baseline Assessments:</w:t>
      </w:r>
      <w:r w:rsidRPr="00DC2A20">
        <w:t xml:space="preserve"> </w:t>
      </w:r>
      <w:r w:rsidR="00DA0923">
        <w:t xml:space="preserve">This will comprise of a </w:t>
      </w:r>
      <w:r w:rsidRPr="00DC2A20">
        <w:t xml:space="preserve">regional synthesis of available data in the three selected </w:t>
      </w:r>
      <w:r>
        <w:t>basins</w:t>
      </w:r>
      <w:r w:rsidRPr="00DC2A20">
        <w:t xml:space="preserve">, consisting of: </w:t>
      </w:r>
    </w:p>
    <w:p w14:paraId="223BCD65" w14:textId="77777777" w:rsidR="0093393E" w:rsidRPr="00DC2A20" w:rsidRDefault="0093393E" w:rsidP="0093393E">
      <w:pPr>
        <w:pStyle w:val="ListBullet2"/>
      </w:pPr>
      <w:r w:rsidRPr="00DC2A20">
        <w:t>a geological basin assessment to define stratigraphic and structural characteristics that could influence prospectivity, gas extraction and potential environmental risks</w:t>
      </w:r>
      <w:r>
        <w:t>;</w:t>
      </w:r>
    </w:p>
    <w:p w14:paraId="223BCD66" w14:textId="77777777" w:rsidR="0093393E" w:rsidRPr="00DC2A20" w:rsidRDefault="0093393E" w:rsidP="0093393E">
      <w:pPr>
        <w:pStyle w:val="ListBullet2"/>
      </w:pPr>
      <w:r w:rsidRPr="00DC2A20">
        <w:t>data review and synthesis encompassing water quantity and quality</w:t>
      </w:r>
      <w:r>
        <w:t>,</w:t>
      </w:r>
      <w:r w:rsidRPr="00DC2A20">
        <w:t xml:space="preserve"> </w:t>
      </w:r>
      <w:r>
        <w:t>and;</w:t>
      </w:r>
    </w:p>
    <w:p w14:paraId="223BCD67" w14:textId="77777777" w:rsidR="0093393E" w:rsidRDefault="0093393E" w:rsidP="0093393E">
      <w:pPr>
        <w:pStyle w:val="ListBullet2"/>
      </w:pPr>
      <w:r>
        <w:lastRenderedPageBreak/>
        <w:t xml:space="preserve">a </w:t>
      </w:r>
      <w:r w:rsidRPr="00DC2A20">
        <w:t xml:space="preserve">gap analysis to guide further data acquisition such as baseline water monitoring if required. </w:t>
      </w:r>
    </w:p>
    <w:p w14:paraId="223BCD68" w14:textId="09A1621A" w:rsidR="0093393E" w:rsidRDefault="0093393E" w:rsidP="003F49B6">
      <w:pPr>
        <w:pStyle w:val="ListBullet"/>
      </w:pPr>
      <w:r w:rsidRPr="00B05E3E">
        <w:rPr>
          <w:rStyle w:val="Bold"/>
        </w:rPr>
        <w:t xml:space="preserve">Stage 3 </w:t>
      </w:r>
      <w:r w:rsidR="003F49B6" w:rsidRPr="003F49B6">
        <w:rPr>
          <w:rStyle w:val="Bold"/>
        </w:rPr>
        <w:t>Impact Analysis and Management</w:t>
      </w:r>
      <w:r w:rsidRPr="00B05E3E">
        <w:rPr>
          <w:rStyle w:val="Bold"/>
        </w:rPr>
        <w:t>:</w:t>
      </w:r>
      <w:r w:rsidRPr="00DC2A20">
        <w:t xml:space="preserve"> </w:t>
      </w:r>
      <w:r w:rsidR="00DA0923">
        <w:t xml:space="preserve">Bioregional assessments </w:t>
      </w:r>
      <w:r w:rsidRPr="00DC2A20">
        <w:t xml:space="preserve">will consist of fit-for-purpose analysis to understand the potential impacts of future resource development scenarios on water and </w:t>
      </w:r>
      <w:r w:rsidR="00BD21ED">
        <w:t>the environment</w:t>
      </w:r>
      <w:r w:rsidRPr="00DC2A20">
        <w:t>. A range of plausible development scenarios</w:t>
      </w:r>
      <w:r w:rsidR="001C3E08">
        <w:t xml:space="preserve"> </w:t>
      </w:r>
      <w:r w:rsidRPr="00DC2A20">
        <w:t>will be developed in consultation with industry</w:t>
      </w:r>
      <w:r w:rsidR="00D751FF">
        <w:t xml:space="preserve"> and</w:t>
      </w:r>
      <w:r w:rsidRPr="00DC2A20">
        <w:t xml:space="preserve"> the relevant state</w:t>
      </w:r>
      <w:r w:rsidR="001C3E08">
        <w:t xml:space="preserve"> and territory</w:t>
      </w:r>
      <w:r w:rsidRPr="00DC2A20">
        <w:t xml:space="preserve"> government</w:t>
      </w:r>
      <w:r w:rsidR="001C3E08">
        <w:t>s</w:t>
      </w:r>
      <w:r w:rsidRPr="00DC2A20">
        <w:t xml:space="preserve"> and Commonwealth agencies</w:t>
      </w:r>
      <w:r w:rsidR="001C3E08" w:rsidRPr="00DC2A20">
        <w:t>, to test</w:t>
      </w:r>
      <w:r w:rsidR="001C3E08">
        <w:t xml:space="preserve"> the range of potential impacts</w:t>
      </w:r>
      <w:r w:rsidR="00BD21ED">
        <w:t xml:space="preserve"> and enable consideration of suitable management measures</w:t>
      </w:r>
      <w:r w:rsidRPr="00DC2A20">
        <w:t>.</w:t>
      </w:r>
    </w:p>
    <w:p w14:paraId="63138210" w14:textId="194D66B8" w:rsidR="003B261B" w:rsidRDefault="003B261B" w:rsidP="0093393E">
      <w:pPr>
        <w:pStyle w:val="BodyText"/>
      </w:pPr>
      <w:r w:rsidRPr="003B261B">
        <w:t xml:space="preserve">Geoscience Australia </w:t>
      </w:r>
      <w:r>
        <w:t xml:space="preserve">(GA) </w:t>
      </w:r>
      <w:r w:rsidRPr="003B261B">
        <w:t xml:space="preserve">and CSIRO are conducting the assessments. The program is managed by the Department of the Environment and Energy </w:t>
      </w:r>
      <w:r>
        <w:t xml:space="preserve">(DoEE) </w:t>
      </w:r>
      <w:r w:rsidRPr="003B261B">
        <w:t>and supported by the Bureau of Meteorology</w:t>
      </w:r>
      <w:r>
        <w:t xml:space="preserve"> (Bo</w:t>
      </w:r>
      <w:r w:rsidR="004C28D4">
        <w:t>M</w:t>
      </w:r>
      <w:r>
        <w:t>)</w:t>
      </w:r>
      <w:r w:rsidRPr="003B261B">
        <w:t xml:space="preserve">. </w:t>
      </w:r>
    </w:p>
    <w:p w14:paraId="223BCD69" w14:textId="173CAB01" w:rsidR="0093393E" w:rsidRDefault="0093393E" w:rsidP="0093393E">
      <w:pPr>
        <w:pStyle w:val="BodyText"/>
      </w:pPr>
      <w:r w:rsidRPr="00C93341">
        <w:t xml:space="preserve">This report contains the results of Stage 1 of the program, the rapid regional </w:t>
      </w:r>
      <w:r w:rsidR="00B03133">
        <w:t xml:space="preserve">basin </w:t>
      </w:r>
      <w:r w:rsidRPr="00C93341">
        <w:t xml:space="preserve">prioritisation, conducted by </w:t>
      </w:r>
      <w:r w:rsidR="003B261B">
        <w:t>GA.</w:t>
      </w:r>
      <w:r w:rsidR="005E1B62">
        <w:t xml:space="preserve"> </w:t>
      </w:r>
      <w:r w:rsidRPr="00C93341">
        <w:t xml:space="preserve">It presents the context of the program and describes the evidence based decision making process used to narrow the focus of the </w:t>
      </w:r>
      <w:r w:rsidR="008C5929">
        <w:t>G</w:t>
      </w:r>
      <w:r w:rsidRPr="00C93341">
        <w:t xml:space="preserve">eological and </w:t>
      </w:r>
      <w:r w:rsidR="008C5929">
        <w:t>B</w:t>
      </w:r>
      <w:r w:rsidRPr="00C93341">
        <w:t xml:space="preserve">ioregional </w:t>
      </w:r>
      <w:r w:rsidR="008C5929">
        <w:t xml:space="preserve">Assessments </w:t>
      </w:r>
      <w:r w:rsidR="00502429">
        <w:t xml:space="preserve">Program </w:t>
      </w:r>
      <w:r w:rsidRPr="00C93341">
        <w:t>to areas of highest priority</w:t>
      </w:r>
      <w:r w:rsidR="00380096">
        <w:t xml:space="preserve"> for further research in Stages 2 and 3</w:t>
      </w:r>
      <w:r w:rsidRPr="00C93341">
        <w:t>.</w:t>
      </w:r>
    </w:p>
    <w:p w14:paraId="3655AAA2" w14:textId="77777777" w:rsidR="00DA0923" w:rsidRDefault="00DA0923">
      <w:pPr>
        <w:spacing w:after="180"/>
        <w:rPr>
          <w:rFonts w:asciiTheme="majorHAnsi" w:eastAsia="Times New Roman" w:hAnsiTheme="majorHAnsi"/>
          <w:b/>
          <w:color w:val="146692" w:themeColor="text2"/>
          <w:sz w:val="72"/>
          <w:szCs w:val="72"/>
        </w:rPr>
      </w:pPr>
      <w:r>
        <w:br w:type="page"/>
      </w:r>
    </w:p>
    <w:p w14:paraId="223BCD6A" w14:textId="3671D0DA" w:rsidR="0093393E" w:rsidRDefault="00437476" w:rsidP="0093393E">
      <w:pPr>
        <w:pStyle w:val="Heading1"/>
      </w:pPr>
      <w:bookmarkStart w:id="13" w:name="_Toc517101401"/>
      <w:r>
        <w:lastRenderedPageBreak/>
        <w:t>O</w:t>
      </w:r>
      <w:r w:rsidR="0093393E" w:rsidRPr="00E8799B">
        <w:t>bjective</w:t>
      </w:r>
      <w:bookmarkEnd w:id="13"/>
    </w:p>
    <w:p w14:paraId="223BCD6B" w14:textId="4EB4598F" w:rsidR="00174635" w:rsidRDefault="00174635" w:rsidP="00174635">
      <w:pPr>
        <w:pStyle w:val="BodyText"/>
      </w:pPr>
      <w:r w:rsidRPr="00D57406">
        <w:t xml:space="preserve">The objective of </w:t>
      </w:r>
      <w:r>
        <w:t xml:space="preserve">Stage 1 of </w:t>
      </w:r>
      <w:r w:rsidR="00752F8A">
        <w:t xml:space="preserve">the </w:t>
      </w:r>
      <w:r w:rsidR="008525B0">
        <w:t xml:space="preserve">Geological and Bioregional Assessments </w:t>
      </w:r>
      <w:r w:rsidR="00502429">
        <w:t xml:space="preserve">Program </w:t>
      </w:r>
      <w:r w:rsidRPr="00D57406">
        <w:t xml:space="preserve">was to develop and implement a prioritisation process for the </w:t>
      </w:r>
      <w:r w:rsidR="00D751FF">
        <w:t>DoEE</w:t>
      </w:r>
      <w:r w:rsidRPr="00D57406">
        <w:t xml:space="preserve"> to use in advising the Australian Government on priority areas </w:t>
      </w:r>
      <w:r>
        <w:t xml:space="preserve">in which to undertake </w:t>
      </w:r>
      <w:r w:rsidRPr="00D57406">
        <w:t>geological and bioregional resource assessments into the potential impacts on water and the environment from tight and shale gas development.</w:t>
      </w:r>
      <w:r>
        <w:t xml:space="preserve"> </w:t>
      </w:r>
    </w:p>
    <w:p w14:paraId="223BCD6C" w14:textId="06893E4C" w:rsidR="00174635" w:rsidRDefault="00D751FF" w:rsidP="00174635">
      <w:pPr>
        <w:pStyle w:val="BodyText"/>
      </w:pPr>
      <w:r>
        <w:t>L</w:t>
      </w:r>
      <w:r w:rsidR="00174635" w:rsidRPr="00A40AB2">
        <w:t xml:space="preserve">arge </w:t>
      </w:r>
      <w:r w:rsidR="002955B6">
        <w:t>volumes</w:t>
      </w:r>
      <w:r w:rsidR="002955B6" w:rsidRPr="00A40AB2">
        <w:t xml:space="preserve"> </w:t>
      </w:r>
      <w:r w:rsidR="00174635" w:rsidRPr="00A40AB2">
        <w:t xml:space="preserve">of shale and tight gas </w:t>
      </w:r>
      <w:r w:rsidR="00174635" w:rsidRPr="001442F0">
        <w:t xml:space="preserve">resources (about 13 Tcf </w:t>
      </w:r>
      <w:r w:rsidR="00783552">
        <w:t xml:space="preserve">[13,961 PJ] </w:t>
      </w:r>
      <w:r w:rsidR="00174635" w:rsidRPr="001442F0">
        <w:t>of contingent [2C] resources</w:t>
      </w:r>
      <w:r w:rsidR="005F78C4">
        <w:t xml:space="preserve"> as of Dec</w:t>
      </w:r>
      <w:r w:rsidR="00F35FA5">
        <w:t>ember</w:t>
      </w:r>
      <w:r w:rsidR="005F78C4">
        <w:t xml:space="preserve"> 2016</w:t>
      </w:r>
      <w:r w:rsidR="00174635" w:rsidRPr="001442F0">
        <w:t>) have been identified across various sedimentary basins</w:t>
      </w:r>
      <w:r>
        <w:t xml:space="preserve"> across Australia</w:t>
      </w:r>
      <w:r w:rsidR="00174635" w:rsidRPr="001442F0">
        <w:t xml:space="preserve"> (AERA, 201</w:t>
      </w:r>
      <w:r w:rsidR="001E66BE">
        <w:t>8</w:t>
      </w:r>
      <w:r w:rsidR="005E1B62">
        <w:t>)</w:t>
      </w:r>
      <w:r w:rsidR="005A3B36">
        <w:t>.</w:t>
      </w:r>
      <w:r w:rsidR="005E1B62">
        <w:t xml:space="preserve"> </w:t>
      </w:r>
      <w:r w:rsidR="00480451">
        <w:t xml:space="preserve">However, there </w:t>
      </w:r>
      <w:r w:rsidR="00174635" w:rsidRPr="001442F0">
        <w:t xml:space="preserve">remains uncertainty over the current viability of some of these </w:t>
      </w:r>
      <w:r w:rsidR="00480451">
        <w:t>resources</w:t>
      </w:r>
      <w:r w:rsidR="00174635" w:rsidRPr="001442F0">
        <w:t xml:space="preserve">, </w:t>
      </w:r>
      <w:r w:rsidR="00174635">
        <w:t>and f</w:t>
      </w:r>
      <w:r w:rsidR="00174635" w:rsidRPr="001442F0">
        <w:t>urther</w:t>
      </w:r>
      <w:r>
        <w:t>,</w:t>
      </w:r>
      <w:r w:rsidR="00174635" w:rsidRPr="001442F0">
        <w:t xml:space="preserve"> extensive investment is required of currently undeveloped gas reserves and resources, to ensure demand on the </w:t>
      </w:r>
      <w:r w:rsidR="00480451">
        <w:t xml:space="preserve">East Coast Gas Market </w:t>
      </w:r>
      <w:r w:rsidR="00174635" w:rsidRPr="001442F0">
        <w:t xml:space="preserve">are met. </w:t>
      </w:r>
    </w:p>
    <w:p w14:paraId="223BCD6D" w14:textId="654F84DD" w:rsidR="00174635" w:rsidRPr="00A40AB2" w:rsidRDefault="00174635" w:rsidP="00174635">
      <w:pPr>
        <w:pStyle w:val="BodyText"/>
      </w:pPr>
      <w:r>
        <w:t xml:space="preserve">The </w:t>
      </w:r>
      <w:r w:rsidR="008525B0">
        <w:t xml:space="preserve">Geological and Bioregional Assessments </w:t>
      </w:r>
      <w:r w:rsidR="00502429">
        <w:t xml:space="preserve">Program </w:t>
      </w:r>
      <w:r>
        <w:t xml:space="preserve">aims to </w:t>
      </w:r>
      <w:r w:rsidRPr="001442F0">
        <w:t>encourage further shale and tight gas exploration activity</w:t>
      </w:r>
      <w:r>
        <w:t xml:space="preserve"> through p</w:t>
      </w:r>
      <w:r w:rsidRPr="001442F0">
        <w:t>rovision of pre-competitive geological and prospectiv</w:t>
      </w:r>
      <w:r w:rsidR="00DF6F90">
        <w:t>ity</w:t>
      </w:r>
      <w:r w:rsidRPr="001442F0">
        <w:t xml:space="preserve"> data and information</w:t>
      </w:r>
      <w:r>
        <w:t xml:space="preserve"> relevant to the shale and tight gas </w:t>
      </w:r>
      <w:r w:rsidR="00DF6F90" w:rsidRPr="001442F0">
        <w:t>prospectiv</w:t>
      </w:r>
      <w:r w:rsidR="00DF6F90">
        <w:t>ity</w:t>
      </w:r>
      <w:r>
        <w:t xml:space="preserve"> of three priority sedimentary basins. T</w:t>
      </w:r>
      <w:r w:rsidRPr="001442F0">
        <w:t xml:space="preserve">he rapid regional </w:t>
      </w:r>
      <w:r w:rsidR="002955B6">
        <w:t xml:space="preserve">basin </w:t>
      </w:r>
      <w:r w:rsidRPr="001442F0">
        <w:t xml:space="preserve">prioritisation focused on </w:t>
      </w:r>
      <w:r>
        <w:t>selection of basins with the greatest po</w:t>
      </w:r>
      <w:r>
        <w:lastRenderedPageBreak/>
        <w:t xml:space="preserve">tential to bring </w:t>
      </w:r>
      <w:r w:rsidRPr="00581897">
        <w:t xml:space="preserve">new shale and tight gas resources to the </w:t>
      </w:r>
      <w:r w:rsidR="00480451">
        <w:t>East Coast Gas Market</w:t>
      </w:r>
      <w:r w:rsidRPr="00581897">
        <w:t xml:space="preserve"> within </w:t>
      </w:r>
      <w:r>
        <w:t xml:space="preserve">the next </w:t>
      </w:r>
      <w:r w:rsidRPr="00581897">
        <w:t>five to ten years</w:t>
      </w:r>
      <w:r>
        <w:t>.</w:t>
      </w:r>
      <w:r w:rsidRPr="00581897" w:rsidDel="00581897">
        <w:t xml:space="preserve"> </w:t>
      </w:r>
      <w:r>
        <w:t>Such basins must have moderate to high prospectivity for shale/tight gas resources,</w:t>
      </w:r>
      <w:r w:rsidR="001C3E08">
        <w:t xml:space="preserve"> moderate to high confidence in data quality and quantity (also reflected in</w:t>
      </w:r>
      <w:r>
        <w:t xml:space="preserve"> exploration status</w:t>
      </w:r>
      <w:r w:rsidR="001C3E08">
        <w:t>)</w:t>
      </w:r>
      <w:r>
        <w:t xml:space="preserve">, and be located close to the </w:t>
      </w:r>
      <w:r w:rsidR="00480451">
        <w:t>East Coast Gas Market</w:t>
      </w:r>
      <w:r>
        <w:t xml:space="preserve"> </w:t>
      </w:r>
      <w:r w:rsidR="00FE6BB2">
        <w:t xml:space="preserve">or linked to it </w:t>
      </w:r>
      <w:r w:rsidR="002955B6">
        <w:t xml:space="preserve">via </w:t>
      </w:r>
      <w:r w:rsidR="00432D5D">
        <w:t xml:space="preserve">appropriate </w:t>
      </w:r>
      <w:r>
        <w:t>infrastructure (including gas pipelines</w:t>
      </w:r>
      <w:r w:rsidR="005E1B62">
        <w:t>)</w:t>
      </w:r>
      <w:r w:rsidR="005A3B36">
        <w:t>.</w:t>
      </w:r>
      <w:r w:rsidR="005E1B62">
        <w:t xml:space="preserve"> </w:t>
      </w:r>
      <w:r>
        <w:t>Furthermore there needs to be no or only limited regulatory constraints preventing or impeding onshore gas exploration and development</w:t>
      </w:r>
      <w:r w:rsidR="00D751FF">
        <w:t xml:space="preserve"> in the selected basins</w:t>
      </w:r>
      <w:r>
        <w:t>.</w:t>
      </w:r>
    </w:p>
    <w:p w14:paraId="223BCD6E" w14:textId="36A8FF02" w:rsidR="00174635" w:rsidRDefault="00174635" w:rsidP="00174635">
      <w:pPr>
        <w:pStyle w:val="BodyText"/>
      </w:pPr>
      <w:r>
        <w:t xml:space="preserve">The </w:t>
      </w:r>
      <w:r w:rsidR="008525B0">
        <w:t xml:space="preserve">Geological and Bioregional Assessments </w:t>
      </w:r>
      <w:r w:rsidR="00502429">
        <w:t>P</w:t>
      </w:r>
      <w:r w:rsidR="008525B0">
        <w:t>rogram</w:t>
      </w:r>
      <w:r w:rsidR="001C3E08">
        <w:t xml:space="preserve"> </w:t>
      </w:r>
      <w:r>
        <w:t xml:space="preserve">also presents a range of groundwater, surface water, environmental and social considerations relevant to each basin. These factors may potentially influence the ability to develop shale and tight gas projects within each basin and should be considered when prioritising and investigating basins. </w:t>
      </w:r>
    </w:p>
    <w:p w14:paraId="223BCD6F" w14:textId="53FE0C98" w:rsidR="00174635" w:rsidRDefault="00174635" w:rsidP="00174635">
      <w:pPr>
        <w:pStyle w:val="BodyText"/>
      </w:pPr>
      <w:r w:rsidRPr="00AD7F0C">
        <w:t>The potential impacts of shale and tight gas extract</w:t>
      </w:r>
      <w:r>
        <w:t>ion</w:t>
      </w:r>
      <w:r w:rsidRPr="00AD7F0C">
        <w:t xml:space="preserve"> have been documented in various publications</w:t>
      </w:r>
      <w:r>
        <w:t xml:space="preserve"> (see </w:t>
      </w:r>
      <w:r w:rsidR="00FE6BB2" w:rsidRPr="000E4EFC">
        <w:t>Scientific Inquiry into Hydraulic Fracturing in the Northern Territory</w:t>
      </w:r>
      <w:r w:rsidR="00FE6BB2" w:rsidRPr="003E2015">
        <w:t xml:space="preserve">, </w:t>
      </w:r>
      <w:r w:rsidR="006D6EDF" w:rsidRPr="003E2015">
        <w:t>201</w:t>
      </w:r>
      <w:r w:rsidR="006D6EDF">
        <w:t>8</w:t>
      </w:r>
      <w:r>
        <w:t>; Victorian Legislative Council Environment and Planning Committee, 2015</w:t>
      </w:r>
      <w:r w:rsidR="00CC1E0F">
        <w:t>;</w:t>
      </w:r>
      <w:r>
        <w:t xml:space="preserve"> and Cook et al.</w:t>
      </w:r>
      <w:r w:rsidR="007402A2">
        <w:t>,</w:t>
      </w:r>
      <w:r>
        <w:t xml:space="preserve"> 2013</w:t>
      </w:r>
      <w:r w:rsidR="00CC1E0F">
        <w:t>;</w:t>
      </w:r>
      <w:r>
        <w:t xml:space="preserve"> and references therein</w:t>
      </w:r>
      <w:r w:rsidR="005E1B62">
        <w:t>)</w:t>
      </w:r>
      <w:r w:rsidR="005A3B36">
        <w:t>.</w:t>
      </w:r>
      <w:r w:rsidR="005E1B62">
        <w:t xml:space="preserve"> </w:t>
      </w:r>
      <w:r w:rsidR="00D751FF" w:rsidRPr="00DC2A20">
        <w:t xml:space="preserve">Independent scientific assessments during the exploration phase for shale and tight gas resources will help to build community understanding of the industry and provide regulators and industry </w:t>
      </w:r>
      <w:r w:rsidR="00D751FF">
        <w:t xml:space="preserve">with </w:t>
      </w:r>
      <w:r w:rsidR="00D751FF" w:rsidRPr="00DC2A20">
        <w:t>a common information base to inform decision-making.</w:t>
      </w:r>
    </w:p>
    <w:p w14:paraId="1323366F" w14:textId="77777777" w:rsidR="0016051B" w:rsidRDefault="00D751FF" w:rsidP="005E0FA1">
      <w:pPr>
        <w:pStyle w:val="BodyText"/>
      </w:pPr>
      <w:r>
        <w:lastRenderedPageBreak/>
        <w:t>The scope of Stage 1</w:t>
      </w:r>
      <w:r w:rsidR="00174635">
        <w:t xml:space="preserve"> was limited to work that could realistically be completed and reported to the DoEE within the required three month time frame. Since timing precluded the gathering of new data or the extensive processing of existing datasets, the Stage 1 rapid regional prioritisation process was based on a set of </w:t>
      </w:r>
      <w:r w:rsidR="001C3E08">
        <w:t>key attributes for which data are</w:t>
      </w:r>
      <w:r w:rsidR="00174635">
        <w:t xml:space="preserve"> already available. In addition, the process was designed to make the best use of existing broad-scale spatial data and </w:t>
      </w:r>
      <w:r w:rsidR="002955B6">
        <w:t xml:space="preserve">the </w:t>
      </w:r>
      <w:r w:rsidR="00174635">
        <w:t xml:space="preserve">basin specific data were only included where no appropriate regional data were available. </w:t>
      </w:r>
      <w:bookmarkStart w:id="14" w:name="_Toc494276968"/>
    </w:p>
    <w:p w14:paraId="1F8A4A6C" w14:textId="77777777" w:rsidR="0016051B" w:rsidRDefault="0016051B">
      <w:pPr>
        <w:spacing w:after="180"/>
      </w:pPr>
      <w:r>
        <w:br w:type="page"/>
      </w:r>
    </w:p>
    <w:p w14:paraId="223BCD71" w14:textId="48EBF7B2" w:rsidR="001C3E08" w:rsidRDefault="001C3E08" w:rsidP="005E0FA1">
      <w:pPr>
        <w:pStyle w:val="BodyText"/>
        <w:rPr>
          <w:rFonts w:asciiTheme="majorHAnsi" w:eastAsia="Times New Roman" w:hAnsiTheme="majorHAnsi"/>
          <w:b/>
          <w:color w:val="146692" w:themeColor="text2"/>
          <w:sz w:val="72"/>
          <w:szCs w:val="72"/>
        </w:rPr>
      </w:pPr>
      <w:r>
        <w:lastRenderedPageBreak/>
        <w:br w:type="page"/>
      </w:r>
    </w:p>
    <w:p w14:paraId="223BCD72" w14:textId="77777777" w:rsidR="00174635" w:rsidRPr="001C3E08" w:rsidRDefault="00174635" w:rsidP="001C3E08">
      <w:pPr>
        <w:pStyle w:val="Heading1"/>
      </w:pPr>
      <w:bookmarkStart w:id="15" w:name="_Toc517101402"/>
      <w:r w:rsidRPr="001C3E08">
        <w:lastRenderedPageBreak/>
        <w:t xml:space="preserve">Outline of rapid regional </w:t>
      </w:r>
      <w:r w:rsidR="00C14001">
        <w:t xml:space="preserve">basin </w:t>
      </w:r>
      <w:r w:rsidRPr="001C3E08">
        <w:t>prioritisation methodology</w:t>
      </w:r>
      <w:bookmarkEnd w:id="14"/>
      <w:bookmarkEnd w:id="15"/>
    </w:p>
    <w:p w14:paraId="223BCD73" w14:textId="0FDAAEF2" w:rsidR="00174635" w:rsidRDefault="00174635" w:rsidP="00174635">
      <w:pPr>
        <w:pStyle w:val="BodyText"/>
      </w:pPr>
      <w:r w:rsidRPr="006B7E8C">
        <w:t xml:space="preserve">The rapid regional </w:t>
      </w:r>
      <w:r w:rsidR="00C14001">
        <w:t xml:space="preserve">basin </w:t>
      </w:r>
      <w:r w:rsidRPr="006B7E8C">
        <w:t xml:space="preserve">prioritisation methodology was designed by GA </w:t>
      </w:r>
      <w:r>
        <w:t xml:space="preserve">in consultation with </w:t>
      </w:r>
      <w:r w:rsidR="00F15C9E">
        <w:t xml:space="preserve">the </w:t>
      </w:r>
      <w:r>
        <w:t xml:space="preserve">DoEE </w:t>
      </w:r>
      <w:r w:rsidRPr="006B7E8C">
        <w:t xml:space="preserve">to assist in identifying priority areas for further research. The methodology was modified from that developed by GA, </w:t>
      </w:r>
      <w:r w:rsidR="00F15C9E">
        <w:t xml:space="preserve">the </w:t>
      </w:r>
      <w:r w:rsidRPr="006B7E8C">
        <w:t xml:space="preserve">Commonwealth Scientific and Industrial Research Organisation (CSIRO), and the Australian Bureau of Agricultural and Resource Economics and Sciences (ABARES) </w:t>
      </w:r>
      <w:r w:rsidR="00F57DF3">
        <w:t>for the Bioregional Assessment P</w:t>
      </w:r>
      <w:r w:rsidRPr="006B7E8C">
        <w:t>rogram (</w:t>
      </w:r>
      <w:r w:rsidRPr="00F20120">
        <w:t>GA, ABARES and CSIRO</w:t>
      </w:r>
      <w:r>
        <w:t xml:space="preserve">, </w:t>
      </w:r>
      <w:r w:rsidRPr="006B7E8C">
        <w:t>2012</w:t>
      </w:r>
      <w:r w:rsidR="005E1B62">
        <w:t>)</w:t>
      </w:r>
      <w:r w:rsidR="005A3B36">
        <w:t>.</w:t>
      </w:r>
      <w:r w:rsidR="005E1B62">
        <w:t xml:space="preserve"> </w:t>
      </w:r>
    </w:p>
    <w:p w14:paraId="223BCD74" w14:textId="56E21AD9" w:rsidR="00010D85" w:rsidRPr="006B7E8C" w:rsidRDefault="00010D85" w:rsidP="00174635">
      <w:pPr>
        <w:pStyle w:val="BodyText"/>
      </w:pPr>
      <w:r>
        <w:t xml:space="preserve">While the </w:t>
      </w:r>
      <w:r w:rsidRPr="005D7892">
        <w:t xml:space="preserve">Bioregional Assessments </w:t>
      </w:r>
      <w:r>
        <w:t>were designed</w:t>
      </w:r>
      <w:r w:rsidRPr="005D7892">
        <w:t xml:space="preserve"> in order </w:t>
      </w:r>
      <w:r>
        <w:t>“</w:t>
      </w:r>
      <w:r w:rsidRPr="005D7892">
        <w:t>to better understand the potential impacts of coal seam gas and large coal mining developments on water resources and water-dependent assets</w:t>
      </w:r>
      <w:r>
        <w:t>”</w:t>
      </w:r>
      <w:r w:rsidRPr="005D7892">
        <w:t xml:space="preserve">, this </w:t>
      </w:r>
      <w:r w:rsidR="008525B0">
        <w:t xml:space="preserve">Geological and </w:t>
      </w:r>
      <w:r w:rsidR="008525B0">
        <w:lastRenderedPageBreak/>
        <w:t xml:space="preserve">Bioregional Assessments </w:t>
      </w:r>
      <w:r w:rsidR="00502429">
        <w:t>P</w:t>
      </w:r>
      <w:r w:rsidR="008525B0">
        <w:t>rogram</w:t>
      </w:r>
      <w:r w:rsidRPr="005D7892">
        <w:t xml:space="preserve"> </w:t>
      </w:r>
      <w:r w:rsidR="005D78CF">
        <w:t>focuses</w:t>
      </w:r>
      <w:r w:rsidRPr="005D7892">
        <w:t xml:space="preserve"> on shale and tight gas developments.</w:t>
      </w:r>
      <w:r>
        <w:t xml:space="preserve"> </w:t>
      </w:r>
    </w:p>
    <w:p w14:paraId="223BCD75" w14:textId="77777777" w:rsidR="00174635" w:rsidRPr="006B7E8C" w:rsidRDefault="00174635" w:rsidP="00174635">
      <w:pPr>
        <w:pStyle w:val="BodyText"/>
      </w:pPr>
      <w:r w:rsidRPr="006B7E8C">
        <w:t>The general methodology used to identify priority areas is outlined in Table 3-</w:t>
      </w:r>
      <w:r>
        <w:t>1 and is described in more detail below.</w:t>
      </w:r>
    </w:p>
    <w:p w14:paraId="223BCD76" w14:textId="4447E5E3" w:rsidR="00174635" w:rsidRPr="00AB6721" w:rsidRDefault="00174635" w:rsidP="00924E2B">
      <w:pPr>
        <w:pStyle w:val="Caption"/>
      </w:pPr>
      <w:bookmarkStart w:id="16" w:name="_Toc517101453"/>
      <w:r w:rsidRPr="00AB6721">
        <w:t xml:space="preserve">Table </w:t>
      </w:r>
      <w:fldSimple w:instr=" STYLEREF 1 \s ">
        <w:r w:rsidR="004A16F5">
          <w:rPr>
            <w:noProof/>
          </w:rPr>
          <w:t>3</w:t>
        </w:r>
      </w:fldSimple>
      <w:r w:rsidRPr="00AB6721">
        <w:noBreakHyphen/>
      </w:r>
      <w:fldSimple w:instr=" SEQ Table \* ARABIC \s 1 ">
        <w:r w:rsidR="004A16F5">
          <w:rPr>
            <w:noProof/>
          </w:rPr>
          <w:t>1</w:t>
        </w:r>
      </w:fldSimple>
      <w:r w:rsidRPr="00AB6721">
        <w:t xml:space="preserve"> </w:t>
      </w:r>
      <w:r w:rsidR="008525B0">
        <w:t xml:space="preserve">Geological and Bioregional Assessments </w:t>
      </w:r>
      <w:r w:rsidR="00502429">
        <w:t xml:space="preserve">Program </w:t>
      </w:r>
      <w:r>
        <w:t>Stage 1 r</w:t>
      </w:r>
      <w:r w:rsidRPr="00AB6721">
        <w:t xml:space="preserve">apid regional </w:t>
      </w:r>
      <w:r w:rsidR="00D479F8">
        <w:t xml:space="preserve">basin </w:t>
      </w:r>
      <w:r w:rsidRPr="00AB6721">
        <w:t>prioritisation process methodology</w:t>
      </w:r>
      <w:bookmarkEnd w:id="16"/>
    </w:p>
    <w:tbl>
      <w:tblPr>
        <w:tblStyle w:val="TableBAHeaderRow"/>
        <w:tblW w:w="0" w:type="auto"/>
        <w:tblLook w:val="04A0" w:firstRow="1" w:lastRow="0" w:firstColumn="1" w:lastColumn="0" w:noHBand="0" w:noVBand="1"/>
      </w:tblPr>
      <w:tblGrid>
        <w:gridCol w:w="852"/>
        <w:gridCol w:w="2268"/>
        <w:gridCol w:w="6008"/>
      </w:tblGrid>
      <w:tr w:rsidR="00174635" w14:paraId="223BCD7A" w14:textId="77777777" w:rsidTr="008454B0">
        <w:trPr>
          <w:cnfStyle w:val="100000000000" w:firstRow="1" w:lastRow="0" w:firstColumn="0" w:lastColumn="0" w:oddVBand="0" w:evenVBand="0" w:oddHBand="0" w:evenHBand="0" w:firstRowFirstColumn="0" w:firstRowLastColumn="0" w:lastRowFirstColumn="0" w:lastRowLastColumn="0"/>
        </w:trPr>
        <w:tc>
          <w:tcPr>
            <w:tcW w:w="852" w:type="dxa"/>
          </w:tcPr>
          <w:p w14:paraId="223BCD77" w14:textId="77777777" w:rsidR="00174635" w:rsidRDefault="00174635" w:rsidP="00760658">
            <w:pPr>
              <w:pStyle w:val="TableTextLeft"/>
            </w:pPr>
            <w:r>
              <w:t>Step</w:t>
            </w:r>
          </w:p>
        </w:tc>
        <w:tc>
          <w:tcPr>
            <w:tcW w:w="2268" w:type="dxa"/>
          </w:tcPr>
          <w:p w14:paraId="223BCD78" w14:textId="77777777" w:rsidR="00174635" w:rsidRDefault="00174635" w:rsidP="00760658">
            <w:pPr>
              <w:pStyle w:val="TableTextLeft"/>
            </w:pPr>
            <w:r>
              <w:t>Item</w:t>
            </w:r>
          </w:p>
        </w:tc>
        <w:tc>
          <w:tcPr>
            <w:tcW w:w="6008" w:type="dxa"/>
          </w:tcPr>
          <w:p w14:paraId="223BCD79" w14:textId="77777777" w:rsidR="00174635" w:rsidRDefault="00174635" w:rsidP="00760658">
            <w:pPr>
              <w:pStyle w:val="TableTextLeft"/>
            </w:pPr>
            <w:r>
              <w:t>Description</w:t>
            </w:r>
          </w:p>
        </w:tc>
      </w:tr>
      <w:tr w:rsidR="00174635" w14:paraId="223BCD7E" w14:textId="77777777" w:rsidTr="008454B0">
        <w:trPr>
          <w:cnfStyle w:val="000000100000" w:firstRow="0" w:lastRow="0" w:firstColumn="0" w:lastColumn="0" w:oddVBand="0" w:evenVBand="0" w:oddHBand="1" w:evenHBand="0" w:firstRowFirstColumn="0" w:firstRowLastColumn="0" w:lastRowFirstColumn="0" w:lastRowLastColumn="0"/>
        </w:trPr>
        <w:tc>
          <w:tcPr>
            <w:tcW w:w="852" w:type="dxa"/>
          </w:tcPr>
          <w:p w14:paraId="223BCD7B" w14:textId="77777777" w:rsidR="00174635" w:rsidRDefault="00174635" w:rsidP="00760658">
            <w:pPr>
              <w:pStyle w:val="TableTextLeft"/>
            </w:pPr>
            <w:r>
              <w:t>1</w:t>
            </w:r>
          </w:p>
        </w:tc>
        <w:tc>
          <w:tcPr>
            <w:tcW w:w="2268" w:type="dxa"/>
          </w:tcPr>
          <w:p w14:paraId="223BCD7C" w14:textId="77777777" w:rsidR="00174635" w:rsidRPr="0048789F" w:rsidRDefault="00174635" w:rsidP="00760658">
            <w:pPr>
              <w:pStyle w:val="TableTextLeft"/>
            </w:pPr>
            <w:r>
              <w:t xml:space="preserve">Basin </w:t>
            </w:r>
            <w:r w:rsidR="001B1E72">
              <w:t>shortlist</w:t>
            </w:r>
          </w:p>
        </w:tc>
        <w:tc>
          <w:tcPr>
            <w:tcW w:w="6008" w:type="dxa"/>
          </w:tcPr>
          <w:p w14:paraId="223BCD7D" w14:textId="658AC94B" w:rsidR="00174635" w:rsidRDefault="001B1E72" w:rsidP="003F5C0F">
            <w:pPr>
              <w:pStyle w:val="TableTextLeft"/>
            </w:pPr>
            <w:r>
              <w:t>Shortlist</w:t>
            </w:r>
            <w:r w:rsidR="00174635" w:rsidRPr="0048789F">
              <w:t xml:space="preserve"> basins capable of supplying significant volumes of </w:t>
            </w:r>
            <w:r w:rsidR="00174635">
              <w:t xml:space="preserve">shale and/or tight </w:t>
            </w:r>
            <w:r w:rsidR="00174635" w:rsidRPr="0048789F">
              <w:t xml:space="preserve">gas to the </w:t>
            </w:r>
            <w:r w:rsidR="00FE6BB2">
              <w:t>East Coast Gas Market</w:t>
            </w:r>
            <w:r w:rsidR="00426140">
              <w:t xml:space="preserve"> within the next 5 to </w:t>
            </w:r>
            <w:r w:rsidR="00174635">
              <w:t>10 years.</w:t>
            </w:r>
          </w:p>
        </w:tc>
      </w:tr>
      <w:tr w:rsidR="00174635" w14:paraId="223BCD82" w14:textId="77777777" w:rsidTr="008454B0">
        <w:trPr>
          <w:cnfStyle w:val="000000010000" w:firstRow="0" w:lastRow="0" w:firstColumn="0" w:lastColumn="0" w:oddVBand="0" w:evenVBand="0" w:oddHBand="0" w:evenHBand="1" w:firstRowFirstColumn="0" w:firstRowLastColumn="0" w:lastRowFirstColumn="0" w:lastRowLastColumn="0"/>
        </w:trPr>
        <w:tc>
          <w:tcPr>
            <w:tcW w:w="852" w:type="dxa"/>
          </w:tcPr>
          <w:p w14:paraId="223BCD7F" w14:textId="77777777" w:rsidR="00174635" w:rsidRDefault="00174635" w:rsidP="00760658">
            <w:pPr>
              <w:pStyle w:val="TableTextLeft"/>
            </w:pPr>
            <w:r>
              <w:t>2</w:t>
            </w:r>
          </w:p>
        </w:tc>
        <w:tc>
          <w:tcPr>
            <w:tcW w:w="2268" w:type="dxa"/>
          </w:tcPr>
          <w:p w14:paraId="223BCD80" w14:textId="77777777" w:rsidR="00174635" w:rsidRPr="0048789F" w:rsidRDefault="00174635" w:rsidP="00760658">
            <w:pPr>
              <w:pStyle w:val="TableTextLeft"/>
            </w:pPr>
            <w:r>
              <w:t>Data inventory</w:t>
            </w:r>
          </w:p>
        </w:tc>
        <w:tc>
          <w:tcPr>
            <w:tcW w:w="6008" w:type="dxa"/>
          </w:tcPr>
          <w:p w14:paraId="223BCD81" w14:textId="77777777" w:rsidR="00174635" w:rsidRDefault="00174635" w:rsidP="00F15C9E">
            <w:pPr>
              <w:pStyle w:val="TableTextLeft"/>
            </w:pPr>
            <w:r w:rsidRPr="00076DF6">
              <w:t xml:space="preserve">Review of existing </w:t>
            </w:r>
            <w:r w:rsidR="00F15C9E">
              <w:t>open file</w:t>
            </w:r>
            <w:r w:rsidRPr="00076DF6">
              <w:t xml:space="preserve">, national scale, petroleum and environmental data and information relevant to the basin audit of the </w:t>
            </w:r>
            <w:r w:rsidR="001B1E72">
              <w:t>shortlist</w:t>
            </w:r>
            <w:r w:rsidRPr="00076DF6">
              <w:t xml:space="preserve">ed basins. In addition regional scale data </w:t>
            </w:r>
            <w:r w:rsidR="00F4661B">
              <w:t>is</w:t>
            </w:r>
            <w:r w:rsidRPr="00076DF6">
              <w:t xml:space="preserve"> included, where relevant, to the audit </w:t>
            </w:r>
            <w:r w:rsidR="001B1E72">
              <w:t>shortlist</w:t>
            </w:r>
            <w:r w:rsidRPr="00076DF6">
              <w:t>ed basins, as required.</w:t>
            </w:r>
          </w:p>
        </w:tc>
      </w:tr>
      <w:tr w:rsidR="00174635" w14:paraId="223BCD86" w14:textId="77777777" w:rsidTr="008454B0">
        <w:trPr>
          <w:cnfStyle w:val="000000100000" w:firstRow="0" w:lastRow="0" w:firstColumn="0" w:lastColumn="0" w:oddVBand="0" w:evenVBand="0" w:oddHBand="1" w:evenHBand="0" w:firstRowFirstColumn="0" w:firstRowLastColumn="0" w:lastRowFirstColumn="0" w:lastRowLastColumn="0"/>
        </w:trPr>
        <w:tc>
          <w:tcPr>
            <w:tcW w:w="852" w:type="dxa"/>
          </w:tcPr>
          <w:p w14:paraId="223BCD83" w14:textId="77777777" w:rsidR="00174635" w:rsidRDefault="00174635" w:rsidP="00760658">
            <w:pPr>
              <w:pStyle w:val="TableTextLeft"/>
            </w:pPr>
            <w:r>
              <w:t>3</w:t>
            </w:r>
          </w:p>
        </w:tc>
        <w:tc>
          <w:tcPr>
            <w:tcW w:w="2268" w:type="dxa"/>
          </w:tcPr>
          <w:p w14:paraId="223BCD84" w14:textId="77777777" w:rsidR="00174635" w:rsidRPr="0048789F" w:rsidRDefault="00174635" w:rsidP="00760658">
            <w:pPr>
              <w:pStyle w:val="TableTextLeft"/>
            </w:pPr>
            <w:r>
              <w:t>Basin audit</w:t>
            </w:r>
          </w:p>
        </w:tc>
        <w:tc>
          <w:tcPr>
            <w:tcW w:w="6008" w:type="dxa"/>
          </w:tcPr>
          <w:p w14:paraId="223BCD85" w14:textId="77777777" w:rsidR="00174635" w:rsidRDefault="00174635" w:rsidP="00760658">
            <w:pPr>
              <w:pStyle w:val="TableTextLeft"/>
            </w:pPr>
            <w:r w:rsidRPr="0048789F">
              <w:t xml:space="preserve">Audit of </w:t>
            </w:r>
            <w:r w:rsidR="001B1E72">
              <w:t>shortlist</w:t>
            </w:r>
            <w:r w:rsidRPr="0048789F">
              <w:t>ed basins, using assessment matrix based on rapid prioritisation criteria</w:t>
            </w:r>
            <w:r>
              <w:t>.</w:t>
            </w:r>
          </w:p>
        </w:tc>
      </w:tr>
      <w:tr w:rsidR="00174635" w14:paraId="223BCD8A" w14:textId="77777777" w:rsidTr="008454B0">
        <w:trPr>
          <w:cnfStyle w:val="000000010000" w:firstRow="0" w:lastRow="0" w:firstColumn="0" w:lastColumn="0" w:oddVBand="0" w:evenVBand="0" w:oddHBand="0" w:evenHBand="1" w:firstRowFirstColumn="0" w:firstRowLastColumn="0" w:lastRowFirstColumn="0" w:lastRowLastColumn="0"/>
        </w:trPr>
        <w:tc>
          <w:tcPr>
            <w:tcW w:w="852" w:type="dxa"/>
          </w:tcPr>
          <w:p w14:paraId="223BCD87" w14:textId="77777777" w:rsidR="00174635" w:rsidRDefault="00174635" w:rsidP="00760658">
            <w:pPr>
              <w:pStyle w:val="TableTextLeft"/>
            </w:pPr>
            <w:r>
              <w:t>4</w:t>
            </w:r>
          </w:p>
        </w:tc>
        <w:tc>
          <w:tcPr>
            <w:tcW w:w="2268" w:type="dxa"/>
          </w:tcPr>
          <w:p w14:paraId="223BCD88" w14:textId="77777777" w:rsidR="00174635" w:rsidRPr="0048789F" w:rsidRDefault="00174635" w:rsidP="00760658">
            <w:pPr>
              <w:pStyle w:val="TableTextLeft"/>
            </w:pPr>
            <w:r>
              <w:t>Stakeholder engagement</w:t>
            </w:r>
          </w:p>
        </w:tc>
        <w:tc>
          <w:tcPr>
            <w:tcW w:w="6008" w:type="dxa"/>
          </w:tcPr>
          <w:p w14:paraId="223BCD89" w14:textId="09FCC12C" w:rsidR="00174635" w:rsidRDefault="00174635" w:rsidP="003F5C0F">
            <w:pPr>
              <w:pStyle w:val="TableTextLeft"/>
            </w:pPr>
            <w:r w:rsidRPr="00076DF6">
              <w:t>Participation in interim stakeholder engagement (workshop or bilateral meetings) with relevant state/territory government agencies to facilitate the D</w:t>
            </w:r>
            <w:r w:rsidR="00FE6BB2">
              <w:t xml:space="preserve">oEE </w:t>
            </w:r>
            <w:r w:rsidR="00F15C9E">
              <w:t>in its</w:t>
            </w:r>
            <w:r w:rsidRPr="00076DF6">
              <w:t xml:space="preserve"> selection of the </w:t>
            </w:r>
            <w:r w:rsidR="00177C73">
              <w:t>three</w:t>
            </w:r>
            <w:r w:rsidRPr="00076DF6">
              <w:t xml:space="preserve"> priority basins.</w:t>
            </w:r>
          </w:p>
        </w:tc>
      </w:tr>
      <w:tr w:rsidR="00174635" w14:paraId="223BCD8E" w14:textId="77777777" w:rsidTr="008454B0">
        <w:trPr>
          <w:cnfStyle w:val="000000100000" w:firstRow="0" w:lastRow="0" w:firstColumn="0" w:lastColumn="0" w:oddVBand="0" w:evenVBand="0" w:oddHBand="1" w:evenHBand="0" w:firstRowFirstColumn="0" w:firstRowLastColumn="0" w:lastRowFirstColumn="0" w:lastRowLastColumn="0"/>
        </w:trPr>
        <w:tc>
          <w:tcPr>
            <w:tcW w:w="852" w:type="dxa"/>
          </w:tcPr>
          <w:p w14:paraId="223BCD8B" w14:textId="77777777" w:rsidR="00174635" w:rsidRDefault="00174635" w:rsidP="00760658">
            <w:pPr>
              <w:pStyle w:val="TableTextLeft"/>
            </w:pPr>
            <w:r>
              <w:t>5</w:t>
            </w:r>
          </w:p>
        </w:tc>
        <w:tc>
          <w:tcPr>
            <w:tcW w:w="2268" w:type="dxa"/>
          </w:tcPr>
          <w:p w14:paraId="223BCD8C" w14:textId="77777777" w:rsidR="00174635" w:rsidRDefault="00174635" w:rsidP="00760658">
            <w:pPr>
              <w:pStyle w:val="TableTextLeft"/>
            </w:pPr>
            <w:r>
              <w:t>Reporting</w:t>
            </w:r>
          </w:p>
        </w:tc>
        <w:tc>
          <w:tcPr>
            <w:tcW w:w="6008" w:type="dxa"/>
          </w:tcPr>
          <w:p w14:paraId="223BCD8D" w14:textId="77777777" w:rsidR="00174635" w:rsidRPr="0048789F" w:rsidRDefault="00174635" w:rsidP="00760658">
            <w:pPr>
              <w:pStyle w:val="TableTextLeft"/>
            </w:pPr>
            <w:r w:rsidRPr="00076DF6">
              <w:t>Final report preparations</w:t>
            </w:r>
            <w:r>
              <w:t xml:space="preserve"> and delivery.</w:t>
            </w:r>
          </w:p>
        </w:tc>
      </w:tr>
    </w:tbl>
    <w:p w14:paraId="1A96BE55" w14:textId="77777777" w:rsidR="00437476" w:rsidRDefault="00437476" w:rsidP="005E0FA1">
      <w:pPr>
        <w:pStyle w:val="BodyText"/>
      </w:pPr>
      <w:bookmarkStart w:id="17" w:name="_Toc494276969"/>
    </w:p>
    <w:p w14:paraId="223BCD8F" w14:textId="77777777" w:rsidR="00174635" w:rsidRPr="00E8799B" w:rsidRDefault="00174635" w:rsidP="00E8799B">
      <w:pPr>
        <w:pStyle w:val="Heading2"/>
      </w:pPr>
      <w:bookmarkStart w:id="18" w:name="_Toc517101403"/>
      <w:r w:rsidRPr="00E8799B">
        <w:t xml:space="preserve">Basin </w:t>
      </w:r>
      <w:r w:rsidR="001B1E72">
        <w:t>shortlist</w:t>
      </w:r>
      <w:bookmarkEnd w:id="17"/>
      <w:bookmarkEnd w:id="18"/>
    </w:p>
    <w:p w14:paraId="223BCD90" w14:textId="0FA883B1" w:rsidR="00174635" w:rsidRPr="006B7E8C" w:rsidRDefault="00174635" w:rsidP="00174635">
      <w:pPr>
        <w:pStyle w:val="BodyText"/>
      </w:pPr>
      <w:r w:rsidRPr="006B7E8C">
        <w:t xml:space="preserve">An initial </w:t>
      </w:r>
      <w:r w:rsidR="001B1E72">
        <w:t>shortlist</w:t>
      </w:r>
      <w:r w:rsidRPr="006B7E8C">
        <w:t xml:space="preserve"> of basins capable of supplying significant volumes of </w:t>
      </w:r>
      <w:r w:rsidR="007B6536">
        <w:t xml:space="preserve">tight </w:t>
      </w:r>
      <w:r w:rsidR="005D78CF">
        <w:t>and/or</w:t>
      </w:r>
      <w:r w:rsidR="007B6536">
        <w:t xml:space="preserve"> shale</w:t>
      </w:r>
      <w:r w:rsidR="007B6536" w:rsidRPr="006B7E8C">
        <w:t xml:space="preserve"> </w:t>
      </w:r>
      <w:r w:rsidRPr="006B7E8C">
        <w:t xml:space="preserve">gas to the </w:t>
      </w:r>
      <w:r w:rsidR="00FE6BB2">
        <w:t>East Coast Gas Market</w:t>
      </w:r>
      <w:r w:rsidR="001C3E08">
        <w:t xml:space="preserve"> in the next five to ten</w:t>
      </w:r>
      <w:r w:rsidRPr="006B7E8C">
        <w:t xml:space="preserve"> years was identified</w:t>
      </w:r>
      <w:r w:rsidR="00657A45">
        <w:t xml:space="preserve"> </w:t>
      </w:r>
      <w:r w:rsidRPr="006B7E8C">
        <w:t>through application of the following screening criteria to all Australian sedimentary basins:</w:t>
      </w:r>
    </w:p>
    <w:p w14:paraId="223BCD91" w14:textId="48EFB92F" w:rsidR="00174635" w:rsidRPr="006B7E8C" w:rsidRDefault="00174635" w:rsidP="00E8799B">
      <w:pPr>
        <w:pStyle w:val="ListBullet"/>
      </w:pPr>
      <w:r w:rsidRPr="006B7E8C">
        <w:lastRenderedPageBreak/>
        <w:t xml:space="preserve">onshore sedimentary basin, in proximity to </w:t>
      </w:r>
      <w:r w:rsidR="001C3E08">
        <w:t xml:space="preserve">the </w:t>
      </w:r>
      <w:r w:rsidR="00432D5D">
        <w:t>East C</w:t>
      </w:r>
      <w:r w:rsidR="008C6FD7">
        <w:t>oast</w:t>
      </w:r>
      <w:r w:rsidR="001C3E08">
        <w:t xml:space="preserve"> </w:t>
      </w:r>
      <w:r w:rsidR="00432D5D">
        <w:t>G</w:t>
      </w:r>
      <w:r w:rsidRPr="006B7E8C">
        <w:t xml:space="preserve">as </w:t>
      </w:r>
      <w:r w:rsidR="00432D5D">
        <w:t>M</w:t>
      </w:r>
      <w:r w:rsidR="00432D5D" w:rsidRPr="006B7E8C">
        <w:t>arket</w:t>
      </w:r>
      <w:r w:rsidR="00432D5D">
        <w:t xml:space="preserve"> </w:t>
      </w:r>
      <w:r w:rsidR="00C14001">
        <w:t>infrastructure</w:t>
      </w:r>
      <w:r w:rsidRPr="006B7E8C">
        <w:t>;</w:t>
      </w:r>
    </w:p>
    <w:p w14:paraId="223BCD92" w14:textId="5DD9331E" w:rsidR="00174635" w:rsidRPr="006B7E8C" w:rsidRDefault="001C3E08" w:rsidP="00E8799B">
      <w:pPr>
        <w:pStyle w:val="ListBullet"/>
      </w:pPr>
      <w:r>
        <w:t>sufficient</w:t>
      </w:r>
      <w:r w:rsidR="00174635" w:rsidRPr="006B7E8C">
        <w:t xml:space="preserve"> industry exploration activity for shale and/or tight gas plays</w:t>
      </w:r>
      <w:r w:rsidR="00FE6BB2">
        <w:t>,</w:t>
      </w:r>
      <w:r w:rsidR="00174635" w:rsidRPr="006B7E8C">
        <w:t xml:space="preserve"> and;</w:t>
      </w:r>
    </w:p>
    <w:p w14:paraId="223BCD93" w14:textId="77777777" w:rsidR="00174635" w:rsidRPr="006B7E8C" w:rsidRDefault="00174635" w:rsidP="00E8799B">
      <w:pPr>
        <w:pStyle w:val="ListBullet"/>
      </w:pPr>
      <w:r w:rsidRPr="006B7E8C">
        <w:t>documented contingent (2C) and/or prospective shale and/or tight gas resources.</w:t>
      </w:r>
    </w:p>
    <w:p w14:paraId="223BCD94" w14:textId="5B22A750" w:rsidR="00174635" w:rsidRDefault="00174635" w:rsidP="00174635">
      <w:pPr>
        <w:pStyle w:val="BodyText"/>
      </w:pPr>
      <w:r w:rsidRPr="00104FCB">
        <w:t xml:space="preserve">Those areas where </w:t>
      </w:r>
      <w:r>
        <w:t xml:space="preserve">unconventional shale and </w:t>
      </w:r>
      <w:r w:rsidR="004D7D2E">
        <w:t xml:space="preserve">tight </w:t>
      </w:r>
      <w:r>
        <w:t>gas</w:t>
      </w:r>
      <w:r w:rsidRPr="00104FCB">
        <w:t xml:space="preserve"> exploitation is currently occurring – or is likely to occur in the near future – were considered priority areas for research.</w:t>
      </w:r>
    </w:p>
    <w:p w14:paraId="223BCD95" w14:textId="77777777" w:rsidR="00174635" w:rsidRPr="00CE31C0" w:rsidRDefault="00174635" w:rsidP="00174635">
      <w:pPr>
        <w:pStyle w:val="BodyText"/>
      </w:pPr>
      <w:r>
        <w:t xml:space="preserve">The full review of </w:t>
      </w:r>
      <w:r w:rsidRPr="00CE31C0">
        <w:t xml:space="preserve">current </w:t>
      </w:r>
      <w:r>
        <w:t xml:space="preserve">tight and </w:t>
      </w:r>
      <w:r w:rsidRPr="00CE31C0">
        <w:t>shale gas</w:t>
      </w:r>
      <w:r>
        <w:t xml:space="preserve"> </w:t>
      </w:r>
      <w:r w:rsidRPr="00CE31C0">
        <w:t>exp</w:t>
      </w:r>
      <w:r>
        <w:t>loration activity</w:t>
      </w:r>
      <w:r w:rsidRPr="00CE31C0">
        <w:t xml:space="preserve"> across eastern </w:t>
      </w:r>
      <w:r>
        <w:t xml:space="preserve">and northern </w:t>
      </w:r>
      <w:r w:rsidRPr="00CE31C0">
        <w:t>Australia</w:t>
      </w:r>
      <w:r>
        <w:t xml:space="preserve"> required the acquisition and assessment of the </w:t>
      </w:r>
      <w:r w:rsidRPr="00CE31C0">
        <w:t xml:space="preserve">latest industry intelligence to update </w:t>
      </w:r>
      <w:r w:rsidR="00F15C9E">
        <w:t>GA’s</w:t>
      </w:r>
      <w:r w:rsidRPr="00CE31C0">
        <w:t xml:space="preserve"> internal database of</w:t>
      </w:r>
      <w:r>
        <w:t xml:space="preserve"> </w:t>
      </w:r>
      <w:r w:rsidRPr="00CE31C0">
        <w:t>tight and</w:t>
      </w:r>
      <w:r w:rsidR="001C3E08">
        <w:t xml:space="preserve"> shale gas resource information. </w:t>
      </w:r>
      <w:r>
        <w:t>This included a review of contingent (</w:t>
      </w:r>
      <w:r w:rsidRPr="00CE31C0">
        <w:t>2C</w:t>
      </w:r>
      <w:r>
        <w:t>)</w:t>
      </w:r>
      <w:r w:rsidRPr="00CE31C0">
        <w:t xml:space="preserve"> and</w:t>
      </w:r>
      <w:r>
        <w:t xml:space="preserve"> </w:t>
      </w:r>
      <w:r w:rsidRPr="00CE31C0">
        <w:t xml:space="preserve">prospective resources by basin </w:t>
      </w:r>
      <w:r w:rsidR="00EA0C92">
        <w:t xml:space="preserve">and </w:t>
      </w:r>
      <w:r w:rsidRPr="00CE31C0">
        <w:t>play type and an audit of key we</w:t>
      </w:r>
      <w:r>
        <w:t xml:space="preserve">lls drilled targeting shale </w:t>
      </w:r>
      <w:r w:rsidR="00EA0C92">
        <w:t>or</w:t>
      </w:r>
      <w:r>
        <w:t xml:space="preserve"> tight gas plays. </w:t>
      </w:r>
      <w:r w:rsidRPr="00CE31C0">
        <w:t>This</w:t>
      </w:r>
      <w:r>
        <w:t xml:space="preserve"> </w:t>
      </w:r>
      <w:r w:rsidRPr="00CE31C0">
        <w:t xml:space="preserve">information is not reported consistently even at a state level, </w:t>
      </w:r>
      <w:r>
        <w:t>so most</w:t>
      </w:r>
      <w:r w:rsidRPr="00CE31C0">
        <w:t xml:space="preserve"> information</w:t>
      </w:r>
      <w:r>
        <w:t xml:space="preserve"> needed to be</w:t>
      </w:r>
      <w:r w:rsidRPr="00CE31C0">
        <w:t xml:space="preserve"> sourced</w:t>
      </w:r>
      <w:r>
        <w:t xml:space="preserve"> </w:t>
      </w:r>
      <w:r w:rsidRPr="00CE31C0">
        <w:t xml:space="preserve">from </w:t>
      </w:r>
      <w:r w:rsidR="00352D46">
        <w:t>Australian Securities Exchange (</w:t>
      </w:r>
      <w:r w:rsidRPr="00CE31C0">
        <w:t>ASX</w:t>
      </w:r>
      <w:r w:rsidR="00352D46">
        <w:t>)</w:t>
      </w:r>
      <w:r w:rsidRPr="00CE31C0">
        <w:t xml:space="preserve"> media releases </w:t>
      </w:r>
      <w:r>
        <w:t xml:space="preserve">and industry websites </w:t>
      </w:r>
      <w:r w:rsidRPr="00CE31C0">
        <w:t>on a company by company basis.</w:t>
      </w:r>
      <w:r w:rsidR="00C14001">
        <w:t xml:space="preserve"> Only information in the public domain was considered.</w:t>
      </w:r>
    </w:p>
    <w:p w14:paraId="223BCD96" w14:textId="2F9CA096" w:rsidR="00174635" w:rsidRDefault="00174635" w:rsidP="00174635">
      <w:pPr>
        <w:pStyle w:val="BodyText"/>
      </w:pPr>
      <w:r w:rsidRPr="006B7E8C">
        <w:t>The</w:t>
      </w:r>
      <w:r>
        <w:t xml:space="preserve"> details of the</w:t>
      </w:r>
      <w:r w:rsidRPr="006B7E8C">
        <w:t xml:space="preserve"> </w:t>
      </w:r>
      <w:r>
        <w:t xml:space="preserve">basin shortlisting process and associated results are described in Section </w:t>
      </w:r>
      <w:r w:rsidR="00426140">
        <w:t>5.1</w:t>
      </w:r>
      <w:r>
        <w:t xml:space="preserve"> of this report and the full review of shale and tight gas </w:t>
      </w:r>
      <w:r>
        <w:lastRenderedPageBreak/>
        <w:t xml:space="preserve">resources and exploration activity for eastern and northern Australia can be found in </w:t>
      </w:r>
      <w:r w:rsidR="002A4BED">
        <w:t>Appendix A.</w:t>
      </w:r>
    </w:p>
    <w:p w14:paraId="32749FF9" w14:textId="77777777" w:rsidR="0058602B" w:rsidRDefault="0058602B" w:rsidP="00174635">
      <w:pPr>
        <w:pStyle w:val="BodyText"/>
      </w:pPr>
    </w:p>
    <w:p w14:paraId="223BCD97" w14:textId="77777777" w:rsidR="00174635" w:rsidRPr="00E8799B" w:rsidRDefault="00174635" w:rsidP="00E8799B">
      <w:pPr>
        <w:pStyle w:val="Heading2"/>
      </w:pPr>
      <w:bookmarkStart w:id="19" w:name="_Toc494276970"/>
      <w:bookmarkStart w:id="20" w:name="_Toc517101404"/>
      <w:r w:rsidRPr="00E8799B">
        <w:t>Data inventory</w:t>
      </w:r>
      <w:bookmarkEnd w:id="19"/>
      <w:bookmarkEnd w:id="20"/>
    </w:p>
    <w:p w14:paraId="223BCD98" w14:textId="2FA01438" w:rsidR="00174635" w:rsidRDefault="00174635" w:rsidP="00174635">
      <w:pPr>
        <w:pStyle w:val="BodyText"/>
      </w:pPr>
      <w:r>
        <w:t>A r</w:t>
      </w:r>
      <w:r w:rsidRPr="00076DF6">
        <w:t xml:space="preserve">eview </w:t>
      </w:r>
      <w:r>
        <w:t xml:space="preserve">was conducted </w:t>
      </w:r>
      <w:r w:rsidRPr="00076DF6">
        <w:t xml:space="preserve">of </w:t>
      </w:r>
      <w:r>
        <w:t>p</w:t>
      </w:r>
      <w:r w:rsidRPr="007F1EF1">
        <w:t>re-competitive</w:t>
      </w:r>
      <w:r>
        <w:t xml:space="preserve"> </w:t>
      </w:r>
      <w:r w:rsidR="00F15C9E">
        <w:t xml:space="preserve">petroleum </w:t>
      </w:r>
      <w:r>
        <w:t xml:space="preserve">and </w:t>
      </w:r>
      <w:r w:rsidRPr="00076DF6">
        <w:t xml:space="preserve">national scale, environmental </w:t>
      </w:r>
      <w:r>
        <w:t xml:space="preserve">and </w:t>
      </w:r>
      <w:r w:rsidR="004A00D5">
        <w:t>cultural</w:t>
      </w:r>
      <w:r>
        <w:t xml:space="preserve"> </w:t>
      </w:r>
      <w:r w:rsidRPr="00076DF6">
        <w:t xml:space="preserve">data relevant to </w:t>
      </w:r>
      <w:r w:rsidR="00EA0C92">
        <w:t>each short</w:t>
      </w:r>
      <w:r>
        <w:t>listed basin</w:t>
      </w:r>
      <w:r w:rsidRPr="00076DF6">
        <w:t xml:space="preserve">. In addition regional scale data </w:t>
      </w:r>
      <w:r>
        <w:t>were</w:t>
      </w:r>
      <w:r w:rsidRPr="00076DF6">
        <w:t xml:space="preserve"> included, </w:t>
      </w:r>
      <w:r>
        <w:t>if national scale datasets were unavailable. This data inventory was conducted in two stages as follows.</w:t>
      </w:r>
    </w:p>
    <w:p w14:paraId="223BCD99" w14:textId="154AFCF3" w:rsidR="00174635" w:rsidRPr="00AA409F" w:rsidRDefault="00174635" w:rsidP="00E8799B">
      <w:pPr>
        <w:pStyle w:val="ListBullet"/>
      </w:pPr>
      <w:r>
        <w:t xml:space="preserve">Review of datasets from the Bioregional Assessment Program to identify gaps for updating in the </w:t>
      </w:r>
      <w:r w:rsidR="008525B0">
        <w:t xml:space="preserve">Geological and Bioregional Assessments </w:t>
      </w:r>
      <w:r w:rsidR="00502429">
        <w:t>Program</w:t>
      </w:r>
      <w:r w:rsidRPr="00C30F1D">
        <w:t>.</w:t>
      </w:r>
    </w:p>
    <w:p w14:paraId="223BCD9A" w14:textId="77777777" w:rsidR="00174635" w:rsidRDefault="00174635" w:rsidP="00E8799B">
      <w:pPr>
        <w:pStyle w:val="ListBullet"/>
      </w:pPr>
      <w:r>
        <w:t>Inclusion of additional key geological and petroleum datasets into</w:t>
      </w:r>
      <w:r w:rsidR="00EA0C92">
        <w:t xml:space="preserve"> the extended BA data structure. </w:t>
      </w:r>
      <w:r>
        <w:t xml:space="preserve">Key additional datasets included </w:t>
      </w:r>
      <w:r w:rsidR="00EA0C92">
        <w:t xml:space="preserve">those with the themes of </w:t>
      </w:r>
      <w:r>
        <w:t>geological provinces</w:t>
      </w:r>
      <w:r w:rsidRPr="00C30F1D">
        <w:t xml:space="preserve">, </w:t>
      </w:r>
      <w:r>
        <w:t>petroleum wells</w:t>
      </w:r>
      <w:r w:rsidRPr="00C30F1D">
        <w:t xml:space="preserve">, </w:t>
      </w:r>
      <w:r>
        <w:t>2D seismic navigation data, 3D seismic data coverage,</w:t>
      </w:r>
      <w:r w:rsidRPr="00C30F1D">
        <w:t xml:space="preserve"> </w:t>
      </w:r>
      <w:r>
        <w:t>oil and gas fields, oil and gas pipelines, other relevant infrastructure (e.g. gas processing facilities).</w:t>
      </w:r>
    </w:p>
    <w:p w14:paraId="223BCD9B" w14:textId="0A7F2E14" w:rsidR="00174635" w:rsidRDefault="00174635" w:rsidP="00174635">
      <w:pPr>
        <w:pStyle w:val="BodyText"/>
      </w:pPr>
      <w:r>
        <w:t>Further details of the</w:t>
      </w:r>
      <w:r w:rsidRPr="006B7E8C">
        <w:t xml:space="preserve"> </w:t>
      </w:r>
      <w:r>
        <w:t xml:space="preserve">data inventory are described in Section </w:t>
      </w:r>
      <w:r w:rsidR="00B50F41">
        <w:t>5</w:t>
      </w:r>
      <w:r w:rsidR="008E5932">
        <w:t>.2</w:t>
      </w:r>
      <w:r>
        <w:t xml:space="preserve"> of this report and </w:t>
      </w:r>
      <w:r w:rsidR="00C177B2">
        <w:t>the</w:t>
      </w:r>
      <w:r>
        <w:t xml:space="preserve"> national scale maps</w:t>
      </w:r>
      <w:r w:rsidR="00F15C9E">
        <w:t xml:space="preserve"> presenting </w:t>
      </w:r>
      <w:r w:rsidR="00F15C9E" w:rsidRPr="00076DF6">
        <w:t xml:space="preserve">environmental </w:t>
      </w:r>
      <w:r w:rsidR="00F15C9E">
        <w:t xml:space="preserve">and social </w:t>
      </w:r>
      <w:r w:rsidR="00F15C9E" w:rsidRPr="00076DF6">
        <w:t xml:space="preserve">data </w:t>
      </w:r>
      <w:r>
        <w:t xml:space="preserve">are presented </w:t>
      </w:r>
      <w:r w:rsidRPr="006B7E8C">
        <w:t xml:space="preserve">in </w:t>
      </w:r>
      <w:r w:rsidR="002A4BED">
        <w:t>Appendix B</w:t>
      </w:r>
      <w:r w:rsidR="00C177B2">
        <w:t>.</w:t>
      </w:r>
    </w:p>
    <w:p w14:paraId="56270842" w14:textId="77777777" w:rsidR="0058602B" w:rsidRPr="001360CB" w:rsidRDefault="0058602B" w:rsidP="00174635">
      <w:pPr>
        <w:pStyle w:val="BodyText"/>
      </w:pPr>
    </w:p>
    <w:p w14:paraId="223BCD9C" w14:textId="77777777" w:rsidR="00174635" w:rsidRPr="00E8799B" w:rsidRDefault="00174635" w:rsidP="00E8799B">
      <w:pPr>
        <w:pStyle w:val="Heading2"/>
      </w:pPr>
      <w:bookmarkStart w:id="21" w:name="_Toc494276971"/>
      <w:bookmarkStart w:id="22" w:name="_Toc517101405"/>
      <w:r w:rsidRPr="00E8799B">
        <w:lastRenderedPageBreak/>
        <w:t xml:space="preserve">Audit of </w:t>
      </w:r>
      <w:r w:rsidR="001B1E72">
        <w:t>shortlist</w:t>
      </w:r>
      <w:r w:rsidRPr="00E8799B">
        <w:t>ed basins</w:t>
      </w:r>
      <w:bookmarkEnd w:id="21"/>
      <w:bookmarkEnd w:id="22"/>
    </w:p>
    <w:p w14:paraId="223BCD9D" w14:textId="77777777" w:rsidR="00174635" w:rsidRDefault="00174635" w:rsidP="00174635">
      <w:pPr>
        <w:pStyle w:val="BodyText"/>
      </w:pPr>
      <w:r>
        <w:t xml:space="preserve">A rapid audit was then undertaken on the </w:t>
      </w:r>
      <w:r w:rsidR="001B1E72">
        <w:t>shortlist</w:t>
      </w:r>
      <w:r>
        <w:t xml:space="preserve">ed basins in order to </w:t>
      </w:r>
      <w:r w:rsidRPr="00F60D0D">
        <w:t xml:space="preserve">prioritise areas for </w:t>
      </w:r>
      <w:r>
        <w:t>further research. This process aimed to:</w:t>
      </w:r>
    </w:p>
    <w:p w14:paraId="223BCD9E" w14:textId="7E8ED5C6" w:rsidR="00174635" w:rsidRPr="006B7E8C" w:rsidRDefault="00174635" w:rsidP="00E8799B">
      <w:pPr>
        <w:pStyle w:val="ListBullet"/>
      </w:pPr>
      <w:r w:rsidRPr="006B7E8C">
        <w:t>capture the current state of knowledge</w:t>
      </w:r>
      <w:r w:rsidR="004D7D2E">
        <w:t xml:space="preserve"> of</w:t>
      </w:r>
      <w:r w:rsidRPr="006B7E8C">
        <w:t xml:space="preserve"> each basin’s shale and tight gas prospectivity</w:t>
      </w:r>
      <w:r w:rsidR="00437CBE">
        <w:t>,</w:t>
      </w:r>
      <w:r w:rsidRPr="006B7E8C">
        <w:t xml:space="preserve"> and;</w:t>
      </w:r>
    </w:p>
    <w:p w14:paraId="223BCD9F" w14:textId="77777777" w:rsidR="00174635" w:rsidRPr="006B7E8C" w:rsidRDefault="00174635" w:rsidP="00E8799B">
      <w:pPr>
        <w:pStyle w:val="ListBullet"/>
      </w:pPr>
      <w:r w:rsidRPr="006B7E8C">
        <w:t xml:space="preserve">identify the water resources and environmental assets in each basin that could potentially be affected by shale and tight extraction. </w:t>
      </w:r>
    </w:p>
    <w:p w14:paraId="223BCDA0" w14:textId="2B348183" w:rsidR="00174635" w:rsidRPr="006B7E8C" w:rsidRDefault="00174635" w:rsidP="00174635">
      <w:pPr>
        <w:pStyle w:val="BodyText"/>
      </w:pPr>
      <w:r w:rsidRPr="006B7E8C">
        <w:t xml:space="preserve">Each basin audit was conducted based on the following rapid regional prioritisation criteria, and hence contains a brief summary of the following </w:t>
      </w:r>
      <w:r>
        <w:t xml:space="preserve">factors </w:t>
      </w:r>
      <w:r w:rsidRPr="006B7E8C">
        <w:t xml:space="preserve">for each </w:t>
      </w:r>
      <w:r w:rsidR="001B1E72">
        <w:t>shortlist</w:t>
      </w:r>
      <w:r w:rsidRPr="006B7E8C">
        <w:t>ed basin.</w:t>
      </w:r>
    </w:p>
    <w:p w14:paraId="223BCDA1" w14:textId="77777777" w:rsidR="00174635" w:rsidRPr="006B7E8C" w:rsidRDefault="00174635" w:rsidP="00E8799B">
      <w:pPr>
        <w:pStyle w:val="ListBullet"/>
      </w:pPr>
      <w:r w:rsidRPr="00AA409F">
        <w:rPr>
          <w:rStyle w:val="Bold"/>
        </w:rPr>
        <w:t>Basin Geology:</w:t>
      </w:r>
      <w:r w:rsidRPr="006B7E8C">
        <w:t xml:space="preserve"> including age, depth, lithology, depositional environment, source rock and reservoir formations, petroleum systems (e.g. known, hypothetical, speculative), summary of key unconventional play types (including formation, source rock characteristics).</w:t>
      </w:r>
    </w:p>
    <w:p w14:paraId="223BCDA2" w14:textId="77777777" w:rsidR="00174635" w:rsidRPr="006B7E8C" w:rsidRDefault="00174635" w:rsidP="00E8799B">
      <w:pPr>
        <w:pStyle w:val="ListBullet"/>
      </w:pPr>
      <w:r w:rsidRPr="00AA409F">
        <w:rPr>
          <w:rStyle w:val="Bold"/>
        </w:rPr>
        <w:t>Resources:</w:t>
      </w:r>
      <w:r w:rsidRPr="006B7E8C">
        <w:t xml:space="preserve"> including current basin exploration status (i.e. level of basin exploration and development) for shale and tight gas plays; reported production, reserves, contingent or prospective resources; key unconventional wells</w:t>
      </w:r>
      <w:r>
        <w:t xml:space="preserve"> (by play type)</w:t>
      </w:r>
      <w:r w:rsidRPr="006B7E8C">
        <w:t>; approximate development timeframe.</w:t>
      </w:r>
    </w:p>
    <w:p w14:paraId="223BCDA3" w14:textId="77777777" w:rsidR="00174635" w:rsidRPr="006B7E8C" w:rsidRDefault="00174635" w:rsidP="00E8799B">
      <w:pPr>
        <w:pStyle w:val="ListBullet"/>
      </w:pPr>
      <w:r w:rsidRPr="00AA409F">
        <w:rPr>
          <w:rStyle w:val="Bold"/>
        </w:rPr>
        <w:lastRenderedPageBreak/>
        <w:t>Market access and infrastructure:</w:t>
      </w:r>
      <w:r w:rsidRPr="006B7E8C">
        <w:t xml:space="preserve"> </w:t>
      </w:r>
      <w:r w:rsidR="00EA0C92">
        <w:t xml:space="preserve">road and </w:t>
      </w:r>
      <w:r w:rsidRPr="006B7E8C">
        <w:t>rail access; proximity</w:t>
      </w:r>
      <w:r>
        <w:t xml:space="preserve"> of prospective area</w:t>
      </w:r>
      <w:r w:rsidRPr="006B7E8C">
        <w:t xml:space="preserve"> </w:t>
      </w:r>
      <w:r w:rsidR="00EA0C92">
        <w:t>to existing gas infrastructure, including pipelines</w:t>
      </w:r>
      <w:r w:rsidR="007B6536">
        <w:t xml:space="preserve"> and thereby market access</w:t>
      </w:r>
      <w:r w:rsidR="00EA0C92">
        <w:t>.</w:t>
      </w:r>
    </w:p>
    <w:p w14:paraId="223BCDA4" w14:textId="77777777" w:rsidR="00174635" w:rsidRPr="006B7E8C" w:rsidRDefault="00174635" w:rsidP="00E8799B">
      <w:pPr>
        <w:pStyle w:val="ListBullet"/>
      </w:pPr>
      <w:r w:rsidRPr="00AA409F">
        <w:rPr>
          <w:rStyle w:val="Bold"/>
        </w:rPr>
        <w:t>Regulatory:</w:t>
      </w:r>
      <w:r w:rsidRPr="006B7E8C">
        <w:t xml:space="preserve"> hydraulic fracturing moratori</w:t>
      </w:r>
      <w:r w:rsidR="007B6536">
        <w:t>a</w:t>
      </w:r>
      <w:r w:rsidRPr="006B7E8C">
        <w:t>; exploration moratori</w:t>
      </w:r>
      <w:r w:rsidR="007B6536">
        <w:t>a</w:t>
      </w:r>
      <w:r w:rsidRPr="006B7E8C">
        <w:t>.</w:t>
      </w:r>
    </w:p>
    <w:p w14:paraId="223BCDA5" w14:textId="77777777" w:rsidR="00174635" w:rsidRPr="006B7E8C" w:rsidRDefault="00174635" w:rsidP="00E8799B">
      <w:pPr>
        <w:pStyle w:val="ListBullet"/>
      </w:pPr>
      <w:r w:rsidRPr="00AA409F">
        <w:rPr>
          <w:rStyle w:val="Bold"/>
        </w:rPr>
        <w:t>Environmental constraints:</w:t>
      </w:r>
      <w:r w:rsidRPr="006B7E8C">
        <w:t xml:space="preserve"> including groundwater systems; surface water systems; envi</w:t>
      </w:r>
      <w:r w:rsidR="00EA0C92">
        <w:t xml:space="preserve">ronmentally sensitive areas, such as </w:t>
      </w:r>
      <w:r w:rsidRPr="006B7E8C">
        <w:t>gr</w:t>
      </w:r>
      <w:r>
        <w:t>oundwater-dependent ecosystems</w:t>
      </w:r>
      <w:r w:rsidR="00EA0C92">
        <w:t>, important wetlands and national parks</w:t>
      </w:r>
      <w:r w:rsidRPr="006B7E8C">
        <w:t>.</w:t>
      </w:r>
    </w:p>
    <w:p w14:paraId="223BCDA6" w14:textId="77777777" w:rsidR="00174635" w:rsidRDefault="00174635" w:rsidP="00E8799B">
      <w:pPr>
        <w:pStyle w:val="ListBullet"/>
      </w:pPr>
      <w:r w:rsidRPr="00AA409F">
        <w:rPr>
          <w:rStyle w:val="Bold"/>
        </w:rPr>
        <w:t>Social factors/constraints:</w:t>
      </w:r>
      <w:r w:rsidRPr="006B7E8C">
        <w:t xml:space="preserve"> population distribution; existing land use; culturally significant areas</w:t>
      </w:r>
      <w:r>
        <w:t>.</w:t>
      </w:r>
    </w:p>
    <w:p w14:paraId="223BCDA7" w14:textId="25E93161" w:rsidR="00174635" w:rsidRPr="00E8799B" w:rsidRDefault="00174635" w:rsidP="00E8799B">
      <w:pPr>
        <w:pStyle w:val="BodyText"/>
        <w:rPr>
          <w:rStyle w:val="Bold"/>
          <w:b w:val="0"/>
        </w:rPr>
      </w:pPr>
      <w:r w:rsidRPr="00E8799B">
        <w:rPr>
          <w:rStyle w:val="Bold"/>
          <w:b w:val="0"/>
        </w:rPr>
        <w:t>As the above information was sourced from a diverse range of public domain</w:t>
      </w:r>
      <w:r w:rsidR="004D7D2E">
        <w:rPr>
          <w:rStyle w:val="Bold"/>
          <w:b w:val="0"/>
        </w:rPr>
        <w:t>,</w:t>
      </w:r>
      <w:r w:rsidRPr="00E8799B">
        <w:rPr>
          <w:rStyle w:val="Bold"/>
          <w:b w:val="0"/>
        </w:rPr>
        <w:t xml:space="preserve"> government and industry sources, the basin audit process was designed to ensure the following.</w:t>
      </w:r>
    </w:p>
    <w:p w14:paraId="223BCDA8" w14:textId="185937EA" w:rsidR="00174635" w:rsidRDefault="00174635" w:rsidP="00E8799B">
      <w:pPr>
        <w:pStyle w:val="ListBullet"/>
      </w:pPr>
      <w:r w:rsidRPr="00EA0C92">
        <w:rPr>
          <w:rStyle w:val="Bold"/>
        </w:rPr>
        <w:t>Consistent and transparent reporting:</w:t>
      </w:r>
      <w:r w:rsidRPr="00EA0C92">
        <w:rPr>
          <w:rStyle w:val="Italic"/>
        </w:rPr>
        <w:t xml:space="preserve"> </w:t>
      </w:r>
      <w:r w:rsidRPr="00EA0C92">
        <w:rPr>
          <w:rStyle w:val="BodyTextChar"/>
        </w:rPr>
        <w:t xml:space="preserve">To ensure decision making is evidence-based, significant work </w:t>
      </w:r>
      <w:r w:rsidR="00FE6BB2">
        <w:rPr>
          <w:rStyle w:val="BodyTextChar"/>
        </w:rPr>
        <w:t>was</w:t>
      </w:r>
      <w:r w:rsidRPr="00EA0C92">
        <w:rPr>
          <w:rStyle w:val="BodyTextChar"/>
        </w:rPr>
        <w:t xml:space="preserve"> required to ensure consistent and transparent reporting across all of the </w:t>
      </w:r>
      <w:r w:rsidR="00EA0C92" w:rsidRPr="00EA0C92">
        <w:rPr>
          <w:rStyle w:val="BodyTextChar"/>
        </w:rPr>
        <w:t>prioritisation criteria</w:t>
      </w:r>
      <w:r w:rsidRPr="00EA0C92">
        <w:rPr>
          <w:rStyle w:val="BodyTextChar"/>
        </w:rPr>
        <w:t xml:space="preserve">. The project required integration of disparate </w:t>
      </w:r>
      <w:r w:rsidR="00870050">
        <w:rPr>
          <w:rStyle w:val="BodyTextChar"/>
        </w:rPr>
        <w:t>information and</w:t>
      </w:r>
      <w:r w:rsidRPr="00EA0C92">
        <w:rPr>
          <w:rStyle w:val="BodyTextChar"/>
        </w:rPr>
        <w:t xml:space="preserve"> spatial data </w:t>
      </w:r>
      <w:r w:rsidR="00870050">
        <w:rPr>
          <w:rStyle w:val="BodyTextChar"/>
        </w:rPr>
        <w:t xml:space="preserve">from a range of sources </w:t>
      </w:r>
      <w:r w:rsidRPr="00EA0C92">
        <w:rPr>
          <w:rStyle w:val="BodyTextChar"/>
        </w:rPr>
        <w:t>on petroleum geology, unconventional gas resources, environmental</w:t>
      </w:r>
      <w:r w:rsidRPr="001360CB">
        <w:t xml:space="preserve"> conditions and potential stressors.</w:t>
      </w:r>
      <w:r>
        <w:t xml:space="preserve"> </w:t>
      </w:r>
    </w:p>
    <w:p w14:paraId="223BCDA9" w14:textId="31C2BDC3" w:rsidR="00174635" w:rsidRDefault="00174635" w:rsidP="00E8799B">
      <w:pPr>
        <w:pStyle w:val="ListBullet"/>
      </w:pPr>
      <w:r w:rsidRPr="00EA0C92">
        <w:rPr>
          <w:rStyle w:val="Bold"/>
        </w:rPr>
        <w:lastRenderedPageBreak/>
        <w:t>E</w:t>
      </w:r>
      <w:r w:rsidR="00EA0C92" w:rsidRPr="00EA0C92">
        <w:rPr>
          <w:rStyle w:val="Bold"/>
        </w:rPr>
        <w:t xml:space="preserve">ffective synthesis across state and </w:t>
      </w:r>
      <w:r w:rsidRPr="00EA0C92">
        <w:rPr>
          <w:rStyle w:val="Bold"/>
        </w:rPr>
        <w:t>territory borders:</w:t>
      </w:r>
      <w:r>
        <w:t xml:space="preserve"> Where basins cross state/territory borders (e.g. Cooper, Georgina, McArthur and Otway basins</w:t>
      </w:r>
      <w:r w:rsidR="00F15C9E">
        <w:t xml:space="preserve"> and Isa Superbasin</w:t>
      </w:r>
      <w:r>
        <w:t xml:space="preserve">), additional work </w:t>
      </w:r>
      <w:r w:rsidR="00FE6BB2">
        <w:t xml:space="preserve">was </w:t>
      </w:r>
      <w:r>
        <w:t>required to synthesise and standardise the relevant information to give a whole of basin perspective.</w:t>
      </w:r>
    </w:p>
    <w:p w14:paraId="223BCDAA" w14:textId="16F6ACB2" w:rsidR="00174635" w:rsidRDefault="00174635" w:rsidP="00EA0C92">
      <w:pPr>
        <w:pStyle w:val="ListBullet"/>
      </w:pPr>
      <w:r w:rsidRPr="00EA0C92">
        <w:rPr>
          <w:rStyle w:val="Bold"/>
        </w:rPr>
        <w:t>A fit for purpose product:</w:t>
      </w:r>
      <w:r>
        <w:t xml:space="preserve"> </w:t>
      </w:r>
      <w:r w:rsidR="00EA0C92" w:rsidRPr="00EA0C92">
        <w:t xml:space="preserve">Recasting </w:t>
      </w:r>
      <w:r w:rsidR="00FE6BB2">
        <w:t>was</w:t>
      </w:r>
      <w:r w:rsidR="00EA0C92" w:rsidRPr="00EA0C92">
        <w:t xml:space="preserve"> required to ensure the information in this report is fit for purpose.</w:t>
      </w:r>
    </w:p>
    <w:p w14:paraId="223BCDAB" w14:textId="104BEDC0" w:rsidR="00174635" w:rsidRDefault="00174635" w:rsidP="00EA0C92">
      <w:pPr>
        <w:pStyle w:val="ListBullet"/>
      </w:pPr>
      <w:r w:rsidRPr="00EA0C92">
        <w:rPr>
          <w:rStyle w:val="Bold"/>
        </w:rPr>
        <w:t>Capture of uncertainty in knowledge:</w:t>
      </w:r>
      <w:r>
        <w:t xml:space="preserve"> </w:t>
      </w:r>
      <w:r w:rsidR="00EA0C92" w:rsidRPr="00EA0C92">
        <w:t xml:space="preserve">The type, coverage, quantity and quality of data vary significantly between basins, resulting in differences in confidence in geological knowledge. Reviewing existing data in a consistent format provides an initial framework for future gap analyses, </w:t>
      </w:r>
      <w:r w:rsidR="00FE6BB2" w:rsidRPr="00EA0C92">
        <w:t>highligh</w:t>
      </w:r>
      <w:r w:rsidR="00FE6BB2">
        <w:t>ted</w:t>
      </w:r>
      <w:r w:rsidR="00FE6BB2" w:rsidRPr="00EA0C92">
        <w:t xml:space="preserve"> </w:t>
      </w:r>
      <w:r w:rsidR="00EA0C92" w:rsidRPr="00EA0C92">
        <w:t>areas and themes where acquisition of new pre</w:t>
      </w:r>
      <w:r w:rsidR="00F15C9E">
        <w:t>-</w:t>
      </w:r>
      <w:r w:rsidR="00EA0C92" w:rsidRPr="00EA0C92">
        <w:t>competitive information would have the greatest impact.</w:t>
      </w:r>
    </w:p>
    <w:p w14:paraId="223BCDAC" w14:textId="77777777" w:rsidR="00174635" w:rsidRDefault="00174635" w:rsidP="00174635">
      <w:pPr>
        <w:pStyle w:val="BodyText"/>
      </w:pPr>
      <w:r w:rsidRPr="006B7E8C">
        <w:t xml:space="preserve">The results of each prioritisation </w:t>
      </w:r>
      <w:r>
        <w:t xml:space="preserve">criteria </w:t>
      </w:r>
      <w:r w:rsidRPr="006B7E8C">
        <w:t>are presented in tables, maps and matrices</w:t>
      </w:r>
      <w:r>
        <w:t xml:space="preserve"> in Section </w:t>
      </w:r>
      <w:r>
        <w:fldChar w:fldCharType="begin"/>
      </w:r>
      <w:r>
        <w:instrText xml:space="preserve"> REF _Ref493831669 \r \h </w:instrText>
      </w:r>
      <w:r>
        <w:fldChar w:fldCharType="separate"/>
      </w:r>
      <w:r w:rsidR="004A16F5">
        <w:t>5.3</w:t>
      </w:r>
      <w:r>
        <w:fldChar w:fldCharType="end"/>
      </w:r>
      <w:r>
        <w:t xml:space="preserve"> of this report,</w:t>
      </w:r>
      <w:r w:rsidRPr="006B7E8C">
        <w:t xml:space="preserve"> and within the basin summary documents in </w:t>
      </w:r>
      <w:r w:rsidR="002A4BED">
        <w:t xml:space="preserve">Appendix </w:t>
      </w:r>
      <w:r w:rsidR="00C177B2">
        <w:t>C.</w:t>
      </w:r>
      <w:r w:rsidRPr="006B7E8C">
        <w:t xml:space="preserve"> </w:t>
      </w:r>
    </w:p>
    <w:p w14:paraId="4450C780" w14:textId="77777777" w:rsidR="0058602B" w:rsidRDefault="0058602B" w:rsidP="00174635">
      <w:pPr>
        <w:pStyle w:val="BodyText"/>
      </w:pPr>
    </w:p>
    <w:p w14:paraId="223BCDAD" w14:textId="77777777" w:rsidR="00174635" w:rsidRPr="00E8799B" w:rsidRDefault="00174635" w:rsidP="00E8799B">
      <w:pPr>
        <w:pStyle w:val="Heading2"/>
      </w:pPr>
      <w:bookmarkStart w:id="23" w:name="_Toc494276972"/>
      <w:bookmarkStart w:id="24" w:name="_Toc517101406"/>
      <w:r w:rsidRPr="00E8799B">
        <w:t>Stakeholder engagement</w:t>
      </w:r>
      <w:bookmarkEnd w:id="23"/>
      <w:bookmarkEnd w:id="24"/>
    </w:p>
    <w:p w14:paraId="223BCDAE" w14:textId="77777777" w:rsidR="00174635" w:rsidRPr="007D4B0E" w:rsidRDefault="00EA0C92" w:rsidP="00174635">
      <w:pPr>
        <w:pStyle w:val="BodyText"/>
      </w:pPr>
      <w:r>
        <w:t>Throughout S</w:t>
      </w:r>
      <w:r w:rsidR="00174635" w:rsidRPr="007D4B0E">
        <w:t>tage 1 of this project</w:t>
      </w:r>
      <w:r>
        <w:t>,</w:t>
      </w:r>
      <w:r w:rsidR="00174635" w:rsidRPr="007D4B0E">
        <w:t xml:space="preserve"> GA engaged with the DoEE to discuss and agree on the scope the project. This</w:t>
      </w:r>
      <w:r w:rsidR="00174635">
        <w:t xml:space="preserve"> process</w:t>
      </w:r>
      <w:r w:rsidR="00174635" w:rsidRPr="007D4B0E">
        <w:t xml:space="preserve"> included</w:t>
      </w:r>
      <w:r w:rsidR="00174635">
        <w:t xml:space="preserve"> the following steps</w:t>
      </w:r>
      <w:r w:rsidR="00174635" w:rsidRPr="007D4B0E">
        <w:t>:</w:t>
      </w:r>
    </w:p>
    <w:p w14:paraId="223BCDAF" w14:textId="7E7FD6BF" w:rsidR="00174635" w:rsidRPr="007D4B0E" w:rsidRDefault="00174635" w:rsidP="00E8799B">
      <w:pPr>
        <w:pStyle w:val="ListBullet"/>
      </w:pPr>
      <w:r>
        <w:lastRenderedPageBreak/>
        <w:t>an initial</w:t>
      </w:r>
      <w:r w:rsidRPr="007D4B0E">
        <w:t xml:space="preserve"> workshop</w:t>
      </w:r>
      <w:r>
        <w:t xml:space="preserve"> on 30</w:t>
      </w:r>
      <w:r w:rsidRPr="007019B6">
        <w:rPr>
          <w:rStyle w:val="Superscript"/>
        </w:rPr>
        <w:t>th</w:t>
      </w:r>
      <w:r w:rsidR="00437CBE">
        <w:t xml:space="preserve"> June</w:t>
      </w:r>
      <w:r>
        <w:t xml:space="preserve"> 2017</w:t>
      </w:r>
      <w:r w:rsidRPr="007D4B0E">
        <w:t xml:space="preserve"> to discuss </w:t>
      </w:r>
      <w:r>
        <w:t xml:space="preserve">possible selection </w:t>
      </w:r>
      <w:r w:rsidRPr="007D4B0E">
        <w:t>criteria and prioritisation process;</w:t>
      </w:r>
    </w:p>
    <w:p w14:paraId="223BCDB0" w14:textId="77777777" w:rsidR="00174635" w:rsidRDefault="00174635" w:rsidP="00E8799B">
      <w:pPr>
        <w:pStyle w:val="ListBullet"/>
      </w:pPr>
      <w:r w:rsidRPr="007D4B0E">
        <w:t>follow up conversations to refine and finalise the rapid regional prioritisation process and criteria</w:t>
      </w:r>
      <w:r>
        <w:t>, and;</w:t>
      </w:r>
    </w:p>
    <w:p w14:paraId="223BCDB1" w14:textId="77777777" w:rsidR="00174635" w:rsidRPr="007D4B0E" w:rsidRDefault="00174635" w:rsidP="00E8799B">
      <w:pPr>
        <w:pStyle w:val="ListBullet"/>
      </w:pPr>
      <w:r>
        <w:t xml:space="preserve">finalisation of the Stage 1 project agreement between GA and </w:t>
      </w:r>
      <w:r w:rsidR="00F15C9E">
        <w:t xml:space="preserve">the </w:t>
      </w:r>
      <w:r>
        <w:t>DoEE</w:t>
      </w:r>
      <w:r w:rsidRPr="007D4B0E">
        <w:t>.</w:t>
      </w:r>
    </w:p>
    <w:p w14:paraId="223BCDB2" w14:textId="5FDECFE7" w:rsidR="00EA0C92" w:rsidRDefault="00EA0C92" w:rsidP="00EA0C92">
      <w:pPr>
        <w:pStyle w:val="BodyText"/>
      </w:pPr>
      <w:r w:rsidRPr="00EA0C92">
        <w:t>The DoEE has actively engaged with relevant</w:t>
      </w:r>
      <w:r w:rsidR="00437CBE">
        <w:t xml:space="preserve"> industry and</w:t>
      </w:r>
      <w:r w:rsidRPr="00EA0C92">
        <w:t xml:space="preserve"> state and territory government stakeholders to facilitate the scoping of the </w:t>
      </w:r>
      <w:r w:rsidR="008525B0">
        <w:t xml:space="preserve">Geological and Bioregional Assessments </w:t>
      </w:r>
      <w:r w:rsidR="00502429">
        <w:t>Program</w:t>
      </w:r>
      <w:r w:rsidRPr="00EA0C92">
        <w:t xml:space="preserve">. To support the DoEE and participating stakeholders with the decision making process, results of Stage 1 </w:t>
      </w:r>
      <w:r>
        <w:t xml:space="preserve">have underpinned a) </w:t>
      </w:r>
      <w:r w:rsidRPr="00EA0C92">
        <w:t>preliminary documentation explaining the sc</w:t>
      </w:r>
      <w:r>
        <w:t>reening process and basin audit and b)</w:t>
      </w:r>
      <w:r w:rsidRPr="00EA0C92">
        <w:t xml:space="preserve"> advice from </w:t>
      </w:r>
      <w:r w:rsidR="00F15C9E">
        <w:t>GA</w:t>
      </w:r>
      <w:r w:rsidRPr="00EA0C92">
        <w:t xml:space="preserve"> on both the tight and shale gas prospectivity of Australian basins, along with the potential impacts of development of these resources on water resources.</w:t>
      </w:r>
    </w:p>
    <w:p w14:paraId="3F29DEAF" w14:textId="77777777" w:rsidR="0058602B" w:rsidRDefault="0058602B" w:rsidP="00EA0C92">
      <w:pPr>
        <w:pStyle w:val="BodyText"/>
      </w:pPr>
    </w:p>
    <w:p w14:paraId="223BCDB3" w14:textId="77777777" w:rsidR="00174635" w:rsidRPr="00E8799B" w:rsidRDefault="00174635" w:rsidP="00E8799B">
      <w:pPr>
        <w:pStyle w:val="Heading2"/>
      </w:pPr>
      <w:bookmarkStart w:id="25" w:name="_Toc494276973"/>
      <w:bookmarkStart w:id="26" w:name="_Toc517101407"/>
      <w:r w:rsidRPr="00E8799B">
        <w:t>Reporting</w:t>
      </w:r>
      <w:bookmarkEnd w:id="25"/>
      <w:bookmarkEnd w:id="26"/>
    </w:p>
    <w:p w14:paraId="223BCDB4" w14:textId="3E9611F9" w:rsidR="00174635" w:rsidRDefault="00174635" w:rsidP="00174635">
      <w:pPr>
        <w:pStyle w:val="BodyText"/>
      </w:pPr>
      <w:r w:rsidRPr="0027061D">
        <w:t>This report contains the results of Stage 1 of the</w:t>
      </w:r>
      <w:r>
        <w:t xml:space="preserve"> </w:t>
      </w:r>
      <w:r w:rsidR="008525B0">
        <w:t xml:space="preserve">Geological and Bioregional Assessments </w:t>
      </w:r>
      <w:r w:rsidR="00502429">
        <w:t>Program</w:t>
      </w:r>
      <w:r w:rsidRPr="0027061D">
        <w:t xml:space="preserve">, the rapid regional prioritisation, conducted by </w:t>
      </w:r>
      <w:r w:rsidR="00F15C9E">
        <w:t>GA</w:t>
      </w:r>
      <w:r w:rsidRPr="0027061D">
        <w:t xml:space="preserve">. </w:t>
      </w:r>
      <w:r>
        <w:t xml:space="preserve">It </w:t>
      </w:r>
      <w:r w:rsidRPr="0027061D">
        <w:t>presents the context of the program and describes the evidence based decision making process used to narrow the focus of the geological and biore</w:t>
      </w:r>
      <w:r w:rsidRPr="0027061D">
        <w:lastRenderedPageBreak/>
        <w:t>gional resource assessmen</w:t>
      </w:r>
      <w:r>
        <w:t xml:space="preserve">ts to areas of highest priority, based on the prioritisation framework outlined above. </w:t>
      </w:r>
      <w:r w:rsidRPr="006B7E8C">
        <w:t xml:space="preserve">This compilation and assessment provides scientific </w:t>
      </w:r>
      <w:r w:rsidR="001C5606">
        <w:t xml:space="preserve">information to inform </w:t>
      </w:r>
      <w:r w:rsidRPr="006B7E8C">
        <w:t>decision</w:t>
      </w:r>
      <w:r w:rsidR="001C5606">
        <w:t>s</w:t>
      </w:r>
      <w:r w:rsidR="00FA3EE6">
        <w:t xml:space="preserve"> </w:t>
      </w:r>
      <w:r w:rsidRPr="006B7E8C">
        <w:t>by</w:t>
      </w:r>
      <w:r w:rsidR="00F15C9E">
        <w:t xml:space="preserve"> the</w:t>
      </w:r>
      <w:r w:rsidRPr="006B7E8C">
        <w:t xml:space="preserve"> DoEE and stakeholders on the three basins that will proceed to Stages 2 and 3 of the </w:t>
      </w:r>
      <w:r w:rsidR="008525B0">
        <w:t xml:space="preserve">Geological and Bioregional Assessments </w:t>
      </w:r>
      <w:r w:rsidR="00502429">
        <w:t>Program</w:t>
      </w:r>
      <w:r w:rsidRPr="006B7E8C">
        <w:t>.</w:t>
      </w:r>
    </w:p>
    <w:p w14:paraId="223BCDB5" w14:textId="6847BDD6" w:rsidR="0016051B" w:rsidRDefault="0016051B" w:rsidP="00174635">
      <w:pPr>
        <w:pStyle w:val="BodyText"/>
      </w:pPr>
    </w:p>
    <w:p w14:paraId="2036903A" w14:textId="77777777" w:rsidR="00C70AB5" w:rsidRDefault="00C70AB5" w:rsidP="00174635">
      <w:pPr>
        <w:pStyle w:val="BodyText"/>
      </w:pPr>
    </w:p>
    <w:p w14:paraId="223BCDB6" w14:textId="77777777" w:rsidR="00C70AB5" w:rsidRDefault="00C70AB5">
      <w:pPr>
        <w:spacing w:after="180"/>
        <w:rPr>
          <w:rFonts w:asciiTheme="majorHAnsi" w:eastAsia="Times New Roman" w:hAnsiTheme="majorHAnsi"/>
          <w:b/>
          <w:color w:val="146692" w:themeColor="text2"/>
          <w:sz w:val="72"/>
          <w:szCs w:val="72"/>
        </w:rPr>
      </w:pPr>
      <w:bookmarkStart w:id="27" w:name="_Toc494276974"/>
      <w:r>
        <w:br w:type="page"/>
      </w:r>
    </w:p>
    <w:p w14:paraId="223BCDB7" w14:textId="77777777" w:rsidR="00174635" w:rsidRPr="00E8799B" w:rsidRDefault="00B948CC" w:rsidP="00E8799B">
      <w:pPr>
        <w:pStyle w:val="Heading1"/>
      </w:pPr>
      <w:bookmarkStart w:id="28" w:name="_Toc517101408"/>
      <w:r>
        <w:lastRenderedPageBreak/>
        <w:t>G</w:t>
      </w:r>
      <w:r w:rsidR="00174635" w:rsidRPr="00E8799B">
        <w:t>as resources</w:t>
      </w:r>
      <w:bookmarkEnd w:id="27"/>
      <w:bookmarkEnd w:id="28"/>
    </w:p>
    <w:p w14:paraId="6A0250DD" w14:textId="77777777" w:rsidR="0058602B" w:rsidRDefault="0058602B" w:rsidP="005E0FA1">
      <w:pPr>
        <w:pStyle w:val="BodyText"/>
      </w:pPr>
      <w:bookmarkStart w:id="29" w:name="_Toc494276975"/>
      <w:bookmarkStart w:id="30" w:name="_Toc457573875"/>
      <w:bookmarkStart w:id="31" w:name="_Toc469941672"/>
      <w:bookmarkStart w:id="32" w:name="_Toc469941671"/>
    </w:p>
    <w:p w14:paraId="223BCDB8" w14:textId="77777777" w:rsidR="00174635" w:rsidRPr="00E8799B" w:rsidRDefault="00174635" w:rsidP="00E8799B">
      <w:pPr>
        <w:pStyle w:val="Heading2"/>
      </w:pPr>
      <w:bookmarkStart w:id="33" w:name="_Toc517101409"/>
      <w:r w:rsidRPr="00E8799B">
        <w:t>Conventional and unconventional gas resources</w:t>
      </w:r>
      <w:bookmarkEnd w:id="29"/>
      <w:bookmarkEnd w:id="33"/>
    </w:p>
    <w:p w14:paraId="40B355D7" w14:textId="2276061E" w:rsidR="001074BE" w:rsidRDefault="001074BE" w:rsidP="005E0FA1">
      <w:pPr>
        <w:pStyle w:val="Heading3"/>
      </w:pPr>
      <w:bookmarkStart w:id="34" w:name="_Toc517101410"/>
      <w:r>
        <w:t>The Petroleum System</w:t>
      </w:r>
      <w:bookmarkEnd w:id="34"/>
    </w:p>
    <w:p w14:paraId="223BCDB9" w14:textId="75DDF357" w:rsidR="00174635" w:rsidRPr="006B7E8C" w:rsidRDefault="00174635" w:rsidP="00174635">
      <w:pPr>
        <w:pStyle w:val="BodyText"/>
      </w:pPr>
      <w:r w:rsidRPr="006B7E8C">
        <w:t>The term ‘petroleum system’ describes the genetic relationship between an active source rock and the resulting oil and gas accumulations (Magoon and Dow, 1994</w:t>
      </w:r>
      <w:r w:rsidR="005E1B62">
        <w:t>)</w:t>
      </w:r>
      <w:r w:rsidR="005A3B36">
        <w:t>.</w:t>
      </w:r>
      <w:r w:rsidR="005E1B62">
        <w:t xml:space="preserve"> </w:t>
      </w:r>
      <w:r w:rsidRPr="006B7E8C">
        <w:t>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 (Magoon and Dow, 1994</w:t>
      </w:r>
      <w:r w:rsidR="005E1B62">
        <w:t>)</w:t>
      </w:r>
      <w:r w:rsidR="005A3B36">
        <w:t>.</w:t>
      </w:r>
      <w:r w:rsidR="005E1B62">
        <w:t xml:space="preserve"> </w:t>
      </w:r>
    </w:p>
    <w:p w14:paraId="223BCDBA" w14:textId="1A6A6F46" w:rsidR="00174635" w:rsidRDefault="00174635" w:rsidP="00174635">
      <w:pPr>
        <w:pStyle w:val="BodyText"/>
      </w:pPr>
      <w:r w:rsidRPr="006B7E8C">
        <w:t xml:space="preserve">Organic material, incorporated during the deposition of sedimentary material, is heated during burial, converting the organic material to hydrocarbons in a process called maturation. A portion of the petroleum formed may be expelled from the source rock, and may then migrate through permeable sediments and structures until it is trapped by an impermeable barrier forming a conventional accumulation, or </w:t>
      </w:r>
      <w:r w:rsidR="00885051">
        <w:t xml:space="preserve">it </w:t>
      </w:r>
      <w:r w:rsidRPr="006B7E8C">
        <w:t xml:space="preserve">escapes to the Earth’s surface. Alternatively, </w:t>
      </w:r>
      <w:r w:rsidRPr="006B7E8C">
        <w:lastRenderedPageBreak/>
        <w:t xml:space="preserve">in circumstances where porosity and permeability </w:t>
      </w:r>
      <w:r w:rsidR="00885C43">
        <w:t>are</w:t>
      </w:r>
      <w:r w:rsidR="00885C43" w:rsidRPr="006B7E8C">
        <w:t xml:space="preserve"> </w:t>
      </w:r>
      <w:r w:rsidRPr="006B7E8C">
        <w:t>limited, some or all of the petroleum may stay trapped in or quite near the source rock</w:t>
      </w:r>
      <w:r w:rsidR="00CC6BDB">
        <w:t xml:space="preserve">, these are </w:t>
      </w:r>
      <w:r w:rsidR="00915599">
        <w:t xml:space="preserve">known as </w:t>
      </w:r>
      <w:r w:rsidR="00CC6BDB">
        <w:t>unconventional accumulations</w:t>
      </w:r>
      <w:r w:rsidRPr="006B7E8C">
        <w:t xml:space="preserve">. </w:t>
      </w:r>
    </w:p>
    <w:p w14:paraId="087249FB" w14:textId="4B3EC2AB" w:rsidR="00E706DB" w:rsidRPr="00E706DB" w:rsidRDefault="00E706DB" w:rsidP="00F51989">
      <w:pPr>
        <w:pStyle w:val="Heading3"/>
      </w:pPr>
      <w:bookmarkStart w:id="35" w:name="_Toc517101411"/>
      <w:r w:rsidRPr="00E706DB">
        <w:t xml:space="preserve">Conventional </w:t>
      </w:r>
      <w:r w:rsidR="00F51989" w:rsidRPr="00F51989">
        <w:t>petroleum accumulations</w:t>
      </w:r>
      <w:bookmarkEnd w:id="35"/>
    </w:p>
    <w:p w14:paraId="3C8047E0" w14:textId="003B9A3D" w:rsidR="00AB519A" w:rsidRDefault="00E706DB" w:rsidP="00174635">
      <w:pPr>
        <w:pStyle w:val="BodyText"/>
      </w:pPr>
      <w:r w:rsidRPr="006B7E8C">
        <w:t xml:space="preserve">‘Conventional’ petroleum </w:t>
      </w:r>
      <w:r>
        <w:t>accumulations</w:t>
      </w:r>
      <w:r w:rsidRPr="006B7E8C">
        <w:t xml:space="preserve"> are so called because they</w:t>
      </w:r>
      <w:r w:rsidR="00CC6BDB">
        <w:t xml:space="preserve"> have the longest association with petroleum exploration and production</w:t>
      </w:r>
      <w:r w:rsidR="0092517B">
        <w:t xml:space="preserve">, and are considered the norm </w:t>
      </w:r>
      <w:r w:rsidR="008A30CC">
        <w:t>i.e.</w:t>
      </w:r>
      <w:r w:rsidR="0092517B">
        <w:t xml:space="preserve"> ‘conventional’ by the industry</w:t>
      </w:r>
      <w:r w:rsidR="00CC6BDB">
        <w:t>. These accumulations</w:t>
      </w:r>
      <w:r w:rsidRPr="006B7E8C">
        <w:t xml:space="preserve"> were the first to be </w:t>
      </w:r>
      <w:r w:rsidR="00CC6BDB">
        <w:t>exploited</w:t>
      </w:r>
      <w:r w:rsidR="00CC6BDB" w:rsidRPr="006B7E8C">
        <w:t xml:space="preserve"> </w:t>
      </w:r>
      <w:r w:rsidRPr="006B7E8C">
        <w:t xml:space="preserve">by shallow drilling and have provided the majority of oil </w:t>
      </w:r>
      <w:r>
        <w:t xml:space="preserve">and gas </w:t>
      </w:r>
      <w:r w:rsidRPr="006B7E8C">
        <w:t xml:space="preserve">produced worldwide to date. However, they are relatively rare, comprising a small part of the petroleum continuum. </w:t>
      </w:r>
    </w:p>
    <w:p w14:paraId="45D2374E" w14:textId="725B514B" w:rsidR="00E706DB" w:rsidRDefault="00E706DB" w:rsidP="00174635">
      <w:pPr>
        <w:pStyle w:val="BodyText"/>
      </w:pPr>
      <w:r w:rsidRPr="006B7E8C">
        <w:t xml:space="preserve">‘Conventional’ petroleum </w:t>
      </w:r>
      <w:r>
        <w:t>accumulations</w:t>
      </w:r>
      <w:r w:rsidRPr="006B7E8C">
        <w:t xml:space="preserve"> occur as discrete accumulations</w:t>
      </w:r>
      <w:r>
        <w:t xml:space="preserve"> (</w:t>
      </w:r>
      <w:r w:rsidRPr="006B7E8C">
        <w:fldChar w:fldCharType="begin"/>
      </w:r>
      <w:r w:rsidRPr="006B7E8C">
        <w:instrText xml:space="preserve"> REF _Ref462565386 \h </w:instrText>
      </w:r>
      <w:r>
        <w:instrText xml:space="preserve"> \* MERGEFORMAT </w:instrText>
      </w:r>
      <w:r w:rsidRPr="006B7E8C">
        <w:fldChar w:fldCharType="separate"/>
      </w:r>
      <w:r w:rsidR="004A16F5" w:rsidRPr="00AB6721">
        <w:t xml:space="preserve">Figure </w:t>
      </w:r>
      <w:r w:rsidR="004A16F5">
        <w:t>4</w:t>
      </w:r>
      <w:r w:rsidR="004A16F5">
        <w:noBreakHyphen/>
        <w:t>1</w:t>
      </w:r>
      <w:r w:rsidRPr="006B7E8C">
        <w:fldChar w:fldCharType="end"/>
      </w:r>
      <w:r>
        <w:t>)</w:t>
      </w:r>
      <w:r w:rsidRPr="006B7E8C">
        <w:t xml:space="preserve"> trapped by a geological structure and/or stratigraphic feature, typically bounded by a down</w:t>
      </w:r>
      <w:r w:rsidRPr="006B7E8C">
        <w:noBreakHyphen/>
        <w:t xml:space="preserve">dip contact with water </w:t>
      </w:r>
      <w:r w:rsidR="00CC6BDB">
        <w:t xml:space="preserve">(Figure 4-1) </w:t>
      </w:r>
      <w:r w:rsidRPr="006B7E8C">
        <w:t>(Schmoker, 1995</w:t>
      </w:r>
      <w:r w:rsidR="007402A2">
        <w:t>,</w:t>
      </w:r>
      <w:r w:rsidRPr="006B7E8C">
        <w:t xml:space="preserve"> 2002</w:t>
      </w:r>
      <w:r w:rsidR="005E1B62">
        <w:t>)</w:t>
      </w:r>
      <w:r w:rsidR="001600FD">
        <w:t>.</w:t>
      </w:r>
      <w:r w:rsidR="005E1B62">
        <w:t xml:space="preserve"> </w:t>
      </w:r>
      <w:r w:rsidRPr="00715958">
        <w:t xml:space="preserve">The petroleum was not formed in situ; it migrated from the source rocks into a trap containing porous and permeable reservoir rocks. The petroleum is extracted through relatively few wells, usually with no permeability enhancement needed. </w:t>
      </w:r>
    </w:p>
    <w:p w14:paraId="191D389D" w14:textId="4BBCC493" w:rsidR="0058602B" w:rsidRDefault="0058602B" w:rsidP="0058602B">
      <w:pPr>
        <w:pStyle w:val="Heading3"/>
      </w:pPr>
      <w:bookmarkStart w:id="36" w:name="_Toc517101412"/>
      <w:r>
        <w:lastRenderedPageBreak/>
        <w:t>Unconventional accumulations</w:t>
      </w:r>
      <w:bookmarkEnd w:id="36"/>
    </w:p>
    <w:p w14:paraId="09C6586B" w14:textId="24F31F43" w:rsidR="00AF4434" w:rsidRPr="006B7E8C" w:rsidRDefault="00AB519A" w:rsidP="0058602B">
      <w:pPr>
        <w:pStyle w:val="BodyText"/>
      </w:pPr>
      <w:r>
        <w:t>The term ‘u</w:t>
      </w:r>
      <w:r w:rsidR="0058602B" w:rsidRPr="006B7E8C">
        <w:t>nconventional’ is used to refer to the collection of</w:t>
      </w:r>
      <w:r w:rsidR="009D7E63">
        <w:t xml:space="preserve"> </w:t>
      </w:r>
      <w:r w:rsidR="0058602B" w:rsidRPr="006B7E8C">
        <w:t xml:space="preserve">petroleum </w:t>
      </w:r>
      <w:r w:rsidR="0058602B">
        <w:t>accumulations</w:t>
      </w:r>
      <w:r w:rsidR="009D7E63">
        <w:t xml:space="preserve">, that </w:t>
      </w:r>
      <w:r w:rsidR="0058602B" w:rsidRPr="006B7E8C">
        <w:t>include shale oil and gas, oil shales, tight sands, basin</w:t>
      </w:r>
      <w:r w:rsidR="0058602B" w:rsidRPr="006B7E8C">
        <w:noBreakHyphen/>
        <w:t xml:space="preserve">centred gas, coal </w:t>
      </w:r>
      <w:r w:rsidR="0058602B">
        <w:t>seam gas</w:t>
      </w:r>
      <w:r w:rsidR="00915599">
        <w:t>, deep coal gas</w:t>
      </w:r>
      <w:r w:rsidR="0058602B">
        <w:t xml:space="preserve"> and methane hydrates. </w:t>
      </w:r>
      <w:r w:rsidR="0058602B" w:rsidRPr="006B7E8C">
        <w:t xml:space="preserve">‘Unconventional' and 'conventional' </w:t>
      </w:r>
      <w:r w:rsidR="0058602B">
        <w:t>petroleum</w:t>
      </w:r>
      <w:r w:rsidR="0058602B" w:rsidRPr="006B7E8C">
        <w:t xml:space="preserve"> </w:t>
      </w:r>
      <w:r>
        <w:t>accumulations</w:t>
      </w:r>
      <w:r w:rsidRPr="006B7E8C">
        <w:t xml:space="preserve"> </w:t>
      </w:r>
      <w:r w:rsidR="0058602B" w:rsidRPr="006B7E8C">
        <w:t xml:space="preserve">can form from the same source </w:t>
      </w:r>
      <w:r w:rsidR="009D7E63">
        <w:t xml:space="preserve">rocks </w:t>
      </w:r>
      <w:r w:rsidR="0058602B" w:rsidRPr="006B7E8C">
        <w:t>(</w:t>
      </w:r>
      <w:r w:rsidR="0058602B" w:rsidRPr="006B7E8C">
        <w:fldChar w:fldCharType="begin"/>
      </w:r>
      <w:r w:rsidR="0058602B" w:rsidRPr="006B7E8C">
        <w:instrText xml:space="preserve"> REF _Ref462565386 \h </w:instrText>
      </w:r>
      <w:r w:rsidR="0058602B">
        <w:instrText xml:space="preserve"> \* MERGEFORMAT </w:instrText>
      </w:r>
      <w:r w:rsidR="0058602B" w:rsidRPr="006B7E8C">
        <w:fldChar w:fldCharType="separate"/>
      </w:r>
      <w:r w:rsidR="004A16F5" w:rsidRPr="00AB6721">
        <w:t xml:space="preserve">Figure </w:t>
      </w:r>
      <w:r w:rsidR="004A16F5">
        <w:t>4</w:t>
      </w:r>
      <w:r w:rsidR="004A16F5">
        <w:noBreakHyphen/>
        <w:t>1</w:t>
      </w:r>
      <w:r w:rsidR="0058602B" w:rsidRPr="006B7E8C">
        <w:fldChar w:fldCharType="end"/>
      </w:r>
      <w:r w:rsidR="0058602B" w:rsidRPr="006B7E8C">
        <w:t>; Schmoker, 1995</w:t>
      </w:r>
      <w:r w:rsidR="007402A2">
        <w:t>,</w:t>
      </w:r>
      <w:r w:rsidR="0058602B" w:rsidRPr="006B7E8C">
        <w:t xml:space="preserve"> 2002</w:t>
      </w:r>
      <w:r w:rsidR="005E1B62">
        <w:t>)</w:t>
      </w:r>
      <w:r w:rsidR="005A3B36">
        <w:t>.</w:t>
      </w:r>
      <w:r w:rsidR="005E1B62">
        <w:t xml:space="preserve"> </w:t>
      </w:r>
      <w:r>
        <w:t>However, d</w:t>
      </w:r>
      <w:r w:rsidR="0058602B" w:rsidRPr="006B7E8C">
        <w:t>ifferences in expulsion, transport, and trap mechanisms result in different extraction methods being needed for ‘conventional’ and ‘unconventional’ res</w:t>
      </w:r>
      <w:r w:rsidR="0058602B">
        <w:t>ources</w:t>
      </w:r>
      <w:r w:rsidR="0058602B" w:rsidRPr="006B7E8C">
        <w:t xml:space="preserve">. </w:t>
      </w:r>
    </w:p>
    <w:p w14:paraId="223BCDBD" w14:textId="1042B5E7" w:rsidR="00174635" w:rsidRDefault="0058602B" w:rsidP="00E706DB">
      <w:pPr>
        <w:pStyle w:val="BodyText"/>
      </w:pPr>
      <w:r w:rsidRPr="006B7E8C">
        <w:t xml:space="preserve"> </w:t>
      </w:r>
    </w:p>
    <w:p w14:paraId="223BCDBE" w14:textId="39A3D66E" w:rsidR="00CB1311" w:rsidRPr="00CB1311" w:rsidRDefault="00160FE3" w:rsidP="008A30CC">
      <w:pPr>
        <w:pStyle w:val="FiguresImagesCentred"/>
      </w:pPr>
      <w:r w:rsidRPr="00160FE3">
        <w:rPr>
          <w:noProof/>
        </w:rPr>
        <w:lastRenderedPageBreak/>
        <w:drawing>
          <wp:inline distT="0" distB="0" distL="0" distR="0" wp14:anchorId="73913D1A" wp14:editId="0FA2C34A">
            <wp:extent cx="6120765" cy="459465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765" cy="4594654"/>
                    </a:xfrm>
                    <a:prstGeom prst="rect">
                      <a:avLst/>
                    </a:prstGeom>
                    <a:noFill/>
                    <a:ln>
                      <a:noFill/>
                    </a:ln>
                  </pic:spPr>
                </pic:pic>
              </a:graphicData>
            </a:graphic>
          </wp:inline>
        </w:drawing>
      </w:r>
    </w:p>
    <w:p w14:paraId="223BCDBF" w14:textId="4C241043" w:rsidR="00174635" w:rsidRPr="00AB6721" w:rsidRDefault="00174635" w:rsidP="00174635">
      <w:pPr>
        <w:pStyle w:val="Caption"/>
      </w:pPr>
      <w:bookmarkStart w:id="37" w:name="_Ref462565386"/>
      <w:bookmarkStart w:id="38" w:name="_Toc468974537"/>
      <w:bookmarkStart w:id="39" w:name="_Toc517101441"/>
      <w:r w:rsidRPr="00AB6721">
        <w:t xml:space="preserve">Figure </w:t>
      </w:r>
      <w:fldSimple w:instr=" STYLEREF 1 \s ">
        <w:r w:rsidR="004A16F5">
          <w:rPr>
            <w:noProof/>
          </w:rPr>
          <w:t>4</w:t>
        </w:r>
      </w:fldSimple>
      <w:r w:rsidR="008454B0">
        <w:noBreakHyphen/>
      </w:r>
      <w:fldSimple w:instr=" SEQ Figure \* ARABIC \s 1 ">
        <w:r w:rsidR="004A16F5">
          <w:rPr>
            <w:noProof/>
          </w:rPr>
          <w:t>1</w:t>
        </w:r>
      </w:fldSimple>
      <w:bookmarkEnd w:id="37"/>
      <w:r w:rsidRPr="00AB6721">
        <w:t xml:space="preserve">: </w:t>
      </w:r>
      <w:r w:rsidR="00DD4B9A">
        <w:t>Schematic showing some of the</w:t>
      </w:r>
      <w:r w:rsidRPr="00AB6721">
        <w:t xml:space="preserve"> types of oil and gas accumulations (after </w:t>
      </w:r>
      <w:r w:rsidR="00C465B6">
        <w:t>Wyoming State Geological Survey, 2018</w:t>
      </w:r>
      <w:r w:rsidRPr="00AB6721">
        <w:t>).</w:t>
      </w:r>
      <w:bookmarkEnd w:id="38"/>
      <w:bookmarkEnd w:id="39"/>
    </w:p>
    <w:p w14:paraId="143458FA" w14:textId="77777777" w:rsidR="00AF4434" w:rsidRDefault="00AF4434" w:rsidP="005E0FA1">
      <w:pPr>
        <w:pStyle w:val="BodyText"/>
      </w:pPr>
      <w:bookmarkStart w:id="40" w:name="_Toc494276977"/>
      <w:r w:rsidRPr="00AF4434">
        <w:t xml:space="preserve">An unconventional accumulation is a single large field (commonly of regional dimensions) that is not composed of discrete, countable fields delineated by downdip water contacts. These accumulations are not significantly influenced by the water column and do not owe their existence directly to the buoyancy </w:t>
      </w:r>
      <w:r w:rsidRPr="00AF4434">
        <w:lastRenderedPageBreak/>
        <w:t xml:space="preserve">of gas in water. The ‘fields’ that are sometimes named within an accumulation are actually indistinctly bounded areas with better production characteristics (sweet spots) (Schmoker, 2002). </w:t>
      </w:r>
    </w:p>
    <w:p w14:paraId="0E6339CD" w14:textId="1F4AC65B" w:rsidR="004F48C5" w:rsidRDefault="00B5719D" w:rsidP="005E0FA1">
      <w:pPr>
        <w:pStyle w:val="BodyText"/>
      </w:pPr>
      <w:r>
        <w:t>T</w:t>
      </w:r>
      <w:r w:rsidRPr="00B5719D">
        <w:t>he United States Geological Survey (USGS)</w:t>
      </w:r>
      <w:r>
        <w:t xml:space="preserve"> has </w:t>
      </w:r>
      <w:r w:rsidRPr="00B5719D">
        <w:t xml:space="preserve">introduced the term ‘continuous accumulation’ </w:t>
      </w:r>
      <w:r>
        <w:t xml:space="preserve">to geologically </w:t>
      </w:r>
      <w:r w:rsidR="00AB519A">
        <w:t>differentia</w:t>
      </w:r>
      <w:r w:rsidR="009D7E63">
        <w:t>te</w:t>
      </w:r>
      <w:r w:rsidR="00E706DB" w:rsidRPr="006B7E8C">
        <w:t xml:space="preserve"> between ‘conventional’ and ‘unconventional’ </w:t>
      </w:r>
      <w:r>
        <w:t>petroleum</w:t>
      </w:r>
      <w:r w:rsidRPr="006B7E8C">
        <w:t xml:space="preserve"> </w:t>
      </w:r>
      <w:r w:rsidR="00E706DB" w:rsidRPr="006B7E8C">
        <w:t>systems</w:t>
      </w:r>
      <w:r w:rsidR="00AB519A">
        <w:t xml:space="preserve"> </w:t>
      </w:r>
      <w:r w:rsidR="00D8597C" w:rsidRPr="006B7E8C">
        <w:t>(Schmoker, 1995</w:t>
      </w:r>
      <w:r w:rsidR="005E1B62">
        <w:t>)</w:t>
      </w:r>
      <w:r w:rsidR="005A3B36">
        <w:t>.</w:t>
      </w:r>
      <w:r w:rsidR="005E1B62">
        <w:t xml:space="preserve"> </w:t>
      </w:r>
      <w:r w:rsidR="00AF4434" w:rsidRPr="00AF4434">
        <w:t>In Australia the term ‘unconventional’ is more typically used.</w:t>
      </w:r>
      <w:r w:rsidR="00AF4434">
        <w:t xml:space="preserve"> </w:t>
      </w:r>
    </w:p>
    <w:p w14:paraId="2517F280" w14:textId="019761FF" w:rsidR="00E706DB" w:rsidRPr="00E706DB" w:rsidRDefault="004F48C5" w:rsidP="005E0FA1">
      <w:pPr>
        <w:pStyle w:val="BodyText"/>
      </w:pPr>
      <w:r>
        <w:t xml:space="preserve">In Australia, </w:t>
      </w:r>
      <w:r w:rsidR="00432EB2">
        <w:t xml:space="preserve">the types of </w:t>
      </w:r>
      <w:r>
        <w:t>u</w:t>
      </w:r>
      <w:r w:rsidR="00E706DB" w:rsidRPr="006B7E8C">
        <w:t xml:space="preserve">nconventional gas </w:t>
      </w:r>
      <w:r w:rsidR="00432EB2">
        <w:t>accumulations</w:t>
      </w:r>
      <w:r w:rsidR="00432EB2" w:rsidRPr="006B7E8C">
        <w:t xml:space="preserve"> </w:t>
      </w:r>
      <w:r w:rsidR="00E706DB" w:rsidRPr="006B7E8C">
        <w:t>include basin</w:t>
      </w:r>
      <w:r w:rsidR="00E706DB" w:rsidRPr="006B7E8C">
        <w:noBreakHyphen/>
        <w:t>centred gas, tight gas</w:t>
      </w:r>
      <w:r>
        <w:t>,</w:t>
      </w:r>
      <w:r w:rsidR="00E706DB" w:rsidRPr="006B7E8C">
        <w:t xml:space="preserve"> </w:t>
      </w:r>
      <w:r>
        <w:t>shale gas and coal seam gas</w:t>
      </w:r>
      <w:r w:rsidR="00424E36">
        <w:t xml:space="preserve"> (AERA, 201</w:t>
      </w:r>
      <w:r w:rsidR="001E66BE">
        <w:t>8</w:t>
      </w:r>
      <w:r w:rsidR="005E1B62">
        <w:t>)</w:t>
      </w:r>
      <w:r w:rsidR="005A3B36">
        <w:t>.</w:t>
      </w:r>
      <w:r w:rsidR="005E1B62">
        <w:t xml:space="preserve"> </w:t>
      </w:r>
      <w:r w:rsidR="00D8597C">
        <w:t xml:space="preserve">These </w:t>
      </w:r>
      <w:r>
        <w:t>are described in more detail below.</w:t>
      </w:r>
    </w:p>
    <w:p w14:paraId="223BCDC2" w14:textId="11988E4F" w:rsidR="00174635" w:rsidRPr="00E8799B" w:rsidRDefault="00F51989" w:rsidP="005E0FA1">
      <w:pPr>
        <w:pStyle w:val="Heading4"/>
      </w:pPr>
      <w:r>
        <w:t>T</w:t>
      </w:r>
      <w:r w:rsidR="00174635" w:rsidRPr="00E8799B">
        <w:t>ight gas</w:t>
      </w:r>
      <w:bookmarkEnd w:id="40"/>
      <w:r>
        <w:t xml:space="preserve"> and basin centred gas accumulations</w:t>
      </w:r>
    </w:p>
    <w:p w14:paraId="79C706E8" w14:textId="5A2533AB" w:rsidR="00D8597C" w:rsidRDefault="00715958" w:rsidP="00174635">
      <w:pPr>
        <w:pStyle w:val="BodyText"/>
      </w:pPr>
      <w:r w:rsidRPr="00715958">
        <w:t xml:space="preserve">Tight gas reservoirs have been exploited for </w:t>
      </w:r>
      <w:r w:rsidR="00D8597C">
        <w:t xml:space="preserve">several </w:t>
      </w:r>
      <w:r w:rsidRPr="00715958">
        <w:t>decades, including in Australia, and are well understood (Cook et al., 2013</w:t>
      </w:r>
      <w:r w:rsidR="005E1B62">
        <w:t>)</w:t>
      </w:r>
      <w:r w:rsidR="005A3B36">
        <w:t>.</w:t>
      </w:r>
      <w:r w:rsidR="005E1B62">
        <w:t xml:space="preserve"> </w:t>
      </w:r>
      <w:r w:rsidR="00F51989">
        <w:t>These include discrete tight gas reservoirs</w:t>
      </w:r>
      <w:r w:rsidR="00087E50">
        <w:t xml:space="preserve"> where </w:t>
      </w:r>
      <w:r w:rsidR="00087E50" w:rsidRPr="00087E50">
        <w:t xml:space="preserve">migrated gas accumulates in </w:t>
      </w:r>
      <w:r w:rsidR="00385363">
        <w:t xml:space="preserve">rocks with </w:t>
      </w:r>
      <w:r w:rsidR="00087E50" w:rsidRPr="00087E50">
        <w:t>low porosity and permeability, in a similar manner to conventional accumulations</w:t>
      </w:r>
      <w:r w:rsidR="00087E50">
        <w:t xml:space="preserve"> </w:t>
      </w:r>
      <w:r w:rsidR="00F51989">
        <w:t>and more distributed basin centred gas accumulations.</w:t>
      </w:r>
      <w:r w:rsidR="00D8597C">
        <w:t xml:space="preserve"> </w:t>
      </w:r>
    </w:p>
    <w:p w14:paraId="2B2CF954" w14:textId="7CD71DC4" w:rsidR="00F51989" w:rsidRDefault="00F51989" w:rsidP="00174635">
      <w:pPr>
        <w:pStyle w:val="BodyText"/>
      </w:pPr>
      <w:r>
        <w:t xml:space="preserve">Basin centred gas accumulations </w:t>
      </w:r>
      <w:r w:rsidR="00715958" w:rsidRPr="00715958">
        <w:t xml:space="preserve">are </w:t>
      </w:r>
      <w:r>
        <w:t>low</w:t>
      </w:r>
      <w:r w:rsidRPr="00715958">
        <w:t xml:space="preserve"> permeability</w:t>
      </w:r>
      <w:r>
        <w:t>,</w:t>
      </w:r>
      <w:r w:rsidRPr="00715958">
        <w:t xml:space="preserve"> gas reservoirs </w:t>
      </w:r>
      <w:r>
        <w:t xml:space="preserve">which are </w:t>
      </w:r>
      <w:r w:rsidR="00715958" w:rsidRPr="00715958">
        <w:t>commonly abnormally overpressured</w:t>
      </w:r>
      <w:r>
        <w:t xml:space="preserve"> and</w:t>
      </w:r>
      <w:r w:rsidR="00715958" w:rsidRPr="00715958">
        <w:t xml:space="preserve"> lacking a down dip water contact. The hydrocarbons have migrated from a source rock, and the gas is trapped as a ‘bubble’ within a high pressure, water saturated reservoir. This </w:t>
      </w:r>
      <w:r w:rsidR="00715958" w:rsidRPr="00715958">
        <w:lastRenderedPageBreak/>
        <w:t xml:space="preserve">phenomenon is caused by the relative permeability of gas and water in the reservoir. The </w:t>
      </w:r>
      <w:r w:rsidR="0058602B">
        <w:t xml:space="preserve">combined effect of high </w:t>
      </w:r>
      <w:r w:rsidR="00715958" w:rsidRPr="00715958">
        <w:t>water pressure</w:t>
      </w:r>
      <w:r w:rsidR="0058602B">
        <w:t xml:space="preserve"> and </w:t>
      </w:r>
      <w:r w:rsidR="0058602B" w:rsidRPr="00715958">
        <w:t>capillary pressure</w:t>
      </w:r>
      <w:r w:rsidR="0058602B">
        <w:t xml:space="preserve"> resulting from narrow pore size in the tight reservoirs</w:t>
      </w:r>
      <w:r w:rsidR="00715958" w:rsidRPr="00715958">
        <w:t xml:space="preserve"> prevents </w:t>
      </w:r>
      <w:r w:rsidR="0058602B">
        <w:t>hydrocarbons</w:t>
      </w:r>
      <w:r w:rsidR="00715958" w:rsidRPr="00715958">
        <w:t xml:space="preserve"> from</w:t>
      </w:r>
      <w:r w:rsidR="00374A47">
        <w:t xml:space="preserve"> </w:t>
      </w:r>
      <w:r w:rsidR="00715958" w:rsidRPr="00715958">
        <w:t xml:space="preserve">migrating </w:t>
      </w:r>
      <w:r w:rsidR="0058602B">
        <w:t xml:space="preserve">freely </w:t>
      </w:r>
      <w:r w:rsidR="00374A47">
        <w:t xml:space="preserve">and </w:t>
      </w:r>
      <w:r w:rsidR="0058602B">
        <w:t>so they remain</w:t>
      </w:r>
      <w:r w:rsidR="00374A47">
        <w:t xml:space="preserve"> trapped</w:t>
      </w:r>
      <w:r w:rsidR="00715958" w:rsidRPr="00715958">
        <w:t>. The</w:t>
      </w:r>
      <w:r w:rsidR="000A1464">
        <w:t>se</w:t>
      </w:r>
      <w:r w:rsidR="00715958" w:rsidRPr="00715958">
        <w:t xml:space="preserve"> reservoir</w:t>
      </w:r>
      <w:r w:rsidR="000A1464">
        <w:t>s</w:t>
      </w:r>
      <w:r w:rsidR="00715958" w:rsidRPr="00715958">
        <w:t xml:space="preserve"> can be laterally and vertically extensive, with gas saturation pervasive throughout. The rate of migration of gas into the reservoir exceeds the rate of gas migrating out of the reservoir, which implies that these reservoirs exist only contemporaneously with active gas generation from a nearby source. </w:t>
      </w:r>
    </w:p>
    <w:p w14:paraId="223BCDC3" w14:textId="237F0D62" w:rsidR="00174635" w:rsidRPr="006B7E8C" w:rsidRDefault="00D8597C" w:rsidP="00174635">
      <w:pPr>
        <w:pStyle w:val="BodyText"/>
      </w:pPr>
      <w:r w:rsidRPr="00715958">
        <w:t>Tight gas plays typically occur between 1</w:t>
      </w:r>
      <w:r>
        <w:t>,</w:t>
      </w:r>
      <w:r w:rsidRPr="00715958">
        <w:t>500 m and 4</w:t>
      </w:r>
      <w:r>
        <w:t>,</w:t>
      </w:r>
      <w:r w:rsidRPr="00715958">
        <w:t xml:space="preserve">000 m </w:t>
      </w:r>
      <w:r>
        <w:t>depth. P</w:t>
      </w:r>
      <w:r w:rsidRPr="00715958">
        <w:t xml:space="preserve">ore sizes and pore-throat sizes (diameters), which impact on the reservoir permeability, range from about 2 to 0.03 µm in tight-gas </w:t>
      </w:r>
      <w:r>
        <w:t>reservoirs</w:t>
      </w:r>
      <w:r w:rsidRPr="00715958">
        <w:t xml:space="preserve"> (Nelson, 2009</w:t>
      </w:r>
      <w:r w:rsidR="005E1B62">
        <w:t>)</w:t>
      </w:r>
      <w:r w:rsidR="005A3B36">
        <w:t>.</w:t>
      </w:r>
      <w:r w:rsidR="005E1B62">
        <w:t xml:space="preserve"> </w:t>
      </w:r>
      <w:r>
        <w:t xml:space="preserve">This is in contrast to conventional reservoir rocks where they are generally greater than 2 µm. </w:t>
      </w:r>
    </w:p>
    <w:p w14:paraId="223BCDC4" w14:textId="77777777" w:rsidR="00174635" w:rsidRPr="00E8799B" w:rsidRDefault="00174635" w:rsidP="005E0FA1">
      <w:pPr>
        <w:pStyle w:val="Heading4"/>
      </w:pPr>
      <w:bookmarkStart w:id="41" w:name="_Toc494276978"/>
      <w:r w:rsidRPr="00E8799B">
        <w:t>Shale gas</w:t>
      </w:r>
      <w:bookmarkEnd w:id="41"/>
    </w:p>
    <w:p w14:paraId="223BCDC5" w14:textId="558EDCDC" w:rsidR="00174635" w:rsidRPr="006B7E8C" w:rsidRDefault="00174635" w:rsidP="00174635">
      <w:pPr>
        <w:pStyle w:val="BodyText"/>
      </w:pPr>
      <w:r w:rsidRPr="006B7E8C">
        <w:t>Shales are a common petroleum source rock, and can retain more petroleum than they expel during maturation. They have low to moderate porosity with pore sizes on the nanometre scale</w:t>
      </w:r>
      <w:r w:rsidR="00D8597C">
        <w:t xml:space="preserve"> (</w:t>
      </w:r>
      <w:r w:rsidR="00D8597C" w:rsidRPr="00715958">
        <w:t>rang</w:t>
      </w:r>
      <w:r w:rsidR="00D8597C">
        <w:t>ing</w:t>
      </w:r>
      <w:r w:rsidR="00D8597C" w:rsidRPr="00715958">
        <w:t xml:space="preserve"> from 0.1 to 0.</w:t>
      </w:r>
      <w:r w:rsidR="00D8597C">
        <w:t>005 µm; Nelson, 2009)</w:t>
      </w:r>
      <w:r w:rsidRPr="006B7E8C">
        <w:t>, and have very low permeability. They are sometimes referred to as ‘self</w:t>
      </w:r>
      <w:r w:rsidRPr="006B7E8C">
        <w:noBreakHyphen/>
        <w:t>sourcing reservoirs’. They occur with significant (10–10</w:t>
      </w:r>
      <w:r>
        <w:t>0 km</w:t>
      </w:r>
      <w:r w:rsidRPr="006B7E8C">
        <w:t>) lateral continuity and can be of considerable thickness (0.1–10</w:t>
      </w:r>
      <w:r>
        <w:t>0 m</w:t>
      </w:r>
      <w:r w:rsidR="005E1B62">
        <w:t xml:space="preserve">) </w:t>
      </w:r>
      <w:r w:rsidRPr="006B7E8C">
        <w:t>Shale gas plays usually occur at similar depths to tight gas plays.</w:t>
      </w:r>
      <w:r w:rsidR="00D8597C" w:rsidRPr="00D8597C">
        <w:t xml:space="preserve"> </w:t>
      </w:r>
    </w:p>
    <w:p w14:paraId="223BCDC6" w14:textId="77777777" w:rsidR="00174635" w:rsidRPr="00E8799B" w:rsidRDefault="00174635" w:rsidP="005E0FA1">
      <w:pPr>
        <w:pStyle w:val="Heading4"/>
      </w:pPr>
      <w:bookmarkStart w:id="42" w:name="_Toc494276979"/>
      <w:r w:rsidRPr="00E8799B">
        <w:lastRenderedPageBreak/>
        <w:t>Coal seam gas</w:t>
      </w:r>
      <w:bookmarkEnd w:id="42"/>
    </w:p>
    <w:p w14:paraId="56EC390E" w14:textId="6E8DC5F9" w:rsidR="00EC604E" w:rsidRDefault="00174635" w:rsidP="00EC604E">
      <w:pPr>
        <w:pStyle w:val="BodyText"/>
      </w:pPr>
      <w:r w:rsidRPr="006B7E8C">
        <w:t xml:space="preserve">Coals release methane through either thermal or biogenic maturation. As </w:t>
      </w:r>
      <w:r w:rsidR="00257104">
        <w:t xml:space="preserve">organic material is converted to </w:t>
      </w:r>
      <w:r w:rsidRPr="006B7E8C">
        <w:t xml:space="preserve">gas </w:t>
      </w:r>
      <w:r w:rsidR="00257104">
        <w:t>there is a</w:t>
      </w:r>
      <w:r w:rsidRPr="006B7E8C">
        <w:t xml:space="preserve"> significant increase in volume</w:t>
      </w:r>
      <w:r w:rsidR="00257104">
        <w:t xml:space="preserve"> that </w:t>
      </w:r>
      <w:r w:rsidRPr="006B7E8C">
        <w:t xml:space="preserve">fractures the coal. The gas is transiently held in place </w:t>
      </w:r>
      <w:r w:rsidR="00257104">
        <w:t>either in the fractures or a</w:t>
      </w:r>
      <w:r w:rsidR="00385363">
        <w:t>d</w:t>
      </w:r>
      <w:r w:rsidR="00257104">
        <w:t xml:space="preserve">sorbed onto the coals surface </w:t>
      </w:r>
      <w:r w:rsidRPr="006B7E8C">
        <w:t xml:space="preserve">by hydrostatic pressure. </w:t>
      </w:r>
      <w:r w:rsidR="00245DB8">
        <w:t xml:space="preserve">The </w:t>
      </w:r>
      <w:r w:rsidR="00245DB8" w:rsidRPr="00183B38">
        <w:t xml:space="preserve">large surface area to volume ratio of coals </w:t>
      </w:r>
      <w:r w:rsidR="00245DB8">
        <w:t>make</w:t>
      </w:r>
      <w:r w:rsidR="00356F92">
        <w:t>s</w:t>
      </w:r>
      <w:r w:rsidR="00245DB8">
        <w:t xml:space="preserve"> them very high capacity reservoirs. </w:t>
      </w:r>
      <w:r w:rsidRPr="006B7E8C">
        <w:t>In contrast to both shale and tight gas plays, coal seam gas plays are typically found at depths of less than 1</w:t>
      </w:r>
      <w:r w:rsidR="00FF6923">
        <w:t>,</w:t>
      </w:r>
      <w:r w:rsidRPr="006B7E8C">
        <w:t>00</w:t>
      </w:r>
      <w:r>
        <w:t>0 m</w:t>
      </w:r>
      <w:r w:rsidRPr="006B7E8C">
        <w:t xml:space="preserve">. </w:t>
      </w:r>
      <w:r w:rsidR="00FF1BBE">
        <w:t xml:space="preserve">Gas extracted from coals </w:t>
      </w:r>
      <w:r w:rsidR="00EC604E">
        <w:t xml:space="preserve">at depths usually below </w:t>
      </w:r>
      <w:r w:rsidR="00E248F7">
        <w:t>2,000</w:t>
      </w:r>
      <w:r w:rsidR="00EC604E">
        <w:t xml:space="preserve"> m are often described as ‘deep coal gas’. </w:t>
      </w:r>
      <w:r w:rsidR="00A31875">
        <w:t xml:space="preserve">Due to </w:t>
      </w:r>
      <w:r w:rsidR="00E248F7">
        <w:t xml:space="preserve">cleat closure and </w:t>
      </w:r>
      <w:r w:rsidR="00D13E72">
        <w:t xml:space="preserve">the loss of </w:t>
      </w:r>
      <w:r w:rsidR="00A31875">
        <w:t xml:space="preserve">fracture </w:t>
      </w:r>
      <w:r w:rsidR="00E248F7">
        <w:t xml:space="preserve">permeability </w:t>
      </w:r>
      <w:r w:rsidR="00A31875">
        <w:t>with depth</w:t>
      </w:r>
      <w:r w:rsidR="009C1B98">
        <w:t>, f</w:t>
      </w:r>
      <w:r w:rsidR="00A31875">
        <w:t>racture simulation is used to release the free gas held within the organic porosity</w:t>
      </w:r>
      <w:r w:rsidR="009C1B98">
        <w:t xml:space="preserve"> and fracture system within the coal seam.  As dewatering is not needed, this makes them similar to shale gas reservoirs</w:t>
      </w:r>
      <w:r w:rsidR="00E248F7">
        <w:t xml:space="preserve"> (Goldstein et al, 2012; Camac et al., 2018)</w:t>
      </w:r>
      <w:r w:rsidR="009C1B98">
        <w:t>.</w:t>
      </w:r>
    </w:p>
    <w:p w14:paraId="223BCDC8" w14:textId="74F50F15" w:rsidR="00174635" w:rsidRDefault="00174635" w:rsidP="00E8799B">
      <w:pPr>
        <w:pStyle w:val="Heading2"/>
      </w:pPr>
      <w:bookmarkStart w:id="43" w:name="_Toc494276980"/>
      <w:bookmarkStart w:id="44" w:name="_Toc517101413"/>
      <w:r w:rsidRPr="00E8799B">
        <w:t xml:space="preserve">Australia’s </w:t>
      </w:r>
      <w:r w:rsidR="00E15E40">
        <w:t xml:space="preserve">shale and tight </w:t>
      </w:r>
      <w:r w:rsidRPr="00E8799B">
        <w:t>gas resources</w:t>
      </w:r>
      <w:bookmarkEnd w:id="43"/>
      <w:bookmarkEnd w:id="44"/>
    </w:p>
    <w:p w14:paraId="582FA3A0" w14:textId="1F42E53B" w:rsidR="00E15E40" w:rsidRPr="00E15E40" w:rsidRDefault="00E15E40" w:rsidP="00E15E40">
      <w:pPr>
        <w:pStyle w:val="BodyText"/>
      </w:pPr>
      <w:r>
        <w:t>Australia has substantial conventional and unconventional gas resources, the latter including coal seam gas (CSG), shale gas and tight gas (Figure 4</w:t>
      </w:r>
      <w:r>
        <w:noBreakHyphen/>
        <w:t>2</w:t>
      </w:r>
      <w:r w:rsidR="005E1B62">
        <w:t>)</w:t>
      </w:r>
      <w:r w:rsidR="0017119F">
        <w:t>.</w:t>
      </w:r>
      <w:r w:rsidR="005E1B62">
        <w:t xml:space="preserve"> </w:t>
      </w:r>
      <w:r>
        <w:t xml:space="preserve">Total identified gas resources are of the order of </w:t>
      </w:r>
      <w:r w:rsidR="00E01D45">
        <w:t>257 Tcf (</w:t>
      </w:r>
      <w:r>
        <w:t xml:space="preserve">279,819 </w:t>
      </w:r>
      <w:r w:rsidR="00E01D45">
        <w:t>PJ</w:t>
      </w:r>
      <w:r w:rsidR="000C055A">
        <w:t xml:space="preserve">), which includes a </w:t>
      </w:r>
      <w:r w:rsidR="001E66BE">
        <w:t>total of approximately 13 T</w:t>
      </w:r>
      <w:r>
        <w:t xml:space="preserve">cf </w:t>
      </w:r>
      <w:r w:rsidR="00783552">
        <w:t>(13,961 PJ</w:t>
      </w:r>
      <w:r w:rsidR="00E01D45">
        <w:t xml:space="preserve">) </w:t>
      </w:r>
      <w:r>
        <w:t>of</w:t>
      </w:r>
      <w:r w:rsidR="00F35FA5">
        <w:t xml:space="preserve"> </w:t>
      </w:r>
      <w:r>
        <w:t xml:space="preserve">contingent </w:t>
      </w:r>
      <w:r w:rsidR="00F35FA5">
        <w:t xml:space="preserve">(2C) </w:t>
      </w:r>
      <w:r>
        <w:t>shale and tight gas resources (AERA, 201</w:t>
      </w:r>
      <w:r w:rsidR="001E66BE">
        <w:t>8</w:t>
      </w:r>
      <w:r>
        <w:t>).</w:t>
      </w:r>
    </w:p>
    <w:p w14:paraId="4B1D50DD" w14:textId="385D90AC" w:rsidR="00E15E40" w:rsidRDefault="00E15E40" w:rsidP="00E15E40">
      <w:pPr>
        <w:pStyle w:val="BodyText"/>
      </w:pPr>
      <w:r>
        <w:lastRenderedPageBreak/>
        <w:t>The lack of current reported shale and tight gas reserves for Australia reflects the very early stage of exploration, a lack of infrastructure in the exploration areas and low oil and gas prices (AERA, 201</w:t>
      </w:r>
      <w:r w:rsidR="001E66BE">
        <w:t>8</w:t>
      </w:r>
      <w:r w:rsidR="005E1B62">
        <w:t>)</w:t>
      </w:r>
      <w:r w:rsidR="0017119F">
        <w:t>.</w:t>
      </w:r>
      <w:r w:rsidR="005E1B62">
        <w:t xml:space="preserve"> </w:t>
      </w:r>
      <w:r>
        <w:t>Although Santos reported first shale gas production and 2.8 bcf (3 PJ) reserves from the Moomba gas field in the Cooper Basin in 2012 (Santos, 2012), these were subsequently downgraded to contingent resources.</w:t>
      </w:r>
    </w:p>
    <w:p w14:paraId="223BCDCB" w14:textId="2495A28C" w:rsidR="00174635" w:rsidRDefault="000C055A" w:rsidP="00174635">
      <w:pPr>
        <w:pStyle w:val="FiguresImagesCentred"/>
      </w:pPr>
      <w:r>
        <w:rPr>
          <w:noProof/>
        </w:rPr>
        <w:lastRenderedPageBreak/>
        <w:drawing>
          <wp:inline distT="0" distB="0" distL="0" distR="0" wp14:anchorId="1B89A5DC" wp14:editId="75807755">
            <wp:extent cx="6105889" cy="57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105889" cy="5760000"/>
                    </a:xfrm>
                    <a:prstGeom prst="rect">
                      <a:avLst/>
                    </a:prstGeom>
                    <a:noFill/>
                    <a:ln>
                      <a:noFill/>
                    </a:ln>
                  </pic:spPr>
                </pic:pic>
              </a:graphicData>
            </a:graphic>
          </wp:inline>
        </w:drawing>
      </w:r>
    </w:p>
    <w:p w14:paraId="223BCDCC" w14:textId="46685CAC" w:rsidR="00174635" w:rsidRPr="007C084D" w:rsidRDefault="005B4F3D" w:rsidP="007C084D">
      <w:pPr>
        <w:pStyle w:val="Caption"/>
      </w:pPr>
      <w:bookmarkStart w:id="45" w:name="_Toc517101442"/>
      <w:bookmarkStart w:id="46" w:name="_Ref493832356"/>
      <w:r w:rsidRPr="007C084D">
        <w:t xml:space="preserve">Figure </w:t>
      </w:r>
      <w:fldSimple w:instr=" STYLEREF 1 \s ">
        <w:r w:rsidR="004A16F5">
          <w:rPr>
            <w:noProof/>
          </w:rPr>
          <w:t>4</w:t>
        </w:r>
      </w:fldSimple>
      <w:r w:rsidRPr="007C084D">
        <w:noBreakHyphen/>
      </w:r>
      <w:fldSimple w:instr=" SEQ Figure \* ARABIC \s 1 ">
        <w:r w:rsidR="004A16F5">
          <w:rPr>
            <w:noProof/>
          </w:rPr>
          <w:t>2</w:t>
        </w:r>
        <w:bookmarkEnd w:id="45"/>
      </w:fldSimple>
      <w:bookmarkEnd w:id="46"/>
      <w:r w:rsidRPr="007C084D">
        <w:t xml:space="preserve"> </w:t>
      </w:r>
      <w:r w:rsidR="00FF1BBE">
        <w:t xml:space="preserve"> </w:t>
      </w:r>
    </w:p>
    <w:p w14:paraId="04D111F2" w14:textId="3C57CB73" w:rsidR="00E15E40" w:rsidRPr="00E01D45" w:rsidRDefault="00F35FA5" w:rsidP="00E01D45">
      <w:pPr>
        <w:rPr>
          <w:rFonts w:ascii="Arial" w:eastAsia="Times New Roman" w:hAnsi="Arial" w:cs="Arial"/>
          <w:color w:val="auto"/>
          <w:sz w:val="20"/>
          <w:szCs w:val="20"/>
        </w:rPr>
      </w:pPr>
      <w:r>
        <w:lastRenderedPageBreak/>
        <w:t>As of December 2016, e</w:t>
      </w:r>
      <w:r w:rsidR="00E15E40">
        <w:t>arly exploration ha</w:t>
      </w:r>
      <w:r>
        <w:t>d</w:t>
      </w:r>
      <w:r w:rsidR="00E15E40">
        <w:t xml:space="preserve"> identified a total of 11 Tcf </w:t>
      </w:r>
      <w:r w:rsidR="00E01D45">
        <w:t xml:space="preserve">(12,252 PJ) </w:t>
      </w:r>
      <w:r w:rsidR="00E15E40">
        <w:t>of contingent (2C) shale gas resources</w:t>
      </w:r>
      <w:r>
        <w:t xml:space="preserve"> across Australia. About</w:t>
      </w:r>
      <w:r w:rsidR="00E15E40">
        <w:t xml:space="preserve"> 80% of </w:t>
      </w:r>
      <w:r>
        <w:t>these were</w:t>
      </w:r>
      <w:r w:rsidR="00E15E40">
        <w:t xml:space="preserve"> reported in the </w:t>
      </w:r>
      <w:r>
        <w:t xml:space="preserve">Cooper Basin, with additional </w:t>
      </w:r>
      <w:r w:rsidR="00E15E40" w:rsidRPr="002A5569">
        <w:t xml:space="preserve">resources identified </w:t>
      </w:r>
      <w:r>
        <w:t xml:space="preserve">in the </w:t>
      </w:r>
      <w:r w:rsidR="009916E9" w:rsidRPr="002A5569">
        <w:t>Isa Superbasin</w:t>
      </w:r>
      <w:r w:rsidR="00E01D45">
        <w:t xml:space="preserve"> and Perth Basin </w:t>
      </w:r>
      <w:r w:rsidRPr="002A5569">
        <w:t>(AERA, 2018)</w:t>
      </w:r>
      <w:r w:rsidR="009916E9" w:rsidRPr="002A5569">
        <w:t>.</w:t>
      </w:r>
      <w:r>
        <w:t xml:space="preserve"> </w:t>
      </w:r>
      <w:r w:rsidR="00E01D45">
        <w:t xml:space="preserve">In 2017, </w:t>
      </w:r>
      <w:r>
        <w:t xml:space="preserve">Origin Energy reported a further 6.6 Tcf </w:t>
      </w:r>
      <w:r w:rsidR="00783552">
        <w:t xml:space="preserve">(approximately 7,260 PJ) </w:t>
      </w:r>
      <w:r>
        <w:t xml:space="preserve">of contingent shale gas resources within the Beetaloo Sub-basin of the McArthur Basin (Origin Energy, 2017). </w:t>
      </w:r>
      <w:r w:rsidR="000C055A" w:rsidRPr="002A5569">
        <w:t>In addition, a</w:t>
      </w:r>
      <w:r w:rsidR="00E15E40" w:rsidRPr="002A5569">
        <w:t xml:space="preserve">pproximately 2 Tcf </w:t>
      </w:r>
      <w:r w:rsidR="00E01D45">
        <w:t xml:space="preserve">(1,709 PJ) </w:t>
      </w:r>
      <w:r w:rsidR="00E15E40" w:rsidRPr="002A5569">
        <w:t>of tight gas contingent resources have been identified (AERA, 201</w:t>
      </w:r>
      <w:r w:rsidR="001E66BE" w:rsidRPr="002A5569">
        <w:t>8</w:t>
      </w:r>
      <w:r w:rsidR="005E1B62" w:rsidRPr="002A5569">
        <w:t>)</w:t>
      </w:r>
      <w:r w:rsidR="0017119F" w:rsidRPr="002A5569">
        <w:t>.</w:t>
      </w:r>
      <w:r w:rsidR="005E1B62" w:rsidRPr="002A5569">
        <w:t xml:space="preserve"> </w:t>
      </w:r>
      <w:r w:rsidR="00E15E40" w:rsidRPr="002A5569">
        <w:t xml:space="preserve">The known tight gas resources are located in the established conventional gas-producing basins – the Cooper, Perth and Gippsland basins. These resources are located relatively close to infrastructure and are currently being considered for commercial production. </w:t>
      </w:r>
    </w:p>
    <w:p w14:paraId="1EFAAFF0" w14:textId="0ECF6EBC" w:rsidR="0010474E" w:rsidRDefault="00E15E40" w:rsidP="002A5569">
      <w:pPr>
        <w:pStyle w:val="BodyText"/>
      </w:pPr>
      <w:r w:rsidRPr="002A5569">
        <w:t xml:space="preserve">Australia has </w:t>
      </w:r>
      <w:r w:rsidR="009916E9" w:rsidRPr="002A5569">
        <w:t>estimated</w:t>
      </w:r>
      <w:r w:rsidR="007648BE" w:rsidRPr="002A5569">
        <w:t xml:space="preserve"> </w:t>
      </w:r>
      <w:r w:rsidRPr="002A5569">
        <w:t>prospective shale and tight gas</w:t>
      </w:r>
      <w:r w:rsidR="009916E9" w:rsidRPr="002A5569">
        <w:t xml:space="preserve">-in-place </w:t>
      </w:r>
      <w:r w:rsidRPr="002A5569">
        <w:t xml:space="preserve">resources </w:t>
      </w:r>
      <w:r w:rsidR="009916E9" w:rsidRPr="002A5569">
        <w:t>of</w:t>
      </w:r>
      <w:r w:rsidRPr="002A5569">
        <w:t xml:space="preserve"> 8,490 Tcf</w:t>
      </w:r>
      <w:r w:rsidR="002A5569" w:rsidRPr="002A5569">
        <w:t xml:space="preserve"> (9,338,993 PJ)</w:t>
      </w:r>
      <w:r w:rsidRPr="002A5569">
        <w:t xml:space="preserve"> and 2,410</w:t>
      </w:r>
      <w:r w:rsidR="009916E9" w:rsidRPr="002A5569">
        <w:t> </w:t>
      </w:r>
      <w:r w:rsidRPr="002A5569">
        <w:t xml:space="preserve">Tcf </w:t>
      </w:r>
      <w:r w:rsidR="002A5569" w:rsidRPr="002A5569">
        <w:t xml:space="preserve">(2,622,022 PJ) </w:t>
      </w:r>
      <w:r w:rsidRPr="002A5569">
        <w:t>respectively (AERA, 201</w:t>
      </w:r>
      <w:r w:rsidR="001E66BE" w:rsidRPr="002A5569">
        <w:t>8</w:t>
      </w:r>
      <w:r w:rsidR="005E1B62" w:rsidRPr="002A5569">
        <w:t>)</w:t>
      </w:r>
      <w:r w:rsidR="0017119F" w:rsidRPr="002A5569">
        <w:t>.</w:t>
      </w:r>
      <w:r w:rsidR="005E1B62" w:rsidRPr="002A5569">
        <w:t xml:space="preserve"> </w:t>
      </w:r>
      <w:r w:rsidRPr="002A5569">
        <w:t>Likely shale gas candidate formations have been identified in many basins, including the Amadeus, Bowen</w:t>
      </w:r>
      <w:r>
        <w:t xml:space="preserve">, Canning, </w:t>
      </w:r>
      <w:r w:rsidR="00E01D45">
        <w:t xml:space="preserve">Clarence-Moreton, </w:t>
      </w:r>
      <w:r>
        <w:t xml:space="preserve">Cooper, </w:t>
      </w:r>
      <w:r w:rsidR="001E174C">
        <w:t xml:space="preserve">Eromanga, </w:t>
      </w:r>
      <w:r>
        <w:t xml:space="preserve">Georgina, </w:t>
      </w:r>
      <w:r w:rsidR="001E174C">
        <w:t xml:space="preserve">Maryborough, </w:t>
      </w:r>
      <w:r>
        <w:t>McArthur</w:t>
      </w:r>
      <w:r w:rsidR="001E174C">
        <w:t>,</w:t>
      </w:r>
      <w:r>
        <w:t xml:space="preserve"> Otway basins</w:t>
      </w:r>
      <w:r w:rsidR="001E174C">
        <w:t>, Ped</w:t>
      </w:r>
      <w:r w:rsidR="00A03EC0">
        <w:t>i</w:t>
      </w:r>
      <w:r w:rsidR="001E174C">
        <w:t>rka and Perth basins</w:t>
      </w:r>
      <w:r>
        <w:t xml:space="preserve">, along with the Isa Superbasin. In addition, prospective resources of tight gas have been assessed from low-permeability sandstone reservoirs in the Amadeus, Bowen, Canning, Cooper, Gippsland, Otway and Perth basins. It should be noted that prospective resources are poorly understood and quantified, and any estimates of potential resources have a high degree of uncertainty. However, if these shale and tight gas resources can be effectively </w:t>
      </w:r>
      <w:r>
        <w:lastRenderedPageBreak/>
        <w:t>developed, they have the potential to provide a significant source of gas supply to the East Coast Gas Market in the future.</w:t>
      </w:r>
    </w:p>
    <w:p w14:paraId="7E6D7F20" w14:textId="1827CE74" w:rsidR="000C055A" w:rsidRPr="00E261E5" w:rsidRDefault="009D068E" w:rsidP="000C055A">
      <w:pPr>
        <w:pStyle w:val="BodyText"/>
      </w:pPr>
      <w:r>
        <w:t xml:space="preserve">Definitions of ‘reserves’, ‘contingent resources’ and ‘prospective resources’, along with a full definition of the resource classification scheme (PRMS, 2007) can be found </w:t>
      </w:r>
      <w:r w:rsidR="000C055A">
        <w:t>in Appendix A.</w:t>
      </w:r>
    </w:p>
    <w:p w14:paraId="223BCDD6" w14:textId="5B8DE584" w:rsidR="00174635" w:rsidRDefault="00174635" w:rsidP="00E8799B">
      <w:pPr>
        <w:pStyle w:val="Heading2"/>
      </w:pPr>
      <w:bookmarkStart w:id="47" w:name="_Toc494276983"/>
      <w:bookmarkStart w:id="48" w:name="_Toc517101414"/>
      <w:r w:rsidRPr="00E8799B">
        <w:t>Australian gas markets</w:t>
      </w:r>
      <w:bookmarkEnd w:id="47"/>
      <w:bookmarkEnd w:id="48"/>
      <w:r w:rsidRPr="00E8799B">
        <w:t xml:space="preserve"> </w:t>
      </w:r>
    </w:p>
    <w:p w14:paraId="673B530D" w14:textId="6EB7854B" w:rsidR="008D2C70" w:rsidRDefault="00B14C22" w:rsidP="00A50719">
      <w:pPr>
        <w:pStyle w:val="BodyText"/>
      </w:pPr>
      <w:r>
        <w:t>The following section provides an overview of Australia’s gas industry and regional gas markets, as context for the rapid regional prioritisation process</w:t>
      </w:r>
      <w:bookmarkStart w:id="49" w:name="_Toc494276984"/>
      <w:r w:rsidR="00B47C87">
        <w:t>. This content has</w:t>
      </w:r>
      <w:r w:rsidR="008D2C70">
        <w:t xml:space="preserve"> been summarised from the </w:t>
      </w:r>
      <w:r w:rsidR="008447CE">
        <w:t>Australian Energy Regulator’s report “State of the Ener</w:t>
      </w:r>
      <w:r w:rsidR="008D2C70">
        <w:t>gy Market May 2017” (AER, 2017)</w:t>
      </w:r>
      <w:r w:rsidR="00A50719">
        <w:t xml:space="preserve"> and the </w:t>
      </w:r>
      <w:r w:rsidR="008D2C70">
        <w:t xml:space="preserve">Australian </w:t>
      </w:r>
      <w:r w:rsidR="00B47C87">
        <w:t xml:space="preserve">Energy </w:t>
      </w:r>
      <w:r w:rsidR="008D2C70">
        <w:t>Resource Assessment 201</w:t>
      </w:r>
      <w:r w:rsidR="00B47C87">
        <w:t>4</w:t>
      </w:r>
      <w:r w:rsidR="008D2C70">
        <w:t xml:space="preserve"> (GA and BREE, 201</w:t>
      </w:r>
      <w:r w:rsidR="00A50719">
        <w:t>4</w:t>
      </w:r>
      <w:r w:rsidR="008D2C70">
        <w:t>).</w:t>
      </w:r>
    </w:p>
    <w:p w14:paraId="223BCDD7" w14:textId="1E3F5491" w:rsidR="00174635" w:rsidRPr="00E8799B" w:rsidRDefault="00174635" w:rsidP="00B14C22">
      <w:pPr>
        <w:pStyle w:val="Heading3"/>
      </w:pPr>
      <w:bookmarkStart w:id="50" w:name="_Toc517101415"/>
      <w:r w:rsidRPr="00E8799B">
        <w:t>Gas supply chain</w:t>
      </w:r>
      <w:bookmarkEnd w:id="49"/>
      <w:bookmarkEnd w:id="50"/>
    </w:p>
    <w:p w14:paraId="223BCDD8" w14:textId="6696F1FD" w:rsidR="00174635" w:rsidRPr="006B7E8C" w:rsidRDefault="00174635" w:rsidP="00174635">
      <w:pPr>
        <w:pStyle w:val="BodyText"/>
      </w:pPr>
      <w:r>
        <w:fldChar w:fldCharType="begin"/>
      </w:r>
      <w:r>
        <w:instrText xml:space="preserve"> REF _Ref493832278 \h </w:instrText>
      </w:r>
      <w:r>
        <w:fldChar w:fldCharType="separate"/>
      </w:r>
      <w:r w:rsidR="004A16F5" w:rsidRPr="00AB6721">
        <w:t xml:space="preserve">Figure </w:t>
      </w:r>
      <w:r w:rsidR="004A16F5">
        <w:rPr>
          <w:noProof/>
        </w:rPr>
        <w:t>4</w:t>
      </w:r>
      <w:r w:rsidR="004A16F5">
        <w:noBreakHyphen/>
      </w:r>
      <w:r w:rsidR="004A16F5">
        <w:rPr>
          <w:noProof/>
        </w:rPr>
        <w:t>3</w:t>
      </w:r>
      <w:r>
        <w:fldChar w:fldCharType="end"/>
      </w:r>
      <w:r>
        <w:t xml:space="preserve"> </w:t>
      </w:r>
      <w:r w:rsidRPr="006B7E8C">
        <w:t>illustrates the simplified operation of the gas industry in Australia. Resources are delivered to domestic and export markets through the successive activities of exploration, development, production, processing and transport. While different technologies can be used for extracting CSG and other unconventional gas, once extracted it is indistinguishable from conventional natural gas</w:t>
      </w:r>
      <w:r w:rsidR="00C163B9">
        <w:t xml:space="preserve"> and the</w:t>
      </w:r>
      <w:r w:rsidRPr="006B7E8C">
        <w:t xml:space="preserve"> supply chain is the same. </w:t>
      </w:r>
    </w:p>
    <w:p w14:paraId="223BCDD9" w14:textId="77777777" w:rsidR="00174635" w:rsidRDefault="00174635" w:rsidP="00174635">
      <w:pPr>
        <w:pStyle w:val="FiguresImagesCentred"/>
      </w:pPr>
      <w:r w:rsidRPr="006B7E8C">
        <w:rPr>
          <w:noProof/>
        </w:rPr>
        <w:lastRenderedPageBreak/>
        <w:drawing>
          <wp:inline distT="0" distB="0" distL="0" distR="0" wp14:anchorId="223BD603" wp14:editId="11EE4C97">
            <wp:extent cx="5431809" cy="366104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35625" cy="3663616"/>
                    </a:xfrm>
                    <a:prstGeom prst="rect">
                      <a:avLst/>
                    </a:prstGeom>
                    <a:noFill/>
                    <a:ln>
                      <a:noFill/>
                    </a:ln>
                  </pic:spPr>
                </pic:pic>
              </a:graphicData>
            </a:graphic>
          </wp:inline>
        </w:drawing>
      </w:r>
    </w:p>
    <w:p w14:paraId="223BCDDA" w14:textId="7EF90002" w:rsidR="00174635" w:rsidRPr="00AB6721" w:rsidRDefault="00174635" w:rsidP="00174635">
      <w:pPr>
        <w:pStyle w:val="Caption"/>
      </w:pPr>
      <w:bookmarkStart w:id="51" w:name="_Ref493832278"/>
      <w:bookmarkStart w:id="52" w:name="_Toc517101443"/>
      <w:r w:rsidRPr="00AB6721">
        <w:t xml:space="preserve">Figure </w:t>
      </w:r>
      <w:fldSimple w:instr=" STYLEREF 1 \s ">
        <w:r w:rsidR="004A16F5">
          <w:rPr>
            <w:noProof/>
          </w:rPr>
          <w:t>4</w:t>
        </w:r>
      </w:fldSimple>
      <w:r w:rsidR="008454B0">
        <w:noBreakHyphen/>
      </w:r>
      <w:fldSimple w:instr=" SEQ Figure \* ARABIC \s 1 ">
        <w:r w:rsidR="004A16F5">
          <w:rPr>
            <w:noProof/>
          </w:rPr>
          <w:t>3</w:t>
        </w:r>
      </w:fldSimple>
      <w:bookmarkEnd w:id="51"/>
      <w:r w:rsidRPr="00AB6721">
        <w:t xml:space="preserve"> Australia’s gas supply chain (GA</w:t>
      </w:r>
      <w:r w:rsidR="008D2C70">
        <w:t xml:space="preserve"> and BREE</w:t>
      </w:r>
      <w:r w:rsidR="005B4F3D">
        <w:t>, 2014</w:t>
      </w:r>
      <w:r w:rsidRPr="00AB6721">
        <w:t>).</w:t>
      </w:r>
      <w:bookmarkEnd w:id="52"/>
    </w:p>
    <w:p w14:paraId="223BCDDB" w14:textId="77777777" w:rsidR="00174635" w:rsidRDefault="00174635" w:rsidP="00174635">
      <w:pPr>
        <w:pStyle w:val="BodyText"/>
      </w:pPr>
      <w:r>
        <w:t>Key stages in the gas supply chain are described below.</w:t>
      </w:r>
    </w:p>
    <w:p w14:paraId="223BCDDC" w14:textId="77777777" w:rsidR="00174635" w:rsidRPr="006B7E8C" w:rsidRDefault="00174635" w:rsidP="00E8799B">
      <w:pPr>
        <w:pStyle w:val="ListBullet"/>
      </w:pPr>
      <w:r w:rsidRPr="00C30F1D">
        <w:rPr>
          <w:rStyle w:val="Bold"/>
        </w:rPr>
        <w:t>Exploration:</w:t>
      </w:r>
      <w:r w:rsidR="00074612">
        <w:t xml:space="preserve"> The g</w:t>
      </w:r>
      <w:r w:rsidRPr="006B7E8C">
        <w:t xml:space="preserve">as supply chain begins with exploration and appraisal of potential reserves for commercial viability. Geoscientists identify areas where hydrocarbons are liable to be trapped in the subsurface, first by using broad regional geological studies to identify potential play types, then as more data </w:t>
      </w:r>
      <w:r w:rsidR="003F6938">
        <w:t xml:space="preserve">are </w:t>
      </w:r>
      <w:r w:rsidRPr="006B7E8C">
        <w:t>collected, individual drilling target</w:t>
      </w:r>
      <w:r w:rsidR="00074612">
        <w:t>s</w:t>
      </w:r>
      <w:r w:rsidRPr="006B7E8C">
        <w:t xml:space="preserve"> are identified. For drilling to be undertaken, there must be evidence of a working petroleum system, including the presence of other petroleum discoveries in the </w:t>
      </w:r>
      <w:r w:rsidRPr="006B7E8C">
        <w:lastRenderedPageBreak/>
        <w:t>case of a proven basin, or indications of the presence of organic-rich rock to act as a gas source in the case of frontier basins. Drilling is required to test whether the targeted area contains oil or gas, both, or neither. Successful wells are commonly tested to recover a sample of the hydrocarbons for analysis to determine gas quality (liquids content</w:t>
      </w:r>
      <w:r w:rsidR="003F6938">
        <w:t xml:space="preserve"> and</w:t>
      </w:r>
      <w:r w:rsidRPr="006B7E8C">
        <w:t xml:space="preserve"> presence of CO</w:t>
      </w:r>
      <w:r w:rsidRPr="00657A45">
        <w:rPr>
          <w:rStyle w:val="Subscript"/>
        </w:rPr>
        <w:t>2</w:t>
      </w:r>
      <w:r w:rsidRPr="006B7E8C">
        <w:t xml:space="preserve">) and to determine likely production rates. </w:t>
      </w:r>
    </w:p>
    <w:p w14:paraId="223BCDDD" w14:textId="2CE1AF57" w:rsidR="00174635" w:rsidRPr="006B7E8C" w:rsidRDefault="00174635" w:rsidP="00E8799B">
      <w:pPr>
        <w:pStyle w:val="ListBullet"/>
      </w:pPr>
      <w:r w:rsidRPr="00C30F1D">
        <w:rPr>
          <w:rStyle w:val="Bold"/>
        </w:rPr>
        <w:t>Appraisal:</w:t>
      </w:r>
      <w:r w:rsidRPr="006B7E8C">
        <w:t xml:space="preserve"> In the evaluation or appraisal phase, additional information is collected about the </w:t>
      </w:r>
      <w:r w:rsidR="00DD31AB">
        <w:t>identified accumulation</w:t>
      </w:r>
      <w:r w:rsidRPr="006B7E8C">
        <w:t>, to determine commercial viability and potential reserves. Appraisal drilling and/or the collection of further</w:t>
      </w:r>
      <w:r w:rsidR="00074612">
        <w:t xml:space="preserve"> seismic</w:t>
      </w:r>
      <w:r w:rsidRPr="006B7E8C">
        <w:t xml:space="preserve"> survey data is commonly required to help determine the extent of the accumulation. </w:t>
      </w:r>
    </w:p>
    <w:p w14:paraId="223BCDDE" w14:textId="77777777" w:rsidR="00174635" w:rsidRPr="006B7E8C" w:rsidRDefault="00174635" w:rsidP="00E8799B">
      <w:pPr>
        <w:pStyle w:val="ListBullet"/>
      </w:pPr>
      <w:r w:rsidRPr="00C30F1D">
        <w:rPr>
          <w:rStyle w:val="Bold"/>
        </w:rPr>
        <w:t>Development:</w:t>
      </w:r>
      <w:r w:rsidRPr="006B7E8C">
        <w:t xml:space="preserve"> Once a decision to proceed has been made and financial and regulatory requirements addressed, infrastructure and production facilities are developed.</w:t>
      </w:r>
      <w:r>
        <w:t xml:space="preserve"> </w:t>
      </w:r>
      <w:r w:rsidRPr="006B7E8C">
        <w:t>Development stages include concept/ feasibility study, FEED (Front End Engineering Design) and development</w:t>
      </w:r>
      <w:r w:rsidR="00074612">
        <w:t>, FID (Final Investment Decision)</w:t>
      </w:r>
      <w:r w:rsidRPr="006B7E8C">
        <w:t>.</w:t>
      </w:r>
    </w:p>
    <w:p w14:paraId="223BCDDF" w14:textId="438CE349" w:rsidR="00174635" w:rsidRPr="006B7E8C" w:rsidRDefault="00174635" w:rsidP="00804625">
      <w:pPr>
        <w:pStyle w:val="ListBullet"/>
      </w:pPr>
      <w:r w:rsidRPr="00C30F1D">
        <w:rPr>
          <w:rStyle w:val="Bold"/>
        </w:rPr>
        <w:t>Production:</w:t>
      </w:r>
      <w:r w:rsidRPr="006B7E8C">
        <w:t xml:space="preserve"> </w:t>
      </w:r>
      <w:r w:rsidR="00605047">
        <w:t>Once development is complete, h</w:t>
      </w:r>
      <w:r w:rsidR="00804625" w:rsidRPr="00804625">
        <w:t xml:space="preserve">ydrocarbons </w:t>
      </w:r>
      <w:r w:rsidR="00804625">
        <w:t>are extracted</w:t>
      </w:r>
      <w:r w:rsidR="00605047">
        <w:t xml:space="preserve"> at commercially viable quantities, </w:t>
      </w:r>
      <w:r w:rsidR="00605047" w:rsidRPr="00605047">
        <w:t>typically from more than one well.</w:t>
      </w:r>
      <w:r w:rsidR="005F6F81">
        <w:t xml:space="preserve"> </w:t>
      </w:r>
      <w:r w:rsidR="00DB01ED" w:rsidRPr="00605047">
        <w:t xml:space="preserve">In the case of tight and shale gas formations, horizontal </w:t>
      </w:r>
      <w:r w:rsidR="00BD4A30" w:rsidRPr="00605047">
        <w:t xml:space="preserve">drilling </w:t>
      </w:r>
      <w:r w:rsidR="00DB01ED" w:rsidRPr="00605047">
        <w:t>may</w:t>
      </w:r>
      <w:r w:rsidR="00DB01ED">
        <w:t xml:space="preserve"> be used and </w:t>
      </w:r>
      <w:r w:rsidR="00BD4A30">
        <w:t>h</w:t>
      </w:r>
      <w:r w:rsidRPr="006B7E8C">
        <w:t xml:space="preserve">ydraulic fracturing </w:t>
      </w:r>
      <w:r w:rsidR="00DB01ED">
        <w:t xml:space="preserve">may be undertaken to </w:t>
      </w:r>
      <w:r w:rsidRPr="006B7E8C">
        <w:t>achieve commercial flow rates</w:t>
      </w:r>
      <w:r w:rsidR="00DB01ED">
        <w:t>.</w:t>
      </w:r>
      <w:r w:rsidRPr="006B7E8C">
        <w:t xml:space="preserve"> </w:t>
      </w:r>
    </w:p>
    <w:p w14:paraId="223BCDE0" w14:textId="25F335AC" w:rsidR="00174635" w:rsidRPr="006B7E8C" w:rsidRDefault="00174635" w:rsidP="00E8799B">
      <w:pPr>
        <w:pStyle w:val="ListBullet"/>
      </w:pPr>
      <w:r w:rsidRPr="00C30F1D">
        <w:rPr>
          <w:rStyle w:val="Bold"/>
        </w:rPr>
        <w:lastRenderedPageBreak/>
        <w:t>Processing:</w:t>
      </w:r>
      <w:r w:rsidRPr="006B7E8C">
        <w:t xml:space="preserve"> The gas extracted from the well requires processing to separate the sales gas from other liquids and gases that may be present, and to remove water, </w:t>
      </w:r>
      <w:r w:rsidR="00193F5D">
        <w:t>CO</w:t>
      </w:r>
      <w:r w:rsidR="00193F5D" w:rsidRPr="005E0FA1">
        <w:rPr>
          <w:vertAlign w:val="subscript"/>
        </w:rPr>
        <w:t>2</w:t>
      </w:r>
      <w:r w:rsidRPr="006B7E8C">
        <w:t xml:space="preserve"> and other impurities before it can be transported efficiently by pipeline or ship. As a result, processing tends to occur near the production well. In some fields, gas production is associated with</w:t>
      </w:r>
      <w:r w:rsidR="001325C4">
        <w:t xml:space="preserve"> other</w:t>
      </w:r>
      <w:r w:rsidRPr="006B7E8C">
        <w:t xml:space="preserve"> petroleum products such as crude oil, condensate (light oils) and gas liquids (ethane, pro</w:t>
      </w:r>
      <w:r w:rsidR="00BD4A30">
        <w:t>pa</w:t>
      </w:r>
      <w:r w:rsidRPr="006B7E8C">
        <w:t>ne, butane, isobutane, and pentane).</w:t>
      </w:r>
    </w:p>
    <w:p w14:paraId="223BCDE1" w14:textId="76602371" w:rsidR="00174635" w:rsidRPr="006B7E8C" w:rsidRDefault="00174635" w:rsidP="00E8799B">
      <w:pPr>
        <w:pStyle w:val="ListBullet"/>
      </w:pPr>
      <w:r w:rsidRPr="00C30F1D">
        <w:rPr>
          <w:rStyle w:val="Bold"/>
        </w:rPr>
        <w:t>Transport and storage:</w:t>
      </w:r>
      <w:r w:rsidRPr="006B7E8C">
        <w:t xml:space="preserve"> Apart from small quantities used on site for electricity generation or other purposes, gas usually requires transport for long distances to major markets. This is managed in Australia by gas pipeline</w:t>
      </w:r>
      <w:r w:rsidR="001325C4">
        <w:t>s</w:t>
      </w:r>
      <w:r w:rsidRPr="006B7E8C">
        <w:t xml:space="preserve"> (for domestic use), and in liquefied form (LNG) by tanker (for export</w:t>
      </w:r>
      <w:r w:rsidR="005E1B62">
        <w:t xml:space="preserve">) </w:t>
      </w:r>
      <w:r w:rsidRPr="006B7E8C">
        <w:t xml:space="preserve">Natural gas not used immediately can be placed in storage until it is needed. </w:t>
      </w:r>
    </w:p>
    <w:p w14:paraId="223BCDE2" w14:textId="77777777" w:rsidR="00174635" w:rsidRPr="00E8799B" w:rsidRDefault="00174635" w:rsidP="00E8799B">
      <w:pPr>
        <w:pStyle w:val="Heading3"/>
      </w:pPr>
      <w:bookmarkStart w:id="53" w:name="_Toc494276985"/>
      <w:bookmarkStart w:id="54" w:name="_Toc517101416"/>
      <w:r w:rsidRPr="00E8799B">
        <w:t>Regional gas markets</w:t>
      </w:r>
      <w:bookmarkEnd w:id="53"/>
      <w:bookmarkEnd w:id="54"/>
    </w:p>
    <w:p w14:paraId="223BCDE3" w14:textId="7F178F5D" w:rsidR="00174635" w:rsidRDefault="00174635" w:rsidP="00174635">
      <w:pPr>
        <w:pStyle w:val="BodyText"/>
      </w:pPr>
      <w:r w:rsidRPr="00B16500">
        <w:t>The Australian domestic gas market consists of three distinct regional markets</w:t>
      </w:r>
      <w:r>
        <w:t xml:space="preserve"> (</w:t>
      </w:r>
      <w:r>
        <w:fldChar w:fldCharType="begin"/>
      </w:r>
      <w:r>
        <w:instrText xml:space="preserve"> REF _Ref493771707 \h </w:instrText>
      </w:r>
      <w:r>
        <w:fldChar w:fldCharType="separate"/>
      </w:r>
      <w:r w:rsidR="004A16F5" w:rsidRPr="00AB6721">
        <w:t xml:space="preserve">Figure </w:t>
      </w:r>
      <w:r w:rsidR="004A16F5">
        <w:rPr>
          <w:noProof/>
        </w:rPr>
        <w:t>4</w:t>
      </w:r>
      <w:r w:rsidR="004A16F5">
        <w:noBreakHyphen/>
      </w:r>
      <w:r w:rsidR="004A16F5">
        <w:rPr>
          <w:noProof/>
        </w:rPr>
        <w:t>4</w:t>
      </w:r>
      <w:r>
        <w:fldChar w:fldCharType="end"/>
      </w:r>
      <w:r>
        <w:t>; AER, 2017).</w:t>
      </w:r>
    </w:p>
    <w:p w14:paraId="223BCDE4" w14:textId="0EEC861F" w:rsidR="00174635" w:rsidRDefault="00174635" w:rsidP="00E8799B">
      <w:pPr>
        <w:pStyle w:val="ListBullet"/>
      </w:pPr>
      <w:r>
        <w:t xml:space="preserve">The </w:t>
      </w:r>
      <w:r w:rsidR="00C06F26">
        <w:rPr>
          <w:rStyle w:val="Bold"/>
        </w:rPr>
        <w:t>E</w:t>
      </w:r>
      <w:r w:rsidR="00C06F26" w:rsidRPr="003F6938">
        <w:rPr>
          <w:rStyle w:val="Bold"/>
        </w:rPr>
        <w:t>ast</w:t>
      </w:r>
      <w:r w:rsidR="00C06F26">
        <w:rPr>
          <w:rStyle w:val="Bold"/>
        </w:rPr>
        <w:t xml:space="preserve"> C</w:t>
      </w:r>
      <w:r w:rsidR="003A49B6">
        <w:rPr>
          <w:rStyle w:val="Bold"/>
        </w:rPr>
        <w:t>oast</w:t>
      </w:r>
      <w:r w:rsidRPr="003F6938">
        <w:rPr>
          <w:rStyle w:val="Bold"/>
        </w:rPr>
        <w:t xml:space="preserve"> </w:t>
      </w:r>
      <w:r w:rsidR="00C06F26">
        <w:rPr>
          <w:rStyle w:val="Bold"/>
        </w:rPr>
        <w:t>G</w:t>
      </w:r>
      <w:r w:rsidR="00C06F26" w:rsidRPr="003F6938">
        <w:rPr>
          <w:rStyle w:val="Bold"/>
        </w:rPr>
        <w:t xml:space="preserve">as </w:t>
      </w:r>
      <w:r w:rsidR="00C06F26">
        <w:rPr>
          <w:rStyle w:val="Bold"/>
        </w:rPr>
        <w:t>M</w:t>
      </w:r>
      <w:r w:rsidR="00C06F26" w:rsidRPr="003F6938">
        <w:rPr>
          <w:rStyle w:val="Bold"/>
        </w:rPr>
        <w:t>arket</w:t>
      </w:r>
      <w:r w:rsidR="00C06F26">
        <w:t xml:space="preserve"> </w:t>
      </w:r>
      <w:r>
        <w:t>includes Queensland, N</w:t>
      </w:r>
      <w:r w:rsidR="00074612">
        <w:t>ew South Wales</w:t>
      </w:r>
      <w:r>
        <w:t xml:space="preserve">, Victoria, South Australia, Tasmania and the ACT, and is interconnected by a network of transmission pipelines. The </w:t>
      </w:r>
      <w:r w:rsidR="00432D5D">
        <w:t>East C</w:t>
      </w:r>
      <w:r w:rsidR="003A49B6">
        <w:t>oast</w:t>
      </w:r>
      <w:r>
        <w:t xml:space="preserve"> </w:t>
      </w:r>
      <w:r w:rsidR="00432D5D">
        <w:t xml:space="preserve">Gas Market </w:t>
      </w:r>
      <w:r>
        <w:t>mostly s</w:t>
      </w:r>
      <w:r w:rsidR="00B50F41">
        <w:t xml:space="preserve">ources gas from the Surat–Bowen and Cooper basins onshore and the </w:t>
      </w:r>
      <w:r w:rsidR="00B50F41">
        <w:lastRenderedPageBreak/>
        <w:t>offshore</w:t>
      </w:r>
      <w:r>
        <w:t xml:space="preserve"> Gippsland and Otway basins and is</w:t>
      </w:r>
      <w:r w:rsidRPr="00B16500">
        <w:t xml:space="preserve"> the only </w:t>
      </w:r>
      <w:r w:rsidR="007B3F6D">
        <w:t>market</w:t>
      </w:r>
      <w:r w:rsidR="007B3F6D" w:rsidRPr="00B16500">
        <w:t xml:space="preserve"> </w:t>
      </w:r>
      <w:r w:rsidRPr="00B16500">
        <w:t>where coal seam gas supplements conventional gas supplies (</w:t>
      </w:r>
      <w:r>
        <w:t>AER, 2017).</w:t>
      </w:r>
    </w:p>
    <w:p w14:paraId="223BCDE5" w14:textId="5C313268" w:rsidR="00174635" w:rsidRDefault="00174635" w:rsidP="00E8799B">
      <w:pPr>
        <w:pStyle w:val="ListBullet"/>
      </w:pPr>
      <w:r w:rsidRPr="00B16500">
        <w:t xml:space="preserve">The </w:t>
      </w:r>
      <w:r w:rsidR="003A49B6" w:rsidRPr="005E0FA1">
        <w:rPr>
          <w:rStyle w:val="Bold"/>
          <w:rFonts w:eastAsia="Calibri"/>
        </w:rPr>
        <w:t>Northern Territory</w:t>
      </w:r>
      <w:r w:rsidRPr="005E0FA1">
        <w:rPr>
          <w:rStyle w:val="Bold"/>
          <w:rFonts w:eastAsia="Calibri"/>
        </w:rPr>
        <w:t xml:space="preserve"> </w:t>
      </w:r>
      <w:r w:rsidR="00C06F26">
        <w:rPr>
          <w:rStyle w:val="Bold"/>
          <w:rFonts w:eastAsia="Calibri"/>
        </w:rPr>
        <w:t>G</w:t>
      </w:r>
      <w:r w:rsidRPr="005E0FA1">
        <w:rPr>
          <w:rStyle w:val="Bold"/>
          <w:rFonts w:eastAsia="Calibri"/>
        </w:rPr>
        <w:t xml:space="preserve">as </w:t>
      </w:r>
      <w:r w:rsidR="00C06F26">
        <w:rPr>
          <w:rStyle w:val="Bold"/>
          <w:rFonts w:eastAsia="Calibri"/>
        </w:rPr>
        <w:t>M</w:t>
      </w:r>
      <w:r w:rsidRPr="005E0FA1">
        <w:rPr>
          <w:rStyle w:val="Bold"/>
          <w:rFonts w:eastAsia="Calibri"/>
        </w:rPr>
        <w:t>arket</w:t>
      </w:r>
      <w:r w:rsidRPr="00B16500">
        <w:t xml:space="preserve"> is</w:t>
      </w:r>
      <w:r>
        <w:t xml:space="preserve"> located in the Northern Territory and is supplied by the Amadeus and Bonaparte basins</w:t>
      </w:r>
      <w:r w:rsidR="00074612">
        <w:t>. It</w:t>
      </w:r>
      <w:r>
        <w:t xml:space="preserve"> is </w:t>
      </w:r>
      <w:r w:rsidRPr="00B16500">
        <w:t>the smallest producer and consumer of gas in Australia</w:t>
      </w:r>
      <w:r>
        <w:t xml:space="preserve"> (AER, 2017</w:t>
      </w:r>
      <w:r w:rsidR="005E1B62">
        <w:t>)</w:t>
      </w:r>
      <w:r w:rsidR="005A3B36">
        <w:t>.</w:t>
      </w:r>
      <w:r w:rsidR="005E1B62">
        <w:t xml:space="preserve"> </w:t>
      </w:r>
    </w:p>
    <w:p w14:paraId="223BCDE6" w14:textId="3426BDA4" w:rsidR="00174635" w:rsidRDefault="00174635" w:rsidP="00E8799B">
      <w:pPr>
        <w:pStyle w:val="ListBullet"/>
      </w:pPr>
      <w:r w:rsidRPr="00B16500">
        <w:t xml:space="preserve">The </w:t>
      </w:r>
      <w:r w:rsidR="00C06F26">
        <w:rPr>
          <w:rStyle w:val="Bold"/>
        </w:rPr>
        <w:t>W</w:t>
      </w:r>
      <w:r w:rsidRPr="003F6938">
        <w:rPr>
          <w:rStyle w:val="Bold"/>
        </w:rPr>
        <w:t>est</w:t>
      </w:r>
      <w:r w:rsidR="003A49B6">
        <w:rPr>
          <w:rStyle w:val="Bold"/>
        </w:rPr>
        <w:t xml:space="preserve"> </w:t>
      </w:r>
      <w:r w:rsidR="00C06F26">
        <w:rPr>
          <w:rStyle w:val="Bold"/>
        </w:rPr>
        <w:t>C</w:t>
      </w:r>
      <w:r w:rsidR="003A49B6">
        <w:rPr>
          <w:rStyle w:val="Bold"/>
        </w:rPr>
        <w:t>oast</w:t>
      </w:r>
      <w:r w:rsidRPr="003F6938">
        <w:rPr>
          <w:rStyle w:val="Bold"/>
        </w:rPr>
        <w:t xml:space="preserve"> </w:t>
      </w:r>
      <w:r w:rsidR="00C06F26">
        <w:rPr>
          <w:rStyle w:val="Bold"/>
        </w:rPr>
        <w:t>G</w:t>
      </w:r>
      <w:r w:rsidRPr="003F6938">
        <w:rPr>
          <w:rStyle w:val="Bold"/>
        </w:rPr>
        <w:t xml:space="preserve">as </w:t>
      </w:r>
      <w:r w:rsidR="00C06F26">
        <w:rPr>
          <w:rStyle w:val="Bold"/>
        </w:rPr>
        <w:t>M</w:t>
      </w:r>
      <w:r w:rsidRPr="003F6938">
        <w:rPr>
          <w:rStyle w:val="Bold"/>
        </w:rPr>
        <w:t>arket</w:t>
      </w:r>
      <w:r w:rsidRPr="00B16500">
        <w:t xml:space="preserve"> is</w:t>
      </w:r>
      <w:r>
        <w:t xml:space="preserve"> located within Western Australia and is supplied by the Carnarvon and Perth basins (AER, 2017).</w:t>
      </w:r>
    </w:p>
    <w:p w14:paraId="223BCDE7" w14:textId="0F48177A" w:rsidR="00174635" w:rsidRDefault="00174635" w:rsidP="00174635">
      <w:pPr>
        <w:pStyle w:val="BodyText"/>
      </w:pPr>
      <w:r>
        <w:t>Each market comprises a network of t</w:t>
      </w:r>
      <w:r w:rsidRPr="00326ED2">
        <w:t xml:space="preserve">ransmission pipelines </w:t>
      </w:r>
      <w:r w:rsidR="00BD4A30">
        <w:t xml:space="preserve">which </w:t>
      </w:r>
      <w:r w:rsidRPr="00326ED2">
        <w:t>transport gas at high pressure from produc</w:t>
      </w:r>
      <w:r w:rsidR="00074612">
        <w:t>ing</w:t>
      </w:r>
      <w:r w:rsidRPr="00326ED2">
        <w:t xml:space="preserve"> fields </w:t>
      </w:r>
      <w:r>
        <w:t xml:space="preserve">to major demand centres (hubs; </w:t>
      </w:r>
      <w:r>
        <w:fldChar w:fldCharType="begin"/>
      </w:r>
      <w:r>
        <w:instrText xml:space="preserve"> REF _Ref493771707 \h </w:instrText>
      </w:r>
      <w:r>
        <w:fldChar w:fldCharType="separate"/>
      </w:r>
      <w:r w:rsidR="004A16F5" w:rsidRPr="00AB6721">
        <w:t xml:space="preserve">Figure </w:t>
      </w:r>
      <w:r w:rsidR="004A16F5">
        <w:rPr>
          <w:noProof/>
        </w:rPr>
        <w:t>4</w:t>
      </w:r>
      <w:r w:rsidR="004A16F5">
        <w:noBreakHyphen/>
      </w:r>
      <w:r w:rsidR="004A16F5">
        <w:rPr>
          <w:noProof/>
        </w:rPr>
        <w:t>4</w:t>
      </w:r>
      <w:r>
        <w:fldChar w:fldCharType="end"/>
      </w:r>
      <w:r w:rsidR="005E1B62">
        <w:t>)</w:t>
      </w:r>
      <w:r w:rsidR="00DD0C6D">
        <w:t>.</w:t>
      </w:r>
      <w:r w:rsidR="005E1B62">
        <w:t xml:space="preserve"> </w:t>
      </w:r>
      <w:r>
        <w:t>In Australia, p</w:t>
      </w:r>
      <w:r w:rsidRPr="00326ED2">
        <w:t>ipeline infrastructure is privately owned</w:t>
      </w:r>
      <w:r>
        <w:t xml:space="preserve"> and 80%</w:t>
      </w:r>
      <w:r w:rsidRPr="00326ED2">
        <w:t xml:space="preserve"> of transmission pipelines are</w:t>
      </w:r>
      <w:r>
        <w:t xml:space="preserve"> </w:t>
      </w:r>
      <w:r w:rsidRPr="00326ED2">
        <w:t>unregulated and can set their own terms and conditions</w:t>
      </w:r>
      <w:r>
        <w:t xml:space="preserve"> (AER, 2017</w:t>
      </w:r>
      <w:r w:rsidR="005E1B62">
        <w:t>)</w:t>
      </w:r>
      <w:r w:rsidR="00DD0C6D">
        <w:t>.</w:t>
      </w:r>
      <w:r w:rsidR="005E1B62">
        <w:t xml:space="preserve"> </w:t>
      </w:r>
      <w:r>
        <w:t xml:space="preserve">A </w:t>
      </w:r>
      <w:r w:rsidRPr="00326ED2">
        <w:t xml:space="preserve">full list of the </w:t>
      </w:r>
      <w:r w:rsidR="00C06F26">
        <w:t>East Coast</w:t>
      </w:r>
      <w:r w:rsidRPr="00326ED2">
        <w:t xml:space="preserve"> and </w:t>
      </w:r>
      <w:r w:rsidR="003A49B6">
        <w:t>N</w:t>
      </w:r>
      <w:r w:rsidR="003A49B6" w:rsidRPr="00326ED2">
        <w:t xml:space="preserve">orthern </w:t>
      </w:r>
      <w:r w:rsidR="003A49B6">
        <w:t>Territory</w:t>
      </w:r>
      <w:r w:rsidRPr="00326ED2">
        <w:t xml:space="preserve"> gas market pipeline and gas storage facilities are summarised in </w:t>
      </w:r>
      <w:r>
        <w:fldChar w:fldCharType="begin"/>
      </w:r>
      <w:r>
        <w:instrText xml:space="preserve"> REF _Ref493613565 \h  \* MERGEFORMAT </w:instrText>
      </w:r>
      <w:r>
        <w:fldChar w:fldCharType="separate"/>
      </w:r>
      <w:r w:rsidR="004A16F5" w:rsidRPr="00AB6721">
        <w:t xml:space="preserve">Table </w:t>
      </w:r>
      <w:r w:rsidR="004A16F5">
        <w:rPr>
          <w:noProof/>
        </w:rPr>
        <w:t>4</w:t>
      </w:r>
      <w:r w:rsidR="004A16F5" w:rsidRPr="00AB6721">
        <w:rPr>
          <w:noProof/>
        </w:rPr>
        <w:noBreakHyphen/>
      </w:r>
      <w:r w:rsidR="004A16F5">
        <w:rPr>
          <w:noProof/>
        </w:rPr>
        <w:t>1</w:t>
      </w:r>
      <w:r>
        <w:fldChar w:fldCharType="end"/>
      </w:r>
      <w:r>
        <w:t>.</w:t>
      </w:r>
    </w:p>
    <w:p w14:paraId="223BCDE8" w14:textId="77777777" w:rsidR="00174635" w:rsidRPr="00B16500" w:rsidRDefault="00174635" w:rsidP="00174635">
      <w:pPr>
        <w:pStyle w:val="BodyText"/>
      </w:pPr>
    </w:p>
    <w:p w14:paraId="223BCDE9" w14:textId="77777777" w:rsidR="00174635" w:rsidRDefault="00174635" w:rsidP="00174635">
      <w:pPr>
        <w:pStyle w:val="FiguresImagesCentred"/>
      </w:pPr>
      <w:r>
        <w:rPr>
          <w:noProof/>
        </w:rPr>
        <w:lastRenderedPageBreak/>
        <w:drawing>
          <wp:inline distT="0" distB="0" distL="0" distR="0" wp14:anchorId="223BD605" wp14:editId="2E91EEA5">
            <wp:extent cx="6043574" cy="5916408"/>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043574" cy="5916408"/>
                    </a:xfrm>
                    <a:prstGeom prst="rect">
                      <a:avLst/>
                    </a:prstGeom>
                    <a:noFill/>
                    <a:ln>
                      <a:noFill/>
                    </a:ln>
                  </pic:spPr>
                </pic:pic>
              </a:graphicData>
            </a:graphic>
          </wp:inline>
        </w:drawing>
      </w:r>
    </w:p>
    <w:p w14:paraId="1A90808A" w14:textId="2CCEF0FE" w:rsidR="0058602B" w:rsidRDefault="00174635" w:rsidP="00174635">
      <w:pPr>
        <w:pStyle w:val="Caption"/>
      </w:pPr>
      <w:bookmarkStart w:id="55" w:name="_Ref493771707"/>
      <w:bookmarkStart w:id="56" w:name="_Toc517101444"/>
      <w:r w:rsidRPr="00AB6721">
        <w:t xml:space="preserve">Figure </w:t>
      </w:r>
      <w:fldSimple w:instr=" STYLEREF 1 \s ">
        <w:r w:rsidR="004A16F5">
          <w:rPr>
            <w:noProof/>
          </w:rPr>
          <w:t>4</w:t>
        </w:r>
      </w:fldSimple>
      <w:r w:rsidR="008454B0">
        <w:noBreakHyphen/>
      </w:r>
      <w:fldSimple w:instr=" SEQ Figure \* ARABIC \s 1 ">
        <w:r w:rsidR="004A16F5">
          <w:rPr>
            <w:noProof/>
          </w:rPr>
          <w:t>4</w:t>
        </w:r>
      </w:fldSimple>
      <w:bookmarkEnd w:id="55"/>
      <w:r w:rsidRPr="00AB6721">
        <w:t xml:space="preserve"> Australia’s gas pipelines </w:t>
      </w:r>
      <w:r w:rsidR="003F5C0F">
        <w:t xml:space="preserve">(GA, 2015a) </w:t>
      </w:r>
      <w:r w:rsidRPr="00AB6721">
        <w:t>and processing facilities</w:t>
      </w:r>
      <w:r w:rsidR="003F5C0F">
        <w:t xml:space="preserve"> (GA, 2015b).</w:t>
      </w:r>
      <w:bookmarkEnd w:id="56"/>
    </w:p>
    <w:p w14:paraId="223BCDEA" w14:textId="7011F8AD" w:rsidR="00174635" w:rsidRPr="00AB6721" w:rsidRDefault="00174635" w:rsidP="00174635">
      <w:pPr>
        <w:pStyle w:val="Caption"/>
      </w:pPr>
    </w:p>
    <w:p w14:paraId="223BCDEB" w14:textId="70350FE4" w:rsidR="00174635" w:rsidRPr="00AB6721" w:rsidRDefault="00174635" w:rsidP="00924E2B">
      <w:pPr>
        <w:pStyle w:val="Caption"/>
      </w:pPr>
      <w:bookmarkStart w:id="57" w:name="_Ref493613565"/>
      <w:bookmarkStart w:id="58" w:name="_Toc517101454"/>
      <w:r w:rsidRPr="00AB6721">
        <w:t xml:space="preserve">Table </w:t>
      </w:r>
      <w:fldSimple w:instr=" STYLEREF 1 \s ">
        <w:r w:rsidR="004A16F5">
          <w:rPr>
            <w:noProof/>
          </w:rPr>
          <w:t>4</w:t>
        </w:r>
      </w:fldSimple>
      <w:r w:rsidRPr="00AB6721">
        <w:noBreakHyphen/>
      </w:r>
      <w:fldSimple w:instr=" SEQ Table \* ARABIC \s 1 ">
        <w:r w:rsidR="004A16F5">
          <w:rPr>
            <w:noProof/>
          </w:rPr>
          <w:t>1</w:t>
        </w:r>
      </w:fldSimple>
      <w:bookmarkEnd w:id="57"/>
      <w:r w:rsidRPr="00AB6721">
        <w:t xml:space="preserve"> Major gas transmission pipelines in eastern and northern </w:t>
      </w:r>
      <w:r w:rsidR="00074612">
        <w:t>Australia</w:t>
      </w:r>
      <w:r w:rsidR="00657A45">
        <w:t xml:space="preserve"> (AER, 2017</w:t>
      </w:r>
      <w:r w:rsidR="005E1B62">
        <w:t>)</w:t>
      </w:r>
      <w:bookmarkEnd w:id="58"/>
      <w:r w:rsidR="005E1B62">
        <w:t xml:space="preserve"> </w:t>
      </w:r>
    </w:p>
    <w:tbl>
      <w:tblPr>
        <w:tblStyle w:val="TableBAHeaderRow"/>
        <w:tblW w:w="5000" w:type="pct"/>
        <w:tblLook w:val="04A0" w:firstRow="1" w:lastRow="0" w:firstColumn="1" w:lastColumn="0" w:noHBand="0" w:noVBand="1"/>
      </w:tblPr>
      <w:tblGrid>
        <w:gridCol w:w="3575"/>
        <w:gridCol w:w="956"/>
        <w:gridCol w:w="1912"/>
        <w:gridCol w:w="3196"/>
      </w:tblGrid>
      <w:tr w:rsidR="00174635" w14:paraId="223BCDF0" w14:textId="77777777" w:rsidTr="008454B0">
        <w:trPr>
          <w:cnfStyle w:val="100000000000" w:firstRow="1" w:lastRow="0" w:firstColumn="0" w:lastColumn="0" w:oddVBand="0" w:evenVBand="0" w:oddHBand="0" w:evenHBand="0" w:firstRowFirstColumn="0" w:firstRowLastColumn="0" w:lastRowFirstColumn="0" w:lastRowLastColumn="0"/>
          <w:tblHeader/>
        </w:trPr>
        <w:tc>
          <w:tcPr>
            <w:tcW w:w="1854" w:type="pct"/>
          </w:tcPr>
          <w:p w14:paraId="223BCDEC" w14:textId="77777777" w:rsidR="00174635" w:rsidRDefault="00174635" w:rsidP="00760658">
            <w:pPr>
              <w:pStyle w:val="TableTextLeft"/>
            </w:pPr>
            <w:r>
              <w:t>Pipeline</w:t>
            </w:r>
          </w:p>
        </w:tc>
        <w:tc>
          <w:tcPr>
            <w:tcW w:w="496" w:type="pct"/>
          </w:tcPr>
          <w:p w14:paraId="223BCDED" w14:textId="77777777" w:rsidR="00174635" w:rsidRDefault="00174635" w:rsidP="00760658">
            <w:pPr>
              <w:pStyle w:val="TableTextLeft"/>
            </w:pPr>
            <w:r>
              <w:t>Length (km)</w:t>
            </w:r>
          </w:p>
        </w:tc>
        <w:tc>
          <w:tcPr>
            <w:tcW w:w="992" w:type="pct"/>
          </w:tcPr>
          <w:p w14:paraId="223BCDEE" w14:textId="77777777" w:rsidR="00174635" w:rsidRDefault="00174635" w:rsidP="00760658">
            <w:pPr>
              <w:pStyle w:val="TableTextLeft"/>
            </w:pPr>
            <w:r>
              <w:t>Capacity (TJ/day)</w:t>
            </w:r>
          </w:p>
        </w:tc>
        <w:tc>
          <w:tcPr>
            <w:tcW w:w="1658" w:type="pct"/>
          </w:tcPr>
          <w:p w14:paraId="223BCDEF" w14:textId="77777777" w:rsidR="00174635" w:rsidRDefault="00174635" w:rsidP="00760658">
            <w:pPr>
              <w:pStyle w:val="TableTextLeft"/>
            </w:pPr>
            <w:r>
              <w:t>Owner</w:t>
            </w:r>
          </w:p>
        </w:tc>
      </w:tr>
      <w:tr w:rsidR="00174635" w14:paraId="223BCDF2" w14:textId="77777777" w:rsidTr="008454B0">
        <w:trPr>
          <w:cnfStyle w:val="000000100000" w:firstRow="0" w:lastRow="0" w:firstColumn="0" w:lastColumn="0" w:oddVBand="0" w:evenVBand="0" w:oddHBand="1" w:evenHBand="0" w:firstRowFirstColumn="0" w:firstRowLastColumn="0" w:lastRowFirstColumn="0" w:lastRowLastColumn="0"/>
        </w:trPr>
        <w:tc>
          <w:tcPr>
            <w:tcW w:w="5000" w:type="pct"/>
            <w:gridSpan w:val="4"/>
          </w:tcPr>
          <w:p w14:paraId="223BCDF1" w14:textId="77777777" w:rsidR="00174635" w:rsidRDefault="00174635" w:rsidP="00760658">
            <w:pPr>
              <w:pStyle w:val="TableTextCentred0"/>
            </w:pPr>
            <w:r>
              <w:t>QUEENSLAND</w:t>
            </w:r>
          </w:p>
        </w:tc>
      </w:tr>
      <w:tr w:rsidR="00174635" w14:paraId="223BCDF7"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DF3" w14:textId="77777777" w:rsidR="00174635" w:rsidRDefault="00174635" w:rsidP="00760658">
            <w:pPr>
              <w:pStyle w:val="TableTextLeft"/>
            </w:pPr>
            <w:r>
              <w:t>Roma (Wallumbilla) to Brisbane</w:t>
            </w:r>
          </w:p>
        </w:tc>
        <w:tc>
          <w:tcPr>
            <w:tcW w:w="496" w:type="pct"/>
          </w:tcPr>
          <w:p w14:paraId="223BCDF4" w14:textId="77777777" w:rsidR="00174635" w:rsidRDefault="00174635" w:rsidP="00760658">
            <w:pPr>
              <w:pStyle w:val="TableTextLeft"/>
            </w:pPr>
            <w:r>
              <w:t>438</w:t>
            </w:r>
          </w:p>
        </w:tc>
        <w:tc>
          <w:tcPr>
            <w:tcW w:w="992" w:type="pct"/>
          </w:tcPr>
          <w:p w14:paraId="223BCDF5" w14:textId="77777777" w:rsidR="00174635" w:rsidRDefault="00174635" w:rsidP="00760658">
            <w:pPr>
              <w:pStyle w:val="TableTextLeft"/>
            </w:pPr>
            <w:r>
              <w:t>233 (125 reverse)</w:t>
            </w:r>
          </w:p>
        </w:tc>
        <w:tc>
          <w:tcPr>
            <w:tcW w:w="1658" w:type="pct"/>
          </w:tcPr>
          <w:p w14:paraId="223BCDF6" w14:textId="77777777" w:rsidR="00174635" w:rsidRDefault="00174635" w:rsidP="00760658">
            <w:pPr>
              <w:pStyle w:val="TableTextLeft"/>
            </w:pPr>
            <w:r>
              <w:t>APA Group</w:t>
            </w:r>
          </w:p>
        </w:tc>
      </w:tr>
      <w:tr w:rsidR="00174635" w14:paraId="223BCDFC"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DF8" w14:textId="77777777" w:rsidR="00174635" w:rsidRDefault="00174635" w:rsidP="00760658">
            <w:pPr>
              <w:pStyle w:val="TableTextLeft"/>
            </w:pPr>
            <w:r>
              <w:t>South West Queensland Pipeline</w:t>
            </w:r>
          </w:p>
        </w:tc>
        <w:tc>
          <w:tcPr>
            <w:tcW w:w="496" w:type="pct"/>
          </w:tcPr>
          <w:p w14:paraId="223BCDF9" w14:textId="77777777" w:rsidR="00174635" w:rsidRDefault="00174635" w:rsidP="00760658">
            <w:pPr>
              <w:pStyle w:val="TableTextLeft"/>
            </w:pPr>
            <w:r>
              <w:t>756</w:t>
            </w:r>
          </w:p>
        </w:tc>
        <w:tc>
          <w:tcPr>
            <w:tcW w:w="992" w:type="pct"/>
          </w:tcPr>
          <w:p w14:paraId="223BCDFA" w14:textId="77777777" w:rsidR="00174635" w:rsidRDefault="00174635" w:rsidP="00760658">
            <w:pPr>
              <w:pStyle w:val="TableTextLeft"/>
            </w:pPr>
            <w:r>
              <w:t>404 (340 reverse)</w:t>
            </w:r>
          </w:p>
        </w:tc>
        <w:tc>
          <w:tcPr>
            <w:tcW w:w="1658" w:type="pct"/>
          </w:tcPr>
          <w:p w14:paraId="223BCDFB" w14:textId="77777777" w:rsidR="00174635" w:rsidRDefault="00174635" w:rsidP="00760658">
            <w:pPr>
              <w:pStyle w:val="TableTextLeft"/>
            </w:pPr>
            <w:r>
              <w:t>APA Group</w:t>
            </w:r>
          </w:p>
        </w:tc>
      </w:tr>
      <w:tr w:rsidR="00174635" w14:paraId="223BCE01"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DFD" w14:textId="77777777" w:rsidR="00174635" w:rsidRDefault="00174635" w:rsidP="00760658">
            <w:pPr>
              <w:pStyle w:val="TableTextLeft"/>
            </w:pPr>
            <w:r>
              <w:t>QSN Link</w:t>
            </w:r>
          </w:p>
        </w:tc>
        <w:tc>
          <w:tcPr>
            <w:tcW w:w="496" w:type="pct"/>
          </w:tcPr>
          <w:p w14:paraId="223BCDFE" w14:textId="77777777" w:rsidR="00174635" w:rsidRDefault="00174635" w:rsidP="00760658">
            <w:pPr>
              <w:pStyle w:val="TableTextLeft"/>
            </w:pPr>
            <w:r>
              <w:t>182</w:t>
            </w:r>
          </w:p>
        </w:tc>
        <w:tc>
          <w:tcPr>
            <w:tcW w:w="992" w:type="pct"/>
          </w:tcPr>
          <w:p w14:paraId="223BCDFF" w14:textId="77777777" w:rsidR="00174635" w:rsidRDefault="00174635" w:rsidP="00760658">
            <w:pPr>
              <w:pStyle w:val="TableTextLeft"/>
            </w:pPr>
            <w:r>
              <w:t>404 (340 reverse)</w:t>
            </w:r>
          </w:p>
        </w:tc>
        <w:tc>
          <w:tcPr>
            <w:tcW w:w="1658" w:type="pct"/>
          </w:tcPr>
          <w:p w14:paraId="223BCE00" w14:textId="77777777" w:rsidR="00174635" w:rsidRDefault="00174635" w:rsidP="00760658">
            <w:pPr>
              <w:pStyle w:val="TableTextLeft"/>
            </w:pPr>
          </w:p>
        </w:tc>
      </w:tr>
      <w:tr w:rsidR="00174635" w14:paraId="223BCE06"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02" w14:textId="77777777" w:rsidR="00174635" w:rsidRDefault="00174635" w:rsidP="00760658">
            <w:pPr>
              <w:pStyle w:val="TableTextLeft"/>
            </w:pPr>
            <w:r>
              <w:t>Queensland Gas Pipeline (Wallumbilla to Gladstone)</w:t>
            </w:r>
          </w:p>
        </w:tc>
        <w:tc>
          <w:tcPr>
            <w:tcW w:w="496" w:type="pct"/>
          </w:tcPr>
          <w:p w14:paraId="223BCE03" w14:textId="77777777" w:rsidR="00174635" w:rsidRDefault="00174635" w:rsidP="00760658">
            <w:pPr>
              <w:pStyle w:val="TableTextLeft"/>
            </w:pPr>
            <w:r>
              <w:t>627</w:t>
            </w:r>
          </w:p>
        </w:tc>
        <w:tc>
          <w:tcPr>
            <w:tcW w:w="992" w:type="pct"/>
          </w:tcPr>
          <w:p w14:paraId="223BCE04" w14:textId="77777777" w:rsidR="00174635" w:rsidRDefault="00174635" w:rsidP="00760658">
            <w:pPr>
              <w:pStyle w:val="TableTextLeft"/>
            </w:pPr>
            <w:r>
              <w:t>149 (40 reverse)</w:t>
            </w:r>
          </w:p>
        </w:tc>
        <w:tc>
          <w:tcPr>
            <w:tcW w:w="1658" w:type="pct"/>
          </w:tcPr>
          <w:p w14:paraId="223BCE05" w14:textId="77777777" w:rsidR="00174635" w:rsidRDefault="00174635" w:rsidP="00760658">
            <w:pPr>
              <w:pStyle w:val="TableTextLeft"/>
            </w:pPr>
            <w:r>
              <w:t>Jemena</w:t>
            </w:r>
          </w:p>
        </w:tc>
      </w:tr>
      <w:tr w:rsidR="00174635" w14:paraId="223BCE0B"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07" w14:textId="77777777" w:rsidR="00174635" w:rsidRDefault="00174635" w:rsidP="00760658">
            <w:pPr>
              <w:pStyle w:val="TableTextLeft"/>
            </w:pPr>
            <w:r>
              <w:t>Carpentaria Pipeline (Ballera to Mount Isa)</w:t>
            </w:r>
          </w:p>
        </w:tc>
        <w:tc>
          <w:tcPr>
            <w:tcW w:w="496" w:type="pct"/>
          </w:tcPr>
          <w:p w14:paraId="223BCE08" w14:textId="77777777" w:rsidR="00174635" w:rsidRDefault="00174635" w:rsidP="00760658">
            <w:pPr>
              <w:pStyle w:val="TableTextLeft"/>
            </w:pPr>
            <w:r>
              <w:t>840</w:t>
            </w:r>
          </w:p>
        </w:tc>
        <w:tc>
          <w:tcPr>
            <w:tcW w:w="992" w:type="pct"/>
          </w:tcPr>
          <w:p w14:paraId="223BCE09" w14:textId="77777777" w:rsidR="00174635" w:rsidRDefault="00174635" w:rsidP="00760658">
            <w:pPr>
              <w:pStyle w:val="TableTextLeft"/>
            </w:pPr>
            <w:r>
              <w:t>119</w:t>
            </w:r>
          </w:p>
        </w:tc>
        <w:tc>
          <w:tcPr>
            <w:tcW w:w="1658" w:type="pct"/>
          </w:tcPr>
          <w:p w14:paraId="223BCE0A" w14:textId="77777777" w:rsidR="00174635" w:rsidRDefault="00174635" w:rsidP="00760658">
            <w:pPr>
              <w:pStyle w:val="TableTextLeft"/>
            </w:pPr>
            <w:r>
              <w:t>APA Group</w:t>
            </w:r>
          </w:p>
        </w:tc>
      </w:tr>
      <w:tr w:rsidR="00174635" w14:paraId="223BCE10"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0C" w14:textId="77777777" w:rsidR="00174635" w:rsidRPr="00400FBC" w:rsidRDefault="00174635" w:rsidP="00760658">
            <w:pPr>
              <w:pStyle w:val="TableTextLeft"/>
            </w:pPr>
            <w:r w:rsidRPr="00400FBC">
              <w:t>GLNG Pipeline</w:t>
            </w:r>
          </w:p>
        </w:tc>
        <w:tc>
          <w:tcPr>
            <w:tcW w:w="496" w:type="pct"/>
          </w:tcPr>
          <w:p w14:paraId="223BCE0D" w14:textId="77777777" w:rsidR="00174635" w:rsidRPr="00400FBC" w:rsidRDefault="00174635" w:rsidP="00760658">
            <w:pPr>
              <w:pStyle w:val="TableTextLeft"/>
            </w:pPr>
            <w:r w:rsidRPr="00400FBC">
              <w:t>435</w:t>
            </w:r>
          </w:p>
        </w:tc>
        <w:tc>
          <w:tcPr>
            <w:tcW w:w="992" w:type="pct"/>
          </w:tcPr>
          <w:p w14:paraId="223BCE0E" w14:textId="77777777" w:rsidR="00174635" w:rsidRPr="00400FBC" w:rsidRDefault="00174635" w:rsidP="00760658">
            <w:pPr>
              <w:pStyle w:val="TableTextLeft"/>
            </w:pPr>
            <w:r w:rsidRPr="00400FBC">
              <w:t>1</w:t>
            </w:r>
            <w:r w:rsidR="00C13D2C">
              <w:t>,</w:t>
            </w:r>
            <w:r w:rsidRPr="00400FBC">
              <w:t>430</w:t>
            </w:r>
          </w:p>
        </w:tc>
        <w:tc>
          <w:tcPr>
            <w:tcW w:w="1658" w:type="pct"/>
          </w:tcPr>
          <w:p w14:paraId="223BCE0F" w14:textId="77777777" w:rsidR="00174635" w:rsidRPr="00400FBC" w:rsidRDefault="00174635" w:rsidP="00760658">
            <w:pPr>
              <w:pStyle w:val="TableTextLeft"/>
            </w:pPr>
            <w:r w:rsidRPr="00400FBC">
              <w:t>Santos 30%, Petronas 27.5%, Total 27.5%, KOGAS 15%</w:t>
            </w:r>
          </w:p>
        </w:tc>
      </w:tr>
      <w:tr w:rsidR="00174635" w14:paraId="223BCE15"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11" w14:textId="77777777" w:rsidR="00174635" w:rsidRPr="00400FBC" w:rsidRDefault="00174635" w:rsidP="00760658">
            <w:pPr>
              <w:pStyle w:val="TableTextLeft"/>
            </w:pPr>
            <w:r w:rsidRPr="00400FBC">
              <w:t>Wallumbilla Gladstone Pipeline</w:t>
            </w:r>
          </w:p>
        </w:tc>
        <w:tc>
          <w:tcPr>
            <w:tcW w:w="496" w:type="pct"/>
          </w:tcPr>
          <w:p w14:paraId="223BCE12" w14:textId="77777777" w:rsidR="00174635" w:rsidRPr="00400FBC" w:rsidRDefault="00174635" w:rsidP="00760658">
            <w:pPr>
              <w:pStyle w:val="TableTextLeft"/>
            </w:pPr>
            <w:r w:rsidRPr="00400FBC">
              <w:t>334</w:t>
            </w:r>
          </w:p>
        </w:tc>
        <w:tc>
          <w:tcPr>
            <w:tcW w:w="992" w:type="pct"/>
          </w:tcPr>
          <w:p w14:paraId="223BCE13" w14:textId="77777777" w:rsidR="00174635" w:rsidRPr="00400FBC" w:rsidRDefault="00174635" w:rsidP="00760658">
            <w:pPr>
              <w:pStyle w:val="TableTextLeft"/>
            </w:pPr>
            <w:r w:rsidRPr="00400FBC">
              <w:t>1</w:t>
            </w:r>
            <w:r w:rsidR="00C13D2C">
              <w:t>,</w:t>
            </w:r>
            <w:r w:rsidRPr="00400FBC">
              <w:t>588</w:t>
            </w:r>
          </w:p>
        </w:tc>
        <w:tc>
          <w:tcPr>
            <w:tcW w:w="1658" w:type="pct"/>
          </w:tcPr>
          <w:p w14:paraId="223BCE14" w14:textId="77777777" w:rsidR="00174635" w:rsidRPr="00400FBC" w:rsidRDefault="00174635" w:rsidP="00760658">
            <w:pPr>
              <w:pStyle w:val="TableTextLeft"/>
            </w:pPr>
            <w:r w:rsidRPr="00400FBC">
              <w:t>APA Group</w:t>
            </w:r>
          </w:p>
        </w:tc>
      </w:tr>
      <w:tr w:rsidR="00174635" w14:paraId="223BCE1A"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16" w14:textId="77777777" w:rsidR="00174635" w:rsidRPr="00400FBC" w:rsidRDefault="00174635" w:rsidP="00760658">
            <w:pPr>
              <w:pStyle w:val="TableTextLeft"/>
            </w:pPr>
            <w:r w:rsidRPr="00400FBC">
              <w:t>APLNG Pipeline</w:t>
            </w:r>
          </w:p>
        </w:tc>
        <w:tc>
          <w:tcPr>
            <w:tcW w:w="496" w:type="pct"/>
          </w:tcPr>
          <w:p w14:paraId="223BCE17" w14:textId="77777777" w:rsidR="00174635" w:rsidRPr="00400FBC" w:rsidRDefault="00174635" w:rsidP="00760658">
            <w:pPr>
              <w:pStyle w:val="TableTextLeft"/>
            </w:pPr>
            <w:r w:rsidRPr="00400FBC">
              <w:t>530</w:t>
            </w:r>
          </w:p>
        </w:tc>
        <w:tc>
          <w:tcPr>
            <w:tcW w:w="992" w:type="pct"/>
          </w:tcPr>
          <w:p w14:paraId="223BCE18" w14:textId="77777777" w:rsidR="00174635" w:rsidRPr="00400FBC" w:rsidRDefault="00174635" w:rsidP="00760658">
            <w:pPr>
              <w:pStyle w:val="TableTextLeft"/>
            </w:pPr>
            <w:r w:rsidRPr="00400FBC">
              <w:t>1</w:t>
            </w:r>
            <w:r w:rsidR="00C13D2C">
              <w:t>,</w:t>
            </w:r>
            <w:r w:rsidRPr="00400FBC">
              <w:t>560</w:t>
            </w:r>
          </w:p>
        </w:tc>
        <w:tc>
          <w:tcPr>
            <w:tcW w:w="1658" w:type="pct"/>
          </w:tcPr>
          <w:p w14:paraId="223BCE19" w14:textId="77777777" w:rsidR="00174635" w:rsidRPr="00400FBC" w:rsidRDefault="00174635" w:rsidP="00760658">
            <w:pPr>
              <w:pStyle w:val="TableTextLeft"/>
            </w:pPr>
            <w:r w:rsidRPr="00400FBC">
              <w:t>Origin Energy 37.5%, ConocoPhillips 37.5%, Sinopec 25%</w:t>
            </w:r>
          </w:p>
        </w:tc>
      </w:tr>
      <w:tr w:rsidR="00174635" w14:paraId="223BCE1F"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1B" w14:textId="77777777" w:rsidR="00174635" w:rsidRPr="00400FBC" w:rsidRDefault="00174635" w:rsidP="00760658">
            <w:pPr>
              <w:pStyle w:val="TableTextLeft"/>
            </w:pPr>
            <w:r w:rsidRPr="00400FBC">
              <w:t>Berwyndale to Wallumbilla Pipeline</w:t>
            </w:r>
          </w:p>
        </w:tc>
        <w:tc>
          <w:tcPr>
            <w:tcW w:w="496" w:type="pct"/>
          </w:tcPr>
          <w:p w14:paraId="223BCE1C" w14:textId="77777777" w:rsidR="00174635" w:rsidRPr="00400FBC" w:rsidRDefault="00174635" w:rsidP="00760658">
            <w:pPr>
              <w:pStyle w:val="TableTextLeft"/>
            </w:pPr>
            <w:r w:rsidRPr="00400FBC">
              <w:t>112</w:t>
            </w:r>
          </w:p>
        </w:tc>
        <w:tc>
          <w:tcPr>
            <w:tcW w:w="992" w:type="pct"/>
          </w:tcPr>
          <w:p w14:paraId="223BCE1D" w14:textId="77777777" w:rsidR="00174635" w:rsidRPr="00400FBC" w:rsidRDefault="00174635" w:rsidP="00760658">
            <w:pPr>
              <w:pStyle w:val="TableTextLeft"/>
            </w:pPr>
            <w:r w:rsidRPr="00400FBC">
              <w:t>164 (276 reverse)</w:t>
            </w:r>
          </w:p>
        </w:tc>
        <w:tc>
          <w:tcPr>
            <w:tcW w:w="1658" w:type="pct"/>
          </w:tcPr>
          <w:p w14:paraId="223BCE1E" w14:textId="77777777" w:rsidR="00174635" w:rsidRPr="00400FBC" w:rsidRDefault="00174635" w:rsidP="00760658">
            <w:pPr>
              <w:pStyle w:val="TableTextLeft"/>
            </w:pPr>
            <w:r w:rsidRPr="00400FBC">
              <w:t>APA Group</w:t>
            </w:r>
          </w:p>
        </w:tc>
      </w:tr>
      <w:tr w:rsidR="00174635" w14:paraId="223BCE24"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20" w14:textId="77777777" w:rsidR="00174635" w:rsidRPr="00400FBC" w:rsidRDefault="00174635" w:rsidP="00760658">
            <w:pPr>
              <w:pStyle w:val="TableTextLeft"/>
            </w:pPr>
            <w:r w:rsidRPr="00400FBC">
              <w:t>Dawson Valley Pipeline</w:t>
            </w:r>
          </w:p>
        </w:tc>
        <w:tc>
          <w:tcPr>
            <w:tcW w:w="496" w:type="pct"/>
          </w:tcPr>
          <w:p w14:paraId="223BCE21" w14:textId="77777777" w:rsidR="00174635" w:rsidRPr="00400FBC" w:rsidRDefault="00174635" w:rsidP="00760658">
            <w:pPr>
              <w:pStyle w:val="TableTextLeft"/>
            </w:pPr>
            <w:r w:rsidRPr="00400FBC">
              <w:t>47</w:t>
            </w:r>
          </w:p>
        </w:tc>
        <w:tc>
          <w:tcPr>
            <w:tcW w:w="992" w:type="pct"/>
          </w:tcPr>
          <w:p w14:paraId="223BCE22" w14:textId="77777777" w:rsidR="00174635" w:rsidRPr="00400FBC" w:rsidRDefault="00174635" w:rsidP="00760658">
            <w:pPr>
              <w:pStyle w:val="TableTextLeft"/>
            </w:pPr>
            <w:r w:rsidRPr="00400FBC">
              <w:t>30</w:t>
            </w:r>
          </w:p>
        </w:tc>
        <w:tc>
          <w:tcPr>
            <w:tcW w:w="1658" w:type="pct"/>
          </w:tcPr>
          <w:p w14:paraId="223BCE23" w14:textId="77777777" w:rsidR="00174635" w:rsidRPr="00400FBC" w:rsidRDefault="00174635" w:rsidP="00760658">
            <w:pPr>
              <w:pStyle w:val="TableTextLeft"/>
            </w:pPr>
            <w:r w:rsidRPr="00400FBC">
              <w:t>Westside 51%, Mitsui 49%</w:t>
            </w:r>
          </w:p>
        </w:tc>
      </w:tr>
      <w:tr w:rsidR="00174635" w14:paraId="223BCE29"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25" w14:textId="77777777" w:rsidR="00174635" w:rsidRPr="00400FBC" w:rsidRDefault="00174635" w:rsidP="00760658">
            <w:pPr>
              <w:pStyle w:val="TableTextLeft"/>
            </w:pPr>
            <w:r w:rsidRPr="00400FBC">
              <w:t>Wallumbilla to Darling Downs Pipeline</w:t>
            </w:r>
          </w:p>
        </w:tc>
        <w:tc>
          <w:tcPr>
            <w:tcW w:w="496" w:type="pct"/>
          </w:tcPr>
          <w:p w14:paraId="223BCE26" w14:textId="77777777" w:rsidR="00174635" w:rsidRPr="00400FBC" w:rsidRDefault="00174635" w:rsidP="00760658">
            <w:pPr>
              <w:pStyle w:val="TableTextLeft"/>
            </w:pPr>
            <w:r w:rsidRPr="00400FBC">
              <w:t>205</w:t>
            </w:r>
          </w:p>
        </w:tc>
        <w:tc>
          <w:tcPr>
            <w:tcW w:w="992" w:type="pct"/>
          </w:tcPr>
          <w:p w14:paraId="223BCE27" w14:textId="77777777" w:rsidR="00174635" w:rsidRPr="00400FBC" w:rsidRDefault="00174635" w:rsidP="00760658">
            <w:pPr>
              <w:pStyle w:val="TableTextLeft"/>
            </w:pPr>
            <w:r w:rsidRPr="00400FBC">
              <w:t>270 (530 reverse)</w:t>
            </w:r>
          </w:p>
        </w:tc>
        <w:tc>
          <w:tcPr>
            <w:tcW w:w="1658" w:type="pct"/>
          </w:tcPr>
          <w:p w14:paraId="223BCE28" w14:textId="77777777" w:rsidR="00174635" w:rsidRPr="00400FBC" w:rsidRDefault="00174635" w:rsidP="00760658">
            <w:pPr>
              <w:pStyle w:val="TableTextLeft"/>
            </w:pPr>
            <w:r w:rsidRPr="00400FBC">
              <w:t>Origin Energy</w:t>
            </w:r>
          </w:p>
        </w:tc>
      </w:tr>
      <w:tr w:rsidR="00174635" w14:paraId="223BCE2E"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2A" w14:textId="77777777" w:rsidR="00174635" w:rsidRPr="00400FBC" w:rsidRDefault="00174635" w:rsidP="00760658">
            <w:pPr>
              <w:pStyle w:val="TableTextLeft"/>
            </w:pPr>
            <w:r w:rsidRPr="00400FBC">
              <w:t>Comet Ridge to Wallumbilla Pipeline</w:t>
            </w:r>
          </w:p>
        </w:tc>
        <w:tc>
          <w:tcPr>
            <w:tcW w:w="496" w:type="pct"/>
          </w:tcPr>
          <w:p w14:paraId="223BCE2B" w14:textId="77777777" w:rsidR="00174635" w:rsidRPr="00400FBC" w:rsidRDefault="00174635" w:rsidP="00760658">
            <w:pPr>
              <w:pStyle w:val="TableTextLeft"/>
            </w:pPr>
            <w:r w:rsidRPr="00400FBC">
              <w:t>127</w:t>
            </w:r>
          </w:p>
        </w:tc>
        <w:tc>
          <w:tcPr>
            <w:tcW w:w="992" w:type="pct"/>
          </w:tcPr>
          <w:p w14:paraId="223BCE2C" w14:textId="77777777" w:rsidR="00174635" w:rsidRPr="00400FBC" w:rsidRDefault="00174635" w:rsidP="00760658">
            <w:pPr>
              <w:pStyle w:val="TableTextLeft"/>
            </w:pPr>
            <w:r w:rsidRPr="00400FBC">
              <w:t>950 (175 reverse)</w:t>
            </w:r>
          </w:p>
        </w:tc>
        <w:tc>
          <w:tcPr>
            <w:tcW w:w="1658" w:type="pct"/>
          </w:tcPr>
          <w:p w14:paraId="223BCE2D" w14:textId="77777777" w:rsidR="00174635" w:rsidRPr="00400FBC" w:rsidRDefault="00174635" w:rsidP="00760658">
            <w:pPr>
              <w:pStyle w:val="TableTextLeft"/>
            </w:pPr>
            <w:r w:rsidRPr="00400FBC">
              <w:t>Santos 30%, PETRONAS 27.5%, Total 27.5%, KOGAS 15%</w:t>
            </w:r>
          </w:p>
        </w:tc>
      </w:tr>
      <w:tr w:rsidR="00174635" w14:paraId="223BCE34"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2F" w14:textId="77777777" w:rsidR="00174635" w:rsidRPr="00400FBC" w:rsidRDefault="00174635" w:rsidP="00760658">
            <w:pPr>
              <w:pStyle w:val="TableTextLeft"/>
            </w:pPr>
            <w:r w:rsidRPr="00400FBC">
              <w:t>North Queensland Gas Pipeline</w:t>
            </w:r>
          </w:p>
        </w:tc>
        <w:tc>
          <w:tcPr>
            <w:tcW w:w="496" w:type="pct"/>
          </w:tcPr>
          <w:p w14:paraId="223BCE30" w14:textId="77777777" w:rsidR="00174635" w:rsidRPr="00400FBC" w:rsidRDefault="00174635" w:rsidP="00760658">
            <w:pPr>
              <w:pStyle w:val="TableTextLeft"/>
            </w:pPr>
            <w:r w:rsidRPr="00400FBC">
              <w:t>391</w:t>
            </w:r>
          </w:p>
        </w:tc>
        <w:tc>
          <w:tcPr>
            <w:tcW w:w="992" w:type="pct"/>
          </w:tcPr>
          <w:p w14:paraId="223BCE31" w14:textId="77777777" w:rsidR="00174635" w:rsidRPr="00400FBC" w:rsidRDefault="00174635" w:rsidP="00760658">
            <w:pPr>
              <w:pStyle w:val="TableTextLeft"/>
            </w:pPr>
            <w:r w:rsidRPr="00400FBC">
              <w:t>108</w:t>
            </w:r>
          </w:p>
        </w:tc>
        <w:tc>
          <w:tcPr>
            <w:tcW w:w="1658" w:type="pct"/>
          </w:tcPr>
          <w:p w14:paraId="223BCE32" w14:textId="77777777" w:rsidR="00174635" w:rsidRPr="00400FBC" w:rsidRDefault="00174635" w:rsidP="00760658">
            <w:pPr>
              <w:pStyle w:val="TableTextLeft"/>
            </w:pPr>
            <w:r w:rsidRPr="00400FBC">
              <w:t>Victorian Funds Management</w:t>
            </w:r>
          </w:p>
          <w:p w14:paraId="223BCE33" w14:textId="77777777" w:rsidR="00174635" w:rsidRPr="00400FBC" w:rsidRDefault="00174635" w:rsidP="00760658">
            <w:pPr>
              <w:pStyle w:val="TableTextLeft"/>
            </w:pPr>
            <w:r w:rsidRPr="00400FBC">
              <w:t>Corporation</w:t>
            </w:r>
          </w:p>
        </w:tc>
      </w:tr>
      <w:tr w:rsidR="00174635" w14:paraId="223BCE36" w14:textId="77777777" w:rsidTr="008454B0">
        <w:trPr>
          <w:cnfStyle w:val="000000100000" w:firstRow="0" w:lastRow="0" w:firstColumn="0" w:lastColumn="0" w:oddVBand="0" w:evenVBand="0" w:oddHBand="1" w:evenHBand="0" w:firstRowFirstColumn="0" w:firstRowLastColumn="0" w:lastRowFirstColumn="0" w:lastRowLastColumn="0"/>
        </w:trPr>
        <w:tc>
          <w:tcPr>
            <w:tcW w:w="5000" w:type="pct"/>
            <w:gridSpan w:val="4"/>
          </w:tcPr>
          <w:p w14:paraId="223BCE35" w14:textId="77777777" w:rsidR="00174635" w:rsidRPr="00400FBC" w:rsidRDefault="00174635" w:rsidP="00760658">
            <w:pPr>
              <w:pStyle w:val="TableTextCentred0"/>
            </w:pPr>
            <w:r w:rsidRPr="00400FBC">
              <w:t>NEW SOUTH WALES</w:t>
            </w:r>
          </w:p>
        </w:tc>
      </w:tr>
      <w:tr w:rsidR="00174635" w14:paraId="223BCE3B"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37" w14:textId="77777777" w:rsidR="00174635" w:rsidRPr="00400FBC" w:rsidRDefault="00174635" w:rsidP="00760658">
            <w:pPr>
              <w:pStyle w:val="TableTextLeft"/>
            </w:pPr>
            <w:r w:rsidRPr="00400FBC">
              <w:t>Moomba to Sydney Pipeline</w:t>
            </w:r>
          </w:p>
        </w:tc>
        <w:tc>
          <w:tcPr>
            <w:tcW w:w="496" w:type="pct"/>
          </w:tcPr>
          <w:p w14:paraId="223BCE38" w14:textId="77777777" w:rsidR="00174635" w:rsidRPr="00400FBC" w:rsidRDefault="00174635" w:rsidP="00760658">
            <w:pPr>
              <w:pStyle w:val="TableTextLeft"/>
            </w:pPr>
            <w:r w:rsidRPr="00400FBC">
              <w:t>2</w:t>
            </w:r>
            <w:r w:rsidR="00C13D2C">
              <w:t>,</w:t>
            </w:r>
            <w:r w:rsidRPr="00400FBC">
              <w:t>029</w:t>
            </w:r>
          </w:p>
        </w:tc>
        <w:tc>
          <w:tcPr>
            <w:tcW w:w="992" w:type="pct"/>
          </w:tcPr>
          <w:p w14:paraId="223BCE39" w14:textId="77777777" w:rsidR="00174635" w:rsidRPr="00400FBC" w:rsidRDefault="00174635" w:rsidP="00760658">
            <w:pPr>
              <w:pStyle w:val="TableTextLeft"/>
            </w:pPr>
            <w:r w:rsidRPr="00400FBC">
              <w:t>439 (381 reverse)</w:t>
            </w:r>
          </w:p>
        </w:tc>
        <w:tc>
          <w:tcPr>
            <w:tcW w:w="1658" w:type="pct"/>
          </w:tcPr>
          <w:p w14:paraId="223BCE3A" w14:textId="77777777" w:rsidR="00174635" w:rsidRPr="00400FBC" w:rsidRDefault="00174635" w:rsidP="00760658">
            <w:pPr>
              <w:pStyle w:val="TableTextLeft"/>
            </w:pPr>
            <w:r w:rsidRPr="00400FBC">
              <w:t>APA Group</w:t>
            </w:r>
          </w:p>
        </w:tc>
      </w:tr>
      <w:tr w:rsidR="00174635" w14:paraId="223BCE40"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3C" w14:textId="77777777" w:rsidR="00174635" w:rsidRPr="00400FBC" w:rsidRDefault="00174635" w:rsidP="00760658">
            <w:pPr>
              <w:pStyle w:val="TableTextLeft"/>
            </w:pPr>
            <w:r w:rsidRPr="00400FBC">
              <w:t>Central West Pipeline (Marsden to Dubbo)</w:t>
            </w:r>
          </w:p>
        </w:tc>
        <w:tc>
          <w:tcPr>
            <w:tcW w:w="496" w:type="pct"/>
          </w:tcPr>
          <w:p w14:paraId="223BCE3D" w14:textId="77777777" w:rsidR="00174635" w:rsidRPr="00400FBC" w:rsidRDefault="00174635" w:rsidP="00760658">
            <w:pPr>
              <w:pStyle w:val="TableTextLeft"/>
            </w:pPr>
            <w:r w:rsidRPr="00400FBC">
              <w:t>255</w:t>
            </w:r>
          </w:p>
        </w:tc>
        <w:tc>
          <w:tcPr>
            <w:tcW w:w="992" w:type="pct"/>
          </w:tcPr>
          <w:p w14:paraId="223BCE3E" w14:textId="77777777" w:rsidR="00174635" w:rsidRPr="00400FBC" w:rsidRDefault="00174635" w:rsidP="00760658">
            <w:pPr>
              <w:pStyle w:val="TableTextLeft"/>
            </w:pPr>
            <w:r w:rsidRPr="00400FBC">
              <w:t>10</w:t>
            </w:r>
          </w:p>
        </w:tc>
        <w:tc>
          <w:tcPr>
            <w:tcW w:w="1658" w:type="pct"/>
          </w:tcPr>
          <w:p w14:paraId="223BCE3F" w14:textId="77777777" w:rsidR="00174635" w:rsidRPr="00400FBC" w:rsidRDefault="00174635" w:rsidP="00760658">
            <w:pPr>
              <w:pStyle w:val="TableTextLeft"/>
            </w:pPr>
            <w:r w:rsidRPr="00400FBC">
              <w:t>APA Group</w:t>
            </w:r>
          </w:p>
        </w:tc>
      </w:tr>
      <w:tr w:rsidR="00174635" w14:paraId="223BCE46"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41" w14:textId="77777777" w:rsidR="00174635" w:rsidRPr="00400FBC" w:rsidRDefault="00174635" w:rsidP="00760658">
            <w:pPr>
              <w:pStyle w:val="TableTextLeft"/>
            </w:pPr>
            <w:r w:rsidRPr="00400FBC">
              <w:t>Central Ranges Pipeline (Dubbo to</w:t>
            </w:r>
          </w:p>
          <w:p w14:paraId="223BCE42" w14:textId="77777777" w:rsidR="00174635" w:rsidRPr="00400FBC" w:rsidRDefault="00174635" w:rsidP="00760658">
            <w:pPr>
              <w:pStyle w:val="TableTextLeft"/>
            </w:pPr>
            <w:r w:rsidRPr="00400FBC">
              <w:t>Tamworth)</w:t>
            </w:r>
          </w:p>
        </w:tc>
        <w:tc>
          <w:tcPr>
            <w:tcW w:w="496" w:type="pct"/>
          </w:tcPr>
          <w:p w14:paraId="223BCE43" w14:textId="77777777" w:rsidR="00174635" w:rsidRPr="00400FBC" w:rsidRDefault="00174635" w:rsidP="00760658">
            <w:pPr>
              <w:pStyle w:val="TableTextLeft"/>
            </w:pPr>
            <w:r w:rsidRPr="00400FBC">
              <w:t>294</w:t>
            </w:r>
          </w:p>
        </w:tc>
        <w:tc>
          <w:tcPr>
            <w:tcW w:w="992" w:type="pct"/>
          </w:tcPr>
          <w:p w14:paraId="223BCE44" w14:textId="77777777" w:rsidR="00174635" w:rsidRPr="00400FBC" w:rsidRDefault="00174635" w:rsidP="00760658">
            <w:pPr>
              <w:pStyle w:val="TableTextLeft"/>
            </w:pPr>
            <w:r w:rsidRPr="00400FBC">
              <w:t>7</w:t>
            </w:r>
          </w:p>
        </w:tc>
        <w:tc>
          <w:tcPr>
            <w:tcW w:w="1658" w:type="pct"/>
          </w:tcPr>
          <w:p w14:paraId="223BCE45" w14:textId="77777777" w:rsidR="00174635" w:rsidRPr="00400FBC" w:rsidRDefault="00174635" w:rsidP="00760658">
            <w:pPr>
              <w:pStyle w:val="TableTextLeft"/>
            </w:pPr>
            <w:r w:rsidRPr="00400FBC">
              <w:t>APA Group</w:t>
            </w:r>
          </w:p>
        </w:tc>
      </w:tr>
      <w:tr w:rsidR="00174635" w14:paraId="223BCE4B"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47" w14:textId="77777777" w:rsidR="00174635" w:rsidRDefault="00174635" w:rsidP="00760658">
            <w:pPr>
              <w:pStyle w:val="TableTextLeft"/>
            </w:pPr>
            <w:r>
              <w:t>Eastern Gas Pipeline (Longford to Sydney)</w:t>
            </w:r>
          </w:p>
        </w:tc>
        <w:tc>
          <w:tcPr>
            <w:tcW w:w="496" w:type="pct"/>
          </w:tcPr>
          <w:p w14:paraId="223BCE48" w14:textId="77777777" w:rsidR="00174635" w:rsidRDefault="00174635" w:rsidP="00760658">
            <w:pPr>
              <w:pStyle w:val="TableTextLeft"/>
            </w:pPr>
            <w:r>
              <w:t>797</w:t>
            </w:r>
          </w:p>
        </w:tc>
        <w:tc>
          <w:tcPr>
            <w:tcW w:w="992" w:type="pct"/>
          </w:tcPr>
          <w:p w14:paraId="223BCE49" w14:textId="77777777" w:rsidR="00174635" w:rsidRDefault="00174635" w:rsidP="00760658">
            <w:pPr>
              <w:pStyle w:val="TableTextLeft"/>
            </w:pPr>
            <w:r>
              <w:t>351</w:t>
            </w:r>
          </w:p>
        </w:tc>
        <w:tc>
          <w:tcPr>
            <w:tcW w:w="1658" w:type="pct"/>
          </w:tcPr>
          <w:p w14:paraId="223BCE4A" w14:textId="77777777" w:rsidR="00174635" w:rsidRPr="00A14A21" w:rsidRDefault="00174635" w:rsidP="00760658">
            <w:pPr>
              <w:pStyle w:val="TableTextLeft"/>
            </w:pPr>
            <w:r>
              <w:t xml:space="preserve">Jemena </w:t>
            </w:r>
          </w:p>
        </w:tc>
      </w:tr>
      <w:tr w:rsidR="00174635" w14:paraId="223BCE4D" w14:textId="77777777" w:rsidTr="008454B0">
        <w:trPr>
          <w:cnfStyle w:val="000000010000" w:firstRow="0" w:lastRow="0" w:firstColumn="0" w:lastColumn="0" w:oddVBand="0" w:evenVBand="0" w:oddHBand="0" w:evenHBand="1" w:firstRowFirstColumn="0" w:firstRowLastColumn="0" w:lastRowFirstColumn="0" w:lastRowLastColumn="0"/>
        </w:trPr>
        <w:tc>
          <w:tcPr>
            <w:tcW w:w="5000" w:type="pct"/>
            <w:gridSpan w:val="4"/>
          </w:tcPr>
          <w:p w14:paraId="223BCE4C" w14:textId="77777777" w:rsidR="00174635" w:rsidRDefault="00174635" w:rsidP="00760658">
            <w:pPr>
              <w:pStyle w:val="TableTextCentred0"/>
            </w:pPr>
            <w:r>
              <w:t>VICTORIA</w:t>
            </w:r>
          </w:p>
        </w:tc>
      </w:tr>
      <w:tr w:rsidR="00174635" w14:paraId="223BCE52"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4E" w14:textId="77777777" w:rsidR="00174635" w:rsidRDefault="00174635" w:rsidP="00760658">
            <w:pPr>
              <w:pStyle w:val="TableTextLeft"/>
            </w:pPr>
            <w:r>
              <w:lastRenderedPageBreak/>
              <w:t>Victorian Transmission System (GasNet)</w:t>
            </w:r>
          </w:p>
        </w:tc>
        <w:tc>
          <w:tcPr>
            <w:tcW w:w="496" w:type="pct"/>
          </w:tcPr>
          <w:p w14:paraId="223BCE4F" w14:textId="77777777" w:rsidR="00174635" w:rsidRDefault="00174635" w:rsidP="00760658">
            <w:pPr>
              <w:pStyle w:val="TableTextLeft"/>
            </w:pPr>
            <w:r>
              <w:t>2</w:t>
            </w:r>
            <w:r w:rsidR="00C13D2C">
              <w:t>,</w:t>
            </w:r>
            <w:r>
              <w:t>035</w:t>
            </w:r>
          </w:p>
        </w:tc>
        <w:tc>
          <w:tcPr>
            <w:tcW w:w="992" w:type="pct"/>
          </w:tcPr>
          <w:p w14:paraId="223BCE50" w14:textId="77777777" w:rsidR="00174635" w:rsidRDefault="00174635" w:rsidP="00760658">
            <w:pPr>
              <w:pStyle w:val="TableTextLeft"/>
            </w:pPr>
            <w:r>
              <w:t>1</w:t>
            </w:r>
            <w:r w:rsidR="00C13D2C">
              <w:t>,</w:t>
            </w:r>
            <w:r>
              <w:t>030</w:t>
            </w:r>
          </w:p>
        </w:tc>
        <w:tc>
          <w:tcPr>
            <w:tcW w:w="1658" w:type="pct"/>
          </w:tcPr>
          <w:p w14:paraId="223BCE51" w14:textId="77777777" w:rsidR="00174635" w:rsidRDefault="00174635" w:rsidP="00760658">
            <w:pPr>
              <w:pStyle w:val="TableTextLeft"/>
            </w:pPr>
            <w:r w:rsidRPr="00A14A21">
              <w:t>APA Group</w:t>
            </w:r>
          </w:p>
        </w:tc>
      </w:tr>
      <w:tr w:rsidR="00174635" w14:paraId="223BCE57"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53" w14:textId="77777777" w:rsidR="00174635" w:rsidRDefault="00174635" w:rsidP="00760658">
            <w:pPr>
              <w:pStyle w:val="TableTextLeft"/>
            </w:pPr>
            <w:r>
              <w:t>South Gippsland Pipeline</w:t>
            </w:r>
          </w:p>
        </w:tc>
        <w:tc>
          <w:tcPr>
            <w:tcW w:w="496" w:type="pct"/>
          </w:tcPr>
          <w:p w14:paraId="223BCE54" w14:textId="77777777" w:rsidR="00174635" w:rsidRDefault="00174635" w:rsidP="00760658">
            <w:pPr>
              <w:pStyle w:val="TableTextLeft"/>
            </w:pPr>
            <w:r>
              <w:t>250</w:t>
            </w:r>
          </w:p>
        </w:tc>
        <w:tc>
          <w:tcPr>
            <w:tcW w:w="992" w:type="pct"/>
          </w:tcPr>
          <w:p w14:paraId="223BCE55" w14:textId="77777777" w:rsidR="00174635" w:rsidRDefault="00174635" w:rsidP="00760658">
            <w:pPr>
              <w:pStyle w:val="TableTextLeft"/>
            </w:pPr>
          </w:p>
        </w:tc>
        <w:tc>
          <w:tcPr>
            <w:tcW w:w="1658" w:type="pct"/>
          </w:tcPr>
          <w:p w14:paraId="223BCE56" w14:textId="77777777" w:rsidR="00174635" w:rsidRDefault="00174635" w:rsidP="00760658">
            <w:pPr>
              <w:pStyle w:val="TableTextLeft"/>
            </w:pPr>
            <w:r>
              <w:t>DUET Group</w:t>
            </w:r>
          </w:p>
        </w:tc>
      </w:tr>
      <w:tr w:rsidR="00174635" w14:paraId="223BCE5C"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58" w14:textId="77777777" w:rsidR="00174635" w:rsidRDefault="00174635" w:rsidP="00760658">
            <w:pPr>
              <w:pStyle w:val="TableTextLeft"/>
            </w:pPr>
            <w:r>
              <w:t>Vic–NSW Interconnect</w:t>
            </w:r>
          </w:p>
        </w:tc>
        <w:tc>
          <w:tcPr>
            <w:tcW w:w="496" w:type="pct"/>
          </w:tcPr>
          <w:p w14:paraId="223BCE59" w14:textId="77777777" w:rsidR="00174635" w:rsidRDefault="00174635" w:rsidP="00760658">
            <w:pPr>
              <w:pStyle w:val="TableTextLeft"/>
            </w:pPr>
          </w:p>
        </w:tc>
        <w:tc>
          <w:tcPr>
            <w:tcW w:w="992" w:type="pct"/>
          </w:tcPr>
          <w:p w14:paraId="223BCE5A" w14:textId="77777777" w:rsidR="00174635" w:rsidRDefault="00174635" w:rsidP="00760658">
            <w:pPr>
              <w:pStyle w:val="TableTextLeft"/>
            </w:pPr>
            <w:r>
              <w:t>153 (196 reverse)</w:t>
            </w:r>
          </w:p>
        </w:tc>
        <w:tc>
          <w:tcPr>
            <w:tcW w:w="1658" w:type="pct"/>
          </w:tcPr>
          <w:p w14:paraId="223BCE5B" w14:textId="77777777" w:rsidR="00174635" w:rsidRPr="00A14A21" w:rsidRDefault="00174635" w:rsidP="00760658">
            <w:pPr>
              <w:pStyle w:val="TableTextLeft"/>
            </w:pPr>
            <w:r>
              <w:t xml:space="preserve">Jemena </w:t>
            </w:r>
          </w:p>
        </w:tc>
      </w:tr>
      <w:tr w:rsidR="00174635" w14:paraId="223BCE5E" w14:textId="77777777" w:rsidTr="008454B0">
        <w:trPr>
          <w:cnfStyle w:val="000000010000" w:firstRow="0" w:lastRow="0" w:firstColumn="0" w:lastColumn="0" w:oddVBand="0" w:evenVBand="0" w:oddHBand="0" w:evenHBand="1" w:firstRowFirstColumn="0" w:firstRowLastColumn="0" w:lastRowFirstColumn="0" w:lastRowLastColumn="0"/>
        </w:trPr>
        <w:tc>
          <w:tcPr>
            <w:tcW w:w="5000" w:type="pct"/>
            <w:gridSpan w:val="4"/>
          </w:tcPr>
          <w:p w14:paraId="223BCE5D" w14:textId="77777777" w:rsidR="00174635" w:rsidRDefault="00174635" w:rsidP="00760658">
            <w:pPr>
              <w:pStyle w:val="TableTextCentred0"/>
            </w:pPr>
            <w:r>
              <w:t>SOUTH AUSTRALIA</w:t>
            </w:r>
          </w:p>
        </w:tc>
      </w:tr>
      <w:tr w:rsidR="00174635" w14:paraId="223BCE63"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5F" w14:textId="77777777" w:rsidR="00174635" w:rsidRDefault="00174635" w:rsidP="00760658">
            <w:pPr>
              <w:pStyle w:val="TableTextLeft"/>
            </w:pPr>
            <w:r>
              <w:t>Moomba to Adelaide Pipeline</w:t>
            </w:r>
          </w:p>
        </w:tc>
        <w:tc>
          <w:tcPr>
            <w:tcW w:w="496" w:type="pct"/>
          </w:tcPr>
          <w:p w14:paraId="223BCE60" w14:textId="77777777" w:rsidR="00174635" w:rsidRDefault="00174635" w:rsidP="00760658">
            <w:pPr>
              <w:pStyle w:val="TableTextLeft"/>
            </w:pPr>
            <w:r>
              <w:t>1</w:t>
            </w:r>
            <w:r w:rsidR="00C13D2C">
              <w:t>,</w:t>
            </w:r>
            <w:r>
              <w:t>184</w:t>
            </w:r>
          </w:p>
        </w:tc>
        <w:tc>
          <w:tcPr>
            <w:tcW w:w="992" w:type="pct"/>
          </w:tcPr>
          <w:p w14:paraId="223BCE61" w14:textId="77777777" w:rsidR="00174635" w:rsidRDefault="00174635" w:rsidP="00760658">
            <w:pPr>
              <w:pStyle w:val="TableTextLeft"/>
            </w:pPr>
            <w:r>
              <w:t>241 (55 reverse)</w:t>
            </w:r>
          </w:p>
        </w:tc>
        <w:tc>
          <w:tcPr>
            <w:tcW w:w="1658" w:type="pct"/>
          </w:tcPr>
          <w:p w14:paraId="223BCE62" w14:textId="77777777" w:rsidR="00174635" w:rsidRPr="00C30F1D" w:rsidRDefault="00174635" w:rsidP="00760658">
            <w:pPr>
              <w:pStyle w:val="TableTextLeft"/>
            </w:pPr>
            <w:r w:rsidRPr="00C30F1D">
              <w:t>QIC Global Infrastructure</w:t>
            </w:r>
          </w:p>
        </w:tc>
      </w:tr>
      <w:tr w:rsidR="00174635" w14:paraId="223BCE6B"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64" w14:textId="77777777" w:rsidR="00174635" w:rsidRDefault="00174635" w:rsidP="00760658">
            <w:pPr>
              <w:pStyle w:val="TableTextLeft"/>
            </w:pPr>
            <w:r>
              <w:t>SEA Gas Pipeline (Port Campbell to</w:t>
            </w:r>
          </w:p>
          <w:p w14:paraId="223BCE65" w14:textId="77777777" w:rsidR="00174635" w:rsidRDefault="00174635" w:rsidP="00760658">
            <w:pPr>
              <w:pStyle w:val="TableTextLeft"/>
            </w:pPr>
            <w:r>
              <w:t>Adelaide)</w:t>
            </w:r>
          </w:p>
        </w:tc>
        <w:tc>
          <w:tcPr>
            <w:tcW w:w="496" w:type="pct"/>
          </w:tcPr>
          <w:p w14:paraId="223BCE66" w14:textId="77777777" w:rsidR="00174635" w:rsidRDefault="00174635" w:rsidP="00760658">
            <w:pPr>
              <w:pStyle w:val="TableTextLeft"/>
            </w:pPr>
            <w:r>
              <w:t>580</w:t>
            </w:r>
          </w:p>
        </w:tc>
        <w:tc>
          <w:tcPr>
            <w:tcW w:w="992" w:type="pct"/>
          </w:tcPr>
          <w:p w14:paraId="223BCE67" w14:textId="77777777" w:rsidR="00174635" w:rsidRDefault="00174635" w:rsidP="00760658">
            <w:pPr>
              <w:pStyle w:val="TableTextLeft"/>
            </w:pPr>
            <w:r>
              <w:t>314</w:t>
            </w:r>
          </w:p>
        </w:tc>
        <w:tc>
          <w:tcPr>
            <w:tcW w:w="1658" w:type="pct"/>
          </w:tcPr>
          <w:p w14:paraId="223BCE68" w14:textId="77777777" w:rsidR="00174635" w:rsidRPr="00C30F1D" w:rsidRDefault="00174635" w:rsidP="00760658">
            <w:pPr>
              <w:pStyle w:val="TableTextLeft"/>
            </w:pPr>
            <w:r w:rsidRPr="00C30F1D">
              <w:t>APA Group 50%, Retail</w:t>
            </w:r>
          </w:p>
          <w:p w14:paraId="223BCE69" w14:textId="77777777" w:rsidR="00174635" w:rsidRPr="00C30F1D" w:rsidRDefault="00174635" w:rsidP="00760658">
            <w:pPr>
              <w:pStyle w:val="TableTextLeft"/>
            </w:pPr>
            <w:r w:rsidRPr="00C30F1D">
              <w:t>Employees Superannuation</w:t>
            </w:r>
          </w:p>
          <w:p w14:paraId="223BCE6A" w14:textId="77777777" w:rsidR="00174635" w:rsidRDefault="00174635" w:rsidP="00760658">
            <w:pPr>
              <w:pStyle w:val="TableTextLeft"/>
            </w:pPr>
            <w:r w:rsidRPr="00C30F1D">
              <w:t>Trust 50%</w:t>
            </w:r>
          </w:p>
        </w:tc>
      </w:tr>
      <w:tr w:rsidR="00174635" w14:paraId="223BCE6D" w14:textId="77777777" w:rsidTr="008454B0">
        <w:trPr>
          <w:cnfStyle w:val="000000100000" w:firstRow="0" w:lastRow="0" w:firstColumn="0" w:lastColumn="0" w:oddVBand="0" w:evenVBand="0" w:oddHBand="1" w:evenHBand="0" w:firstRowFirstColumn="0" w:firstRowLastColumn="0" w:lastRowFirstColumn="0" w:lastRowLastColumn="0"/>
        </w:trPr>
        <w:tc>
          <w:tcPr>
            <w:tcW w:w="5000" w:type="pct"/>
            <w:gridSpan w:val="4"/>
          </w:tcPr>
          <w:p w14:paraId="223BCE6C" w14:textId="77777777" w:rsidR="00174635" w:rsidRDefault="00174635" w:rsidP="00760658">
            <w:pPr>
              <w:pStyle w:val="TableTextCentred0"/>
            </w:pPr>
            <w:r>
              <w:t>TASMANIA</w:t>
            </w:r>
          </w:p>
        </w:tc>
      </w:tr>
      <w:tr w:rsidR="00174635" w14:paraId="223BCE73"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6E" w14:textId="77777777" w:rsidR="00174635" w:rsidRPr="00B843FD" w:rsidRDefault="00174635" w:rsidP="00760658">
            <w:pPr>
              <w:pStyle w:val="TableTextLeft"/>
            </w:pPr>
            <w:r w:rsidRPr="00B843FD">
              <w:t>Tasmanian Gas Pipeline (Longford to</w:t>
            </w:r>
          </w:p>
          <w:p w14:paraId="223BCE6F" w14:textId="77777777" w:rsidR="00174635" w:rsidRPr="00B843FD" w:rsidRDefault="00174635" w:rsidP="00760658">
            <w:pPr>
              <w:pStyle w:val="TableTextLeft"/>
            </w:pPr>
            <w:r w:rsidRPr="00B843FD">
              <w:t>Hobart)</w:t>
            </w:r>
          </w:p>
        </w:tc>
        <w:tc>
          <w:tcPr>
            <w:tcW w:w="496" w:type="pct"/>
          </w:tcPr>
          <w:p w14:paraId="223BCE70" w14:textId="77777777" w:rsidR="00174635" w:rsidRPr="00B843FD" w:rsidRDefault="00174635" w:rsidP="00760658">
            <w:pPr>
              <w:pStyle w:val="TableTextLeft"/>
            </w:pPr>
            <w:r w:rsidRPr="00B843FD">
              <w:t>734</w:t>
            </w:r>
          </w:p>
        </w:tc>
        <w:tc>
          <w:tcPr>
            <w:tcW w:w="992" w:type="pct"/>
          </w:tcPr>
          <w:p w14:paraId="223BCE71" w14:textId="77777777" w:rsidR="00174635" w:rsidRPr="00B843FD" w:rsidRDefault="00174635" w:rsidP="00760658">
            <w:pPr>
              <w:pStyle w:val="TableTextLeft"/>
            </w:pPr>
            <w:r w:rsidRPr="00B843FD">
              <w:t>129</w:t>
            </w:r>
          </w:p>
        </w:tc>
        <w:tc>
          <w:tcPr>
            <w:tcW w:w="1658" w:type="pct"/>
          </w:tcPr>
          <w:p w14:paraId="223BCE72" w14:textId="77777777" w:rsidR="00174635" w:rsidRPr="00B843FD" w:rsidRDefault="00174635" w:rsidP="00760658">
            <w:pPr>
              <w:pStyle w:val="TableTextLeft"/>
            </w:pPr>
            <w:r w:rsidRPr="00B843FD">
              <w:t>Palisade Investment Partners</w:t>
            </w:r>
          </w:p>
        </w:tc>
      </w:tr>
      <w:tr w:rsidR="00174635" w14:paraId="223BCE75" w14:textId="77777777" w:rsidTr="008454B0">
        <w:trPr>
          <w:cnfStyle w:val="000000100000" w:firstRow="0" w:lastRow="0" w:firstColumn="0" w:lastColumn="0" w:oddVBand="0" w:evenVBand="0" w:oddHBand="1" w:evenHBand="0" w:firstRowFirstColumn="0" w:firstRowLastColumn="0" w:lastRowFirstColumn="0" w:lastRowLastColumn="0"/>
        </w:trPr>
        <w:tc>
          <w:tcPr>
            <w:tcW w:w="5000" w:type="pct"/>
            <w:gridSpan w:val="4"/>
          </w:tcPr>
          <w:p w14:paraId="223BCE74" w14:textId="77777777" w:rsidR="00174635" w:rsidRDefault="00174635" w:rsidP="00760658">
            <w:pPr>
              <w:pStyle w:val="TableTextCentred0"/>
            </w:pPr>
            <w:r>
              <w:t>NORTHERN TERRITORY</w:t>
            </w:r>
          </w:p>
        </w:tc>
      </w:tr>
      <w:tr w:rsidR="00174635" w14:paraId="223BCE7D"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76" w14:textId="77777777" w:rsidR="00174635" w:rsidRDefault="00174635" w:rsidP="00760658">
            <w:pPr>
              <w:pStyle w:val="TableTextLeft"/>
            </w:pPr>
            <w:r>
              <w:t>Bonaparte Pipeline</w:t>
            </w:r>
          </w:p>
        </w:tc>
        <w:tc>
          <w:tcPr>
            <w:tcW w:w="496" w:type="pct"/>
          </w:tcPr>
          <w:p w14:paraId="223BCE77" w14:textId="77777777" w:rsidR="00174635" w:rsidRDefault="00174635" w:rsidP="00760658">
            <w:pPr>
              <w:pStyle w:val="TableTextLeft"/>
            </w:pPr>
            <w:r>
              <w:t>286</w:t>
            </w:r>
          </w:p>
        </w:tc>
        <w:tc>
          <w:tcPr>
            <w:tcW w:w="992" w:type="pct"/>
          </w:tcPr>
          <w:p w14:paraId="223BCE78" w14:textId="77777777" w:rsidR="00174635" w:rsidRDefault="00174635" w:rsidP="00760658">
            <w:pPr>
              <w:pStyle w:val="TableTextLeft"/>
            </w:pPr>
            <w:r>
              <w:t>80</w:t>
            </w:r>
          </w:p>
        </w:tc>
        <w:tc>
          <w:tcPr>
            <w:tcW w:w="1658" w:type="pct"/>
          </w:tcPr>
          <w:p w14:paraId="223BCE79" w14:textId="77777777" w:rsidR="00174635" w:rsidRPr="00C30F1D" w:rsidRDefault="00174635" w:rsidP="00760658">
            <w:pPr>
              <w:pStyle w:val="TableTextLeft"/>
            </w:pPr>
            <w:r w:rsidRPr="00C30F1D">
              <w:t>Energy Infrastructure</w:t>
            </w:r>
          </w:p>
          <w:p w14:paraId="223BCE7A" w14:textId="77777777" w:rsidR="00174635" w:rsidRPr="00C30F1D" w:rsidRDefault="00174635" w:rsidP="00760658">
            <w:pPr>
              <w:pStyle w:val="TableTextLeft"/>
            </w:pPr>
            <w:r w:rsidRPr="00C30F1D">
              <w:t>Investments (APA Group</w:t>
            </w:r>
          </w:p>
          <w:p w14:paraId="223BCE7B" w14:textId="77777777" w:rsidR="00174635" w:rsidRPr="00C30F1D" w:rsidRDefault="00174635" w:rsidP="00760658">
            <w:pPr>
              <w:pStyle w:val="TableTextLeft"/>
            </w:pPr>
            <w:r w:rsidRPr="00C30F1D">
              <w:t>19.9%, Marubeni 49.9%,</w:t>
            </w:r>
          </w:p>
          <w:p w14:paraId="223BCE7C" w14:textId="77777777" w:rsidR="00174635" w:rsidRDefault="00174635" w:rsidP="00760658">
            <w:pPr>
              <w:pStyle w:val="TableTextLeft"/>
            </w:pPr>
            <w:r w:rsidRPr="00C30F1D">
              <w:t>Osaka Gas 30.2% )</w:t>
            </w:r>
          </w:p>
        </w:tc>
      </w:tr>
      <w:tr w:rsidR="00174635" w14:paraId="223BCE82"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7E" w14:textId="77777777" w:rsidR="00174635" w:rsidRDefault="00174635" w:rsidP="00760658">
            <w:pPr>
              <w:pStyle w:val="TableTextLeft"/>
            </w:pPr>
            <w:r>
              <w:t xml:space="preserve">Amadeus Gas Pipeline (Amadeus Basin to Darwin) </w:t>
            </w:r>
          </w:p>
        </w:tc>
        <w:tc>
          <w:tcPr>
            <w:tcW w:w="496" w:type="pct"/>
          </w:tcPr>
          <w:p w14:paraId="223BCE7F" w14:textId="77777777" w:rsidR="00174635" w:rsidRDefault="00174635" w:rsidP="00760658">
            <w:pPr>
              <w:pStyle w:val="TableTextLeft"/>
            </w:pPr>
            <w:r>
              <w:t>1</w:t>
            </w:r>
            <w:r w:rsidR="00C13D2C">
              <w:t>,</w:t>
            </w:r>
            <w:r>
              <w:t>658</w:t>
            </w:r>
          </w:p>
        </w:tc>
        <w:tc>
          <w:tcPr>
            <w:tcW w:w="992" w:type="pct"/>
          </w:tcPr>
          <w:p w14:paraId="223BCE80" w14:textId="77777777" w:rsidR="00174635" w:rsidRDefault="00174635" w:rsidP="00760658">
            <w:pPr>
              <w:pStyle w:val="TableTextLeft"/>
            </w:pPr>
            <w:r>
              <w:t>120</w:t>
            </w:r>
          </w:p>
        </w:tc>
        <w:tc>
          <w:tcPr>
            <w:tcW w:w="1658" w:type="pct"/>
          </w:tcPr>
          <w:p w14:paraId="223BCE81" w14:textId="77777777" w:rsidR="00174635" w:rsidRPr="00C30F1D" w:rsidRDefault="00174635" w:rsidP="00760658">
            <w:pPr>
              <w:pStyle w:val="TableTextLeft"/>
            </w:pPr>
            <w:r w:rsidRPr="00C30F1D">
              <w:t>APA Group</w:t>
            </w:r>
          </w:p>
        </w:tc>
      </w:tr>
      <w:tr w:rsidR="00174635" w14:paraId="223BCE87" w14:textId="77777777" w:rsidTr="008454B0">
        <w:trPr>
          <w:cnfStyle w:val="000000010000" w:firstRow="0" w:lastRow="0" w:firstColumn="0" w:lastColumn="0" w:oddVBand="0" w:evenVBand="0" w:oddHBand="0" w:evenHBand="1" w:firstRowFirstColumn="0" w:firstRowLastColumn="0" w:lastRowFirstColumn="0" w:lastRowLastColumn="0"/>
        </w:trPr>
        <w:tc>
          <w:tcPr>
            <w:tcW w:w="1854" w:type="pct"/>
          </w:tcPr>
          <w:p w14:paraId="223BCE83" w14:textId="77777777" w:rsidR="00174635" w:rsidRDefault="00174635" w:rsidP="00760658">
            <w:pPr>
              <w:pStyle w:val="TableTextLeft"/>
            </w:pPr>
            <w:r>
              <w:t>Daly Waters to McArthur River Pipeline</w:t>
            </w:r>
          </w:p>
        </w:tc>
        <w:tc>
          <w:tcPr>
            <w:tcW w:w="496" w:type="pct"/>
          </w:tcPr>
          <w:p w14:paraId="223BCE84" w14:textId="77777777" w:rsidR="00174635" w:rsidRDefault="00174635" w:rsidP="00760658">
            <w:pPr>
              <w:pStyle w:val="TableTextLeft"/>
            </w:pPr>
            <w:r>
              <w:t>332</w:t>
            </w:r>
          </w:p>
        </w:tc>
        <w:tc>
          <w:tcPr>
            <w:tcW w:w="992" w:type="pct"/>
          </w:tcPr>
          <w:p w14:paraId="223BCE85" w14:textId="77777777" w:rsidR="00174635" w:rsidRDefault="00174635" w:rsidP="00760658">
            <w:pPr>
              <w:pStyle w:val="TableTextLeft"/>
            </w:pPr>
            <w:r>
              <w:t>16</w:t>
            </w:r>
          </w:p>
        </w:tc>
        <w:tc>
          <w:tcPr>
            <w:tcW w:w="1658" w:type="pct"/>
          </w:tcPr>
          <w:p w14:paraId="223BCE86" w14:textId="77777777" w:rsidR="00174635" w:rsidRPr="00C30F1D" w:rsidRDefault="00174635" w:rsidP="00760658">
            <w:pPr>
              <w:pStyle w:val="TableTextLeft"/>
            </w:pPr>
            <w:r w:rsidRPr="00C30F1D">
              <w:t>Power and Water</w:t>
            </w:r>
          </w:p>
        </w:tc>
      </w:tr>
      <w:tr w:rsidR="00174635" w14:paraId="223BCE8D" w14:textId="77777777" w:rsidTr="008454B0">
        <w:trPr>
          <w:cnfStyle w:val="000000100000" w:firstRow="0" w:lastRow="0" w:firstColumn="0" w:lastColumn="0" w:oddVBand="0" w:evenVBand="0" w:oddHBand="1" w:evenHBand="0" w:firstRowFirstColumn="0" w:firstRowLastColumn="0" w:lastRowFirstColumn="0" w:lastRowLastColumn="0"/>
        </w:trPr>
        <w:tc>
          <w:tcPr>
            <w:tcW w:w="1854" w:type="pct"/>
          </w:tcPr>
          <w:p w14:paraId="223BCE88" w14:textId="77777777" w:rsidR="00174635" w:rsidRDefault="00174635" w:rsidP="00760658">
            <w:pPr>
              <w:pStyle w:val="TableTextLeft"/>
            </w:pPr>
            <w:r>
              <w:t>Palm Valley to Alice Springs Pipeline</w:t>
            </w:r>
          </w:p>
        </w:tc>
        <w:tc>
          <w:tcPr>
            <w:tcW w:w="496" w:type="pct"/>
          </w:tcPr>
          <w:p w14:paraId="223BCE89" w14:textId="77777777" w:rsidR="00174635" w:rsidRDefault="00174635" w:rsidP="00760658">
            <w:pPr>
              <w:pStyle w:val="TableTextLeft"/>
            </w:pPr>
            <w:r>
              <w:t>146</w:t>
            </w:r>
          </w:p>
        </w:tc>
        <w:tc>
          <w:tcPr>
            <w:tcW w:w="992" w:type="pct"/>
          </w:tcPr>
          <w:p w14:paraId="223BCE8A" w14:textId="77777777" w:rsidR="00174635" w:rsidRDefault="00174635" w:rsidP="00760658">
            <w:pPr>
              <w:pStyle w:val="TableTextLeft"/>
            </w:pPr>
            <w:r>
              <w:t>27</w:t>
            </w:r>
          </w:p>
        </w:tc>
        <w:tc>
          <w:tcPr>
            <w:tcW w:w="1658" w:type="pct"/>
          </w:tcPr>
          <w:p w14:paraId="223BCE8B" w14:textId="77777777" w:rsidR="00174635" w:rsidRPr="00C30F1D" w:rsidRDefault="00174635" w:rsidP="00760658">
            <w:pPr>
              <w:pStyle w:val="TableTextLeft"/>
            </w:pPr>
            <w:r w:rsidRPr="00C30F1D">
              <w:t>Australian Gas Networks</w:t>
            </w:r>
          </w:p>
          <w:p w14:paraId="223BCE8C" w14:textId="77777777" w:rsidR="00174635" w:rsidRDefault="00174635" w:rsidP="00760658">
            <w:pPr>
              <w:pStyle w:val="TableTextLeft"/>
            </w:pPr>
            <w:r w:rsidRPr="00C30F1D">
              <w:t>(Cheung Kong Infrastructure)</w:t>
            </w:r>
          </w:p>
        </w:tc>
      </w:tr>
    </w:tbl>
    <w:p w14:paraId="223BCE8E" w14:textId="77777777" w:rsidR="00174635" w:rsidRPr="00E54059" w:rsidRDefault="00174635" w:rsidP="00174635">
      <w:pPr>
        <w:pStyle w:val="References"/>
      </w:pPr>
    </w:p>
    <w:p w14:paraId="223BCE8F" w14:textId="4B26AE67" w:rsidR="00174635" w:rsidRPr="00C17585" w:rsidRDefault="00174635" w:rsidP="00174635">
      <w:pPr>
        <w:pStyle w:val="BodyText"/>
      </w:pPr>
      <w:r w:rsidRPr="00C17585">
        <w:t xml:space="preserve">At present, </w:t>
      </w:r>
      <w:r>
        <w:t>Australia’s</w:t>
      </w:r>
      <w:r w:rsidR="00BD4A30">
        <w:t xml:space="preserve"> three</w:t>
      </w:r>
      <w:r>
        <w:t xml:space="preserve"> gas</w:t>
      </w:r>
      <w:r w:rsidRPr="00C17585">
        <w:t xml:space="preserve"> markets are geographically isolated from one another. As a result, all gas production is either consumed within each market or exported as LNG. However the planned Northern Gas Pipeline (NGP), to run between Tennant Creek and M</w:t>
      </w:r>
      <w:r w:rsidR="00301954">
        <w:t>oun</w:t>
      </w:r>
      <w:r w:rsidRPr="00C17585">
        <w:t>t Isa, is expected to start operating in 2018</w:t>
      </w:r>
      <w:r>
        <w:t xml:space="preserve"> and will</w:t>
      </w:r>
      <w:r w:rsidRPr="00C17585">
        <w:t xml:space="preserve"> connect the </w:t>
      </w:r>
      <w:r w:rsidR="000731D9">
        <w:t>East Coast and Northern Territory g</w:t>
      </w:r>
      <w:r w:rsidRPr="00C17585">
        <w:t>as markets</w:t>
      </w:r>
      <w:r>
        <w:t xml:space="preserve"> </w:t>
      </w:r>
      <w:r>
        <w:lastRenderedPageBreak/>
        <w:t>(Jemena, 2017</w:t>
      </w:r>
      <w:r w:rsidR="005E1B62">
        <w:t>)</w:t>
      </w:r>
      <w:r w:rsidR="00DD0C6D">
        <w:t>.</w:t>
      </w:r>
      <w:r w:rsidR="005E1B62">
        <w:t xml:space="preserve"> </w:t>
      </w:r>
      <w:r>
        <w:t xml:space="preserve">The </w:t>
      </w:r>
      <w:r w:rsidRPr="00C17585">
        <w:t>NGP will enable the Northern Territory to potentially provide a major new source of gas to meet east coast demand in the long term</w:t>
      </w:r>
      <w:r>
        <w:t xml:space="preserve">. </w:t>
      </w:r>
      <w:r w:rsidRPr="00C17585">
        <w:t xml:space="preserve">While </w:t>
      </w:r>
      <w:r>
        <w:t>the present</w:t>
      </w:r>
      <w:r w:rsidRPr="00C17585">
        <w:t xml:space="preserve"> volumes </w:t>
      </w:r>
      <w:r>
        <w:t>are</w:t>
      </w:r>
      <w:r w:rsidRPr="00C17585">
        <w:t xml:space="preserve"> relatively modest in the context of the overall </w:t>
      </w:r>
      <w:r w:rsidR="00432D5D">
        <w:t>East Coast Gas Market</w:t>
      </w:r>
      <w:r w:rsidRPr="00C17585">
        <w:t>, they would still add important incremental volumes to domestic supply in Queensland</w:t>
      </w:r>
      <w:r>
        <w:t xml:space="preserve"> (ACCC, 2016).</w:t>
      </w:r>
    </w:p>
    <w:p w14:paraId="223BCE9F" w14:textId="77777777" w:rsidR="00174635" w:rsidRPr="00E8799B" w:rsidRDefault="00174635" w:rsidP="00E8799B">
      <w:pPr>
        <w:pStyle w:val="Heading2"/>
      </w:pPr>
      <w:bookmarkStart w:id="59" w:name="_Toc494276988"/>
      <w:bookmarkStart w:id="60" w:name="_Toc517101417"/>
      <w:r w:rsidRPr="00E8799B">
        <w:t>Shale and tight gas exploration, development and management</w:t>
      </w:r>
      <w:bookmarkEnd w:id="59"/>
      <w:bookmarkEnd w:id="60"/>
    </w:p>
    <w:p w14:paraId="223BCEA0" w14:textId="3E8D2AB7" w:rsidR="00174635" w:rsidRDefault="00174635" w:rsidP="00174635">
      <w:pPr>
        <w:pStyle w:val="BodyText"/>
      </w:pPr>
      <w:r w:rsidRPr="00B16500">
        <w:t xml:space="preserve">Shale gas and coal seam gas </w:t>
      </w:r>
      <w:r w:rsidR="009A1DBA">
        <w:t>is</w:t>
      </w:r>
      <w:r w:rsidRPr="00B16500">
        <w:t xml:space="preserve"> natural gas </w:t>
      </w:r>
      <w:r w:rsidR="009A1DBA">
        <w:t xml:space="preserve">that </w:t>
      </w:r>
      <w:r w:rsidRPr="00B16500">
        <w:t>is still within the source rock, not having migrated to a porous and permeable reservoir. Tight</w:t>
      </w:r>
      <w:r w:rsidR="00DA4FF3">
        <w:t xml:space="preserve"> gas accumulations </w:t>
      </w:r>
      <w:r w:rsidR="009A1DBA">
        <w:t xml:space="preserve">occur </w:t>
      </w:r>
      <w:r w:rsidR="00DA4FF3">
        <w:t xml:space="preserve">within </w:t>
      </w:r>
      <w:r w:rsidRPr="00B16500">
        <w:t>poor quality reservoir</w:t>
      </w:r>
      <w:r w:rsidR="00DA4FF3">
        <w:t>s</w:t>
      </w:r>
      <w:r w:rsidR="009A1DBA">
        <w:t xml:space="preserve"> i.e. have low porosity and permeability</w:t>
      </w:r>
      <w:r w:rsidRPr="00B16500">
        <w:t xml:space="preserve">. </w:t>
      </w:r>
    </w:p>
    <w:p w14:paraId="223BCEA1" w14:textId="7CB87CE5" w:rsidR="00174635" w:rsidRPr="004335C5" w:rsidRDefault="00174635" w:rsidP="00174635">
      <w:pPr>
        <w:pStyle w:val="BodyText"/>
      </w:pPr>
      <w:r>
        <w:t>As a result of these differences, e</w:t>
      </w:r>
      <w:r w:rsidRPr="00B8250C">
        <w:t>xploration for unconventional gas differs somewhat from the search for conventional hydrocarbons, especially when the target is a broadly distributed stratigraphic formation such as a coal bed or shale. Seismic surveys and drilling still constitute the major exploration technologies. However, the distribution of the prospective formation is usually well known at the regional scale, and exploration success depends on identifying parts of the formation where the gas resource and reservoir quality are sufficient to sustain a flow of gas on a commercial scale</w:t>
      </w:r>
      <w:r w:rsidR="009A1DBA">
        <w:t xml:space="preserve"> i.e. sweet spots</w:t>
      </w:r>
      <w:r w:rsidRPr="00B8250C">
        <w:t xml:space="preserve">. </w:t>
      </w:r>
    </w:p>
    <w:p w14:paraId="223BCEA2" w14:textId="309AF84E" w:rsidR="00174635" w:rsidRDefault="00174635" w:rsidP="00174635">
      <w:pPr>
        <w:pStyle w:val="BodyText"/>
      </w:pPr>
      <w:r w:rsidRPr="00B16500">
        <w:lastRenderedPageBreak/>
        <w:t>The petroleum resource pyramid (McCabe</w:t>
      </w:r>
      <w:r>
        <w:t>,</w:t>
      </w:r>
      <w:r w:rsidRPr="00B16500">
        <w:t xml:space="preserve"> 1998) </w:t>
      </w:r>
      <w:r w:rsidR="003D73F5">
        <w:t xml:space="preserve">compares </w:t>
      </w:r>
      <w:r w:rsidRPr="00B16500">
        <w:t xml:space="preserve">how a smaller volume of easy to extract conventional gas is </w:t>
      </w:r>
      <w:r w:rsidR="003D73F5">
        <w:t xml:space="preserve">generally associated with </w:t>
      </w:r>
      <w:r w:rsidRPr="00B16500">
        <w:t>larger volumes of more difficult and more costly to extract unconventional gas (</w:t>
      </w:r>
      <w:r>
        <w:fldChar w:fldCharType="begin"/>
      </w:r>
      <w:r>
        <w:instrText xml:space="preserve"> REF _Ref488250256 \h </w:instrText>
      </w:r>
      <w:r>
        <w:fldChar w:fldCharType="separate"/>
      </w:r>
      <w:r w:rsidR="004A16F5" w:rsidRPr="00AB6721">
        <w:t xml:space="preserve">Figure </w:t>
      </w:r>
      <w:r w:rsidR="004A16F5">
        <w:rPr>
          <w:noProof/>
        </w:rPr>
        <w:t>4</w:t>
      </w:r>
      <w:r w:rsidR="004A16F5">
        <w:noBreakHyphen/>
      </w:r>
      <w:r w:rsidR="004A16F5">
        <w:rPr>
          <w:noProof/>
        </w:rPr>
        <w:t>5</w:t>
      </w:r>
      <w:r>
        <w:fldChar w:fldCharType="end"/>
      </w:r>
      <w:r w:rsidR="002B3DAF">
        <w:t>; GA and BREE, 2014</w:t>
      </w:r>
      <w:r w:rsidR="005E1B62">
        <w:t>)</w:t>
      </w:r>
      <w:r w:rsidR="00EC5A56">
        <w:t>.</w:t>
      </w:r>
      <w:r w:rsidR="005E1B62">
        <w:t xml:space="preserve"> </w:t>
      </w:r>
      <w:r w:rsidRPr="00B16500">
        <w:t>For unconventional hydrocarbon resources</w:t>
      </w:r>
      <w:r>
        <w:t>,</w:t>
      </w:r>
      <w:r w:rsidRPr="00B16500">
        <w:t xml:space="preserve"> additional technology, energy and capital has to be applied to extract the gas</w:t>
      </w:r>
      <w:r w:rsidR="00D7763D">
        <w:t>.</w:t>
      </w:r>
    </w:p>
    <w:p w14:paraId="223BCEA3" w14:textId="77777777" w:rsidR="00174635" w:rsidRDefault="00174635" w:rsidP="00174635">
      <w:pPr>
        <w:pStyle w:val="FiguresImagesCentred"/>
      </w:pPr>
      <w:r>
        <w:rPr>
          <w:noProof/>
        </w:rPr>
        <w:drawing>
          <wp:inline distT="0" distB="0" distL="0" distR="0" wp14:anchorId="223BD609" wp14:editId="223BD60A">
            <wp:extent cx="4642900" cy="381964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62425" cy="3835708"/>
                    </a:xfrm>
                    <a:prstGeom prst="rect">
                      <a:avLst/>
                    </a:prstGeom>
                    <a:noFill/>
                    <a:ln>
                      <a:noFill/>
                    </a:ln>
                  </pic:spPr>
                </pic:pic>
              </a:graphicData>
            </a:graphic>
          </wp:inline>
        </w:drawing>
      </w:r>
    </w:p>
    <w:p w14:paraId="223BCEA4" w14:textId="20681EA9" w:rsidR="00174635" w:rsidRDefault="00174635" w:rsidP="00174635">
      <w:pPr>
        <w:pStyle w:val="Caption"/>
      </w:pPr>
      <w:bookmarkStart w:id="61" w:name="_Ref488250256"/>
      <w:bookmarkStart w:id="62" w:name="_Toc517101445"/>
      <w:r w:rsidRPr="00AB6721">
        <w:t xml:space="preserve">Figure </w:t>
      </w:r>
      <w:fldSimple w:instr=" STYLEREF 1 \s ">
        <w:r w:rsidR="004A16F5">
          <w:rPr>
            <w:noProof/>
          </w:rPr>
          <w:t>4</w:t>
        </w:r>
      </w:fldSimple>
      <w:r w:rsidR="008454B0">
        <w:noBreakHyphen/>
      </w:r>
      <w:fldSimple w:instr=" SEQ Figure \* ARABIC \s 1 ">
        <w:r w:rsidR="004A16F5">
          <w:rPr>
            <w:noProof/>
          </w:rPr>
          <w:t>5</w:t>
        </w:r>
      </w:fldSimple>
      <w:bookmarkEnd w:id="61"/>
      <w:r w:rsidRPr="00AB6721">
        <w:t xml:space="preserve"> Resource pyramid</w:t>
      </w:r>
      <w:r w:rsidR="002B3DAF">
        <w:t xml:space="preserve"> (GA and BREE, 2014).</w:t>
      </w:r>
      <w:bookmarkEnd w:id="62"/>
    </w:p>
    <w:p w14:paraId="223BCEA5" w14:textId="77777777" w:rsidR="00E8799B" w:rsidRPr="00E8799B" w:rsidRDefault="00E8799B" w:rsidP="00E8799B">
      <w:pPr>
        <w:pStyle w:val="BodyText"/>
      </w:pPr>
    </w:p>
    <w:p w14:paraId="223BCEA6" w14:textId="77777777" w:rsidR="00174635" w:rsidRPr="00E8799B" w:rsidRDefault="00174635" w:rsidP="00E8799B">
      <w:pPr>
        <w:pStyle w:val="Heading3"/>
      </w:pPr>
      <w:bookmarkStart w:id="63" w:name="_Toc494276989"/>
      <w:bookmarkStart w:id="64" w:name="_Toc517101418"/>
      <w:r w:rsidRPr="00E8799B">
        <w:lastRenderedPageBreak/>
        <w:t>Extraction technologies</w:t>
      </w:r>
      <w:bookmarkEnd w:id="63"/>
      <w:bookmarkEnd w:id="64"/>
    </w:p>
    <w:p w14:paraId="223BCEA7" w14:textId="0F319735" w:rsidR="00174635" w:rsidRDefault="00174635" w:rsidP="00174635">
      <w:pPr>
        <w:pStyle w:val="BodyText"/>
      </w:pPr>
      <w:r>
        <w:t xml:space="preserve">In conventional gas accumulations, the hydrocarbons are located </w:t>
      </w:r>
      <w:r w:rsidR="00F457D2">
        <w:t xml:space="preserve">in </w:t>
      </w:r>
      <w:r w:rsidR="00D7763D">
        <w:t>discrete traps defined by dry holes</w:t>
      </w:r>
      <w:r>
        <w:t>, with high porosity and permeability</w:t>
      </w:r>
      <w:r w:rsidR="00D7763D">
        <w:t xml:space="preserve">. </w:t>
      </w:r>
      <w:r>
        <w:t xml:space="preserve">As a result they can typically be developed with a limited number of wells, in which gas flows to the surface under its own pressure. Unconventional gas plays are generally more distributed and have much lower porosity and permeability, restricting movement of gas through the rock. </w:t>
      </w:r>
      <w:r w:rsidRPr="00F457D2">
        <w:rPr>
          <w:color w:val="auto"/>
        </w:rPr>
        <w:t xml:space="preserve">As a result, in order to extract the gas from unconventional plays, artificial stimulation </w:t>
      </w:r>
      <w:r w:rsidR="00F457D2" w:rsidRPr="00F457D2">
        <w:rPr>
          <w:color w:val="auto"/>
        </w:rPr>
        <w:t xml:space="preserve">may be </w:t>
      </w:r>
      <w:r w:rsidRPr="00F457D2">
        <w:rPr>
          <w:color w:val="auto"/>
        </w:rPr>
        <w:t>required to increase the level of porosity and permeability, which generally involves hydraulic fracturing.</w:t>
      </w:r>
      <w:r w:rsidR="002C29BA" w:rsidRPr="00F457D2">
        <w:rPr>
          <w:color w:val="auto"/>
        </w:rPr>
        <w:t xml:space="preserve"> </w:t>
      </w:r>
      <w:r w:rsidR="002C29BA">
        <w:t>In addition, h</w:t>
      </w:r>
      <w:r w:rsidR="002C29BA" w:rsidRPr="002C29BA">
        <w:t>orizontal drilling techniques have improved commercial extractio</w:t>
      </w:r>
      <w:r w:rsidR="002C29BA">
        <w:t>n, particularly for shale gas plays.</w:t>
      </w:r>
    </w:p>
    <w:p w14:paraId="7E4F9D4E" w14:textId="5435F9E9" w:rsidR="00741BB3" w:rsidRDefault="00741BB3" w:rsidP="00174635">
      <w:pPr>
        <w:pStyle w:val="BodyText"/>
      </w:pPr>
      <w:r>
        <w:t xml:space="preserve">A brief discussion on hydraulic fracturing and unconventional gas extraction techniques is summarised below from the following key </w:t>
      </w:r>
      <w:r w:rsidR="002B3DAF">
        <w:t>sources</w:t>
      </w:r>
      <w:r>
        <w:t xml:space="preserve">: CSIRO (2017), </w:t>
      </w:r>
      <w:r w:rsidRPr="000E4EFC">
        <w:t>Scientific Inquiry into Hydraulic Fracturing in the Northern Territory</w:t>
      </w:r>
      <w:r>
        <w:t xml:space="preserve"> (</w:t>
      </w:r>
      <w:r w:rsidR="00C6378C" w:rsidRPr="00EA4532">
        <w:t>201</w:t>
      </w:r>
      <w:r w:rsidR="00C6378C">
        <w:t>8</w:t>
      </w:r>
      <w:r>
        <w:t>), Victorian Legislative Council</w:t>
      </w:r>
      <w:r w:rsidRPr="00EA4532">
        <w:t xml:space="preserve"> Envi</w:t>
      </w:r>
      <w:r>
        <w:t>ronment and Planning Committee (</w:t>
      </w:r>
      <w:r w:rsidRPr="00EA4532">
        <w:t>2015</w:t>
      </w:r>
      <w:r>
        <w:t>)</w:t>
      </w:r>
      <w:r w:rsidR="005569E7">
        <w:t>,</w:t>
      </w:r>
      <w:r>
        <w:t xml:space="preserve"> Cook et al. (</w:t>
      </w:r>
      <w:r w:rsidRPr="00EA4532">
        <w:t>2013</w:t>
      </w:r>
      <w:r>
        <w:t>)</w:t>
      </w:r>
      <w:r w:rsidR="005569E7">
        <w:t xml:space="preserve"> and </w:t>
      </w:r>
      <w:r w:rsidR="005569E7" w:rsidRPr="00EA4532">
        <w:t>South Australian Department for Manufacturing, Innovatio</w:t>
      </w:r>
      <w:r w:rsidR="005569E7">
        <w:t>n, Trade, Resources and Energy (</w:t>
      </w:r>
      <w:r w:rsidR="005569E7" w:rsidRPr="00EA4532">
        <w:t>2012</w:t>
      </w:r>
      <w:r w:rsidR="005569E7">
        <w:t>)</w:t>
      </w:r>
      <w:r>
        <w:t>.</w:t>
      </w:r>
    </w:p>
    <w:p w14:paraId="223BCEA8" w14:textId="77777777" w:rsidR="00174635" w:rsidRPr="00E8799B" w:rsidRDefault="00174635" w:rsidP="00E8799B">
      <w:pPr>
        <w:pStyle w:val="Heading4"/>
      </w:pPr>
      <w:r w:rsidRPr="00E8799B">
        <w:t>Hydraulic fracturing</w:t>
      </w:r>
    </w:p>
    <w:p w14:paraId="223BCEA9" w14:textId="0AFC0226" w:rsidR="00174635" w:rsidRDefault="00174635" w:rsidP="00174635">
      <w:pPr>
        <w:pStyle w:val="BodyText"/>
      </w:pPr>
      <w:r w:rsidRPr="00EF64EF">
        <w:t>Hydraulic fracturing, commonly referred to as frac</w:t>
      </w:r>
      <w:r w:rsidR="00836426">
        <w:t>k</w:t>
      </w:r>
      <w:r w:rsidRPr="00EF64EF">
        <w:t>ing</w:t>
      </w:r>
      <w:r w:rsidR="002E5C80">
        <w:t xml:space="preserve"> or </w:t>
      </w:r>
      <w:r w:rsidR="00CD0F48">
        <w:t>fraccing</w:t>
      </w:r>
      <w:r w:rsidRPr="00EF64EF">
        <w:t xml:space="preserve">, </w:t>
      </w:r>
      <w:r>
        <w:t>has been used by the</w:t>
      </w:r>
      <w:r w:rsidRPr="00EF64EF">
        <w:t xml:space="preserve"> oil and gas industry since the late 1940s to increase the rate and total amount of oil and gas extracted from reservoirs</w:t>
      </w:r>
      <w:r>
        <w:t xml:space="preserve"> (CSIRO, 2017</w:t>
      </w:r>
      <w:r w:rsidR="005E1B62">
        <w:t>)</w:t>
      </w:r>
      <w:r w:rsidR="00DD0C6D">
        <w:t>.</w:t>
      </w:r>
      <w:r w:rsidR="005E1B62">
        <w:t xml:space="preserve"> </w:t>
      </w:r>
    </w:p>
    <w:p w14:paraId="731C96E3" w14:textId="35C13F8E" w:rsidR="00F854DB" w:rsidRPr="00EA4532" w:rsidRDefault="00174635" w:rsidP="00174635">
      <w:pPr>
        <w:pStyle w:val="BodyText"/>
      </w:pPr>
      <w:r w:rsidRPr="00EA4532">
        <w:lastRenderedPageBreak/>
        <w:t xml:space="preserve">Hydraulic fracturing is a process of inducing fine fractures into the low-permeability rock to allow </w:t>
      </w:r>
      <w:r w:rsidR="00E4713C">
        <w:t xml:space="preserve">unconventional hydrocarbons, including </w:t>
      </w:r>
      <w:r w:rsidRPr="00EA4532">
        <w:t>shale gas or tight gas</w:t>
      </w:r>
      <w:r w:rsidR="00E4713C">
        <w:t>,</w:t>
      </w:r>
      <w:r w:rsidRPr="00EA4532">
        <w:t xml:space="preserve"> to be extracted from the reservoir.</w:t>
      </w:r>
      <w:r>
        <w:t xml:space="preserve"> </w:t>
      </w:r>
      <w:r w:rsidRPr="00EA4532">
        <w:t xml:space="preserve">The hydraulic fracturing process requires a well with cemented steel casing that is perforated at the chosen depth </w:t>
      </w:r>
      <w:r w:rsidR="000656D6">
        <w:t>in</w:t>
      </w:r>
      <w:r w:rsidR="000656D6" w:rsidRPr="00EA4532">
        <w:t xml:space="preserve"> </w:t>
      </w:r>
      <w:r w:rsidRPr="00EA4532">
        <w:t>the target reservoir.</w:t>
      </w:r>
      <w:r>
        <w:t xml:space="preserve"> </w:t>
      </w:r>
      <w:r w:rsidRPr="00EA4532">
        <w:t>Hydraulic fracturing fluid, which is water supplemented with proppant and other additives, is pumped down to this target at high pressure, to create or enlarge the fractures and</w:t>
      </w:r>
      <w:r w:rsidR="000656D6">
        <w:t xml:space="preserve"> to</w:t>
      </w:r>
      <w:r w:rsidRPr="00EA4532">
        <w:t xml:space="preserve"> </w:t>
      </w:r>
      <w:r w:rsidR="000656D6">
        <w:t>‘prop’</w:t>
      </w:r>
      <w:r w:rsidR="000656D6" w:rsidRPr="00EA4532">
        <w:t xml:space="preserve"> </w:t>
      </w:r>
      <w:r w:rsidRPr="00EA4532">
        <w:t>them open</w:t>
      </w:r>
      <w:r w:rsidR="00C06F26">
        <w:t xml:space="preserve"> (CSI</w:t>
      </w:r>
      <w:r w:rsidR="00A07463">
        <w:t>R</w:t>
      </w:r>
      <w:r w:rsidR="00C06F26">
        <w:t>O, 2017</w:t>
      </w:r>
      <w:r w:rsidR="005E1B62">
        <w:t>)</w:t>
      </w:r>
      <w:r w:rsidR="00DD0C6D">
        <w:t>.</w:t>
      </w:r>
      <w:r w:rsidR="005E1B62">
        <w:t xml:space="preserve"> </w:t>
      </w:r>
      <w:r w:rsidRPr="00EA4532">
        <w:t xml:space="preserve">Gas and ‘flowback’ then </w:t>
      </w:r>
      <w:r>
        <w:t xml:space="preserve">return up </w:t>
      </w:r>
      <w:r w:rsidRPr="00EA4532">
        <w:t>the well, and</w:t>
      </w:r>
      <w:r w:rsidR="00DD0C6D">
        <w:t xml:space="preserve"> are separated at the surface (</w:t>
      </w:r>
      <w:r w:rsidR="00DD0C6D" w:rsidRPr="000E4EFC">
        <w:t>Scientific Inquiry into Hydraulic Fracturing in the Northern Territory</w:t>
      </w:r>
      <w:r w:rsidR="00DD0C6D" w:rsidRPr="00EA4532">
        <w:t xml:space="preserve">, </w:t>
      </w:r>
      <w:r w:rsidR="00C6378C" w:rsidRPr="00EA4532">
        <w:t>201</w:t>
      </w:r>
      <w:r w:rsidR="00C6378C">
        <w:t>8</w:t>
      </w:r>
      <w:r w:rsidRPr="00EA4532">
        <w:t>; Victorian Legislative Council: Environment and Planning Committee, 2015; Cook et al., 2013; South Australian Department for Manufacturing, Innovation, Trade, Resources and Energy, 2012</w:t>
      </w:r>
      <w:r w:rsidR="005E1B62">
        <w:t>)</w:t>
      </w:r>
      <w:r w:rsidR="00DD0C6D">
        <w:t>.</w:t>
      </w:r>
      <w:r w:rsidR="005E1B62">
        <w:t xml:space="preserve"> </w:t>
      </w:r>
      <w:r w:rsidR="00F854DB">
        <w:t xml:space="preserve">Large amounts of water are required for hydraulic fracturing fluids, however only a portion of the water that is used in the hydraulic fracturing process is returned to the surface. </w:t>
      </w:r>
    </w:p>
    <w:p w14:paraId="223BCEB0" w14:textId="77777777" w:rsidR="00174635" w:rsidRPr="00E8799B" w:rsidRDefault="00174635" w:rsidP="00E8799B">
      <w:pPr>
        <w:pStyle w:val="Heading4"/>
      </w:pPr>
      <w:r w:rsidRPr="00E8799B">
        <w:t>Unconventional gas extraction techniques</w:t>
      </w:r>
    </w:p>
    <w:p w14:paraId="223BCEB1" w14:textId="51AFF13E" w:rsidR="00174635" w:rsidRPr="00EA4532" w:rsidRDefault="00174635" w:rsidP="00174635">
      <w:pPr>
        <w:pStyle w:val="BodyText"/>
      </w:pPr>
      <w:r w:rsidRPr="00EA4532">
        <w:t xml:space="preserve">Horizontal drilling techniques </w:t>
      </w:r>
      <w:r w:rsidR="00EE2273">
        <w:t>have improved commercial extraction of unconventional hydrocarbons</w:t>
      </w:r>
      <w:r w:rsidRPr="00EA4532">
        <w:t>. Horizontal wells</w:t>
      </w:r>
      <w:r w:rsidR="00D65365">
        <w:t xml:space="preserve"> targeting shale gas</w:t>
      </w:r>
      <w:r w:rsidRPr="00EA4532">
        <w:t xml:space="preserve"> are </w:t>
      </w:r>
      <w:r w:rsidR="00125ECC">
        <w:t>often</w:t>
      </w:r>
      <w:r w:rsidR="00125ECC" w:rsidRPr="00EA4532">
        <w:t xml:space="preserve"> </w:t>
      </w:r>
      <w:r w:rsidRPr="00EA4532">
        <w:t>600</w:t>
      </w:r>
      <w:r>
        <w:t xml:space="preserve"> </w:t>
      </w:r>
      <w:r w:rsidRPr="00EA4532">
        <w:t>m</w:t>
      </w:r>
      <w:r w:rsidR="00125ECC">
        <w:t xml:space="preserve"> to </w:t>
      </w:r>
      <w:r w:rsidRPr="00D65365">
        <w:t>3</w:t>
      </w:r>
      <w:r>
        <w:t xml:space="preserve"> </w:t>
      </w:r>
      <w:r w:rsidRPr="00EA4532">
        <w:t xml:space="preserve">km in lateral extent, with the </w:t>
      </w:r>
      <w:r w:rsidR="00C32DCD">
        <w:t xml:space="preserve">well </w:t>
      </w:r>
      <w:r w:rsidRPr="00EA4532">
        <w:t xml:space="preserve">curving from vertical to horizontal </w:t>
      </w:r>
      <w:r w:rsidR="00EE2273">
        <w:t xml:space="preserve">to intersect </w:t>
      </w:r>
      <w:r w:rsidRPr="00EA4532">
        <w:t>the target formation</w:t>
      </w:r>
      <w:r w:rsidR="00D65365">
        <w:t xml:space="preserve"> (Cook et al., 2013</w:t>
      </w:r>
      <w:r w:rsidR="005E1B62">
        <w:t>)</w:t>
      </w:r>
      <w:r w:rsidR="007166E9">
        <w:t>.</w:t>
      </w:r>
      <w:r w:rsidR="005E1B62">
        <w:t xml:space="preserve"> </w:t>
      </w:r>
      <w:r w:rsidRPr="00EA4532">
        <w:t>Typically a multi-stage approach is used</w:t>
      </w:r>
      <w:r w:rsidR="00125ECC">
        <w:t xml:space="preserve"> </w:t>
      </w:r>
      <w:r w:rsidR="00EE2273">
        <w:t>to fracture a well</w:t>
      </w:r>
      <w:r w:rsidRPr="00EA4532">
        <w:t xml:space="preserve">, with </w:t>
      </w:r>
      <w:r w:rsidR="00C32DCD">
        <w:t>between</w:t>
      </w:r>
      <w:r w:rsidR="00C32DCD" w:rsidRPr="00EA4532">
        <w:t xml:space="preserve"> </w:t>
      </w:r>
      <w:r w:rsidRPr="00EA4532">
        <w:t>10</w:t>
      </w:r>
      <w:r w:rsidR="00C32DCD">
        <w:t xml:space="preserve"> and</w:t>
      </w:r>
      <w:r w:rsidR="007402A2">
        <w:t xml:space="preserve"> </w:t>
      </w:r>
      <w:r w:rsidRPr="00EA4532">
        <w:t xml:space="preserve">40 stages along a single </w:t>
      </w:r>
      <w:r w:rsidR="00EE2273">
        <w:t xml:space="preserve">lateral </w:t>
      </w:r>
      <w:r w:rsidRPr="00EA4532">
        <w:t xml:space="preserve">well. </w:t>
      </w:r>
      <w:r w:rsidR="00C32DCD">
        <w:t xml:space="preserve">Each stage is isolated and fracked, after which the process moves to the next stage. </w:t>
      </w:r>
      <w:r w:rsidRPr="00EA4532">
        <w:t xml:space="preserve">Horizontal drilling allows </w:t>
      </w:r>
      <w:r w:rsidR="00CB1311">
        <w:t>multiple wells</w:t>
      </w:r>
      <w:r w:rsidRPr="00EA4532">
        <w:t xml:space="preserve"> to be drilled from a </w:t>
      </w:r>
      <w:r w:rsidRPr="00EA4532">
        <w:lastRenderedPageBreak/>
        <w:t>single well pad. It is expected that well pads will be in the order of one pad per 10–2</w:t>
      </w:r>
      <w:r>
        <w:t>0 km</w:t>
      </w:r>
      <w:r w:rsidRPr="00EA4532">
        <w:rPr>
          <w:rStyle w:val="Superscript"/>
        </w:rPr>
        <w:t>2</w:t>
      </w:r>
      <w:r w:rsidRPr="00EA4532">
        <w:t xml:space="preserve"> in Australia, based on current proposals (</w:t>
      </w:r>
      <w:r w:rsidR="000A0A6D" w:rsidRPr="000E4EFC">
        <w:t>Scientific Inquiry into Hydraulic Fracturing in the Northern Territory</w:t>
      </w:r>
      <w:r w:rsidRPr="00EA4532">
        <w:t xml:space="preserve">, </w:t>
      </w:r>
      <w:r w:rsidR="00C6378C" w:rsidRPr="00EA4532">
        <w:t>201</w:t>
      </w:r>
      <w:r w:rsidR="00C6378C">
        <w:t>8</w:t>
      </w:r>
      <w:r w:rsidR="007402A2">
        <w:t>; Victorian Legislative Council</w:t>
      </w:r>
      <w:r w:rsidRPr="00EA4532">
        <w:t xml:space="preserve"> Environment and Planning Committee, 2015; Cook et al., 2013; South Australian Department for Manufacturing, Innovation, Trade, Resources and Energy, 2012).</w:t>
      </w:r>
    </w:p>
    <w:p w14:paraId="223BCEB2" w14:textId="65C6BC60" w:rsidR="00174635" w:rsidRDefault="00174635" w:rsidP="00174635">
      <w:pPr>
        <w:pStyle w:val="BodyText"/>
      </w:pPr>
      <w:r>
        <w:t>There are significant differences in the extraction techniques for the different forms of unconventional gas (</w:t>
      </w:r>
      <w:r w:rsidR="007402A2" w:rsidRPr="000E4EFC">
        <w:t>Scientific Inquiry into Hydraulic Fracturing in the Northern Territory</w:t>
      </w:r>
      <w:r w:rsidR="007402A2" w:rsidRPr="003E2015">
        <w:t xml:space="preserve">, </w:t>
      </w:r>
      <w:r w:rsidR="00C6378C" w:rsidRPr="003E2015">
        <w:t>201</w:t>
      </w:r>
      <w:r w:rsidR="00C6378C">
        <w:t>8</w:t>
      </w:r>
      <w:r w:rsidR="005E1B62">
        <w:t>)</w:t>
      </w:r>
      <w:r w:rsidR="007166E9">
        <w:t>—</w:t>
      </w:r>
      <w:r w:rsidR="005E1B62">
        <w:t xml:space="preserve"> </w:t>
      </w:r>
    </w:p>
    <w:p w14:paraId="223BCEB3" w14:textId="70D4BB56" w:rsidR="00174635" w:rsidRDefault="00174635" w:rsidP="00E8799B">
      <w:pPr>
        <w:pStyle w:val="ListBullet"/>
      </w:pPr>
      <w:r w:rsidRPr="003F6938">
        <w:rPr>
          <w:rStyle w:val="Bold"/>
        </w:rPr>
        <w:t>Coal seam gas:</w:t>
      </w:r>
      <w:r>
        <w:t xml:space="preserve"> The extraction of coal seam gas does not always require hydraulic fracturing, but does require the removal of water from the coal</w:t>
      </w:r>
      <w:r w:rsidR="00C32DCD">
        <w:t xml:space="preserve">, depressurising the seam </w:t>
      </w:r>
      <w:r>
        <w:t xml:space="preserve">to release the adsorbed gas, so it, together with the free gas can flow to the surface. Large amounts of brine are </w:t>
      </w:r>
      <w:r w:rsidR="0076225E">
        <w:t xml:space="preserve">commonly </w:t>
      </w:r>
      <w:r>
        <w:t xml:space="preserve">produced as a result of this process, which must be treated and disposed. </w:t>
      </w:r>
    </w:p>
    <w:p w14:paraId="4FF19510" w14:textId="17E14EB1" w:rsidR="00F854DB" w:rsidRDefault="001902E2" w:rsidP="00F854DB">
      <w:pPr>
        <w:pStyle w:val="ListBullet"/>
      </w:pPr>
      <w:r w:rsidRPr="003F6938">
        <w:rPr>
          <w:rStyle w:val="Bold"/>
        </w:rPr>
        <w:t>Tight gas:</w:t>
      </w:r>
      <w:r>
        <w:t xml:space="preserve"> Porosity and permeabilities are so low that hydraulic fracturing is always necessary to allow the trapped gas to be produced at economic rates, but unlike coal seam gas, it does not need to remove large quantities of existing groundwater for gas to be produced. </w:t>
      </w:r>
      <w:r w:rsidR="00F854DB">
        <w:t>Vertical wells are most common for tight gas extraction.</w:t>
      </w:r>
    </w:p>
    <w:p w14:paraId="223BCEB4" w14:textId="2F80D5CB" w:rsidR="00657A45" w:rsidRDefault="00657A45" w:rsidP="00E8799B">
      <w:pPr>
        <w:pStyle w:val="ListBullet"/>
      </w:pPr>
      <w:r w:rsidRPr="003F6938">
        <w:rPr>
          <w:rStyle w:val="Bold"/>
        </w:rPr>
        <w:lastRenderedPageBreak/>
        <w:t>Shale gas:</w:t>
      </w:r>
      <w:r>
        <w:t xml:space="preserve"> </w:t>
      </w:r>
      <w:r w:rsidR="00F854DB">
        <w:t xml:space="preserve">As for tight gas, the extraction </w:t>
      </w:r>
      <w:r>
        <w:t>of gas from shale</w:t>
      </w:r>
      <w:r w:rsidR="00F854DB">
        <w:t xml:space="preserve"> </w:t>
      </w:r>
      <w:r>
        <w:t>requires hydraulic fracturing</w:t>
      </w:r>
      <w:r w:rsidR="0076225E">
        <w:t xml:space="preserve">, </w:t>
      </w:r>
      <w:r w:rsidR="00F854DB">
        <w:t>but does not require the removal of large quantities of existing groundwater. Shale gas extraction is most commonly</w:t>
      </w:r>
      <w:r w:rsidR="0076225E">
        <w:t xml:space="preserve"> associated with horizontal drilling</w:t>
      </w:r>
      <w:r>
        <w:t xml:space="preserve">. </w:t>
      </w:r>
    </w:p>
    <w:p w14:paraId="223BCEB6" w14:textId="77777777" w:rsidR="00174635" w:rsidRDefault="00174635" w:rsidP="00174635">
      <w:pPr>
        <w:pStyle w:val="BodyText"/>
      </w:pPr>
      <w:r>
        <w:t xml:space="preserve">Unconventional hydrocarbon extraction requires a much greater density of wells than conventional extraction, as the sweep area of an unconventional well is much less than that of a well producing from a high permeability reservoir. </w:t>
      </w:r>
    </w:p>
    <w:p w14:paraId="223BCEB7" w14:textId="77777777" w:rsidR="00174635" w:rsidRPr="00E8799B" w:rsidRDefault="00174635" w:rsidP="00E8799B">
      <w:pPr>
        <w:pStyle w:val="Heading3"/>
      </w:pPr>
      <w:bookmarkStart w:id="65" w:name="_Toc494276990"/>
      <w:bookmarkStart w:id="66" w:name="_Toc517101419"/>
      <w:r w:rsidRPr="00E8799B">
        <w:t>Stages of shale and tight gas exploration and development</w:t>
      </w:r>
      <w:bookmarkEnd w:id="65"/>
      <w:bookmarkEnd w:id="66"/>
    </w:p>
    <w:p w14:paraId="223BCEB8" w14:textId="14359B73" w:rsidR="00174635" w:rsidRDefault="00174635" w:rsidP="00174635">
      <w:pPr>
        <w:pStyle w:val="BodyText"/>
      </w:pPr>
      <w:r>
        <w:t xml:space="preserve">The stages of shale </w:t>
      </w:r>
      <w:r w:rsidR="008F238E">
        <w:t xml:space="preserve">and tight </w:t>
      </w:r>
      <w:r>
        <w:t xml:space="preserve">gas exploration and development, </w:t>
      </w:r>
      <w:r w:rsidR="00EC567C">
        <w:t xml:space="preserve">modified from </w:t>
      </w:r>
      <w:r>
        <w:t>the Northern Territory Government Scientific Inquiry into Hydraulic Fracturing (</w:t>
      </w:r>
      <w:r w:rsidR="00FE6BB2" w:rsidRPr="000E4EFC">
        <w:t>Scientific Inquiry into Hydraulic Fracturing in the Northern Territory</w:t>
      </w:r>
      <w:r w:rsidR="00FE6BB2" w:rsidRPr="003E2015">
        <w:t xml:space="preserve">, </w:t>
      </w:r>
      <w:r w:rsidR="00C6378C" w:rsidRPr="003E2015">
        <w:t>201</w:t>
      </w:r>
      <w:r w:rsidR="00C6378C">
        <w:t>8</w:t>
      </w:r>
      <w:r>
        <w:t>), are listed below.</w:t>
      </w:r>
    </w:p>
    <w:p w14:paraId="223BCEB9" w14:textId="77777777" w:rsidR="00174635" w:rsidRDefault="00174635" w:rsidP="00E8799B">
      <w:pPr>
        <w:pStyle w:val="ListBullet"/>
      </w:pPr>
      <w:r w:rsidRPr="003F6938">
        <w:rPr>
          <w:rStyle w:val="Bold"/>
        </w:rPr>
        <w:t>Stage 1:</w:t>
      </w:r>
      <w:r>
        <w:t xml:space="preserve"> identification of the gas resource – negotiation and securing land access agreements, securing seismic survey and drilling permits and undertaking initial geological, geophysical and geochemical surveys.</w:t>
      </w:r>
    </w:p>
    <w:p w14:paraId="223BCEBA" w14:textId="6285A4AA" w:rsidR="00174635" w:rsidRDefault="00174635" w:rsidP="00E8799B">
      <w:pPr>
        <w:pStyle w:val="ListBullet"/>
      </w:pPr>
      <w:r w:rsidRPr="003F6938">
        <w:rPr>
          <w:rStyle w:val="Bold"/>
        </w:rPr>
        <w:t>Stage 2:</w:t>
      </w:r>
      <w:r>
        <w:t xml:space="preserve"> early evaluation drilling – seismic mapping of the extent of gas-bearing formations and other geological features such as faults, initial </w:t>
      </w:r>
      <w:r>
        <w:lastRenderedPageBreak/>
        <w:t>vertical drilling to evaluate shale</w:t>
      </w:r>
      <w:r w:rsidR="00EC567C">
        <w:t xml:space="preserve"> or tight</w:t>
      </w:r>
      <w:r>
        <w:t xml:space="preserve"> gas resource properties and collection of core samples.</w:t>
      </w:r>
    </w:p>
    <w:p w14:paraId="223BCEBB" w14:textId="0DC6B970" w:rsidR="00174635" w:rsidRDefault="00174635" w:rsidP="00E8799B">
      <w:pPr>
        <w:pStyle w:val="ListBullet"/>
      </w:pPr>
      <w:r w:rsidRPr="003F6938">
        <w:rPr>
          <w:rStyle w:val="Bold"/>
        </w:rPr>
        <w:t>Stage 3:</w:t>
      </w:r>
      <w:r>
        <w:t xml:space="preserve"> pilot project drilling – drilling of initial wells to determine reservoir properties and to help optimise operational techniques and initial production testing.</w:t>
      </w:r>
    </w:p>
    <w:p w14:paraId="223BCEBC" w14:textId="6B4064D2" w:rsidR="00174635" w:rsidRDefault="00174635" w:rsidP="00E8799B">
      <w:pPr>
        <w:pStyle w:val="ListBullet"/>
      </w:pPr>
      <w:r w:rsidRPr="003F6938">
        <w:rPr>
          <w:rStyle w:val="Bold"/>
        </w:rPr>
        <w:t>Stage 4:</w:t>
      </w:r>
      <w:r>
        <w:t xml:space="preserve"> pilot production testing drilling –</w:t>
      </w:r>
      <w:r w:rsidR="00EC567C">
        <w:t xml:space="preserve"> </w:t>
      </w:r>
      <w:r>
        <w:t>drilling of multiple horizontal wells from a single pad</w:t>
      </w:r>
      <w:r w:rsidR="00EC567C">
        <w:t xml:space="preserve"> for shale gas targets</w:t>
      </w:r>
      <w:r w:rsidR="000E249E">
        <w:t xml:space="preserve"> or,</w:t>
      </w:r>
      <w:r w:rsidR="00EC567C">
        <w:t xml:space="preserve"> more common</w:t>
      </w:r>
      <w:r w:rsidR="000E249E">
        <w:t>ly,</w:t>
      </w:r>
      <w:r w:rsidR="00EC567C">
        <w:t xml:space="preserve"> </w:t>
      </w:r>
      <w:r w:rsidR="000E249E">
        <w:t xml:space="preserve">vertical wells </w:t>
      </w:r>
      <w:r w:rsidR="00EC567C">
        <w:t xml:space="preserve">for tight gas targets, </w:t>
      </w:r>
      <w:r>
        <w:t>full optimisation of operation techniques including drilling and multi-stage hydraulic fracturing, pilot production testing, and planning of pipeline corridors for field development.</w:t>
      </w:r>
    </w:p>
    <w:p w14:paraId="223BCEBD" w14:textId="597CFD5E" w:rsidR="00174635" w:rsidRDefault="00174635" w:rsidP="00E8799B">
      <w:pPr>
        <w:pStyle w:val="ListBullet"/>
      </w:pPr>
      <w:r w:rsidRPr="00A65094">
        <w:rPr>
          <w:rStyle w:val="Bold"/>
          <w:rFonts w:eastAsia="Calibri"/>
        </w:rPr>
        <w:t>Stage 5:</w:t>
      </w:r>
      <w:r>
        <w:t xml:space="preserve"> commercial development – following a commercial decision to proceed</w:t>
      </w:r>
      <w:r w:rsidR="008F238E">
        <w:t xml:space="preserve"> (FID)</w:t>
      </w:r>
      <w:r>
        <w:t>, and government approvals for construction of gas plants, pipelines and other infrastructure, the drilling and fracturing of a network of production wells.</w:t>
      </w:r>
    </w:p>
    <w:p w14:paraId="223BCEBE" w14:textId="296405F9" w:rsidR="00174635" w:rsidRDefault="00174635" w:rsidP="00E8799B">
      <w:pPr>
        <w:pStyle w:val="ListBullet"/>
      </w:pPr>
      <w:r w:rsidRPr="00A65094">
        <w:rPr>
          <w:rStyle w:val="Bold"/>
          <w:rFonts w:eastAsia="Calibri"/>
        </w:rPr>
        <w:t>Final stage</w:t>
      </w:r>
      <w:r w:rsidRPr="00A65094">
        <w:rPr>
          <w:rStyle w:val="Bold"/>
        </w:rPr>
        <w:t>:</w:t>
      </w:r>
      <w:r>
        <w:t xml:space="preserve"> decommissioning – removal of the wellhead, plugging the </w:t>
      </w:r>
      <w:r w:rsidR="00CA5CCE">
        <w:t>well</w:t>
      </w:r>
      <w:r>
        <w:t xml:space="preserve"> casing with cement and steel, and removal of all production equipment, production waste, pipelines and other infrastructure, and the rehabilitation of all cleared areas.</w:t>
      </w:r>
    </w:p>
    <w:p w14:paraId="223BCEBF" w14:textId="178D2BB6" w:rsidR="00174635" w:rsidRPr="006D6F7D" w:rsidRDefault="00EC567C" w:rsidP="00174635">
      <w:pPr>
        <w:pStyle w:val="BodyText"/>
      </w:pPr>
      <w:r>
        <w:t>In general tight gas</w:t>
      </w:r>
      <w:r w:rsidR="00174635">
        <w:t xml:space="preserve"> development follows a</w:t>
      </w:r>
      <w:r>
        <w:t xml:space="preserve"> </w:t>
      </w:r>
      <w:r w:rsidR="00174635">
        <w:t>slightly less complex</w:t>
      </w:r>
      <w:r>
        <w:t xml:space="preserve"> </w:t>
      </w:r>
      <w:r w:rsidR="00174635">
        <w:t xml:space="preserve">pathway to </w:t>
      </w:r>
      <w:r>
        <w:t xml:space="preserve">shale gas development, as </w:t>
      </w:r>
      <w:r w:rsidR="00174635">
        <w:t>vertical wells are used for pilot project evaluation and production testing.</w:t>
      </w:r>
      <w:r>
        <w:t xml:space="preserve"> </w:t>
      </w:r>
    </w:p>
    <w:p w14:paraId="7E363C9F" w14:textId="77777777" w:rsidR="0016051B" w:rsidRDefault="0016051B" w:rsidP="000E249E">
      <w:pPr>
        <w:pStyle w:val="BodyText"/>
      </w:pPr>
      <w:bookmarkStart w:id="67" w:name="_Toc494277009"/>
      <w:bookmarkEnd w:id="30"/>
      <w:bookmarkEnd w:id="31"/>
      <w:bookmarkEnd w:id="32"/>
    </w:p>
    <w:p w14:paraId="57F05F71" w14:textId="77777777" w:rsidR="0016051B" w:rsidRDefault="0016051B">
      <w:pPr>
        <w:spacing w:after="180"/>
      </w:pPr>
      <w:r>
        <w:br w:type="page"/>
      </w:r>
    </w:p>
    <w:p w14:paraId="02BE55BC" w14:textId="01C0AE6E" w:rsidR="00D27769" w:rsidRDefault="00D27769" w:rsidP="000E249E">
      <w:pPr>
        <w:pStyle w:val="BodyText"/>
        <w:rPr>
          <w:rFonts w:asciiTheme="majorHAnsi" w:eastAsia="Times New Roman" w:hAnsiTheme="majorHAnsi"/>
          <w:b/>
          <w:color w:val="146692" w:themeColor="text2"/>
          <w:sz w:val="72"/>
          <w:szCs w:val="72"/>
        </w:rPr>
      </w:pPr>
      <w:r>
        <w:lastRenderedPageBreak/>
        <w:br w:type="page"/>
      </w:r>
    </w:p>
    <w:p w14:paraId="5AEBC63E" w14:textId="77777777" w:rsidR="00D27769" w:rsidRPr="00C70AB5" w:rsidRDefault="00D27769" w:rsidP="00D27769">
      <w:pPr>
        <w:pStyle w:val="Heading1"/>
      </w:pPr>
      <w:bookmarkStart w:id="68" w:name="_Toc517101420"/>
      <w:r w:rsidRPr="00C70AB5">
        <w:lastRenderedPageBreak/>
        <w:t xml:space="preserve">Rapid regional </w:t>
      </w:r>
      <w:r>
        <w:t xml:space="preserve">basin </w:t>
      </w:r>
      <w:r w:rsidRPr="00C70AB5">
        <w:t>prioritisation</w:t>
      </w:r>
      <w:bookmarkEnd w:id="67"/>
      <w:bookmarkEnd w:id="68"/>
    </w:p>
    <w:p w14:paraId="41E15291" w14:textId="77777777" w:rsidR="00091715" w:rsidRDefault="00091715" w:rsidP="005E0FA1">
      <w:pPr>
        <w:pStyle w:val="BodyText"/>
      </w:pPr>
      <w:bookmarkStart w:id="69" w:name="_Ref493831429"/>
      <w:bookmarkStart w:id="70" w:name="_Toc494277010"/>
    </w:p>
    <w:p w14:paraId="2221142A" w14:textId="77777777" w:rsidR="00D27769" w:rsidRPr="00E8799B" w:rsidRDefault="00D27769" w:rsidP="00D27769">
      <w:pPr>
        <w:pStyle w:val="Heading2"/>
      </w:pPr>
      <w:bookmarkStart w:id="71" w:name="_Toc517101421"/>
      <w:r>
        <w:t>Shortlist</w:t>
      </w:r>
      <w:r w:rsidRPr="00E8799B">
        <w:t xml:space="preserve"> of basins with shale and/or tight gas prospectivity</w:t>
      </w:r>
      <w:bookmarkEnd w:id="69"/>
      <w:bookmarkEnd w:id="70"/>
      <w:bookmarkEnd w:id="71"/>
    </w:p>
    <w:p w14:paraId="6A0F5F5B" w14:textId="138448B3" w:rsidR="00D27769" w:rsidRPr="00E70BDF" w:rsidRDefault="00D27769" w:rsidP="00174635">
      <w:pPr>
        <w:pStyle w:val="BodyText"/>
        <w:tabs>
          <w:tab w:val="left" w:pos="7371"/>
        </w:tabs>
      </w:pPr>
      <w:r w:rsidRPr="00E70BDF">
        <w:t xml:space="preserve">Basins capable of supplying significant volumes of </w:t>
      </w:r>
      <w:r>
        <w:t>shale and/or tight</w:t>
      </w:r>
      <w:r w:rsidRPr="00E70BDF">
        <w:t xml:space="preserve"> gas to </w:t>
      </w:r>
      <w:r>
        <w:t xml:space="preserve">Australia’s </w:t>
      </w:r>
      <w:r w:rsidR="00373A49">
        <w:t>East Coast Gas M</w:t>
      </w:r>
      <w:r>
        <w:t>arket in the next five</w:t>
      </w:r>
      <w:r w:rsidRPr="00E70BDF">
        <w:t xml:space="preserve"> to</w:t>
      </w:r>
      <w:r>
        <w:t xml:space="preserve"> ten</w:t>
      </w:r>
      <w:r w:rsidRPr="00E70BDF">
        <w:t xml:space="preserve"> years were identified by considering</w:t>
      </w:r>
      <w:r>
        <w:t>:</w:t>
      </w:r>
      <w:r w:rsidRPr="00E70BDF">
        <w:t xml:space="preserve"> a) basin location and b) the level of industry exploration activity for shale and/or tight gas plays. Basins where shale and</w:t>
      </w:r>
      <w:r>
        <w:t>/or</w:t>
      </w:r>
      <w:r w:rsidRPr="00E70BDF">
        <w:t xml:space="preserve"> </w:t>
      </w:r>
      <w:r>
        <w:t xml:space="preserve">tight </w:t>
      </w:r>
      <w:r w:rsidRPr="00E70BDF">
        <w:t>gas expl</w:t>
      </w:r>
      <w:r>
        <w:t xml:space="preserve">oitation is currently occurring, </w:t>
      </w:r>
      <w:r w:rsidRPr="00E70BDF">
        <w:t>or is likely to occur in the near future</w:t>
      </w:r>
      <w:r>
        <w:t xml:space="preserve">, </w:t>
      </w:r>
      <w:r w:rsidRPr="00E70BDF">
        <w:t xml:space="preserve">or where shale and tight gas exploration is ongoing, were </w:t>
      </w:r>
      <w:r>
        <w:t>shortlist</w:t>
      </w:r>
      <w:r w:rsidRPr="00E70BDF">
        <w:t>ed as priority areas for early research.</w:t>
      </w:r>
    </w:p>
    <w:p w14:paraId="6ACA0690" w14:textId="77777777" w:rsidR="00D27769" w:rsidRPr="00E8799B" w:rsidRDefault="00D27769" w:rsidP="00D27769">
      <w:pPr>
        <w:pStyle w:val="Heading3"/>
      </w:pPr>
      <w:bookmarkStart w:id="72" w:name="_Toc494277011"/>
      <w:bookmarkStart w:id="73" w:name="_Toc517101422"/>
      <w:r w:rsidRPr="00E8799B">
        <w:t>Eastern and northern Australian sedimentary basins</w:t>
      </w:r>
      <w:bookmarkEnd w:id="72"/>
      <w:bookmarkEnd w:id="73"/>
    </w:p>
    <w:p w14:paraId="636AC0B7" w14:textId="74902C78" w:rsidR="00D27769" w:rsidRDefault="00D27769" w:rsidP="00174635">
      <w:pPr>
        <w:pStyle w:val="BodyText"/>
      </w:pPr>
      <w:r>
        <w:t>The locations of Australian sedimentary basins were sourced from the Australian Geological Provinces database (Stewart et al., 2013</w:t>
      </w:r>
      <w:r w:rsidR="005E1B62">
        <w:t>)</w:t>
      </w:r>
      <w:r w:rsidR="00DD0C6D">
        <w:t>.</w:t>
      </w:r>
      <w:r w:rsidR="005E1B62">
        <w:t xml:space="preserve"> </w:t>
      </w:r>
      <w:r>
        <w:t xml:space="preserve">Out of approximately </w:t>
      </w:r>
      <w:r w:rsidRPr="00DF5192">
        <w:t xml:space="preserve">120 </w:t>
      </w:r>
      <w:r>
        <w:t xml:space="preserve">onshore </w:t>
      </w:r>
      <w:r w:rsidRPr="00DF5192">
        <w:t>sedimentary basins</w:t>
      </w:r>
      <w:r>
        <w:t xml:space="preserve">; approximately 60 are located within </w:t>
      </w:r>
      <w:r>
        <w:lastRenderedPageBreak/>
        <w:t xml:space="preserve">400 km of either existing </w:t>
      </w:r>
      <w:r w:rsidR="00373A49">
        <w:t>East Coast</w:t>
      </w:r>
      <w:r>
        <w:t xml:space="preserve"> or Northern Territory </w:t>
      </w:r>
      <w:r w:rsidR="00392628">
        <w:t>G</w:t>
      </w:r>
      <w:r>
        <w:t xml:space="preserve">as </w:t>
      </w:r>
      <w:r w:rsidR="00392628">
        <w:t>M</w:t>
      </w:r>
      <w:r>
        <w:t>arket infrastructure or infrastructure under construction (</w:t>
      </w:r>
      <w:r>
        <w:fldChar w:fldCharType="begin"/>
      </w:r>
      <w:r>
        <w:instrText xml:space="preserve"> REF _Ref493758938 \h </w:instrText>
      </w:r>
      <w:r>
        <w:fldChar w:fldCharType="separate"/>
      </w:r>
      <w:r w:rsidR="004A16F5" w:rsidRPr="00AB6721">
        <w:t xml:space="preserve">Figure </w:t>
      </w:r>
      <w:r w:rsidR="004A16F5">
        <w:rPr>
          <w:noProof/>
        </w:rPr>
        <w:t>5</w:t>
      </w:r>
      <w:r w:rsidR="004A16F5">
        <w:noBreakHyphen/>
      </w:r>
      <w:r w:rsidR="004A16F5">
        <w:rPr>
          <w:noProof/>
        </w:rPr>
        <w:t>1</w:t>
      </w:r>
      <w:r>
        <w:fldChar w:fldCharType="end"/>
      </w:r>
      <w:r>
        <w:t>).</w:t>
      </w:r>
    </w:p>
    <w:p w14:paraId="117016CF" w14:textId="77777777" w:rsidR="00D27769" w:rsidRDefault="00D27769" w:rsidP="00174635">
      <w:pPr>
        <w:pStyle w:val="FiguresImagesCentred"/>
      </w:pPr>
      <w:r w:rsidRPr="00BD75DE">
        <w:rPr>
          <w:noProof/>
        </w:rPr>
        <w:lastRenderedPageBreak/>
        <w:drawing>
          <wp:inline distT="0" distB="0" distL="0" distR="0" wp14:anchorId="1CFF974B" wp14:editId="2F95AC3E">
            <wp:extent cx="6114384" cy="5732980"/>
            <wp:effectExtent l="0" t="0" r="127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1992"/>
                    <a:stretch/>
                  </pic:blipFill>
                  <pic:spPr bwMode="auto">
                    <a:xfrm>
                      <a:off x="0" y="0"/>
                      <a:ext cx="6127000" cy="5744809"/>
                    </a:xfrm>
                    <a:prstGeom prst="rect">
                      <a:avLst/>
                    </a:prstGeom>
                    <a:noFill/>
                    <a:ln>
                      <a:noFill/>
                    </a:ln>
                    <a:extLst>
                      <a:ext uri="{53640926-AAD7-44D8-BBD7-CCE9431645EC}">
                        <a14:shadowObscured xmlns:a14="http://schemas.microsoft.com/office/drawing/2010/main"/>
                      </a:ext>
                    </a:extLst>
                  </pic:spPr>
                </pic:pic>
              </a:graphicData>
            </a:graphic>
          </wp:inline>
        </w:drawing>
      </w:r>
    </w:p>
    <w:p w14:paraId="1427AD03" w14:textId="2F019FFF" w:rsidR="00D27769" w:rsidRDefault="00D27769" w:rsidP="00174635">
      <w:pPr>
        <w:pStyle w:val="Caption"/>
      </w:pPr>
      <w:bookmarkStart w:id="74" w:name="_Ref493758938"/>
      <w:bookmarkStart w:id="75" w:name="_Toc517101446"/>
      <w:r w:rsidRPr="00AB6721">
        <w:t xml:space="preserve">Figure </w:t>
      </w:r>
      <w:fldSimple w:instr=" STYLEREF 1 \s ">
        <w:r w:rsidR="004A16F5">
          <w:rPr>
            <w:noProof/>
          </w:rPr>
          <w:t>5</w:t>
        </w:r>
      </w:fldSimple>
      <w:r>
        <w:noBreakHyphen/>
      </w:r>
      <w:fldSimple w:instr=" SEQ Figure \* ARABIC \s 1 ">
        <w:r w:rsidR="004A16F5">
          <w:rPr>
            <w:noProof/>
          </w:rPr>
          <w:t>1</w:t>
        </w:r>
      </w:fldSimple>
      <w:bookmarkEnd w:id="74"/>
      <w:r w:rsidRPr="00AB6721">
        <w:t xml:space="preserve"> Australian sedimentary basins and gas market location. Province outlines from Stewart et al. (2013</w:t>
      </w:r>
      <w:r w:rsidR="005E1B62">
        <w:t>)</w:t>
      </w:r>
      <w:r w:rsidR="005A3B36">
        <w:t>.</w:t>
      </w:r>
      <w:r w:rsidR="005E1B62">
        <w:t xml:space="preserve"> </w:t>
      </w:r>
      <w:r w:rsidR="00887B5E">
        <w:t>Oil and gas p</w:t>
      </w:r>
      <w:r w:rsidR="00887B5E" w:rsidRPr="00AB6721">
        <w:t xml:space="preserve">ipelines </w:t>
      </w:r>
      <w:r w:rsidR="00887B5E">
        <w:t>from GA (2015a).</w:t>
      </w:r>
      <w:bookmarkEnd w:id="75"/>
    </w:p>
    <w:p w14:paraId="51250D34" w14:textId="77777777" w:rsidR="00D27769" w:rsidRPr="003F6938" w:rsidRDefault="00D27769" w:rsidP="003F6938">
      <w:pPr>
        <w:pStyle w:val="BodyText"/>
      </w:pPr>
    </w:p>
    <w:p w14:paraId="157857D0" w14:textId="77777777" w:rsidR="00D27769" w:rsidRPr="00E8799B" w:rsidRDefault="00D27769" w:rsidP="00D27769">
      <w:pPr>
        <w:pStyle w:val="Heading3"/>
      </w:pPr>
      <w:bookmarkStart w:id="76" w:name="_Toc494277012"/>
      <w:bookmarkStart w:id="77" w:name="_Toc517101423"/>
      <w:r w:rsidRPr="00E8799B">
        <w:t>Approximate development timeframe</w:t>
      </w:r>
      <w:bookmarkEnd w:id="76"/>
      <w:bookmarkEnd w:id="77"/>
    </w:p>
    <w:p w14:paraId="44CD8AD2" w14:textId="77777777" w:rsidR="00D27769" w:rsidRDefault="00D27769" w:rsidP="00174635">
      <w:pPr>
        <w:pStyle w:val="BodyText"/>
      </w:pPr>
      <w:r>
        <w:t>A review and summary of the exploration status for eastern and northern Australian Basins was undertaken for this study, including an update of reported shale and tight gas contingent and prospective resources. A comprehensive review of the exploration status of all potential shale and tight gas plays is also included. The data underpinning this review is all public domain and key sources include: federal, state and territory government reports and websites, third party reviews and industry intelligence sourced from company websites, ASX media releases and other news articles. The full results of the review, with associated references, are found in Appendix A.</w:t>
      </w:r>
    </w:p>
    <w:p w14:paraId="1C538657" w14:textId="679945D2" w:rsidR="00D27769" w:rsidRDefault="00D27769" w:rsidP="00174635">
      <w:pPr>
        <w:pStyle w:val="BodyText"/>
      </w:pPr>
      <w:r>
        <w:t>In addition and</w:t>
      </w:r>
      <w:r w:rsidRPr="00AB7B43">
        <w:t xml:space="preserve"> where possible, wells targeting shale or tight gas plays were identified from a variety of sources including state government reports and industry media releases (e.g.</w:t>
      </w:r>
      <w:r w:rsidRPr="007075E3">
        <w:t xml:space="preserve"> </w:t>
      </w:r>
      <w:r w:rsidR="007402A2" w:rsidRPr="000E4EFC">
        <w:t>Scientific Inquiry into Hydraulic Fracturing in the Northern Territory</w:t>
      </w:r>
      <w:r w:rsidR="007402A2" w:rsidRPr="003E2015">
        <w:t xml:space="preserve">, </w:t>
      </w:r>
      <w:r w:rsidR="00C6378C" w:rsidRPr="003E2015">
        <w:t>201</w:t>
      </w:r>
      <w:r w:rsidR="00C6378C">
        <w:t>8</w:t>
      </w:r>
      <w:r w:rsidRPr="00AB7B43">
        <w:t>; DNRM, 2017</w:t>
      </w:r>
      <w:r w:rsidR="000A0A6D">
        <w:t>; see Appendix A for full reference list</w:t>
      </w:r>
      <w:r w:rsidR="005E1B62">
        <w:t>)</w:t>
      </w:r>
      <w:r w:rsidR="007166E9">
        <w:t>.</w:t>
      </w:r>
      <w:r w:rsidR="005E1B62">
        <w:t xml:space="preserve"> </w:t>
      </w:r>
      <w:r w:rsidRPr="00AB7B43">
        <w:t xml:space="preserve">However it should be noted that this list is not </w:t>
      </w:r>
      <w:r>
        <w:t>comprehensive</w:t>
      </w:r>
      <w:r w:rsidRPr="00AB7B43">
        <w:t xml:space="preserve"> and there are inconsistencies between</w:t>
      </w:r>
      <w:r>
        <w:t xml:space="preserve"> well classifications </w:t>
      </w:r>
      <w:r w:rsidRPr="00AB7B43">
        <w:t xml:space="preserve">depending on </w:t>
      </w:r>
      <w:r>
        <w:t xml:space="preserve">the </w:t>
      </w:r>
      <w:r w:rsidRPr="00AB7B43">
        <w:t>data source.</w:t>
      </w:r>
    </w:p>
    <w:p w14:paraId="4B55683C" w14:textId="77777777" w:rsidR="00D27769" w:rsidRDefault="00D27769" w:rsidP="00174635">
      <w:pPr>
        <w:pStyle w:val="BodyText"/>
      </w:pPr>
      <w:r>
        <w:t xml:space="preserve">This review identified a total of 27 eastern and northern Australian basins that contain possible tight and/or shale gas plays, as listed in Table A.2, in Appendix A. </w:t>
      </w:r>
    </w:p>
    <w:p w14:paraId="268C9B38" w14:textId="31FEF5BF" w:rsidR="00D27769" w:rsidRDefault="00D27769" w:rsidP="00174635">
      <w:pPr>
        <w:pStyle w:val="BodyText"/>
      </w:pPr>
      <w:r>
        <w:lastRenderedPageBreak/>
        <w:t>An approximate future development timeframe can be estimated based on the stage of existing exploration and development in the basin (</w:t>
      </w:r>
      <w:r>
        <w:fldChar w:fldCharType="begin"/>
      </w:r>
      <w:r>
        <w:instrText xml:space="preserve"> REF _Ref493757325 \h </w:instrText>
      </w:r>
      <w:r>
        <w:fldChar w:fldCharType="separate"/>
      </w:r>
      <w:r w:rsidR="004A16F5" w:rsidRPr="00AB6721">
        <w:t xml:space="preserve">Figure </w:t>
      </w:r>
      <w:r w:rsidR="004A16F5">
        <w:rPr>
          <w:noProof/>
        </w:rPr>
        <w:t>5</w:t>
      </w:r>
      <w:r w:rsidR="004A16F5">
        <w:noBreakHyphen/>
      </w:r>
      <w:r w:rsidR="004A16F5">
        <w:rPr>
          <w:noProof/>
        </w:rPr>
        <w:t>2</w:t>
      </w:r>
      <w:r>
        <w:fldChar w:fldCharType="end"/>
      </w:r>
      <w:r>
        <w:t xml:space="preserve">; </w:t>
      </w:r>
      <w:r>
        <w:fldChar w:fldCharType="begin"/>
      </w:r>
      <w:r>
        <w:instrText xml:space="preserve"> REF _Ref494472420 \h </w:instrText>
      </w:r>
      <w:r>
        <w:fldChar w:fldCharType="separate"/>
      </w:r>
      <w:r w:rsidR="004A16F5" w:rsidRPr="00AB6721">
        <w:t xml:space="preserve">Table </w:t>
      </w:r>
      <w:r w:rsidR="004A16F5">
        <w:rPr>
          <w:noProof/>
        </w:rPr>
        <w:t>5</w:t>
      </w:r>
      <w:r w:rsidR="004A16F5" w:rsidRPr="00AB6721">
        <w:noBreakHyphen/>
      </w:r>
      <w:r w:rsidR="004A16F5">
        <w:rPr>
          <w:noProof/>
        </w:rPr>
        <w:t>1</w:t>
      </w:r>
      <w:r>
        <w:fldChar w:fldCharType="end"/>
      </w:r>
      <w:r>
        <w:t>), assuming sustained investment and no other impediment to development (e.g. regulatory restrictions and environmental or social concerns</w:t>
      </w:r>
      <w:r w:rsidR="005E1B62">
        <w:t>)</w:t>
      </w:r>
      <w:r w:rsidR="007166E9">
        <w:t>.</w:t>
      </w:r>
      <w:r w:rsidR="005E1B62">
        <w:t xml:space="preserve"> </w:t>
      </w:r>
      <w:r>
        <w:t xml:space="preserve">For gas to be brought to the </w:t>
      </w:r>
      <w:r w:rsidR="00432D5D">
        <w:t>East Coast Gas Market</w:t>
      </w:r>
      <w:r w:rsidR="00432D5D" w:rsidRPr="00F7701F">
        <w:t xml:space="preserve"> </w:t>
      </w:r>
      <w:r>
        <w:t xml:space="preserve">within a five to ten year time frame, active exploration for shale and or tight gas resources must already be underway in the basin, with possible plays, leads or prospects already identified. </w:t>
      </w:r>
    </w:p>
    <w:p w14:paraId="72E79AD4" w14:textId="77777777" w:rsidR="000F29BA" w:rsidRDefault="000F29BA" w:rsidP="00174635">
      <w:pPr>
        <w:pStyle w:val="BodyText"/>
      </w:pPr>
    </w:p>
    <w:p w14:paraId="7B2B6983" w14:textId="77777777" w:rsidR="00D27769" w:rsidRPr="00AB6721" w:rsidRDefault="00D27769" w:rsidP="00924E2B">
      <w:pPr>
        <w:pStyle w:val="Caption"/>
      </w:pPr>
      <w:bookmarkStart w:id="78" w:name="_Ref494472420"/>
      <w:bookmarkStart w:id="79" w:name="_Toc517101455"/>
      <w:r w:rsidRPr="00AB6721">
        <w:t xml:space="preserve">Table </w:t>
      </w:r>
      <w:fldSimple w:instr=" STYLEREF 1 \s ">
        <w:r w:rsidR="004A16F5">
          <w:rPr>
            <w:noProof/>
          </w:rPr>
          <w:t>5</w:t>
        </w:r>
      </w:fldSimple>
      <w:r w:rsidRPr="00AB6721">
        <w:noBreakHyphen/>
      </w:r>
      <w:fldSimple w:instr=" SEQ Table \* ARABIC \s 1 ">
        <w:r w:rsidR="004A16F5">
          <w:rPr>
            <w:noProof/>
          </w:rPr>
          <w:t>1</w:t>
        </w:r>
      </w:fldSimple>
      <w:bookmarkEnd w:id="78"/>
      <w:r>
        <w:t xml:space="preserve"> Approximate time</w:t>
      </w:r>
      <w:r w:rsidRPr="00AB6721">
        <w:t>frame for delivery to market by stage of development. This assumes sustained funding of activities and no other impediment to development (e.g. regulatory restrictions; environmental or social concerns).</w:t>
      </w:r>
      <w:bookmarkEnd w:id="79"/>
    </w:p>
    <w:tbl>
      <w:tblPr>
        <w:tblStyle w:val="TableBAHeaderRow"/>
        <w:tblW w:w="5000" w:type="pct"/>
        <w:tblLook w:val="04A0" w:firstRow="1" w:lastRow="0" w:firstColumn="1" w:lastColumn="0" w:noHBand="0" w:noVBand="1"/>
      </w:tblPr>
      <w:tblGrid>
        <w:gridCol w:w="2547"/>
        <w:gridCol w:w="4939"/>
        <w:gridCol w:w="2153"/>
      </w:tblGrid>
      <w:tr w:rsidR="00D27769" w14:paraId="0700076E" w14:textId="77777777" w:rsidTr="008454B0">
        <w:trPr>
          <w:cnfStyle w:val="100000000000" w:firstRow="1" w:lastRow="0" w:firstColumn="0" w:lastColumn="0" w:oddVBand="0" w:evenVBand="0" w:oddHBand="0" w:evenHBand="0" w:firstRowFirstColumn="0" w:firstRowLastColumn="0" w:lastRowFirstColumn="0" w:lastRowLastColumn="0"/>
        </w:trPr>
        <w:tc>
          <w:tcPr>
            <w:tcW w:w="1321" w:type="pct"/>
          </w:tcPr>
          <w:p w14:paraId="4B7BD34E" w14:textId="77777777" w:rsidR="00D27769" w:rsidRPr="008454B0" w:rsidRDefault="00D27769" w:rsidP="00760658">
            <w:pPr>
              <w:pStyle w:val="BodyText"/>
              <w:rPr>
                <w:color w:val="FFFFFF" w:themeColor="background1"/>
              </w:rPr>
            </w:pPr>
            <w:r w:rsidRPr="008454B0">
              <w:rPr>
                <w:color w:val="FFFFFF" w:themeColor="background1"/>
              </w:rPr>
              <w:t>                    </w:t>
            </w:r>
          </w:p>
        </w:tc>
        <w:tc>
          <w:tcPr>
            <w:tcW w:w="2562" w:type="pct"/>
          </w:tcPr>
          <w:p w14:paraId="686635D2" w14:textId="77777777" w:rsidR="00D27769" w:rsidRPr="008454B0" w:rsidRDefault="00D27769" w:rsidP="00760658">
            <w:pPr>
              <w:pStyle w:val="BodyText"/>
              <w:rPr>
                <w:color w:val="FFFFFF" w:themeColor="background1"/>
              </w:rPr>
            </w:pPr>
            <w:r w:rsidRPr="008454B0">
              <w:rPr>
                <w:color w:val="FFFFFF" w:themeColor="background1"/>
              </w:rPr>
              <w:t>      </w:t>
            </w:r>
          </w:p>
        </w:tc>
        <w:tc>
          <w:tcPr>
            <w:tcW w:w="1117" w:type="pct"/>
          </w:tcPr>
          <w:p w14:paraId="342B9501" w14:textId="77777777" w:rsidR="00D27769" w:rsidRPr="008454B0" w:rsidRDefault="00D27769" w:rsidP="00760658">
            <w:pPr>
              <w:pStyle w:val="BodyText"/>
              <w:rPr>
                <w:color w:val="FFFFFF" w:themeColor="background1"/>
              </w:rPr>
            </w:pPr>
            <w:r w:rsidRPr="008454B0">
              <w:rPr>
                <w:color w:val="FFFFFF" w:themeColor="background1"/>
              </w:rPr>
              <w:t>                                     </w:t>
            </w:r>
          </w:p>
        </w:tc>
      </w:tr>
      <w:tr w:rsidR="00D27769" w14:paraId="1D29EF38" w14:textId="77777777" w:rsidTr="008454B0">
        <w:trPr>
          <w:cnfStyle w:val="000000100000" w:firstRow="0" w:lastRow="0" w:firstColumn="0" w:lastColumn="0" w:oddVBand="0" w:evenVBand="0" w:oddHBand="1" w:evenHBand="0" w:firstRowFirstColumn="0" w:firstRowLastColumn="0" w:lastRowFirstColumn="0" w:lastRowLastColumn="0"/>
        </w:trPr>
        <w:tc>
          <w:tcPr>
            <w:tcW w:w="1321" w:type="pct"/>
          </w:tcPr>
          <w:p w14:paraId="2729C60D" w14:textId="77777777" w:rsidR="00D27769" w:rsidRDefault="00D27769" w:rsidP="00760658">
            <w:pPr>
              <w:pStyle w:val="BodyText"/>
            </w:pPr>
            <w:r>
              <w:t>No exploration activity</w:t>
            </w:r>
          </w:p>
        </w:tc>
        <w:tc>
          <w:tcPr>
            <w:tcW w:w="2562" w:type="pct"/>
          </w:tcPr>
          <w:p w14:paraId="089FB851" w14:textId="77777777" w:rsidR="00D27769" w:rsidRDefault="00D27769" w:rsidP="00760658">
            <w:pPr>
              <w:pStyle w:val="BodyText"/>
            </w:pPr>
            <w:r>
              <w:t>no well drilled</w:t>
            </w:r>
          </w:p>
        </w:tc>
        <w:tc>
          <w:tcPr>
            <w:tcW w:w="1117" w:type="pct"/>
          </w:tcPr>
          <w:p w14:paraId="726EBBDD" w14:textId="77777777" w:rsidR="00D27769" w:rsidRDefault="00D27769" w:rsidP="00760658">
            <w:pPr>
              <w:pStyle w:val="BodyText"/>
            </w:pPr>
            <w:r>
              <w:t>&gt;10 years</w:t>
            </w:r>
          </w:p>
        </w:tc>
      </w:tr>
      <w:tr w:rsidR="00D27769" w14:paraId="0EAF0BE1" w14:textId="77777777" w:rsidTr="008454B0">
        <w:trPr>
          <w:cnfStyle w:val="000000010000" w:firstRow="0" w:lastRow="0" w:firstColumn="0" w:lastColumn="0" w:oddVBand="0" w:evenVBand="0" w:oddHBand="0" w:evenHBand="1" w:firstRowFirstColumn="0" w:firstRowLastColumn="0" w:lastRowFirstColumn="0" w:lastRowLastColumn="0"/>
        </w:trPr>
        <w:tc>
          <w:tcPr>
            <w:tcW w:w="1321" w:type="pct"/>
          </w:tcPr>
          <w:p w14:paraId="6CCAFA67" w14:textId="77777777" w:rsidR="00D27769" w:rsidRDefault="00D27769" w:rsidP="00760658">
            <w:pPr>
              <w:pStyle w:val="BodyText"/>
            </w:pPr>
            <w:r>
              <w:t>Preliminary exploration</w:t>
            </w:r>
          </w:p>
        </w:tc>
        <w:tc>
          <w:tcPr>
            <w:tcW w:w="2562" w:type="pct"/>
          </w:tcPr>
          <w:p w14:paraId="41F53110" w14:textId="77777777" w:rsidR="00D27769" w:rsidRDefault="00D27769" w:rsidP="00760658">
            <w:pPr>
              <w:pStyle w:val="BodyText"/>
            </w:pPr>
            <w:r>
              <w:t>investigation at play level; initial drilling but no discovery</w:t>
            </w:r>
          </w:p>
        </w:tc>
        <w:tc>
          <w:tcPr>
            <w:tcW w:w="1117" w:type="pct"/>
          </w:tcPr>
          <w:p w14:paraId="7667FF03" w14:textId="77777777" w:rsidR="00D27769" w:rsidRDefault="00D27769" w:rsidP="00760658">
            <w:pPr>
              <w:pStyle w:val="BodyText"/>
            </w:pPr>
            <w:r>
              <w:t>8</w:t>
            </w:r>
            <w:r w:rsidRPr="00D447B8">
              <w:t xml:space="preserve"> to &gt;10 years</w:t>
            </w:r>
          </w:p>
        </w:tc>
      </w:tr>
      <w:tr w:rsidR="00D27769" w14:paraId="6CC8BEA3" w14:textId="77777777" w:rsidTr="008454B0">
        <w:trPr>
          <w:cnfStyle w:val="000000100000" w:firstRow="0" w:lastRow="0" w:firstColumn="0" w:lastColumn="0" w:oddVBand="0" w:evenVBand="0" w:oddHBand="1" w:evenHBand="0" w:firstRowFirstColumn="0" w:firstRowLastColumn="0" w:lastRowFirstColumn="0" w:lastRowLastColumn="0"/>
        </w:trPr>
        <w:tc>
          <w:tcPr>
            <w:tcW w:w="1321" w:type="pct"/>
          </w:tcPr>
          <w:p w14:paraId="6C677EE4" w14:textId="77777777" w:rsidR="00D27769" w:rsidRDefault="00D27769" w:rsidP="00760658">
            <w:pPr>
              <w:pStyle w:val="BodyText"/>
            </w:pPr>
            <w:r>
              <w:t>Exploration</w:t>
            </w:r>
          </w:p>
        </w:tc>
        <w:tc>
          <w:tcPr>
            <w:tcW w:w="2562" w:type="pct"/>
          </w:tcPr>
          <w:p w14:paraId="597BEDF5" w14:textId="77777777" w:rsidR="00D27769" w:rsidRDefault="00D27769" w:rsidP="00760658">
            <w:pPr>
              <w:pStyle w:val="BodyText"/>
            </w:pPr>
            <w:r>
              <w:t xml:space="preserve">investigation at play prospect level; discovery well </w:t>
            </w:r>
          </w:p>
        </w:tc>
        <w:tc>
          <w:tcPr>
            <w:tcW w:w="1117" w:type="pct"/>
          </w:tcPr>
          <w:p w14:paraId="0264B6E2" w14:textId="77777777" w:rsidR="00D27769" w:rsidRDefault="00D27769" w:rsidP="00760658">
            <w:pPr>
              <w:pStyle w:val="BodyText"/>
            </w:pPr>
            <w:r w:rsidRPr="00D447B8">
              <w:t>5–10 years</w:t>
            </w:r>
          </w:p>
        </w:tc>
      </w:tr>
      <w:tr w:rsidR="00D27769" w14:paraId="3E0D2800" w14:textId="77777777" w:rsidTr="008454B0">
        <w:trPr>
          <w:cnfStyle w:val="000000010000" w:firstRow="0" w:lastRow="0" w:firstColumn="0" w:lastColumn="0" w:oddVBand="0" w:evenVBand="0" w:oddHBand="0" w:evenHBand="1" w:firstRowFirstColumn="0" w:firstRowLastColumn="0" w:lastRowFirstColumn="0" w:lastRowLastColumn="0"/>
        </w:trPr>
        <w:tc>
          <w:tcPr>
            <w:tcW w:w="1321" w:type="pct"/>
          </w:tcPr>
          <w:p w14:paraId="6C465871" w14:textId="77777777" w:rsidR="00D27769" w:rsidRDefault="00D27769" w:rsidP="00760658">
            <w:pPr>
              <w:pStyle w:val="BodyText"/>
            </w:pPr>
            <w:r>
              <w:t>Early appraisal</w:t>
            </w:r>
          </w:p>
        </w:tc>
        <w:tc>
          <w:tcPr>
            <w:tcW w:w="2562" w:type="pct"/>
          </w:tcPr>
          <w:p w14:paraId="61BBE71A" w14:textId="77777777" w:rsidR="00D27769" w:rsidRDefault="00D27769" w:rsidP="00760658">
            <w:pPr>
              <w:pStyle w:val="BodyText"/>
            </w:pPr>
            <w:r>
              <w:t>discovery but not mature; contingent resources</w:t>
            </w:r>
          </w:p>
        </w:tc>
        <w:tc>
          <w:tcPr>
            <w:tcW w:w="1117" w:type="pct"/>
          </w:tcPr>
          <w:p w14:paraId="009DBA9F" w14:textId="77777777" w:rsidR="00D27769" w:rsidRDefault="00D27769" w:rsidP="00760658">
            <w:pPr>
              <w:pStyle w:val="BodyText"/>
            </w:pPr>
            <w:r>
              <w:t>5–10 years</w:t>
            </w:r>
          </w:p>
        </w:tc>
      </w:tr>
      <w:tr w:rsidR="00D27769" w14:paraId="0E287977" w14:textId="77777777" w:rsidTr="008454B0">
        <w:trPr>
          <w:cnfStyle w:val="000000100000" w:firstRow="0" w:lastRow="0" w:firstColumn="0" w:lastColumn="0" w:oddVBand="0" w:evenVBand="0" w:oddHBand="1" w:evenHBand="0" w:firstRowFirstColumn="0" w:firstRowLastColumn="0" w:lastRowFirstColumn="0" w:lastRowLastColumn="0"/>
        </w:trPr>
        <w:tc>
          <w:tcPr>
            <w:tcW w:w="1321" w:type="pct"/>
          </w:tcPr>
          <w:p w14:paraId="19C4515C" w14:textId="75EE5FBA" w:rsidR="00D27769" w:rsidRDefault="00887B5E" w:rsidP="00760658">
            <w:pPr>
              <w:pStyle w:val="BodyText"/>
            </w:pPr>
            <w:r>
              <w:t>A</w:t>
            </w:r>
            <w:r w:rsidR="00D27769">
              <w:t>ppraisal</w:t>
            </w:r>
          </w:p>
        </w:tc>
        <w:tc>
          <w:tcPr>
            <w:tcW w:w="2562" w:type="pct"/>
          </w:tcPr>
          <w:p w14:paraId="1B71EEB2" w14:textId="77777777" w:rsidR="00D27769" w:rsidRDefault="00D27769" w:rsidP="00760658">
            <w:pPr>
              <w:pStyle w:val="BodyText"/>
            </w:pPr>
            <w:r>
              <w:t>discovery mature for development decision; contingent resources/ reserves</w:t>
            </w:r>
          </w:p>
        </w:tc>
        <w:tc>
          <w:tcPr>
            <w:tcW w:w="1117" w:type="pct"/>
          </w:tcPr>
          <w:p w14:paraId="7CDEE5F2" w14:textId="77777777" w:rsidR="00D27769" w:rsidRDefault="00D27769" w:rsidP="00760658">
            <w:pPr>
              <w:pStyle w:val="BodyText"/>
            </w:pPr>
            <w:r>
              <w:t>5–8 years</w:t>
            </w:r>
          </w:p>
        </w:tc>
      </w:tr>
      <w:tr w:rsidR="00D27769" w14:paraId="7CF819CB" w14:textId="77777777" w:rsidTr="008454B0">
        <w:trPr>
          <w:cnfStyle w:val="000000010000" w:firstRow="0" w:lastRow="0" w:firstColumn="0" w:lastColumn="0" w:oddVBand="0" w:evenVBand="0" w:oddHBand="0" w:evenHBand="1" w:firstRowFirstColumn="0" w:firstRowLastColumn="0" w:lastRowFirstColumn="0" w:lastRowLastColumn="0"/>
        </w:trPr>
        <w:tc>
          <w:tcPr>
            <w:tcW w:w="1321" w:type="pct"/>
          </w:tcPr>
          <w:p w14:paraId="41C88A25" w14:textId="77777777" w:rsidR="00D27769" w:rsidRDefault="00D27769" w:rsidP="00760658">
            <w:pPr>
              <w:pStyle w:val="BodyText"/>
            </w:pPr>
            <w:r>
              <w:t>Development</w:t>
            </w:r>
          </w:p>
        </w:tc>
        <w:tc>
          <w:tcPr>
            <w:tcW w:w="2562" w:type="pct"/>
          </w:tcPr>
          <w:p w14:paraId="456884F5" w14:textId="77777777" w:rsidR="00D27769" w:rsidRDefault="00D27769" w:rsidP="00760658">
            <w:pPr>
              <w:pStyle w:val="BodyText"/>
            </w:pPr>
            <w:r>
              <w:t>committed for or under development; reserves booked</w:t>
            </w:r>
          </w:p>
        </w:tc>
        <w:tc>
          <w:tcPr>
            <w:tcW w:w="1117" w:type="pct"/>
          </w:tcPr>
          <w:p w14:paraId="55C18AD6" w14:textId="77777777" w:rsidR="00D27769" w:rsidRDefault="00D27769" w:rsidP="00760658">
            <w:pPr>
              <w:pStyle w:val="TableTextLeft"/>
            </w:pPr>
            <w:r w:rsidRPr="000E522D">
              <w:rPr>
                <w:lang w:val="en-US"/>
              </w:rPr>
              <w:t>≤</w:t>
            </w:r>
            <w:r>
              <w:rPr>
                <w:lang w:val="en-US"/>
              </w:rPr>
              <w:t>5</w:t>
            </w:r>
            <w:r>
              <w:t xml:space="preserve"> years</w:t>
            </w:r>
          </w:p>
        </w:tc>
      </w:tr>
    </w:tbl>
    <w:p w14:paraId="550269B8" w14:textId="77777777" w:rsidR="00D27769" w:rsidRDefault="00D27769" w:rsidP="00174635">
      <w:pPr>
        <w:pStyle w:val="FiguresImagesCentred"/>
      </w:pPr>
      <w:r w:rsidRPr="000E522D">
        <w:rPr>
          <w:noProof/>
        </w:rPr>
        <w:lastRenderedPageBreak/>
        <w:drawing>
          <wp:inline distT="0" distB="0" distL="0" distR="0" wp14:anchorId="248B9CE0" wp14:editId="2FDE065A">
            <wp:extent cx="5774077" cy="5298746"/>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7488" cy="5301877"/>
                    </a:xfrm>
                    <a:prstGeom prst="rect">
                      <a:avLst/>
                    </a:prstGeom>
                    <a:noFill/>
                  </pic:spPr>
                </pic:pic>
              </a:graphicData>
            </a:graphic>
          </wp:inline>
        </w:drawing>
      </w:r>
    </w:p>
    <w:p w14:paraId="589EA41D" w14:textId="77777777" w:rsidR="00D27769" w:rsidRDefault="00D27769" w:rsidP="00174635">
      <w:pPr>
        <w:pStyle w:val="Caption"/>
      </w:pPr>
      <w:bookmarkStart w:id="80" w:name="_Ref493757325"/>
      <w:bookmarkStart w:id="81" w:name="_Toc517101447"/>
      <w:r w:rsidRPr="00AB6721">
        <w:t xml:space="preserve">Figure </w:t>
      </w:r>
      <w:fldSimple w:instr=" STYLEREF 1 \s ">
        <w:r w:rsidR="004A16F5">
          <w:rPr>
            <w:noProof/>
          </w:rPr>
          <w:t>5</w:t>
        </w:r>
      </w:fldSimple>
      <w:r>
        <w:noBreakHyphen/>
      </w:r>
      <w:fldSimple w:instr=" SEQ Figure \* ARABIC \s 1 ">
        <w:r w:rsidR="004A16F5">
          <w:rPr>
            <w:noProof/>
          </w:rPr>
          <w:t>2</w:t>
        </w:r>
      </w:fldSimple>
      <w:bookmarkEnd w:id="80"/>
      <w:r w:rsidRPr="00AB6721">
        <w:t xml:space="preserve"> Modified PRMS scheme (PRMS, 2007), with approximate development timeframes, assuming sustained funding of activities and no other impediment to development (e.g. regulatory restrictions; environmental or social concerns).</w:t>
      </w:r>
      <w:bookmarkEnd w:id="81"/>
    </w:p>
    <w:p w14:paraId="590AD86E" w14:textId="77777777" w:rsidR="00D27769" w:rsidRPr="00924E2B" w:rsidRDefault="00D27769" w:rsidP="00924E2B">
      <w:pPr>
        <w:pStyle w:val="BodyText"/>
      </w:pPr>
    </w:p>
    <w:p w14:paraId="101DE362" w14:textId="4FDFC716" w:rsidR="00D27769" w:rsidRPr="00B370B6" w:rsidRDefault="00D27769" w:rsidP="00174635">
      <w:pPr>
        <w:pStyle w:val="BodyText"/>
      </w:pPr>
      <w:r w:rsidRPr="00B370B6">
        <w:lastRenderedPageBreak/>
        <w:t xml:space="preserve">The exploration status of basins with identified shale and/ or tight gas plays is summarised in </w:t>
      </w:r>
      <w:r>
        <w:fldChar w:fldCharType="begin"/>
      </w:r>
      <w:r>
        <w:instrText xml:space="preserve"> REF _Ref493757730 \h </w:instrText>
      </w:r>
      <w:r>
        <w:fldChar w:fldCharType="separate"/>
      </w:r>
      <w:r w:rsidR="004A16F5" w:rsidRPr="00AB6721">
        <w:t xml:space="preserve">Table </w:t>
      </w:r>
      <w:r w:rsidR="004A16F5">
        <w:rPr>
          <w:noProof/>
        </w:rPr>
        <w:t>5</w:t>
      </w:r>
      <w:r w:rsidR="004A16F5" w:rsidRPr="00AB6721">
        <w:noBreakHyphen/>
      </w:r>
      <w:r w:rsidR="004A16F5">
        <w:rPr>
          <w:noProof/>
        </w:rPr>
        <w:t>2</w:t>
      </w:r>
      <w:r>
        <w:fldChar w:fldCharType="end"/>
      </w:r>
      <w:r>
        <w:t xml:space="preserve"> </w:t>
      </w:r>
      <w:r w:rsidRPr="00B370B6">
        <w:t>and</w:t>
      </w:r>
      <w:r>
        <w:t xml:space="preserve"> </w:t>
      </w:r>
      <w:r>
        <w:fldChar w:fldCharType="begin"/>
      </w:r>
      <w:r>
        <w:instrText xml:space="preserve"> REF _Ref493777850 \h </w:instrText>
      </w:r>
      <w:r>
        <w:fldChar w:fldCharType="separate"/>
      </w:r>
      <w:r w:rsidR="004A16F5" w:rsidRPr="00AB6721">
        <w:t xml:space="preserve">Figure </w:t>
      </w:r>
      <w:r w:rsidR="004A16F5">
        <w:rPr>
          <w:noProof/>
        </w:rPr>
        <w:t>5</w:t>
      </w:r>
      <w:r w:rsidR="004A16F5">
        <w:noBreakHyphen/>
      </w:r>
      <w:r w:rsidR="004A16F5">
        <w:rPr>
          <w:noProof/>
        </w:rPr>
        <w:t>3</w:t>
      </w:r>
      <w:r>
        <w:fldChar w:fldCharType="end"/>
      </w:r>
      <w:r w:rsidRPr="00B370B6">
        <w:t>. Key results are as follows:</w:t>
      </w:r>
    </w:p>
    <w:p w14:paraId="65A8DDE6" w14:textId="7EA12F4C" w:rsidR="00D27769" w:rsidRDefault="00D27769" w:rsidP="00E8799B">
      <w:pPr>
        <w:pStyle w:val="ListBullet"/>
      </w:pPr>
      <w:r>
        <w:t xml:space="preserve">The Cooper </w:t>
      </w:r>
      <w:r w:rsidR="00392628">
        <w:t>Basin</w:t>
      </w:r>
      <w:r>
        <w:t xml:space="preserve"> </w:t>
      </w:r>
      <w:r w:rsidR="00392628">
        <w:t>is at an advanced</w:t>
      </w:r>
      <w:r w:rsidR="0022229D">
        <w:t xml:space="preserve"> appraisal phase</w:t>
      </w:r>
      <w:r>
        <w:t xml:space="preserve">. </w:t>
      </w:r>
      <w:r w:rsidR="0022229D">
        <w:t>If</w:t>
      </w:r>
      <w:r>
        <w:t xml:space="preserve"> there were no </w:t>
      </w:r>
      <w:r w:rsidRPr="00074768">
        <w:t>other impediment to development</w:t>
      </w:r>
      <w:r>
        <w:t xml:space="preserve"> in these areas, such as regulatory restrictions or environmental or social concerns, the likely development timeframe is estimated to be between five and eight years.</w:t>
      </w:r>
    </w:p>
    <w:p w14:paraId="1A559C58" w14:textId="0D330B3A" w:rsidR="00D27769" w:rsidRPr="00FF7C66" w:rsidRDefault="00D27769" w:rsidP="00E8799B">
      <w:pPr>
        <w:pStyle w:val="ListBullet"/>
      </w:pPr>
      <w:r>
        <w:t xml:space="preserve">The </w:t>
      </w:r>
      <w:r w:rsidR="00392628">
        <w:t xml:space="preserve">Gippsland and </w:t>
      </w:r>
      <w:r>
        <w:t xml:space="preserve">McArthur </w:t>
      </w:r>
      <w:r w:rsidR="00392628">
        <w:t>b</w:t>
      </w:r>
      <w:r>
        <w:t xml:space="preserve">asin and Isa Superbasin are in the early appraisal phase, with a suggested development timeframe of five to ten years (again assuming </w:t>
      </w:r>
      <w:r w:rsidRPr="00074768">
        <w:t>no other impediment to development</w:t>
      </w:r>
      <w:r>
        <w:t>).</w:t>
      </w:r>
    </w:p>
    <w:p w14:paraId="615BA300" w14:textId="77777777" w:rsidR="00D27769" w:rsidRDefault="00D27769" w:rsidP="00E8799B">
      <w:pPr>
        <w:pStyle w:val="ListBullet"/>
      </w:pPr>
      <w:r>
        <w:t>Exploration is underway to varying extents in a further five basins (Amadeus, Bowen, Clarence-Moreton, Georgina and Otway basins), with expected development timeframes of eight to more than ten years.</w:t>
      </w:r>
    </w:p>
    <w:p w14:paraId="13891856" w14:textId="77777777" w:rsidR="00D27769" w:rsidRDefault="00D27769" w:rsidP="00E8799B">
      <w:pPr>
        <w:pStyle w:val="ListBullet"/>
      </w:pPr>
      <w:r>
        <w:t>Development in the Pedirka, Gunnedah and Maryborough basins is likely to take much more than ten years. Although these basins contain potential plays shale and/or tight gas plays, there is no current activity or exploration is at such an early stage that it is difficult to assess its potential.</w:t>
      </w:r>
    </w:p>
    <w:p w14:paraId="0D774CD9" w14:textId="0F24D332" w:rsidR="00D27769" w:rsidRDefault="00D27769" w:rsidP="00E8799B">
      <w:pPr>
        <w:pStyle w:val="ListBullet"/>
      </w:pPr>
      <w:r>
        <w:t>The p</w:t>
      </w:r>
      <w:r w:rsidRPr="00230C98">
        <w:t xml:space="preserve">rospective recoverable resource estimate of 82 </w:t>
      </w:r>
      <w:r>
        <w:t>T</w:t>
      </w:r>
      <w:r w:rsidRPr="00230C98">
        <w:t xml:space="preserve">cf </w:t>
      </w:r>
      <w:r w:rsidR="00783552">
        <w:t xml:space="preserve">(approximately 90,000 PJ) </w:t>
      </w:r>
      <w:r w:rsidRPr="00230C98">
        <w:t xml:space="preserve">for the Toolebuc Formation shale gas play </w:t>
      </w:r>
      <w:r>
        <w:t xml:space="preserve">in the Eromanga Basin </w:t>
      </w:r>
      <w:r w:rsidRPr="00230C98">
        <w:t>by AWT International (2013) has not been included</w:t>
      </w:r>
      <w:r>
        <w:t xml:space="preserve"> in this analysis</w:t>
      </w:r>
      <w:r w:rsidRPr="00230C98">
        <w:t>, as this large resource size is inconsistent with poorer than expected exploration results (Exoma Energy, 2012; DNMR, 2017</w:t>
      </w:r>
      <w:r w:rsidR="005E1B62">
        <w:t>)</w:t>
      </w:r>
      <w:r w:rsidR="007166E9">
        <w:t>.</w:t>
      </w:r>
      <w:r w:rsidR="005E1B62">
        <w:t xml:space="preserve"> </w:t>
      </w:r>
      <w:r>
        <w:t xml:space="preserve">Significant additional </w:t>
      </w:r>
      <w:r>
        <w:lastRenderedPageBreak/>
        <w:t>work would be required to prove the viability of this play (DNRM, 2017) and hence the development timeframe is estimated to be much greater than ten years.</w:t>
      </w:r>
    </w:p>
    <w:p w14:paraId="34CBDDC0" w14:textId="0CC2F910" w:rsidR="00D27769" w:rsidRPr="00C35A2C" w:rsidRDefault="00D27769" w:rsidP="00E8799B">
      <w:pPr>
        <w:pStyle w:val="ListBullet"/>
      </w:pPr>
      <w:r>
        <w:t>Contingent resources (2C) of 0.14 Tcf (</w:t>
      </w:r>
      <w:r w:rsidRPr="00525DF0">
        <w:t>157 PJ</w:t>
      </w:r>
      <w:r>
        <w:t>)</w:t>
      </w:r>
      <w:r w:rsidRPr="00525DF0">
        <w:t xml:space="preserve"> </w:t>
      </w:r>
      <w:r>
        <w:t>have recently been estimated from sandstones in the Albany structure in the Galilee Basin (Comet Ridge, 2017</w:t>
      </w:r>
      <w:r w:rsidR="005E1B62">
        <w:t>)</w:t>
      </w:r>
      <w:r w:rsidR="007166E9">
        <w:t>.</w:t>
      </w:r>
      <w:r w:rsidR="005E1B62">
        <w:t xml:space="preserve"> </w:t>
      </w:r>
      <w:r>
        <w:t>However based on the public information available, it is u</w:t>
      </w:r>
      <w:r w:rsidRPr="00F124BF">
        <w:t xml:space="preserve">nclear what proportion </w:t>
      </w:r>
      <w:r>
        <w:t xml:space="preserve">of this (if any) </w:t>
      </w:r>
      <w:r w:rsidRPr="00F124BF">
        <w:t>represents tight gas</w:t>
      </w:r>
      <w:r>
        <w:t xml:space="preserve">, so this contingent resource estimate is excluded from the analysis at this point. In addition, these contingent resources have been estimated from existing exploration wells. Further drilling would be required to test this structure; therefore </w:t>
      </w:r>
      <w:r w:rsidRPr="00D30EEC">
        <w:t xml:space="preserve">development timeframe is </w:t>
      </w:r>
      <w:r>
        <w:t xml:space="preserve">still </w:t>
      </w:r>
      <w:r w:rsidRPr="00D30EEC">
        <w:t>esti</w:t>
      </w:r>
      <w:r>
        <w:t>mated to be much greater than ten</w:t>
      </w:r>
      <w:r w:rsidRPr="00D30EEC">
        <w:t xml:space="preserve"> years.</w:t>
      </w:r>
    </w:p>
    <w:p w14:paraId="0C06DC14" w14:textId="2ED999FA" w:rsidR="00D27769" w:rsidRDefault="00D27769" w:rsidP="00E8799B">
      <w:pPr>
        <w:pStyle w:val="ListBullet"/>
      </w:pPr>
      <w:r>
        <w:t>There is no current industry activity in all other basins containing shale and/or tight gas plays (see Appendix A for full basin list</w:t>
      </w:r>
      <w:r w:rsidR="005E1B62">
        <w:t>)</w:t>
      </w:r>
      <w:r w:rsidR="007166E9">
        <w:t>.</w:t>
      </w:r>
      <w:r w:rsidR="005E1B62">
        <w:t xml:space="preserve"> </w:t>
      </w:r>
      <w:r>
        <w:t>In these basins any development is likely to take much more than 10 years.</w:t>
      </w:r>
    </w:p>
    <w:p w14:paraId="7E35B01F" w14:textId="130C0098" w:rsidR="00D27769" w:rsidRDefault="00D27769" w:rsidP="00174635">
      <w:pPr>
        <w:pStyle w:val="BodyText"/>
      </w:pPr>
      <w:r>
        <w:t xml:space="preserve">Based on this analysis, nine </w:t>
      </w:r>
      <w:r w:rsidR="0022229D">
        <w:t xml:space="preserve">onshore </w:t>
      </w:r>
      <w:r>
        <w:t>basins were identified in which active exploration for shale and or tight gas resources is already underway and possible plays, leads or prospects have already been identified. These basins were considered to have development timeframes of ten years or less</w:t>
      </w:r>
      <w:r w:rsidRPr="00B54532">
        <w:t xml:space="preserve"> </w:t>
      </w:r>
      <w:r>
        <w:t>assuming sustained investment and no other impediment to development and hence have been shortlist</w:t>
      </w:r>
      <w:r w:rsidRPr="003E46FD">
        <w:t xml:space="preserve">ed as priority areas for </w:t>
      </w:r>
      <w:r>
        <w:t xml:space="preserve">further </w:t>
      </w:r>
      <w:r w:rsidRPr="003E46FD">
        <w:t>early research.</w:t>
      </w:r>
    </w:p>
    <w:p w14:paraId="6CB292B0" w14:textId="77777777" w:rsidR="00D27769" w:rsidRDefault="00D27769" w:rsidP="00174635">
      <w:pPr>
        <w:pStyle w:val="BodyText"/>
      </w:pPr>
    </w:p>
    <w:p w14:paraId="19B26CB1" w14:textId="77777777" w:rsidR="00D27769" w:rsidRDefault="00D27769" w:rsidP="00174635">
      <w:pPr>
        <w:pStyle w:val="BodyText"/>
      </w:pPr>
      <w:r>
        <w:rPr>
          <w:noProof/>
        </w:rPr>
        <w:lastRenderedPageBreak/>
        <w:drawing>
          <wp:inline distT="0" distB="0" distL="0" distR="0" wp14:anchorId="0458C4C8" wp14:editId="5C81D424">
            <wp:extent cx="6080150" cy="6987063"/>
            <wp:effectExtent l="0" t="0" r="0" b="4445"/>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6080150" cy="6987063"/>
                    </a:xfrm>
                    <a:prstGeom prst="rect">
                      <a:avLst/>
                    </a:prstGeom>
                    <a:noFill/>
                    <a:ln>
                      <a:noFill/>
                    </a:ln>
                  </pic:spPr>
                </pic:pic>
              </a:graphicData>
            </a:graphic>
          </wp:inline>
        </w:drawing>
      </w:r>
    </w:p>
    <w:p w14:paraId="6D00746D" w14:textId="7915B2C0" w:rsidR="00D27769" w:rsidRPr="00AB6721" w:rsidRDefault="00D27769" w:rsidP="00174635">
      <w:pPr>
        <w:pStyle w:val="Caption"/>
      </w:pPr>
      <w:bookmarkStart w:id="82" w:name="_Ref493777850"/>
      <w:bookmarkStart w:id="83" w:name="_Toc517101448"/>
      <w:r w:rsidRPr="00AB6721">
        <w:lastRenderedPageBreak/>
        <w:t xml:space="preserve">Figure </w:t>
      </w:r>
      <w:fldSimple w:instr=" STYLEREF 1 \s ">
        <w:r w:rsidR="004A16F5">
          <w:rPr>
            <w:noProof/>
          </w:rPr>
          <w:t>5</w:t>
        </w:r>
      </w:fldSimple>
      <w:r>
        <w:noBreakHyphen/>
      </w:r>
      <w:fldSimple w:instr=" SEQ Figure \* ARABIC \s 1 ">
        <w:r w:rsidR="004A16F5">
          <w:rPr>
            <w:noProof/>
          </w:rPr>
          <w:t>3</w:t>
        </w:r>
      </w:fldSimple>
      <w:bookmarkEnd w:id="82"/>
      <w:r w:rsidRPr="00AB6721">
        <w:t xml:space="preserve"> Australian basins classified by level of exploration activity for shale/ tight gas. Labelled sedimentary basins are those with reported 2C or prospective resources and on-going industry activity (as permitted by current regulatory environments</w:t>
      </w:r>
      <w:r w:rsidR="005E1B62">
        <w:t>)</w:t>
      </w:r>
      <w:r w:rsidR="007166E9">
        <w:t>.</w:t>
      </w:r>
      <w:r w:rsidR="005E1B62">
        <w:t xml:space="preserve"> </w:t>
      </w:r>
      <w:r>
        <w:t>Basin outlines are sourced from Stewart et al. (2013), with the exception of the Isa Superbasin, which has been estimated from DNRM (2017</w:t>
      </w:r>
      <w:r w:rsidR="005E1B62">
        <w:t>)</w:t>
      </w:r>
      <w:r w:rsidR="007166E9">
        <w:t>.</w:t>
      </w:r>
      <w:r w:rsidR="005E1B62">
        <w:t xml:space="preserve"> </w:t>
      </w:r>
      <w:r w:rsidR="00887B5E">
        <w:t>Oil and gas</w:t>
      </w:r>
      <w:r w:rsidR="00887B5E" w:rsidRPr="00AB6721">
        <w:t xml:space="preserve"> pipelines </w:t>
      </w:r>
      <w:r w:rsidR="00887B5E">
        <w:t>from GA (2015a</w:t>
      </w:r>
      <w:r w:rsidR="005E1B62">
        <w:t>)</w:t>
      </w:r>
      <w:r w:rsidR="007166E9">
        <w:t>.</w:t>
      </w:r>
      <w:r w:rsidR="005E1B62">
        <w:t xml:space="preserve"> </w:t>
      </w:r>
      <w:r w:rsidRPr="00AB6721">
        <w:t>Key wells targeting shale and/or tight gas plays are also shown. Note that this well coverage is not exhaustive, as there are inconsistencies between how wells have been classified depending on the information source.</w:t>
      </w:r>
      <w:bookmarkEnd w:id="83"/>
    </w:p>
    <w:p w14:paraId="457F674B" w14:textId="77777777" w:rsidR="00D27769" w:rsidRPr="00AB6721" w:rsidRDefault="00D27769" w:rsidP="00174635">
      <w:pPr>
        <w:pStyle w:val="TableTitle"/>
      </w:pPr>
    </w:p>
    <w:p w14:paraId="43AA7F17" w14:textId="77777777" w:rsidR="00D27769" w:rsidRDefault="00D27769" w:rsidP="00174635">
      <w:pPr>
        <w:pStyle w:val="BodyText"/>
      </w:pPr>
    </w:p>
    <w:p w14:paraId="7EDA5CD5" w14:textId="12C6E588" w:rsidR="00D27769" w:rsidRPr="00AB6721" w:rsidRDefault="00D27769" w:rsidP="00924E2B">
      <w:pPr>
        <w:pStyle w:val="Caption"/>
      </w:pPr>
      <w:bookmarkStart w:id="84" w:name="_Ref493757730"/>
      <w:bookmarkStart w:id="85" w:name="_Toc517101456"/>
      <w:r w:rsidRPr="00AB6721">
        <w:t xml:space="preserve">Table </w:t>
      </w:r>
      <w:fldSimple w:instr=" STYLEREF 1 \s ">
        <w:r w:rsidR="004A16F5">
          <w:rPr>
            <w:noProof/>
          </w:rPr>
          <w:t>5</w:t>
        </w:r>
      </w:fldSimple>
      <w:r w:rsidRPr="00AB6721">
        <w:noBreakHyphen/>
      </w:r>
      <w:fldSimple w:instr=" SEQ Table \* ARABIC \s 1 ">
        <w:r w:rsidR="004A16F5">
          <w:rPr>
            <w:noProof/>
          </w:rPr>
          <w:t>2</w:t>
        </w:r>
      </w:fldSimple>
      <w:bookmarkEnd w:id="84"/>
      <w:r w:rsidRPr="00AB6721">
        <w:t xml:space="preserve"> Shale and tight gas exploration status of Australian basins</w:t>
      </w:r>
      <w:r w:rsidR="00B43612">
        <w:t xml:space="preserve"> based on AERA (2018) and additional references presented in Appendix A</w:t>
      </w:r>
      <w:r w:rsidRPr="00AB6721">
        <w:t>. Note basins with no reported resources and no industry activity were excluded</w:t>
      </w:r>
      <w:r w:rsidR="00980836">
        <w:t>.</w:t>
      </w:r>
      <w:r w:rsidRPr="00AB6721">
        <w:t xml:space="preserve"> *AWT International (2013) reported prospective resources for the Toolebuc Formation shale gas play in the Eromanga Basin, but subsequent drilling results were poorer than expected so this number is no</w:t>
      </w:r>
      <w:r>
        <w:t>w</w:t>
      </w:r>
      <w:r w:rsidRPr="00AB6721">
        <w:t xml:space="preserve"> considered unreliable and has been disregarded for this study. **Contingent resources have been booked in the Galilee Basin (Comet Ridge, 2017), however it is unclear what proportion of this (if any) represents tight rather than conventional gas.</w:t>
      </w:r>
      <w:r w:rsidR="00AD7E1F">
        <w:t xml:space="preserve"> ***Assuming </w:t>
      </w:r>
      <w:r w:rsidR="00783552">
        <w:t xml:space="preserve">a </w:t>
      </w:r>
      <w:r w:rsidR="00D96367">
        <w:t xml:space="preserve">generic </w:t>
      </w:r>
      <w:r w:rsidR="00AD7E1F">
        <w:t>10</w:t>
      </w:r>
      <w:r w:rsidR="001236E1">
        <w:t>% recovery factor</w:t>
      </w:r>
      <w:r w:rsidR="00D96367">
        <w:t xml:space="preserve"> </w:t>
      </w:r>
      <w:r w:rsidR="00980836">
        <w:t xml:space="preserve">on reported gas-in-place </w:t>
      </w:r>
      <w:r w:rsidR="00D96367">
        <w:t>for comparison purposes</w:t>
      </w:r>
      <w:r w:rsidR="001236E1">
        <w:t>.</w:t>
      </w:r>
      <w:bookmarkEnd w:id="85"/>
      <w:r w:rsidR="00D2191B">
        <w:t xml:space="preserve"> </w:t>
      </w:r>
    </w:p>
    <w:tbl>
      <w:tblPr>
        <w:tblStyle w:val="TableBAHeaderRow"/>
        <w:tblW w:w="5000" w:type="pct"/>
        <w:tblLayout w:type="fixed"/>
        <w:tblLook w:val="04A0" w:firstRow="1" w:lastRow="0" w:firstColumn="1" w:lastColumn="0" w:noHBand="0" w:noVBand="1"/>
      </w:tblPr>
      <w:tblGrid>
        <w:gridCol w:w="1459"/>
        <w:gridCol w:w="841"/>
        <w:gridCol w:w="1400"/>
        <w:gridCol w:w="1540"/>
        <w:gridCol w:w="2101"/>
        <w:gridCol w:w="1402"/>
        <w:gridCol w:w="896"/>
      </w:tblGrid>
      <w:tr w:rsidR="00D27769" w:rsidRPr="00CF20D5" w14:paraId="63CBB68E" w14:textId="77777777" w:rsidTr="008454B0">
        <w:trPr>
          <w:cnfStyle w:val="100000000000" w:firstRow="1" w:lastRow="0" w:firstColumn="0" w:lastColumn="0" w:oddVBand="0" w:evenVBand="0" w:oddHBand="0" w:evenHBand="0" w:firstRowFirstColumn="0" w:firstRowLastColumn="0" w:lastRowFirstColumn="0" w:lastRowLastColumn="0"/>
          <w:trHeight w:val="495"/>
        </w:trPr>
        <w:tc>
          <w:tcPr>
            <w:tcW w:w="757" w:type="pct"/>
            <w:hideMark/>
          </w:tcPr>
          <w:p w14:paraId="1A286286" w14:textId="77777777" w:rsidR="00D27769" w:rsidRPr="00CF20D5" w:rsidRDefault="00D27769" w:rsidP="00760658">
            <w:pPr>
              <w:pStyle w:val="TableTextLeft"/>
            </w:pPr>
            <w:r w:rsidRPr="00CF20D5">
              <w:t>Basin</w:t>
            </w:r>
          </w:p>
        </w:tc>
        <w:tc>
          <w:tcPr>
            <w:tcW w:w="436" w:type="pct"/>
            <w:hideMark/>
          </w:tcPr>
          <w:p w14:paraId="1A586DFF" w14:textId="77777777" w:rsidR="00D27769" w:rsidRPr="00CF20D5" w:rsidRDefault="00D27769" w:rsidP="00760658">
            <w:pPr>
              <w:pStyle w:val="TableTextLeft"/>
            </w:pPr>
            <w:r w:rsidRPr="00CF20D5">
              <w:t>State</w:t>
            </w:r>
          </w:p>
        </w:tc>
        <w:tc>
          <w:tcPr>
            <w:tcW w:w="726" w:type="pct"/>
            <w:hideMark/>
          </w:tcPr>
          <w:p w14:paraId="4D8095C5" w14:textId="511D1FA0" w:rsidR="00D27769" w:rsidRPr="00CF20D5" w:rsidRDefault="00D27769" w:rsidP="00760658">
            <w:pPr>
              <w:pStyle w:val="TableTextLeft"/>
            </w:pPr>
            <w:r>
              <w:t>2C</w:t>
            </w:r>
            <w:r w:rsidRPr="00CF20D5">
              <w:t xml:space="preserve"> resources (</w:t>
            </w:r>
            <w:r>
              <w:t>Tcf</w:t>
            </w:r>
            <w:r w:rsidRPr="00CF20D5">
              <w:t>)</w:t>
            </w:r>
            <w:r w:rsidR="00237DB0">
              <w:t>^</w:t>
            </w:r>
          </w:p>
        </w:tc>
        <w:tc>
          <w:tcPr>
            <w:tcW w:w="799" w:type="pct"/>
            <w:hideMark/>
          </w:tcPr>
          <w:p w14:paraId="58FE8101" w14:textId="4203A87A" w:rsidR="00D27769" w:rsidRPr="00CF20D5" w:rsidRDefault="00D27769" w:rsidP="000B067E">
            <w:pPr>
              <w:pStyle w:val="TableTextLeft"/>
            </w:pPr>
            <w:r w:rsidRPr="00CF20D5">
              <w:t>P</w:t>
            </w:r>
            <w:r w:rsidR="000B067E">
              <w:t>otentially recoverable gas-in-place</w:t>
            </w:r>
            <w:r w:rsidRPr="00CF20D5">
              <w:t xml:space="preserve"> (</w:t>
            </w:r>
            <w:r>
              <w:t>Tcf</w:t>
            </w:r>
            <w:r w:rsidRPr="00CF20D5">
              <w:t>)</w:t>
            </w:r>
          </w:p>
        </w:tc>
        <w:tc>
          <w:tcPr>
            <w:tcW w:w="1090" w:type="pct"/>
            <w:hideMark/>
          </w:tcPr>
          <w:p w14:paraId="36A7E66B" w14:textId="77777777" w:rsidR="00D27769" w:rsidRPr="00CF20D5" w:rsidRDefault="00D27769" w:rsidP="00760658">
            <w:pPr>
              <w:pStyle w:val="TableTextLeft"/>
            </w:pPr>
            <w:r w:rsidRPr="00CF20D5">
              <w:t>Industry activity</w:t>
            </w:r>
          </w:p>
        </w:tc>
        <w:tc>
          <w:tcPr>
            <w:tcW w:w="727" w:type="pct"/>
          </w:tcPr>
          <w:p w14:paraId="623F75A7" w14:textId="77777777" w:rsidR="00D27769" w:rsidRDefault="00D27769" w:rsidP="00760658">
            <w:pPr>
              <w:pStyle w:val="TableTextLeft"/>
            </w:pPr>
            <w:r>
              <w:t>Possible development timeframe</w:t>
            </w:r>
          </w:p>
        </w:tc>
        <w:tc>
          <w:tcPr>
            <w:tcW w:w="465" w:type="pct"/>
          </w:tcPr>
          <w:p w14:paraId="37917F41" w14:textId="77777777" w:rsidR="00D27769" w:rsidRPr="00CF20D5" w:rsidRDefault="00D27769" w:rsidP="00760658">
            <w:pPr>
              <w:pStyle w:val="TableTextLeft"/>
            </w:pPr>
            <w:r>
              <w:t>Include in basin audit</w:t>
            </w:r>
          </w:p>
        </w:tc>
      </w:tr>
      <w:tr w:rsidR="00D27769" w:rsidRPr="00CF20D5" w14:paraId="01F239E5" w14:textId="77777777" w:rsidTr="008454B0">
        <w:trPr>
          <w:cnfStyle w:val="000000100000" w:firstRow="0" w:lastRow="0" w:firstColumn="0" w:lastColumn="0" w:oddVBand="0" w:evenVBand="0" w:oddHBand="1" w:evenHBand="0" w:firstRowFirstColumn="0" w:firstRowLastColumn="0" w:lastRowFirstColumn="0" w:lastRowLastColumn="0"/>
          <w:trHeight w:val="315"/>
        </w:trPr>
        <w:tc>
          <w:tcPr>
            <w:tcW w:w="757" w:type="pct"/>
            <w:hideMark/>
          </w:tcPr>
          <w:p w14:paraId="19274C8A" w14:textId="77777777" w:rsidR="00D27769" w:rsidRPr="00CF20D5" w:rsidRDefault="00D27769" w:rsidP="00760658">
            <w:pPr>
              <w:pStyle w:val="TableTextLeft"/>
            </w:pPr>
            <w:r w:rsidRPr="00CF20D5">
              <w:t>Cooper Basin</w:t>
            </w:r>
          </w:p>
        </w:tc>
        <w:tc>
          <w:tcPr>
            <w:tcW w:w="436" w:type="pct"/>
            <w:hideMark/>
          </w:tcPr>
          <w:p w14:paraId="13B013A4" w14:textId="77777777" w:rsidR="00D27769" w:rsidRPr="00CF20D5" w:rsidRDefault="00D27769" w:rsidP="00760658">
            <w:pPr>
              <w:pStyle w:val="TableTextLeft"/>
            </w:pPr>
            <w:r w:rsidRPr="00CF20D5">
              <w:t>SA, QLD</w:t>
            </w:r>
          </w:p>
        </w:tc>
        <w:tc>
          <w:tcPr>
            <w:tcW w:w="726" w:type="pct"/>
            <w:noWrap/>
            <w:hideMark/>
          </w:tcPr>
          <w:p w14:paraId="64EE3552" w14:textId="77777777" w:rsidR="00D27769" w:rsidRPr="00CF20D5" w:rsidRDefault="00D27769" w:rsidP="00760658">
            <w:pPr>
              <w:pStyle w:val="TableTextLeft"/>
            </w:pPr>
            <w:r w:rsidRPr="00CF20D5">
              <w:t>9.58</w:t>
            </w:r>
          </w:p>
        </w:tc>
        <w:tc>
          <w:tcPr>
            <w:tcW w:w="799" w:type="pct"/>
            <w:noWrap/>
            <w:hideMark/>
          </w:tcPr>
          <w:p w14:paraId="21807437" w14:textId="57FAEA75" w:rsidR="00D27769" w:rsidRPr="00CF20D5" w:rsidRDefault="001236E1" w:rsidP="00760658">
            <w:pPr>
              <w:pStyle w:val="TableTextLeft"/>
            </w:pPr>
            <w:r>
              <w:t>58</w:t>
            </w:r>
          </w:p>
        </w:tc>
        <w:tc>
          <w:tcPr>
            <w:tcW w:w="1090" w:type="pct"/>
            <w:noWrap/>
            <w:hideMark/>
          </w:tcPr>
          <w:p w14:paraId="57F72B42" w14:textId="0CD7ADE6" w:rsidR="00D27769" w:rsidRPr="00CF20D5" w:rsidRDefault="0022229D" w:rsidP="00760658">
            <w:pPr>
              <w:pStyle w:val="TableTextLeft"/>
            </w:pPr>
            <w:r>
              <w:t>A</w:t>
            </w:r>
            <w:r w:rsidR="00D27769" w:rsidRPr="00CF20D5">
              <w:t>ppraisal</w:t>
            </w:r>
            <w:r w:rsidR="00D27769">
              <w:t xml:space="preserve">/ </w:t>
            </w:r>
            <w:r w:rsidR="00A65094">
              <w:t xml:space="preserve">minor past </w:t>
            </w:r>
            <w:r w:rsidR="00D27769">
              <w:t>production</w:t>
            </w:r>
          </w:p>
        </w:tc>
        <w:tc>
          <w:tcPr>
            <w:tcW w:w="727" w:type="pct"/>
          </w:tcPr>
          <w:p w14:paraId="4043758B" w14:textId="77777777" w:rsidR="00D27769" w:rsidRPr="00141287" w:rsidRDefault="00D27769" w:rsidP="00760658">
            <w:pPr>
              <w:pStyle w:val="TableTextLeft"/>
            </w:pPr>
            <w:r>
              <w:t>5–8 years</w:t>
            </w:r>
          </w:p>
        </w:tc>
        <w:tc>
          <w:tcPr>
            <w:tcW w:w="465" w:type="pct"/>
          </w:tcPr>
          <w:p w14:paraId="770124EB" w14:textId="77777777" w:rsidR="00D27769" w:rsidRPr="00423AB6" w:rsidRDefault="00D27769" w:rsidP="00760658">
            <w:pPr>
              <w:pStyle w:val="TableTextLeft"/>
            </w:pPr>
            <w:r w:rsidRPr="00423AB6">
              <w:t>Yes</w:t>
            </w:r>
          </w:p>
        </w:tc>
      </w:tr>
      <w:tr w:rsidR="00392628" w:rsidRPr="00CF20D5" w14:paraId="525964C9" w14:textId="77777777" w:rsidTr="00392628">
        <w:trPr>
          <w:cnfStyle w:val="000000010000" w:firstRow="0" w:lastRow="0" w:firstColumn="0" w:lastColumn="0" w:oddVBand="0" w:evenVBand="0" w:oddHBand="0" w:evenHBand="1" w:firstRowFirstColumn="0" w:firstRowLastColumn="0" w:lastRowFirstColumn="0" w:lastRowLastColumn="0"/>
          <w:trHeight w:val="315"/>
        </w:trPr>
        <w:tc>
          <w:tcPr>
            <w:tcW w:w="757" w:type="pct"/>
          </w:tcPr>
          <w:p w14:paraId="44A3B6AC" w14:textId="1AFA682B" w:rsidR="00392628" w:rsidRPr="00CF20D5" w:rsidRDefault="00392628" w:rsidP="00560D6B">
            <w:pPr>
              <w:pStyle w:val="TableTextLeft"/>
            </w:pPr>
            <w:r w:rsidRPr="00CF20D5">
              <w:t>Isa Superbasin</w:t>
            </w:r>
          </w:p>
        </w:tc>
        <w:tc>
          <w:tcPr>
            <w:tcW w:w="436" w:type="pct"/>
          </w:tcPr>
          <w:p w14:paraId="57A3ABF8" w14:textId="46FC9950" w:rsidR="00392628" w:rsidRPr="00CF20D5" w:rsidRDefault="00392628" w:rsidP="00760658">
            <w:pPr>
              <w:pStyle w:val="TableTextLeft"/>
            </w:pPr>
            <w:r w:rsidRPr="00CF20D5">
              <w:t>QLD, NT</w:t>
            </w:r>
          </w:p>
        </w:tc>
        <w:tc>
          <w:tcPr>
            <w:tcW w:w="726" w:type="pct"/>
            <w:noWrap/>
          </w:tcPr>
          <w:p w14:paraId="3D091E83" w14:textId="639263BC" w:rsidR="00392628" w:rsidRPr="00CF20D5" w:rsidRDefault="00392628" w:rsidP="00760658">
            <w:pPr>
              <w:pStyle w:val="TableTextLeft"/>
            </w:pPr>
            <w:r w:rsidRPr="00CF20D5">
              <w:t>0.15</w:t>
            </w:r>
          </w:p>
        </w:tc>
        <w:tc>
          <w:tcPr>
            <w:tcW w:w="799" w:type="pct"/>
            <w:noWrap/>
          </w:tcPr>
          <w:p w14:paraId="21E46421" w14:textId="3D53EEF0" w:rsidR="00392628" w:rsidRPr="00CF20D5" w:rsidRDefault="001236E1" w:rsidP="00760658">
            <w:pPr>
              <w:pStyle w:val="TableTextLeft"/>
            </w:pPr>
            <w:r>
              <w:t>22</w:t>
            </w:r>
          </w:p>
        </w:tc>
        <w:tc>
          <w:tcPr>
            <w:tcW w:w="1090" w:type="pct"/>
            <w:noWrap/>
          </w:tcPr>
          <w:p w14:paraId="51E205FA" w14:textId="2DD2BA2A" w:rsidR="00392628" w:rsidRPr="00CF20D5" w:rsidRDefault="00392628" w:rsidP="00760658">
            <w:pPr>
              <w:pStyle w:val="TableTextLeft"/>
            </w:pPr>
            <w:r w:rsidRPr="00CF20D5">
              <w:t>Early appraisal</w:t>
            </w:r>
          </w:p>
        </w:tc>
        <w:tc>
          <w:tcPr>
            <w:tcW w:w="727" w:type="pct"/>
          </w:tcPr>
          <w:p w14:paraId="670C264E" w14:textId="083CA904" w:rsidR="00392628" w:rsidRPr="00141287" w:rsidRDefault="00392628" w:rsidP="00760658">
            <w:pPr>
              <w:pStyle w:val="TableTextLeft"/>
            </w:pPr>
            <w:r>
              <w:t>5–10 years</w:t>
            </w:r>
          </w:p>
        </w:tc>
        <w:tc>
          <w:tcPr>
            <w:tcW w:w="465" w:type="pct"/>
          </w:tcPr>
          <w:p w14:paraId="58265A0C" w14:textId="1A2CBB13" w:rsidR="00392628" w:rsidRPr="00423AB6" w:rsidRDefault="00392628" w:rsidP="00760658">
            <w:pPr>
              <w:pStyle w:val="TableTextLeft"/>
            </w:pPr>
            <w:r w:rsidRPr="00423AB6">
              <w:t>Yes</w:t>
            </w:r>
          </w:p>
        </w:tc>
      </w:tr>
      <w:tr w:rsidR="00392628" w:rsidRPr="00CF20D5" w14:paraId="71A462BC" w14:textId="77777777" w:rsidTr="008454B0">
        <w:trPr>
          <w:cnfStyle w:val="000000100000" w:firstRow="0" w:lastRow="0" w:firstColumn="0" w:lastColumn="0" w:oddVBand="0" w:evenVBand="0" w:oddHBand="1" w:evenHBand="0" w:firstRowFirstColumn="0" w:firstRowLastColumn="0" w:lastRowFirstColumn="0" w:lastRowLastColumn="0"/>
          <w:trHeight w:val="315"/>
        </w:trPr>
        <w:tc>
          <w:tcPr>
            <w:tcW w:w="757" w:type="pct"/>
            <w:hideMark/>
          </w:tcPr>
          <w:p w14:paraId="4A7C5879" w14:textId="77777777" w:rsidR="00392628" w:rsidRPr="00CF20D5" w:rsidRDefault="00392628" w:rsidP="00760658">
            <w:pPr>
              <w:pStyle w:val="TableTextLeft"/>
            </w:pPr>
            <w:r w:rsidRPr="00CF20D5">
              <w:t>McArthur Basin</w:t>
            </w:r>
          </w:p>
        </w:tc>
        <w:tc>
          <w:tcPr>
            <w:tcW w:w="436" w:type="pct"/>
            <w:hideMark/>
          </w:tcPr>
          <w:p w14:paraId="1F5AF18D" w14:textId="77777777" w:rsidR="00392628" w:rsidRPr="00CF20D5" w:rsidRDefault="00392628" w:rsidP="00760658">
            <w:pPr>
              <w:pStyle w:val="TableTextLeft"/>
            </w:pPr>
            <w:r w:rsidRPr="00CF20D5">
              <w:t>NT</w:t>
            </w:r>
          </w:p>
        </w:tc>
        <w:tc>
          <w:tcPr>
            <w:tcW w:w="726" w:type="pct"/>
            <w:noWrap/>
            <w:hideMark/>
          </w:tcPr>
          <w:p w14:paraId="7EF16EA8" w14:textId="476A7FDF" w:rsidR="00392628" w:rsidRPr="00CF20D5" w:rsidRDefault="00B43612" w:rsidP="00760658">
            <w:pPr>
              <w:pStyle w:val="TableTextLeft"/>
            </w:pPr>
            <w:r>
              <w:t>6.6</w:t>
            </w:r>
          </w:p>
        </w:tc>
        <w:tc>
          <w:tcPr>
            <w:tcW w:w="799" w:type="pct"/>
            <w:noWrap/>
            <w:hideMark/>
          </w:tcPr>
          <w:p w14:paraId="0F2F2B54" w14:textId="53123493" w:rsidR="00392628" w:rsidRPr="00CF20D5" w:rsidRDefault="001236E1" w:rsidP="00760658">
            <w:pPr>
              <w:pStyle w:val="TableTextLeft"/>
            </w:pPr>
            <w:r>
              <w:t>20</w:t>
            </w:r>
            <w:r w:rsidR="00D2191B">
              <w:t>.2</w:t>
            </w:r>
            <w:r>
              <w:t>***</w:t>
            </w:r>
          </w:p>
        </w:tc>
        <w:tc>
          <w:tcPr>
            <w:tcW w:w="1090" w:type="pct"/>
            <w:noWrap/>
            <w:hideMark/>
          </w:tcPr>
          <w:p w14:paraId="1F9DF894" w14:textId="77777777" w:rsidR="00392628" w:rsidRPr="00CF20D5" w:rsidRDefault="00392628" w:rsidP="00760658">
            <w:pPr>
              <w:pStyle w:val="TableTextLeft"/>
            </w:pPr>
            <w:r w:rsidRPr="00CF20D5">
              <w:t>Early appraisal</w:t>
            </w:r>
          </w:p>
        </w:tc>
        <w:tc>
          <w:tcPr>
            <w:tcW w:w="727" w:type="pct"/>
          </w:tcPr>
          <w:p w14:paraId="0A560F0D" w14:textId="77777777" w:rsidR="00392628" w:rsidRPr="00141287" w:rsidRDefault="00392628" w:rsidP="00760658">
            <w:pPr>
              <w:pStyle w:val="TableTextLeft"/>
            </w:pPr>
            <w:r>
              <w:t>5–10 years</w:t>
            </w:r>
          </w:p>
        </w:tc>
        <w:tc>
          <w:tcPr>
            <w:tcW w:w="465" w:type="pct"/>
          </w:tcPr>
          <w:p w14:paraId="228C0B90" w14:textId="77777777" w:rsidR="00392628" w:rsidRPr="00423AB6" w:rsidRDefault="00392628" w:rsidP="00760658">
            <w:pPr>
              <w:pStyle w:val="TableTextLeft"/>
            </w:pPr>
            <w:r w:rsidRPr="00423AB6">
              <w:t>Yes</w:t>
            </w:r>
          </w:p>
        </w:tc>
      </w:tr>
      <w:tr w:rsidR="00392628" w:rsidRPr="00CF20D5" w14:paraId="0CAA01D6" w14:textId="77777777" w:rsidTr="008454B0">
        <w:trPr>
          <w:cnfStyle w:val="000000010000" w:firstRow="0" w:lastRow="0" w:firstColumn="0" w:lastColumn="0" w:oddVBand="0" w:evenVBand="0" w:oddHBand="0" w:evenHBand="1" w:firstRowFirstColumn="0" w:firstRowLastColumn="0" w:lastRowFirstColumn="0" w:lastRowLastColumn="0"/>
          <w:trHeight w:val="315"/>
        </w:trPr>
        <w:tc>
          <w:tcPr>
            <w:tcW w:w="757" w:type="pct"/>
          </w:tcPr>
          <w:p w14:paraId="43593229" w14:textId="43A7A70A" w:rsidR="00392628" w:rsidRPr="00CF20D5" w:rsidRDefault="00392628" w:rsidP="00760658">
            <w:pPr>
              <w:pStyle w:val="TableTextLeft"/>
            </w:pPr>
            <w:r w:rsidRPr="00CF20D5">
              <w:lastRenderedPageBreak/>
              <w:t>Gippsland Basin</w:t>
            </w:r>
            <w:r>
              <w:t xml:space="preserve"> (Onshore)</w:t>
            </w:r>
          </w:p>
        </w:tc>
        <w:tc>
          <w:tcPr>
            <w:tcW w:w="436" w:type="pct"/>
          </w:tcPr>
          <w:p w14:paraId="4FE6285C" w14:textId="11C00227" w:rsidR="00392628" w:rsidRPr="00CF20D5" w:rsidRDefault="00392628" w:rsidP="00760658">
            <w:pPr>
              <w:pStyle w:val="TableTextLeft"/>
            </w:pPr>
            <w:r w:rsidRPr="00CF20D5">
              <w:t>VIC</w:t>
            </w:r>
          </w:p>
        </w:tc>
        <w:tc>
          <w:tcPr>
            <w:tcW w:w="726" w:type="pct"/>
            <w:noWrap/>
          </w:tcPr>
          <w:p w14:paraId="4BA7269D" w14:textId="0E1F4BA4" w:rsidR="00392628" w:rsidRPr="00CF20D5" w:rsidRDefault="00392628" w:rsidP="00760658">
            <w:pPr>
              <w:pStyle w:val="TableTextLeft"/>
            </w:pPr>
            <w:r w:rsidRPr="00CF20D5">
              <w:t>0.72</w:t>
            </w:r>
          </w:p>
        </w:tc>
        <w:tc>
          <w:tcPr>
            <w:tcW w:w="799" w:type="pct"/>
            <w:noWrap/>
          </w:tcPr>
          <w:p w14:paraId="66814307" w14:textId="58025530" w:rsidR="00392628" w:rsidRPr="00CF20D5" w:rsidRDefault="001236E1" w:rsidP="00760658">
            <w:pPr>
              <w:pStyle w:val="TableTextLeft"/>
            </w:pPr>
            <w:r>
              <w:t>1</w:t>
            </w:r>
            <w:r w:rsidR="00560D6B">
              <w:t>9</w:t>
            </w:r>
            <w:r w:rsidR="00D2191B">
              <w:t>.2</w:t>
            </w:r>
          </w:p>
        </w:tc>
        <w:tc>
          <w:tcPr>
            <w:tcW w:w="1090" w:type="pct"/>
            <w:noWrap/>
          </w:tcPr>
          <w:p w14:paraId="07F55643" w14:textId="27E923AE" w:rsidR="00392628" w:rsidRPr="00CF20D5" w:rsidRDefault="00392628" w:rsidP="00760658">
            <w:pPr>
              <w:pStyle w:val="TableTextLeft"/>
            </w:pPr>
            <w:r w:rsidRPr="00CF20D5">
              <w:t>Early appraisal</w:t>
            </w:r>
          </w:p>
        </w:tc>
        <w:tc>
          <w:tcPr>
            <w:tcW w:w="727" w:type="pct"/>
          </w:tcPr>
          <w:p w14:paraId="69FAFF56" w14:textId="2596DDFD" w:rsidR="00392628" w:rsidRDefault="00392628" w:rsidP="00760658">
            <w:pPr>
              <w:pStyle w:val="TableTextLeft"/>
            </w:pPr>
            <w:r>
              <w:t>5–10 years</w:t>
            </w:r>
          </w:p>
        </w:tc>
        <w:tc>
          <w:tcPr>
            <w:tcW w:w="465" w:type="pct"/>
          </w:tcPr>
          <w:p w14:paraId="5D226C85" w14:textId="4E44DAED" w:rsidR="00392628" w:rsidRPr="00423AB6" w:rsidRDefault="00392628" w:rsidP="00760658">
            <w:pPr>
              <w:pStyle w:val="TableTextLeft"/>
            </w:pPr>
            <w:r w:rsidRPr="00423AB6">
              <w:t>Yes</w:t>
            </w:r>
          </w:p>
        </w:tc>
      </w:tr>
      <w:tr w:rsidR="00392628" w:rsidRPr="00CF20D5" w14:paraId="36E93AB4" w14:textId="77777777" w:rsidTr="008454B0">
        <w:trPr>
          <w:cnfStyle w:val="000000100000" w:firstRow="0" w:lastRow="0" w:firstColumn="0" w:lastColumn="0" w:oddVBand="0" w:evenVBand="0" w:oddHBand="1" w:evenHBand="0" w:firstRowFirstColumn="0" w:firstRowLastColumn="0" w:lastRowFirstColumn="0" w:lastRowLastColumn="0"/>
          <w:trHeight w:val="315"/>
        </w:trPr>
        <w:tc>
          <w:tcPr>
            <w:tcW w:w="757" w:type="pct"/>
            <w:hideMark/>
          </w:tcPr>
          <w:p w14:paraId="5BDB6F8F" w14:textId="77777777" w:rsidR="00392628" w:rsidRPr="00CF20D5" w:rsidRDefault="00392628" w:rsidP="00760658">
            <w:pPr>
              <w:pStyle w:val="TableTextLeft"/>
            </w:pPr>
            <w:r w:rsidRPr="00CF20D5">
              <w:t>Bowen Basin</w:t>
            </w:r>
          </w:p>
        </w:tc>
        <w:tc>
          <w:tcPr>
            <w:tcW w:w="436" w:type="pct"/>
            <w:hideMark/>
          </w:tcPr>
          <w:p w14:paraId="0C53A6C8" w14:textId="77777777" w:rsidR="00392628" w:rsidRPr="00CF20D5" w:rsidRDefault="00392628" w:rsidP="00760658">
            <w:pPr>
              <w:pStyle w:val="TableTextLeft"/>
            </w:pPr>
            <w:r w:rsidRPr="00CF20D5">
              <w:t>QLD</w:t>
            </w:r>
          </w:p>
        </w:tc>
        <w:tc>
          <w:tcPr>
            <w:tcW w:w="726" w:type="pct"/>
            <w:noWrap/>
            <w:hideMark/>
          </w:tcPr>
          <w:p w14:paraId="0031F45E" w14:textId="77777777" w:rsidR="00392628" w:rsidRPr="00CF20D5" w:rsidRDefault="00392628" w:rsidP="00760658">
            <w:pPr>
              <w:pStyle w:val="TableTextLeft"/>
            </w:pPr>
            <w:r w:rsidRPr="00CF20D5">
              <w:t>0</w:t>
            </w:r>
          </w:p>
        </w:tc>
        <w:tc>
          <w:tcPr>
            <w:tcW w:w="799" w:type="pct"/>
            <w:noWrap/>
            <w:hideMark/>
          </w:tcPr>
          <w:p w14:paraId="177865FC" w14:textId="77777777" w:rsidR="00392628" w:rsidRPr="00CF20D5" w:rsidRDefault="00392628" w:rsidP="00760658">
            <w:pPr>
              <w:pStyle w:val="TableTextLeft"/>
            </w:pPr>
            <w:r w:rsidRPr="00CF20D5">
              <w:t>97</w:t>
            </w:r>
          </w:p>
        </w:tc>
        <w:tc>
          <w:tcPr>
            <w:tcW w:w="1090" w:type="pct"/>
            <w:noWrap/>
            <w:hideMark/>
          </w:tcPr>
          <w:p w14:paraId="00ED31FE" w14:textId="77777777" w:rsidR="00392628" w:rsidRPr="00CF20D5" w:rsidRDefault="00392628" w:rsidP="00760658">
            <w:pPr>
              <w:pStyle w:val="TableTextLeft"/>
            </w:pPr>
            <w:r w:rsidRPr="00CF20D5">
              <w:t>Exploration</w:t>
            </w:r>
          </w:p>
        </w:tc>
        <w:tc>
          <w:tcPr>
            <w:tcW w:w="727" w:type="pct"/>
          </w:tcPr>
          <w:p w14:paraId="26A39D05" w14:textId="77777777" w:rsidR="00392628" w:rsidRPr="00141287" w:rsidRDefault="00392628" w:rsidP="00760658">
            <w:pPr>
              <w:pStyle w:val="TableTextLeft"/>
            </w:pPr>
            <w:r>
              <w:t>8–10 years</w:t>
            </w:r>
          </w:p>
        </w:tc>
        <w:tc>
          <w:tcPr>
            <w:tcW w:w="465" w:type="pct"/>
          </w:tcPr>
          <w:p w14:paraId="6DCB9A3E" w14:textId="77777777" w:rsidR="00392628" w:rsidRPr="00423AB6" w:rsidRDefault="00392628" w:rsidP="00760658">
            <w:pPr>
              <w:pStyle w:val="TableTextLeft"/>
            </w:pPr>
            <w:r w:rsidRPr="00423AB6">
              <w:t>Yes</w:t>
            </w:r>
          </w:p>
        </w:tc>
      </w:tr>
      <w:tr w:rsidR="00392628" w:rsidRPr="00CF20D5" w14:paraId="5975803A" w14:textId="77777777" w:rsidTr="008454B0">
        <w:trPr>
          <w:cnfStyle w:val="000000010000" w:firstRow="0" w:lastRow="0" w:firstColumn="0" w:lastColumn="0" w:oddVBand="0" w:evenVBand="0" w:oddHBand="0" w:evenHBand="1" w:firstRowFirstColumn="0" w:firstRowLastColumn="0" w:lastRowFirstColumn="0" w:lastRowLastColumn="0"/>
          <w:trHeight w:val="315"/>
        </w:trPr>
        <w:tc>
          <w:tcPr>
            <w:tcW w:w="757" w:type="pct"/>
            <w:hideMark/>
          </w:tcPr>
          <w:p w14:paraId="2C7DE0BC" w14:textId="77777777" w:rsidR="00392628" w:rsidRPr="00CF20D5" w:rsidRDefault="00392628" w:rsidP="00760658">
            <w:pPr>
              <w:pStyle w:val="TableTextLeft"/>
            </w:pPr>
            <w:r w:rsidRPr="00CF20D5">
              <w:t>Georgina Basin</w:t>
            </w:r>
          </w:p>
        </w:tc>
        <w:tc>
          <w:tcPr>
            <w:tcW w:w="436" w:type="pct"/>
            <w:hideMark/>
          </w:tcPr>
          <w:p w14:paraId="742361DD" w14:textId="17847B96" w:rsidR="00392628" w:rsidRPr="00CF20D5" w:rsidRDefault="00392628" w:rsidP="00760658">
            <w:pPr>
              <w:pStyle w:val="TableTextLeft"/>
            </w:pPr>
            <w:r w:rsidRPr="00CF20D5">
              <w:t>NT</w:t>
            </w:r>
            <w:r w:rsidR="00B95370">
              <w:t>, QLD</w:t>
            </w:r>
          </w:p>
        </w:tc>
        <w:tc>
          <w:tcPr>
            <w:tcW w:w="726" w:type="pct"/>
            <w:noWrap/>
            <w:hideMark/>
          </w:tcPr>
          <w:p w14:paraId="0C6E45C3" w14:textId="77777777" w:rsidR="00392628" w:rsidRPr="00CF20D5" w:rsidRDefault="00392628" w:rsidP="00760658">
            <w:pPr>
              <w:pStyle w:val="TableTextLeft"/>
            </w:pPr>
            <w:r w:rsidRPr="00CF20D5">
              <w:t>0</w:t>
            </w:r>
          </w:p>
        </w:tc>
        <w:tc>
          <w:tcPr>
            <w:tcW w:w="799" w:type="pct"/>
            <w:noWrap/>
            <w:hideMark/>
          </w:tcPr>
          <w:p w14:paraId="7D7701A8" w14:textId="77777777" w:rsidR="00392628" w:rsidRPr="00CF20D5" w:rsidRDefault="00392628" w:rsidP="00760658">
            <w:pPr>
              <w:pStyle w:val="TableTextLeft"/>
            </w:pPr>
            <w:r w:rsidRPr="00CF20D5">
              <w:t>50</w:t>
            </w:r>
          </w:p>
        </w:tc>
        <w:tc>
          <w:tcPr>
            <w:tcW w:w="1090" w:type="pct"/>
            <w:noWrap/>
            <w:hideMark/>
          </w:tcPr>
          <w:p w14:paraId="59879698" w14:textId="77777777" w:rsidR="00392628" w:rsidRPr="00CF20D5" w:rsidRDefault="00392628" w:rsidP="00760658">
            <w:pPr>
              <w:pStyle w:val="TableTextLeft"/>
            </w:pPr>
            <w:r w:rsidRPr="00CF20D5">
              <w:t>Exploration</w:t>
            </w:r>
          </w:p>
        </w:tc>
        <w:tc>
          <w:tcPr>
            <w:tcW w:w="727" w:type="pct"/>
          </w:tcPr>
          <w:p w14:paraId="41A93C21" w14:textId="77777777" w:rsidR="00392628" w:rsidRPr="00141287" w:rsidRDefault="00392628" w:rsidP="00760658">
            <w:pPr>
              <w:pStyle w:val="TableTextLeft"/>
            </w:pPr>
            <w:r>
              <w:t>8–10 years</w:t>
            </w:r>
          </w:p>
        </w:tc>
        <w:tc>
          <w:tcPr>
            <w:tcW w:w="465" w:type="pct"/>
          </w:tcPr>
          <w:p w14:paraId="1474A1F2" w14:textId="77777777" w:rsidR="00392628" w:rsidRPr="00423AB6" w:rsidRDefault="00392628" w:rsidP="00760658">
            <w:pPr>
              <w:pStyle w:val="TableTextLeft"/>
            </w:pPr>
            <w:r w:rsidRPr="00423AB6">
              <w:t>Yes</w:t>
            </w:r>
          </w:p>
        </w:tc>
      </w:tr>
      <w:tr w:rsidR="00392628" w:rsidRPr="00CF20D5" w14:paraId="6A837BA6" w14:textId="77777777" w:rsidTr="008454B0">
        <w:trPr>
          <w:cnfStyle w:val="000000100000" w:firstRow="0" w:lastRow="0" w:firstColumn="0" w:lastColumn="0" w:oddVBand="0" w:evenVBand="0" w:oddHBand="1" w:evenHBand="0" w:firstRowFirstColumn="0" w:firstRowLastColumn="0" w:lastRowFirstColumn="0" w:lastRowLastColumn="0"/>
          <w:trHeight w:val="315"/>
        </w:trPr>
        <w:tc>
          <w:tcPr>
            <w:tcW w:w="757" w:type="pct"/>
            <w:hideMark/>
          </w:tcPr>
          <w:p w14:paraId="0BC51D92" w14:textId="77777777" w:rsidR="00392628" w:rsidRPr="00CF20D5" w:rsidRDefault="00392628" w:rsidP="00760658">
            <w:pPr>
              <w:pStyle w:val="TableTextLeft"/>
            </w:pPr>
            <w:r w:rsidRPr="00CF20D5">
              <w:t>Otway Basin</w:t>
            </w:r>
            <w:r>
              <w:t xml:space="preserve"> (Onshore)</w:t>
            </w:r>
          </w:p>
        </w:tc>
        <w:tc>
          <w:tcPr>
            <w:tcW w:w="436" w:type="pct"/>
            <w:hideMark/>
          </w:tcPr>
          <w:p w14:paraId="240C1E1E" w14:textId="77777777" w:rsidR="00392628" w:rsidRPr="00CF20D5" w:rsidRDefault="00392628" w:rsidP="00760658">
            <w:pPr>
              <w:pStyle w:val="TableTextLeft"/>
            </w:pPr>
            <w:r w:rsidRPr="00CF20D5">
              <w:t>SA, VIC</w:t>
            </w:r>
          </w:p>
        </w:tc>
        <w:tc>
          <w:tcPr>
            <w:tcW w:w="726" w:type="pct"/>
            <w:noWrap/>
            <w:hideMark/>
          </w:tcPr>
          <w:p w14:paraId="7FEC2196" w14:textId="77777777" w:rsidR="00392628" w:rsidRPr="00CF20D5" w:rsidRDefault="00392628" w:rsidP="00760658">
            <w:pPr>
              <w:pStyle w:val="TableTextLeft"/>
            </w:pPr>
            <w:r w:rsidRPr="00CF20D5">
              <w:t>0</w:t>
            </w:r>
          </w:p>
        </w:tc>
        <w:tc>
          <w:tcPr>
            <w:tcW w:w="799" w:type="pct"/>
            <w:noWrap/>
            <w:hideMark/>
          </w:tcPr>
          <w:p w14:paraId="20D17CA4" w14:textId="6C8AF0C5" w:rsidR="00392628" w:rsidRPr="00CF20D5" w:rsidRDefault="00A2561A" w:rsidP="00760658">
            <w:pPr>
              <w:pStyle w:val="TableTextLeft"/>
            </w:pPr>
            <w:r>
              <w:t>7</w:t>
            </w:r>
            <w:r w:rsidR="00D2191B">
              <w:t>.4</w:t>
            </w:r>
          </w:p>
        </w:tc>
        <w:tc>
          <w:tcPr>
            <w:tcW w:w="1090" w:type="pct"/>
            <w:noWrap/>
            <w:hideMark/>
          </w:tcPr>
          <w:p w14:paraId="1FA770E1" w14:textId="77777777" w:rsidR="00392628" w:rsidRPr="00CF20D5" w:rsidRDefault="00392628" w:rsidP="00760658">
            <w:pPr>
              <w:pStyle w:val="TableTextLeft"/>
            </w:pPr>
            <w:r w:rsidRPr="00CF20D5">
              <w:t>Exploration</w:t>
            </w:r>
          </w:p>
        </w:tc>
        <w:tc>
          <w:tcPr>
            <w:tcW w:w="727" w:type="pct"/>
          </w:tcPr>
          <w:p w14:paraId="75A21E48" w14:textId="77777777" w:rsidR="00392628" w:rsidRPr="00141287" w:rsidRDefault="00392628" w:rsidP="00760658">
            <w:pPr>
              <w:pStyle w:val="TableTextLeft"/>
            </w:pPr>
            <w:r>
              <w:t>8–10 years</w:t>
            </w:r>
          </w:p>
        </w:tc>
        <w:tc>
          <w:tcPr>
            <w:tcW w:w="465" w:type="pct"/>
          </w:tcPr>
          <w:p w14:paraId="6770B959" w14:textId="77777777" w:rsidR="00392628" w:rsidRPr="00423AB6" w:rsidRDefault="00392628" w:rsidP="00760658">
            <w:pPr>
              <w:pStyle w:val="TableTextLeft"/>
            </w:pPr>
            <w:r w:rsidRPr="00423AB6">
              <w:t>Yes</w:t>
            </w:r>
          </w:p>
        </w:tc>
      </w:tr>
      <w:tr w:rsidR="00392628" w:rsidRPr="00CF20D5" w14:paraId="5533D072" w14:textId="77777777" w:rsidTr="008454B0">
        <w:trPr>
          <w:cnfStyle w:val="000000010000" w:firstRow="0" w:lastRow="0" w:firstColumn="0" w:lastColumn="0" w:oddVBand="0" w:evenVBand="0" w:oddHBand="0" w:evenHBand="1" w:firstRowFirstColumn="0" w:firstRowLastColumn="0" w:lastRowFirstColumn="0" w:lastRowLastColumn="0"/>
          <w:trHeight w:val="18"/>
        </w:trPr>
        <w:tc>
          <w:tcPr>
            <w:tcW w:w="757" w:type="pct"/>
            <w:hideMark/>
          </w:tcPr>
          <w:p w14:paraId="512B73DC" w14:textId="77777777" w:rsidR="00392628" w:rsidRPr="00CF20D5" w:rsidRDefault="00392628" w:rsidP="00760658">
            <w:pPr>
              <w:pStyle w:val="TableTextLeft"/>
            </w:pPr>
            <w:r w:rsidRPr="00CF20D5">
              <w:t>Amadeus Basin</w:t>
            </w:r>
          </w:p>
        </w:tc>
        <w:tc>
          <w:tcPr>
            <w:tcW w:w="436" w:type="pct"/>
            <w:hideMark/>
          </w:tcPr>
          <w:p w14:paraId="0B088FA0" w14:textId="77777777" w:rsidR="00392628" w:rsidRPr="00CF20D5" w:rsidRDefault="00392628" w:rsidP="00760658">
            <w:pPr>
              <w:pStyle w:val="TableTextLeft"/>
            </w:pPr>
            <w:r w:rsidRPr="00CF20D5">
              <w:t>NT</w:t>
            </w:r>
          </w:p>
        </w:tc>
        <w:tc>
          <w:tcPr>
            <w:tcW w:w="726" w:type="pct"/>
            <w:noWrap/>
            <w:hideMark/>
          </w:tcPr>
          <w:p w14:paraId="627A924A" w14:textId="77777777" w:rsidR="00392628" w:rsidRPr="00CF20D5" w:rsidRDefault="00392628" w:rsidP="00760658">
            <w:pPr>
              <w:pStyle w:val="TableTextLeft"/>
            </w:pPr>
            <w:r w:rsidRPr="00CF20D5">
              <w:t>0</w:t>
            </w:r>
          </w:p>
        </w:tc>
        <w:tc>
          <w:tcPr>
            <w:tcW w:w="799" w:type="pct"/>
            <w:noWrap/>
            <w:hideMark/>
          </w:tcPr>
          <w:p w14:paraId="134AFE52" w14:textId="388C98E1" w:rsidR="00392628" w:rsidRPr="00CF20D5" w:rsidRDefault="001236E1" w:rsidP="00760658">
            <w:pPr>
              <w:pStyle w:val="TableTextLeft"/>
            </w:pPr>
            <w:r>
              <w:t>26</w:t>
            </w:r>
          </w:p>
        </w:tc>
        <w:tc>
          <w:tcPr>
            <w:tcW w:w="1090" w:type="pct"/>
            <w:noWrap/>
            <w:hideMark/>
          </w:tcPr>
          <w:p w14:paraId="3F0B56AC" w14:textId="77777777" w:rsidR="00392628" w:rsidRPr="00CF20D5" w:rsidRDefault="00392628" w:rsidP="00760658">
            <w:pPr>
              <w:pStyle w:val="TableTextLeft"/>
            </w:pPr>
            <w:r w:rsidRPr="00907B58">
              <w:t>Exploration</w:t>
            </w:r>
          </w:p>
        </w:tc>
        <w:tc>
          <w:tcPr>
            <w:tcW w:w="727" w:type="pct"/>
          </w:tcPr>
          <w:p w14:paraId="3108D7E1" w14:textId="77777777" w:rsidR="00392628" w:rsidRPr="00141287" w:rsidRDefault="00392628" w:rsidP="00760658">
            <w:pPr>
              <w:pStyle w:val="TableTextLeft"/>
            </w:pPr>
            <w:r>
              <w:t>8–10 years</w:t>
            </w:r>
          </w:p>
        </w:tc>
        <w:tc>
          <w:tcPr>
            <w:tcW w:w="465" w:type="pct"/>
          </w:tcPr>
          <w:p w14:paraId="3B4EB2F2" w14:textId="77777777" w:rsidR="00392628" w:rsidRPr="00423AB6" w:rsidRDefault="00392628" w:rsidP="00760658">
            <w:pPr>
              <w:pStyle w:val="TableTextLeft"/>
            </w:pPr>
            <w:r w:rsidRPr="00423AB6">
              <w:t>Yes</w:t>
            </w:r>
          </w:p>
        </w:tc>
      </w:tr>
      <w:tr w:rsidR="00392628" w:rsidRPr="00CF20D5" w14:paraId="0F575D5B" w14:textId="77777777" w:rsidTr="008454B0">
        <w:trPr>
          <w:cnfStyle w:val="000000100000" w:firstRow="0" w:lastRow="0" w:firstColumn="0" w:lastColumn="0" w:oddVBand="0" w:evenVBand="0" w:oddHBand="1" w:evenHBand="0" w:firstRowFirstColumn="0" w:firstRowLastColumn="0" w:lastRowFirstColumn="0" w:lastRowLastColumn="0"/>
          <w:trHeight w:val="315"/>
        </w:trPr>
        <w:tc>
          <w:tcPr>
            <w:tcW w:w="757" w:type="pct"/>
            <w:hideMark/>
          </w:tcPr>
          <w:p w14:paraId="3FD079C9" w14:textId="77777777" w:rsidR="00392628" w:rsidRPr="00CF20D5" w:rsidRDefault="00392628" w:rsidP="00760658">
            <w:pPr>
              <w:pStyle w:val="TableTextLeft"/>
            </w:pPr>
            <w:r w:rsidRPr="00CF20D5">
              <w:t>Clarence-Moreton Basin</w:t>
            </w:r>
          </w:p>
        </w:tc>
        <w:tc>
          <w:tcPr>
            <w:tcW w:w="436" w:type="pct"/>
            <w:hideMark/>
          </w:tcPr>
          <w:p w14:paraId="3BDCDBBA" w14:textId="77777777" w:rsidR="00392628" w:rsidRPr="00CF20D5" w:rsidRDefault="00392628" w:rsidP="00760658">
            <w:pPr>
              <w:pStyle w:val="TableTextLeft"/>
            </w:pPr>
            <w:r w:rsidRPr="00CF20D5">
              <w:t>QLD, NSW</w:t>
            </w:r>
          </w:p>
        </w:tc>
        <w:tc>
          <w:tcPr>
            <w:tcW w:w="726" w:type="pct"/>
            <w:noWrap/>
            <w:hideMark/>
          </w:tcPr>
          <w:p w14:paraId="22E641E5" w14:textId="77777777" w:rsidR="00392628" w:rsidRPr="00CF20D5" w:rsidRDefault="00392628" w:rsidP="00760658">
            <w:pPr>
              <w:pStyle w:val="TableTextLeft"/>
            </w:pPr>
            <w:r w:rsidRPr="00CF20D5">
              <w:t>0</w:t>
            </w:r>
          </w:p>
        </w:tc>
        <w:tc>
          <w:tcPr>
            <w:tcW w:w="799" w:type="pct"/>
            <w:noWrap/>
            <w:hideMark/>
          </w:tcPr>
          <w:p w14:paraId="767AA111" w14:textId="77777777" w:rsidR="00392628" w:rsidRPr="00CF20D5" w:rsidRDefault="00392628" w:rsidP="00760658">
            <w:pPr>
              <w:pStyle w:val="TableTextLeft"/>
            </w:pPr>
            <w:r w:rsidRPr="00CF20D5">
              <w:t>21</w:t>
            </w:r>
          </w:p>
        </w:tc>
        <w:tc>
          <w:tcPr>
            <w:tcW w:w="1090" w:type="pct"/>
            <w:noWrap/>
            <w:hideMark/>
          </w:tcPr>
          <w:p w14:paraId="5981EFD4" w14:textId="77777777" w:rsidR="00392628" w:rsidRPr="00CF20D5" w:rsidRDefault="00392628" w:rsidP="00760658">
            <w:pPr>
              <w:pStyle w:val="TableTextLeft"/>
            </w:pPr>
            <w:r w:rsidRPr="00907B58">
              <w:t>Exploration</w:t>
            </w:r>
          </w:p>
        </w:tc>
        <w:tc>
          <w:tcPr>
            <w:tcW w:w="727" w:type="pct"/>
          </w:tcPr>
          <w:p w14:paraId="68DA6C02" w14:textId="77777777" w:rsidR="00392628" w:rsidRPr="00141287" w:rsidRDefault="00392628" w:rsidP="00760658">
            <w:pPr>
              <w:pStyle w:val="TableTextLeft"/>
            </w:pPr>
            <w:r>
              <w:t>8–10 years</w:t>
            </w:r>
          </w:p>
        </w:tc>
        <w:tc>
          <w:tcPr>
            <w:tcW w:w="465" w:type="pct"/>
          </w:tcPr>
          <w:p w14:paraId="1E6E7A52" w14:textId="77777777" w:rsidR="00392628" w:rsidRPr="00423AB6" w:rsidRDefault="00392628" w:rsidP="00760658">
            <w:pPr>
              <w:pStyle w:val="TableTextLeft"/>
            </w:pPr>
            <w:r w:rsidRPr="00423AB6">
              <w:t>Yes</w:t>
            </w:r>
          </w:p>
        </w:tc>
      </w:tr>
      <w:tr w:rsidR="00392628" w:rsidRPr="00CF20D5" w14:paraId="6DB4A00D" w14:textId="77777777" w:rsidTr="008454B0">
        <w:trPr>
          <w:cnfStyle w:val="000000010000" w:firstRow="0" w:lastRow="0" w:firstColumn="0" w:lastColumn="0" w:oddVBand="0" w:evenVBand="0" w:oddHBand="0" w:evenHBand="1" w:firstRowFirstColumn="0" w:firstRowLastColumn="0" w:lastRowFirstColumn="0" w:lastRowLastColumn="0"/>
          <w:trHeight w:val="315"/>
        </w:trPr>
        <w:tc>
          <w:tcPr>
            <w:tcW w:w="757" w:type="pct"/>
            <w:hideMark/>
          </w:tcPr>
          <w:p w14:paraId="25A51D10" w14:textId="77777777" w:rsidR="00392628" w:rsidRPr="00CF20D5" w:rsidRDefault="00392628" w:rsidP="00760658">
            <w:pPr>
              <w:pStyle w:val="TableTextLeft"/>
            </w:pPr>
            <w:r w:rsidRPr="00CF20D5">
              <w:t>Pedirka Basin</w:t>
            </w:r>
          </w:p>
        </w:tc>
        <w:tc>
          <w:tcPr>
            <w:tcW w:w="436" w:type="pct"/>
            <w:hideMark/>
          </w:tcPr>
          <w:p w14:paraId="4A58C0B5" w14:textId="77777777" w:rsidR="00392628" w:rsidRPr="00CF20D5" w:rsidRDefault="00392628" w:rsidP="00760658">
            <w:pPr>
              <w:pStyle w:val="TableTextLeft"/>
            </w:pPr>
            <w:r w:rsidRPr="00CF20D5">
              <w:t>NT,SA</w:t>
            </w:r>
          </w:p>
        </w:tc>
        <w:tc>
          <w:tcPr>
            <w:tcW w:w="726" w:type="pct"/>
            <w:noWrap/>
            <w:hideMark/>
          </w:tcPr>
          <w:p w14:paraId="49E5CE0C" w14:textId="77777777" w:rsidR="00392628" w:rsidRPr="00CF20D5" w:rsidRDefault="00392628" w:rsidP="00760658">
            <w:pPr>
              <w:pStyle w:val="TableTextLeft"/>
            </w:pPr>
            <w:r w:rsidRPr="00CF20D5">
              <w:t>0</w:t>
            </w:r>
          </w:p>
        </w:tc>
        <w:tc>
          <w:tcPr>
            <w:tcW w:w="799" w:type="pct"/>
            <w:noWrap/>
            <w:hideMark/>
          </w:tcPr>
          <w:p w14:paraId="101E8A96" w14:textId="7B4F510D" w:rsidR="00392628" w:rsidRPr="00CF20D5" w:rsidRDefault="00392628" w:rsidP="001236E1">
            <w:pPr>
              <w:pStyle w:val="TableTextLeft"/>
            </w:pPr>
            <w:r w:rsidRPr="00CF20D5">
              <w:t>3</w:t>
            </w:r>
            <w:r w:rsidR="001236E1">
              <w:t>4</w:t>
            </w:r>
          </w:p>
        </w:tc>
        <w:tc>
          <w:tcPr>
            <w:tcW w:w="1090" w:type="pct"/>
            <w:hideMark/>
          </w:tcPr>
          <w:p w14:paraId="7EB7695D" w14:textId="77777777" w:rsidR="00392628" w:rsidRPr="00CF20D5" w:rsidRDefault="00392628" w:rsidP="00760658">
            <w:pPr>
              <w:pStyle w:val="TableTextLeft"/>
            </w:pPr>
            <w:r w:rsidRPr="00CF20D5">
              <w:t>No exploration activity</w:t>
            </w:r>
          </w:p>
        </w:tc>
        <w:tc>
          <w:tcPr>
            <w:tcW w:w="727" w:type="pct"/>
          </w:tcPr>
          <w:p w14:paraId="5D5222EC" w14:textId="77777777" w:rsidR="00392628" w:rsidRPr="00141287" w:rsidRDefault="00392628" w:rsidP="00760658">
            <w:pPr>
              <w:pStyle w:val="TableTextLeft"/>
            </w:pPr>
            <w:r>
              <w:t>&gt;</w:t>
            </w:r>
            <w:r w:rsidRPr="00141287">
              <w:t>10 years</w:t>
            </w:r>
          </w:p>
        </w:tc>
        <w:tc>
          <w:tcPr>
            <w:tcW w:w="465" w:type="pct"/>
          </w:tcPr>
          <w:p w14:paraId="3312A79A" w14:textId="77777777" w:rsidR="00392628" w:rsidRPr="00423AB6" w:rsidRDefault="00392628" w:rsidP="00760658">
            <w:pPr>
              <w:pStyle w:val="TableTextLeft"/>
            </w:pPr>
            <w:r w:rsidRPr="00423AB6">
              <w:t>No</w:t>
            </w:r>
          </w:p>
        </w:tc>
      </w:tr>
      <w:tr w:rsidR="00392628" w:rsidRPr="00CF20D5" w14:paraId="32F4CC70" w14:textId="77777777" w:rsidTr="008454B0">
        <w:trPr>
          <w:cnfStyle w:val="000000100000" w:firstRow="0" w:lastRow="0" w:firstColumn="0" w:lastColumn="0" w:oddVBand="0" w:evenVBand="0" w:oddHBand="1" w:evenHBand="0" w:firstRowFirstColumn="0" w:firstRowLastColumn="0" w:lastRowFirstColumn="0" w:lastRowLastColumn="0"/>
          <w:trHeight w:val="315"/>
        </w:trPr>
        <w:tc>
          <w:tcPr>
            <w:tcW w:w="757" w:type="pct"/>
            <w:hideMark/>
          </w:tcPr>
          <w:p w14:paraId="456CFC26" w14:textId="77777777" w:rsidR="00392628" w:rsidRPr="00CF20D5" w:rsidRDefault="00392628" w:rsidP="00760658">
            <w:pPr>
              <w:pStyle w:val="TableTextLeft"/>
            </w:pPr>
            <w:r w:rsidRPr="00CF20D5">
              <w:t>Gunnedah Basin</w:t>
            </w:r>
          </w:p>
        </w:tc>
        <w:tc>
          <w:tcPr>
            <w:tcW w:w="436" w:type="pct"/>
            <w:hideMark/>
          </w:tcPr>
          <w:p w14:paraId="0112072A" w14:textId="77777777" w:rsidR="00392628" w:rsidRPr="00CF20D5" w:rsidRDefault="00392628" w:rsidP="00760658">
            <w:pPr>
              <w:pStyle w:val="TableTextLeft"/>
            </w:pPr>
            <w:r w:rsidRPr="00CF20D5">
              <w:t>NSW</w:t>
            </w:r>
          </w:p>
        </w:tc>
        <w:tc>
          <w:tcPr>
            <w:tcW w:w="726" w:type="pct"/>
            <w:noWrap/>
            <w:hideMark/>
          </w:tcPr>
          <w:p w14:paraId="2BA98311" w14:textId="77777777" w:rsidR="00392628" w:rsidRPr="00CF20D5" w:rsidRDefault="00392628" w:rsidP="00760658">
            <w:pPr>
              <w:pStyle w:val="TableTextLeft"/>
            </w:pPr>
            <w:r w:rsidRPr="00CF20D5">
              <w:t>0</w:t>
            </w:r>
          </w:p>
        </w:tc>
        <w:tc>
          <w:tcPr>
            <w:tcW w:w="799" w:type="pct"/>
            <w:noWrap/>
            <w:hideMark/>
          </w:tcPr>
          <w:p w14:paraId="2115EE7B" w14:textId="77777777" w:rsidR="00392628" w:rsidRPr="00CF20D5" w:rsidRDefault="00392628" w:rsidP="00760658">
            <w:pPr>
              <w:pStyle w:val="TableTextLeft"/>
            </w:pPr>
            <w:r w:rsidRPr="00CF20D5">
              <w:t>13</w:t>
            </w:r>
          </w:p>
        </w:tc>
        <w:tc>
          <w:tcPr>
            <w:tcW w:w="1090" w:type="pct"/>
            <w:hideMark/>
          </w:tcPr>
          <w:p w14:paraId="616AB8B7" w14:textId="77777777" w:rsidR="00392628" w:rsidRPr="00CF20D5" w:rsidRDefault="00392628" w:rsidP="00760658">
            <w:pPr>
              <w:pStyle w:val="TableTextLeft"/>
            </w:pPr>
            <w:r w:rsidRPr="00CF20D5">
              <w:t>No exploration activity</w:t>
            </w:r>
          </w:p>
        </w:tc>
        <w:tc>
          <w:tcPr>
            <w:tcW w:w="727" w:type="pct"/>
          </w:tcPr>
          <w:p w14:paraId="563D2660" w14:textId="77777777" w:rsidR="00392628" w:rsidRPr="00141287" w:rsidRDefault="00392628" w:rsidP="00760658">
            <w:pPr>
              <w:pStyle w:val="TableTextLeft"/>
            </w:pPr>
            <w:r>
              <w:t>&gt;</w:t>
            </w:r>
            <w:r w:rsidRPr="00141287">
              <w:t>10 years</w:t>
            </w:r>
          </w:p>
        </w:tc>
        <w:tc>
          <w:tcPr>
            <w:tcW w:w="465" w:type="pct"/>
          </w:tcPr>
          <w:p w14:paraId="02F6039A" w14:textId="77777777" w:rsidR="00392628" w:rsidRPr="00423AB6" w:rsidRDefault="00392628" w:rsidP="00760658">
            <w:pPr>
              <w:pStyle w:val="TableTextLeft"/>
            </w:pPr>
            <w:r w:rsidRPr="00423AB6">
              <w:t>No</w:t>
            </w:r>
          </w:p>
        </w:tc>
      </w:tr>
      <w:tr w:rsidR="00392628" w:rsidRPr="00CF20D5" w14:paraId="2E53302D" w14:textId="77777777" w:rsidTr="008454B0">
        <w:trPr>
          <w:cnfStyle w:val="000000010000" w:firstRow="0" w:lastRow="0" w:firstColumn="0" w:lastColumn="0" w:oddVBand="0" w:evenVBand="0" w:oddHBand="0" w:evenHBand="1" w:firstRowFirstColumn="0" w:firstRowLastColumn="0" w:lastRowFirstColumn="0" w:lastRowLastColumn="0"/>
          <w:trHeight w:val="315"/>
        </w:trPr>
        <w:tc>
          <w:tcPr>
            <w:tcW w:w="757" w:type="pct"/>
            <w:hideMark/>
          </w:tcPr>
          <w:p w14:paraId="7453C5F2" w14:textId="77777777" w:rsidR="00392628" w:rsidRPr="00CF20D5" w:rsidRDefault="00392628" w:rsidP="00760658">
            <w:pPr>
              <w:pStyle w:val="TableTextLeft"/>
            </w:pPr>
            <w:r w:rsidRPr="00CF20D5">
              <w:t>Maryborough Basin</w:t>
            </w:r>
          </w:p>
        </w:tc>
        <w:tc>
          <w:tcPr>
            <w:tcW w:w="436" w:type="pct"/>
            <w:hideMark/>
          </w:tcPr>
          <w:p w14:paraId="4CDDBCEA" w14:textId="77777777" w:rsidR="00392628" w:rsidRPr="00CF20D5" w:rsidRDefault="00392628" w:rsidP="00760658">
            <w:pPr>
              <w:pStyle w:val="TableTextLeft"/>
            </w:pPr>
            <w:r w:rsidRPr="00CF20D5">
              <w:t>QLD</w:t>
            </w:r>
          </w:p>
        </w:tc>
        <w:tc>
          <w:tcPr>
            <w:tcW w:w="726" w:type="pct"/>
            <w:noWrap/>
            <w:hideMark/>
          </w:tcPr>
          <w:p w14:paraId="71A53B57" w14:textId="77777777" w:rsidR="00392628" w:rsidRPr="00CF20D5" w:rsidRDefault="00392628" w:rsidP="00760658">
            <w:pPr>
              <w:pStyle w:val="TableTextLeft"/>
            </w:pPr>
            <w:r w:rsidRPr="00CF20D5">
              <w:t>0</w:t>
            </w:r>
          </w:p>
        </w:tc>
        <w:tc>
          <w:tcPr>
            <w:tcW w:w="799" w:type="pct"/>
            <w:noWrap/>
            <w:hideMark/>
          </w:tcPr>
          <w:p w14:paraId="6AE26CBE" w14:textId="77777777" w:rsidR="00392628" w:rsidRPr="00CF20D5" w:rsidRDefault="00392628" w:rsidP="00760658">
            <w:pPr>
              <w:pStyle w:val="TableTextLeft"/>
            </w:pPr>
            <w:r w:rsidRPr="00CF20D5">
              <w:t>7</w:t>
            </w:r>
          </w:p>
        </w:tc>
        <w:tc>
          <w:tcPr>
            <w:tcW w:w="1090" w:type="pct"/>
            <w:hideMark/>
          </w:tcPr>
          <w:p w14:paraId="0B72A3B2" w14:textId="77777777" w:rsidR="00392628" w:rsidRPr="00CF20D5" w:rsidRDefault="00392628" w:rsidP="00760658">
            <w:pPr>
              <w:pStyle w:val="TableTextLeft"/>
            </w:pPr>
            <w:r w:rsidRPr="00CF20D5">
              <w:t>No exploration activity</w:t>
            </w:r>
          </w:p>
        </w:tc>
        <w:tc>
          <w:tcPr>
            <w:tcW w:w="727" w:type="pct"/>
          </w:tcPr>
          <w:p w14:paraId="47FEA214" w14:textId="77777777" w:rsidR="00392628" w:rsidRPr="00141287" w:rsidRDefault="00392628" w:rsidP="00760658">
            <w:pPr>
              <w:pStyle w:val="TableTextLeft"/>
            </w:pPr>
            <w:r>
              <w:t>&gt;</w:t>
            </w:r>
            <w:r w:rsidRPr="00141287">
              <w:t>10 years</w:t>
            </w:r>
          </w:p>
        </w:tc>
        <w:tc>
          <w:tcPr>
            <w:tcW w:w="465" w:type="pct"/>
          </w:tcPr>
          <w:p w14:paraId="0E9CBEDF" w14:textId="77777777" w:rsidR="00392628" w:rsidRPr="00423AB6" w:rsidRDefault="00392628" w:rsidP="00760658">
            <w:pPr>
              <w:pStyle w:val="TableTextLeft"/>
            </w:pPr>
            <w:r w:rsidRPr="00423AB6">
              <w:t>No</w:t>
            </w:r>
          </w:p>
        </w:tc>
      </w:tr>
      <w:tr w:rsidR="00392628" w:rsidRPr="00CF20D5" w14:paraId="6232175E" w14:textId="77777777" w:rsidTr="008454B0">
        <w:trPr>
          <w:cnfStyle w:val="000000100000" w:firstRow="0" w:lastRow="0" w:firstColumn="0" w:lastColumn="0" w:oddVBand="0" w:evenVBand="0" w:oddHBand="1" w:evenHBand="0" w:firstRowFirstColumn="0" w:firstRowLastColumn="0" w:lastRowFirstColumn="0" w:lastRowLastColumn="0"/>
          <w:trHeight w:val="315"/>
        </w:trPr>
        <w:tc>
          <w:tcPr>
            <w:tcW w:w="757" w:type="pct"/>
          </w:tcPr>
          <w:p w14:paraId="486C0CE8" w14:textId="77777777" w:rsidR="00392628" w:rsidRDefault="00392628" w:rsidP="00760658">
            <w:pPr>
              <w:pStyle w:val="TableTextLeft"/>
            </w:pPr>
            <w:r>
              <w:t>Galilee Basin</w:t>
            </w:r>
          </w:p>
        </w:tc>
        <w:tc>
          <w:tcPr>
            <w:tcW w:w="436" w:type="pct"/>
          </w:tcPr>
          <w:p w14:paraId="743802F5" w14:textId="77777777" w:rsidR="00392628" w:rsidRDefault="00392628" w:rsidP="00760658">
            <w:pPr>
              <w:pStyle w:val="TableTextLeft"/>
            </w:pPr>
            <w:r>
              <w:t>QLD</w:t>
            </w:r>
          </w:p>
        </w:tc>
        <w:tc>
          <w:tcPr>
            <w:tcW w:w="726" w:type="pct"/>
            <w:noWrap/>
          </w:tcPr>
          <w:p w14:paraId="23D679AD" w14:textId="77777777" w:rsidR="00392628" w:rsidRDefault="00392628" w:rsidP="00760658">
            <w:pPr>
              <w:pStyle w:val="TableTextLeft"/>
            </w:pPr>
            <w:r>
              <w:t>0**</w:t>
            </w:r>
          </w:p>
        </w:tc>
        <w:tc>
          <w:tcPr>
            <w:tcW w:w="799" w:type="pct"/>
            <w:noWrap/>
          </w:tcPr>
          <w:p w14:paraId="7606A14F" w14:textId="77777777" w:rsidR="00392628" w:rsidRDefault="00392628" w:rsidP="00760658">
            <w:pPr>
              <w:pStyle w:val="TableTextLeft"/>
            </w:pPr>
            <w:r>
              <w:t>0</w:t>
            </w:r>
          </w:p>
        </w:tc>
        <w:tc>
          <w:tcPr>
            <w:tcW w:w="1090" w:type="pct"/>
          </w:tcPr>
          <w:p w14:paraId="77674E21" w14:textId="54078127" w:rsidR="00392628" w:rsidRDefault="00392628" w:rsidP="00760658">
            <w:pPr>
              <w:pStyle w:val="TableTextLeft"/>
            </w:pPr>
            <w:r>
              <w:t>?</w:t>
            </w:r>
            <w:r w:rsidRPr="00CF20D5">
              <w:t>Preliminary exploration</w:t>
            </w:r>
          </w:p>
        </w:tc>
        <w:tc>
          <w:tcPr>
            <w:tcW w:w="727" w:type="pct"/>
          </w:tcPr>
          <w:p w14:paraId="512D408C" w14:textId="77777777" w:rsidR="00392628" w:rsidRDefault="00392628" w:rsidP="00760658">
            <w:pPr>
              <w:pStyle w:val="TableTextLeft"/>
            </w:pPr>
            <w:r>
              <w:t>&gt;</w:t>
            </w:r>
            <w:r w:rsidRPr="00141287">
              <w:t>10 years</w:t>
            </w:r>
          </w:p>
        </w:tc>
        <w:tc>
          <w:tcPr>
            <w:tcW w:w="465" w:type="pct"/>
          </w:tcPr>
          <w:p w14:paraId="50121EBD" w14:textId="77777777" w:rsidR="00392628" w:rsidRDefault="00392628" w:rsidP="00760658">
            <w:pPr>
              <w:pStyle w:val="TableTextLeft"/>
            </w:pPr>
            <w:r>
              <w:t>No</w:t>
            </w:r>
          </w:p>
        </w:tc>
      </w:tr>
      <w:tr w:rsidR="00392628" w:rsidRPr="00CF20D5" w14:paraId="0D3ACE2C" w14:textId="77777777" w:rsidTr="008454B0">
        <w:trPr>
          <w:cnfStyle w:val="000000010000" w:firstRow="0" w:lastRow="0" w:firstColumn="0" w:lastColumn="0" w:oddVBand="0" w:evenVBand="0" w:oddHBand="0" w:evenHBand="1" w:firstRowFirstColumn="0" w:firstRowLastColumn="0" w:lastRowFirstColumn="0" w:lastRowLastColumn="0"/>
          <w:trHeight w:val="315"/>
        </w:trPr>
        <w:tc>
          <w:tcPr>
            <w:tcW w:w="757" w:type="pct"/>
          </w:tcPr>
          <w:p w14:paraId="36B761C4" w14:textId="77777777" w:rsidR="00392628" w:rsidRPr="00CF20D5" w:rsidRDefault="00392628" w:rsidP="00760658">
            <w:pPr>
              <w:pStyle w:val="TableTextLeft"/>
            </w:pPr>
            <w:r>
              <w:t>Eromanga Basin</w:t>
            </w:r>
          </w:p>
        </w:tc>
        <w:tc>
          <w:tcPr>
            <w:tcW w:w="436" w:type="pct"/>
          </w:tcPr>
          <w:p w14:paraId="342E7645" w14:textId="77777777" w:rsidR="00392628" w:rsidRPr="00CF20D5" w:rsidRDefault="00392628" w:rsidP="00760658">
            <w:pPr>
              <w:pStyle w:val="TableTextLeft"/>
            </w:pPr>
            <w:r>
              <w:t>NT, SA, QLD</w:t>
            </w:r>
          </w:p>
        </w:tc>
        <w:tc>
          <w:tcPr>
            <w:tcW w:w="726" w:type="pct"/>
            <w:noWrap/>
          </w:tcPr>
          <w:p w14:paraId="757BF547" w14:textId="77777777" w:rsidR="00392628" w:rsidRPr="00CF20D5" w:rsidRDefault="00392628" w:rsidP="00760658">
            <w:pPr>
              <w:pStyle w:val="TableTextLeft"/>
            </w:pPr>
            <w:r>
              <w:t>0</w:t>
            </w:r>
          </w:p>
        </w:tc>
        <w:tc>
          <w:tcPr>
            <w:tcW w:w="799" w:type="pct"/>
            <w:noWrap/>
          </w:tcPr>
          <w:p w14:paraId="2F7D982F" w14:textId="77777777" w:rsidR="00392628" w:rsidRPr="00CF20D5" w:rsidRDefault="00392628" w:rsidP="00760658">
            <w:pPr>
              <w:pStyle w:val="TableTextLeft"/>
            </w:pPr>
            <w:r>
              <w:t>0*</w:t>
            </w:r>
          </w:p>
        </w:tc>
        <w:tc>
          <w:tcPr>
            <w:tcW w:w="1090" w:type="pct"/>
          </w:tcPr>
          <w:p w14:paraId="0044126D" w14:textId="77777777" w:rsidR="00392628" w:rsidRPr="00CF20D5" w:rsidRDefault="00392628" w:rsidP="00760658">
            <w:pPr>
              <w:pStyle w:val="TableTextLeft"/>
            </w:pPr>
            <w:r>
              <w:t>Exploration activity ceased due to poorer than expected results</w:t>
            </w:r>
          </w:p>
        </w:tc>
        <w:tc>
          <w:tcPr>
            <w:tcW w:w="727" w:type="pct"/>
          </w:tcPr>
          <w:p w14:paraId="4E83A0C9" w14:textId="77777777" w:rsidR="00392628" w:rsidRPr="00141287" w:rsidRDefault="00392628" w:rsidP="00760658">
            <w:pPr>
              <w:pStyle w:val="TableTextLeft"/>
            </w:pPr>
            <w:r>
              <w:t>&gt;</w:t>
            </w:r>
            <w:r w:rsidRPr="00141287">
              <w:t>10 years</w:t>
            </w:r>
          </w:p>
        </w:tc>
        <w:tc>
          <w:tcPr>
            <w:tcW w:w="465" w:type="pct"/>
          </w:tcPr>
          <w:p w14:paraId="2ABC19E9" w14:textId="77777777" w:rsidR="00392628" w:rsidRPr="00423AB6" w:rsidRDefault="00392628" w:rsidP="00760658">
            <w:pPr>
              <w:pStyle w:val="TableTextLeft"/>
            </w:pPr>
            <w:r>
              <w:t>No</w:t>
            </w:r>
          </w:p>
        </w:tc>
      </w:tr>
      <w:tr w:rsidR="00392628" w:rsidRPr="00CF20D5" w14:paraId="28DEA003" w14:textId="77777777" w:rsidTr="008454B0">
        <w:trPr>
          <w:cnfStyle w:val="000000100000" w:firstRow="0" w:lastRow="0" w:firstColumn="0" w:lastColumn="0" w:oddVBand="0" w:evenVBand="0" w:oddHBand="1" w:evenHBand="0" w:firstRowFirstColumn="0" w:firstRowLastColumn="0" w:lastRowFirstColumn="0" w:lastRowLastColumn="0"/>
          <w:trHeight w:val="315"/>
        </w:trPr>
        <w:tc>
          <w:tcPr>
            <w:tcW w:w="757" w:type="pct"/>
            <w:hideMark/>
          </w:tcPr>
          <w:p w14:paraId="24042F40" w14:textId="77777777" w:rsidR="00392628" w:rsidRPr="00CF20D5" w:rsidRDefault="00392628" w:rsidP="00760658">
            <w:pPr>
              <w:pStyle w:val="TableTextLeft"/>
            </w:pPr>
            <w:r w:rsidRPr="007D4A67">
              <w:t>TOTAL</w:t>
            </w:r>
          </w:p>
        </w:tc>
        <w:tc>
          <w:tcPr>
            <w:tcW w:w="436" w:type="pct"/>
            <w:hideMark/>
          </w:tcPr>
          <w:p w14:paraId="4F9565BE" w14:textId="77777777" w:rsidR="00392628" w:rsidRPr="00CF20D5" w:rsidRDefault="00392628" w:rsidP="00760658">
            <w:pPr>
              <w:pStyle w:val="TableTextLeft"/>
            </w:pPr>
          </w:p>
        </w:tc>
        <w:tc>
          <w:tcPr>
            <w:tcW w:w="726" w:type="pct"/>
            <w:noWrap/>
            <w:hideMark/>
          </w:tcPr>
          <w:p w14:paraId="316D0C68" w14:textId="5376749A" w:rsidR="00392628" w:rsidRPr="00CF20D5" w:rsidRDefault="00392628" w:rsidP="00760658">
            <w:pPr>
              <w:pStyle w:val="TableTextLeft"/>
            </w:pPr>
            <w:r w:rsidRPr="007D4A67">
              <w:t>17.</w:t>
            </w:r>
            <w:r w:rsidR="00D2191B">
              <w:t>1</w:t>
            </w:r>
          </w:p>
        </w:tc>
        <w:tc>
          <w:tcPr>
            <w:tcW w:w="799" w:type="pct"/>
            <w:noWrap/>
            <w:hideMark/>
          </w:tcPr>
          <w:p w14:paraId="3F81B837" w14:textId="6C9EC05C" w:rsidR="00392628" w:rsidRPr="00CF20D5" w:rsidRDefault="00D2191B" w:rsidP="00760658">
            <w:pPr>
              <w:pStyle w:val="TableTextLeft"/>
            </w:pPr>
            <w:r>
              <w:t>393.1</w:t>
            </w:r>
          </w:p>
        </w:tc>
        <w:tc>
          <w:tcPr>
            <w:tcW w:w="1090" w:type="pct"/>
            <w:hideMark/>
          </w:tcPr>
          <w:p w14:paraId="6E84E5ED" w14:textId="77777777" w:rsidR="00392628" w:rsidRPr="00CF20D5" w:rsidRDefault="00392628" w:rsidP="00760658">
            <w:pPr>
              <w:pStyle w:val="TableTextLeft"/>
            </w:pPr>
          </w:p>
        </w:tc>
        <w:tc>
          <w:tcPr>
            <w:tcW w:w="727" w:type="pct"/>
          </w:tcPr>
          <w:p w14:paraId="7B75AE07" w14:textId="77777777" w:rsidR="00392628" w:rsidRPr="00423AB6" w:rsidRDefault="00392628" w:rsidP="00760658">
            <w:pPr>
              <w:pStyle w:val="TableTextLeft"/>
              <w:rPr>
                <w:color w:val="FF0000"/>
              </w:rPr>
            </w:pPr>
          </w:p>
        </w:tc>
        <w:tc>
          <w:tcPr>
            <w:tcW w:w="465" w:type="pct"/>
          </w:tcPr>
          <w:p w14:paraId="6CA24930" w14:textId="77777777" w:rsidR="00392628" w:rsidRPr="00423AB6" w:rsidRDefault="00392628" w:rsidP="00760658">
            <w:pPr>
              <w:pStyle w:val="TableTextLeft"/>
            </w:pPr>
          </w:p>
        </w:tc>
      </w:tr>
    </w:tbl>
    <w:p w14:paraId="7FAD6A61" w14:textId="77777777" w:rsidR="00D27769" w:rsidRPr="00D447B8" w:rsidRDefault="00D27769" w:rsidP="00174635">
      <w:pPr>
        <w:pStyle w:val="BodyText"/>
      </w:pPr>
    </w:p>
    <w:p w14:paraId="3AD6FC88" w14:textId="77777777" w:rsidR="00D27769" w:rsidRDefault="00D27769" w:rsidP="00174635">
      <w:pPr>
        <w:pStyle w:val="BodyText"/>
      </w:pPr>
      <w:r>
        <w:t xml:space="preserve">Although documented contingent and prospective resource numbers provide a useful guide for both the prospectivity of a basin and its stage within the exploration cycle (Table 6-3), inconsistencies in resource assessment methodologies and reporting are significant and the following issues need to be considered when using these data. </w:t>
      </w:r>
    </w:p>
    <w:p w14:paraId="64A2B975" w14:textId="4F90DED5" w:rsidR="00D27769" w:rsidRDefault="00D27769" w:rsidP="00E8799B">
      <w:pPr>
        <w:pStyle w:val="ListBullet"/>
      </w:pPr>
      <w:r>
        <w:lastRenderedPageBreak/>
        <w:t xml:space="preserve">Contingent resources are independently assessed but still need to be considered carefully. For example, </w:t>
      </w:r>
      <w:r w:rsidR="00B43612">
        <w:t>a gross 2C resource of</w:t>
      </w:r>
      <w:r>
        <w:t xml:space="preserve"> 6.6 Tcf </w:t>
      </w:r>
      <w:r w:rsidR="00783552">
        <w:t xml:space="preserve">(approximately 7,260 PJ) </w:t>
      </w:r>
      <w:r w:rsidR="00B43612">
        <w:t xml:space="preserve">has </w:t>
      </w:r>
      <w:r>
        <w:t xml:space="preserve">been </w:t>
      </w:r>
      <w:r w:rsidR="00B43612">
        <w:t xml:space="preserve">reported </w:t>
      </w:r>
      <w:r>
        <w:t xml:space="preserve">by Origin </w:t>
      </w:r>
      <w:r w:rsidR="00392628">
        <w:t xml:space="preserve">Energy </w:t>
      </w:r>
      <w:r>
        <w:t>in the McArthur Basin based on the results of only 1 well, with a recovery factor of 16% (Close et al., 2017; Origin</w:t>
      </w:r>
      <w:r w:rsidR="00392628">
        <w:t xml:space="preserve"> Energy</w:t>
      </w:r>
      <w:r>
        <w:t>, 2017</w:t>
      </w:r>
      <w:r w:rsidR="005E1B62">
        <w:t>)</w:t>
      </w:r>
      <w:r w:rsidR="007166E9">
        <w:t>.</w:t>
      </w:r>
      <w:r w:rsidR="005E1B62">
        <w:t xml:space="preserve"> </w:t>
      </w:r>
      <w:r>
        <w:t>This is an important result, but uncertainties remain large and further testing is required (Revie, 2017a, b).</w:t>
      </w:r>
    </w:p>
    <w:p w14:paraId="51B1A55B" w14:textId="77777777" w:rsidR="00D27769" w:rsidRDefault="00D27769" w:rsidP="00E8799B">
      <w:pPr>
        <w:pStyle w:val="ListBullet"/>
      </w:pPr>
      <w:r>
        <w:t>The uncertainties in prospective resource volumes are greater still, as these numbers are based on much more limited information. It is also difficult to compare and contrast prospective resource estimates from different sources due to significant differences in both assessment method and area.</w:t>
      </w:r>
    </w:p>
    <w:p w14:paraId="27216475" w14:textId="77777777" w:rsidR="00D27769" w:rsidRDefault="00D27769" w:rsidP="00E8799B">
      <w:pPr>
        <w:pStyle w:val="ListBullet"/>
      </w:pPr>
      <w:r>
        <w:t xml:space="preserve">Public domain prospective resource estimates are not available for all play types of interest. For example, no </w:t>
      </w:r>
      <w:r w:rsidRPr="0084606A">
        <w:t>tight gas prospective resources have been estimated for the basin-centred gas play in the Taroom Trough (Bowe</w:t>
      </w:r>
      <w:r>
        <w:t>n Basin), despite similarities with the Nappamerri Trough in the Cooper Basin</w:t>
      </w:r>
      <w:r w:rsidRPr="0084606A">
        <w:t>.</w:t>
      </w:r>
    </w:p>
    <w:p w14:paraId="491F218F" w14:textId="2D04C21A" w:rsidR="005A2330" w:rsidRDefault="00D27769" w:rsidP="00174635">
      <w:pPr>
        <w:pStyle w:val="BodyText"/>
      </w:pPr>
      <w:r>
        <w:t>Due to these inconsistencies, resource estimates cannot be used to directly rank the relative shale/ tight gas prospectivity of these nine basins. To more fully and effectively assess the shale and tight gas prospectivity of each of these basins, additional information on the regional geology and petroleum prospectivity must be taken into consideration.</w:t>
      </w:r>
    </w:p>
    <w:p w14:paraId="48BCB328" w14:textId="77777777" w:rsidR="00091715" w:rsidRDefault="00091715" w:rsidP="00174635">
      <w:pPr>
        <w:pStyle w:val="BodyText"/>
      </w:pPr>
    </w:p>
    <w:p w14:paraId="74B2978A" w14:textId="77777777" w:rsidR="00D27769" w:rsidRPr="00E8799B" w:rsidRDefault="00D27769" w:rsidP="005A2330">
      <w:pPr>
        <w:pStyle w:val="Heading2"/>
      </w:pPr>
      <w:bookmarkStart w:id="86" w:name="_Ref493831579"/>
      <w:bookmarkStart w:id="87" w:name="_Toc494277013"/>
      <w:bookmarkStart w:id="88" w:name="_Toc517101424"/>
      <w:r w:rsidRPr="00E8799B">
        <w:t xml:space="preserve">Data </w:t>
      </w:r>
      <w:r w:rsidRPr="005A2330">
        <w:t>inventory</w:t>
      </w:r>
      <w:bookmarkEnd w:id="86"/>
      <w:bookmarkEnd w:id="87"/>
      <w:bookmarkEnd w:id="88"/>
    </w:p>
    <w:p w14:paraId="026C90FB" w14:textId="77777777" w:rsidR="00D27769" w:rsidRDefault="00D27769" w:rsidP="00174635">
      <w:pPr>
        <w:pStyle w:val="BodyText"/>
      </w:pPr>
      <w:r>
        <w:t xml:space="preserve">A review </w:t>
      </w:r>
      <w:r w:rsidRPr="00FB116C">
        <w:t xml:space="preserve">of existing </w:t>
      </w:r>
      <w:r>
        <w:t>open file</w:t>
      </w:r>
      <w:r w:rsidRPr="00FB116C">
        <w:t xml:space="preserve"> national</w:t>
      </w:r>
      <w:r>
        <w:t xml:space="preserve"> scale,</w:t>
      </w:r>
      <w:r w:rsidRPr="00FB116C">
        <w:t xml:space="preserve"> </w:t>
      </w:r>
      <w:r>
        <w:t xml:space="preserve">petroleum and </w:t>
      </w:r>
      <w:r w:rsidRPr="00FB116C">
        <w:t>environmental data and information</w:t>
      </w:r>
      <w:r>
        <w:t xml:space="preserve"> was undertaken and used to underpin the geological and bioregional audit of the shortlisted basins. Regional scale data were also included where no national scale dataset contained the relevant information.</w:t>
      </w:r>
    </w:p>
    <w:p w14:paraId="1A02ACCD" w14:textId="77777777" w:rsidR="00D27769" w:rsidRDefault="00D27769" w:rsidP="00174635">
      <w:pPr>
        <w:pStyle w:val="BodyText"/>
      </w:pPr>
      <w:r>
        <w:t>Data compilation was undertaken in two stages, as follows.</w:t>
      </w:r>
    </w:p>
    <w:p w14:paraId="73ABF01D" w14:textId="77777777" w:rsidR="00D27769" w:rsidRDefault="00D27769" w:rsidP="00E8799B">
      <w:pPr>
        <w:pStyle w:val="ListBullet"/>
      </w:pPr>
      <w:r>
        <w:t>Relevant datasets compiled for the original Bioregional Assessment Program were identified and checked for currency.</w:t>
      </w:r>
    </w:p>
    <w:p w14:paraId="26278FDC" w14:textId="77777777" w:rsidR="00D27769" w:rsidRDefault="00D27769" w:rsidP="00E8799B">
      <w:pPr>
        <w:pStyle w:val="ListBullet"/>
      </w:pPr>
      <w:r>
        <w:t>Additional geological and petroleum datasets were identified and incorporated into the existing Bioregional Assessment data structure for use in the basin audit. New datasets included petroleum wells, 2D seismic navigation data, 3D seismic survey locations, oil and gas pipelines and petroleum processing facilities.</w:t>
      </w:r>
    </w:p>
    <w:p w14:paraId="56C6A00C" w14:textId="77777777" w:rsidR="00D27769" w:rsidRDefault="00D27769" w:rsidP="00174635">
      <w:pPr>
        <w:pStyle w:val="BodyText"/>
      </w:pPr>
      <w:r>
        <w:t>The data inventory and analysis involved the collection, spatial analysis and interpretation of a number of existing national datasets relevant to regional geology, petroleum exploration, g</w:t>
      </w:r>
      <w:r w:rsidRPr="00E930CF">
        <w:t xml:space="preserve">roundwater, </w:t>
      </w:r>
      <w:r>
        <w:t>s</w:t>
      </w:r>
      <w:r w:rsidRPr="00E930CF">
        <w:t xml:space="preserve">urface water, </w:t>
      </w:r>
      <w:r>
        <w:t>e</w:t>
      </w:r>
      <w:r w:rsidRPr="00E930CF">
        <w:t xml:space="preserve">nvironmental </w:t>
      </w:r>
      <w:r>
        <w:t>a</w:t>
      </w:r>
      <w:r w:rsidRPr="00E930CF">
        <w:t xml:space="preserve">ssets and </w:t>
      </w:r>
      <w:r>
        <w:t>s</w:t>
      </w:r>
      <w:r w:rsidRPr="00E930CF">
        <w:t xml:space="preserve">ocial </w:t>
      </w:r>
      <w:r>
        <w:t>f</w:t>
      </w:r>
      <w:r w:rsidRPr="00E930CF">
        <w:t>actors</w:t>
      </w:r>
      <w:r>
        <w:t>.</w:t>
      </w:r>
    </w:p>
    <w:p w14:paraId="1CF6BDE2" w14:textId="0E2636D0" w:rsidR="00D27769" w:rsidRDefault="00D27769" w:rsidP="00174635">
      <w:pPr>
        <w:pStyle w:val="BodyText"/>
      </w:pPr>
      <w:r>
        <w:t xml:space="preserve">Where possible, the most recent data has been used. In some cases, an older dataset provides better spatial coverage and consistency, licensing conditions </w:t>
      </w:r>
      <w:r>
        <w:lastRenderedPageBreak/>
        <w:t>or applicability. The datasets considered as part of this assessment were limited to those that were considered appropriate and were publically available at the time of draft preparation (August 2017</w:t>
      </w:r>
      <w:r w:rsidR="005E1B62">
        <w:t>)</w:t>
      </w:r>
      <w:r w:rsidR="007166E9">
        <w:t>.</w:t>
      </w:r>
      <w:r w:rsidR="005E1B62">
        <w:t xml:space="preserve"> </w:t>
      </w:r>
      <w:r>
        <w:t>To enable sufficient time for analysis, datasets were downloaded or acquired in July and August 2017.</w:t>
      </w:r>
    </w:p>
    <w:p w14:paraId="40DF528E" w14:textId="6B2A6421" w:rsidR="00D27769" w:rsidRDefault="00D27769" w:rsidP="00174635">
      <w:pPr>
        <w:pStyle w:val="BodyText"/>
      </w:pPr>
      <w:r>
        <w:t>The datasets provide information on a range of factors seen as pertinent in the Rapid Regional Basin Prioritisation Phase. They inform aspects relating to groundwater, s</w:t>
      </w:r>
      <w:r w:rsidRPr="003228CA">
        <w:t>urface water</w:t>
      </w:r>
      <w:r>
        <w:t>,</w:t>
      </w:r>
      <w:r w:rsidRPr="003228CA">
        <w:t xml:space="preserve"> </w:t>
      </w:r>
      <w:r>
        <w:t>e</w:t>
      </w:r>
      <w:r w:rsidRPr="003228CA">
        <w:t xml:space="preserve">nvironmental </w:t>
      </w:r>
      <w:r>
        <w:t>assets and social f</w:t>
      </w:r>
      <w:r w:rsidRPr="003228CA">
        <w:t>actors</w:t>
      </w:r>
      <w:r>
        <w:t xml:space="preserve">. The rationale for the use of these datasets as well as a brief description of the assessment undertaken with each is provided in the following sub-sections. </w:t>
      </w:r>
      <w:r>
        <w:fldChar w:fldCharType="begin"/>
      </w:r>
      <w:r>
        <w:instrText xml:space="preserve"> REF _Ref493774326 \h </w:instrText>
      </w:r>
      <w:r>
        <w:fldChar w:fldCharType="separate"/>
      </w:r>
      <w:r w:rsidR="004A16F5" w:rsidRPr="00AB6721">
        <w:t xml:space="preserve">Table </w:t>
      </w:r>
      <w:r w:rsidR="004A16F5">
        <w:rPr>
          <w:noProof/>
        </w:rPr>
        <w:t>5</w:t>
      </w:r>
      <w:r w:rsidR="004A16F5" w:rsidRPr="00AB6721">
        <w:noBreakHyphen/>
      </w:r>
      <w:r w:rsidR="004A16F5">
        <w:rPr>
          <w:noProof/>
        </w:rPr>
        <w:t>3</w:t>
      </w:r>
      <w:r>
        <w:fldChar w:fldCharType="end"/>
      </w:r>
      <w:r>
        <w:t xml:space="preserve"> and </w:t>
      </w:r>
      <w:r>
        <w:fldChar w:fldCharType="begin"/>
      </w:r>
      <w:r>
        <w:instrText xml:space="preserve"> REF _Ref493757951 \h </w:instrText>
      </w:r>
      <w:r>
        <w:fldChar w:fldCharType="separate"/>
      </w:r>
      <w:r w:rsidR="004A16F5" w:rsidRPr="00AB6721">
        <w:t xml:space="preserve">Table </w:t>
      </w:r>
      <w:r w:rsidR="004A16F5">
        <w:rPr>
          <w:noProof/>
        </w:rPr>
        <w:t>5</w:t>
      </w:r>
      <w:r w:rsidR="004A16F5" w:rsidRPr="00AB6721">
        <w:noBreakHyphen/>
      </w:r>
      <w:r w:rsidR="004A16F5">
        <w:rPr>
          <w:noProof/>
        </w:rPr>
        <w:t>4</w:t>
      </w:r>
      <w:r>
        <w:fldChar w:fldCharType="end"/>
      </w:r>
      <w:r>
        <w:t xml:space="preserve"> present summaries of the datasets used. Maps of the datasets are presented in Appendix B (Figures B.1</w:t>
      </w:r>
      <w:r w:rsidR="007166E9">
        <w:t>–</w:t>
      </w:r>
      <w:r>
        <w:t>B.</w:t>
      </w:r>
      <w:r w:rsidR="007166E9">
        <w:t>19</w:t>
      </w:r>
      <w:r>
        <w:t>) and Appendix C.</w:t>
      </w:r>
      <w:r w:rsidDel="007740D7">
        <w:t xml:space="preserve"> </w:t>
      </w:r>
      <w:r>
        <w:t>To augment the national-scale data, a brief literature review was undertaken for each basin. This literature review focused on: regional geology, petroleum exploration, hydrogeology and groundwater resources, surface w</w:t>
      </w:r>
      <w:r w:rsidR="007166E9">
        <w:t>ater systems, and groundwater–</w:t>
      </w:r>
      <w:r>
        <w:t xml:space="preserve">surface water interactions. </w:t>
      </w:r>
    </w:p>
    <w:p w14:paraId="526EE80D" w14:textId="53FD510A" w:rsidR="00D27769" w:rsidRPr="00084259" w:rsidRDefault="00D27769" w:rsidP="00174635">
      <w:pPr>
        <w:pStyle w:val="BodyText"/>
      </w:pPr>
      <w:r>
        <w:t xml:space="preserve">A full list of the datasets incorporated in the data inventory can be found in </w:t>
      </w:r>
      <w:r>
        <w:fldChar w:fldCharType="begin"/>
      </w:r>
      <w:r>
        <w:instrText xml:space="preserve"> REF _Ref493774326 \h </w:instrText>
      </w:r>
      <w:r>
        <w:fldChar w:fldCharType="separate"/>
      </w:r>
      <w:r w:rsidR="004A16F5" w:rsidRPr="00AB6721">
        <w:t xml:space="preserve">Table </w:t>
      </w:r>
      <w:r w:rsidR="004A16F5">
        <w:rPr>
          <w:noProof/>
        </w:rPr>
        <w:t>5</w:t>
      </w:r>
      <w:r w:rsidR="004A16F5" w:rsidRPr="00AB6721">
        <w:noBreakHyphen/>
      </w:r>
      <w:r w:rsidR="004A16F5">
        <w:rPr>
          <w:noProof/>
        </w:rPr>
        <w:t>3</w:t>
      </w:r>
      <w:r>
        <w:fldChar w:fldCharType="end"/>
      </w:r>
      <w:r>
        <w:t xml:space="preserve"> and </w:t>
      </w:r>
      <w:r>
        <w:fldChar w:fldCharType="begin"/>
      </w:r>
      <w:r>
        <w:instrText xml:space="preserve"> REF _Ref493757951 \h </w:instrText>
      </w:r>
      <w:r>
        <w:fldChar w:fldCharType="separate"/>
      </w:r>
      <w:r w:rsidR="004A16F5" w:rsidRPr="00AB6721">
        <w:t xml:space="preserve">Table </w:t>
      </w:r>
      <w:r w:rsidR="004A16F5">
        <w:rPr>
          <w:noProof/>
        </w:rPr>
        <w:t>5</w:t>
      </w:r>
      <w:r w:rsidR="004A16F5" w:rsidRPr="00AB6721">
        <w:noBreakHyphen/>
      </w:r>
      <w:r w:rsidR="004A16F5">
        <w:rPr>
          <w:noProof/>
        </w:rPr>
        <w:t>4</w:t>
      </w:r>
      <w:r>
        <w:fldChar w:fldCharType="end"/>
      </w:r>
      <w:r>
        <w:t xml:space="preserve"> and all regional maps referred to in the data audit can be found in Appendix B.</w:t>
      </w:r>
      <w:r w:rsidRPr="00B370B6">
        <w:t xml:space="preserve"> </w:t>
      </w:r>
      <w:r>
        <w:t xml:space="preserve">It is expected that in future stages of assessment, the range of factors and analysis undertaken will be broadened as basin shortlisting is progressed. Reviews of each basin, as well as tabulated results compiled from the national datasets are provided in the Appendix C of this report. </w:t>
      </w:r>
    </w:p>
    <w:p w14:paraId="03C92C18" w14:textId="77777777" w:rsidR="00D27769" w:rsidRPr="00E8799B" w:rsidRDefault="00D27769" w:rsidP="00D27769">
      <w:pPr>
        <w:pStyle w:val="Heading3"/>
      </w:pPr>
      <w:bookmarkStart w:id="89" w:name="_Toc494277014"/>
      <w:bookmarkStart w:id="90" w:name="_Toc517101425"/>
      <w:r w:rsidRPr="00E8799B">
        <w:lastRenderedPageBreak/>
        <w:t>Topographic datasets</w:t>
      </w:r>
      <w:bookmarkEnd w:id="89"/>
      <w:bookmarkEnd w:id="90"/>
    </w:p>
    <w:p w14:paraId="57AD4160" w14:textId="77777777" w:rsidR="00D27769" w:rsidRPr="00C20261" w:rsidRDefault="00D27769" w:rsidP="00174635">
      <w:pPr>
        <w:pStyle w:val="BodyText"/>
        <w:rPr>
          <w:rStyle w:val="Bold"/>
        </w:rPr>
      </w:pPr>
      <w:r w:rsidRPr="00C20261">
        <w:rPr>
          <w:rStyle w:val="Bold"/>
        </w:rPr>
        <w:t>Administrative boundaries and infrastructure</w:t>
      </w:r>
    </w:p>
    <w:p w14:paraId="2CB1E39B" w14:textId="77777777" w:rsidR="00D27769" w:rsidRPr="00DA2C77" w:rsidRDefault="00D27769" w:rsidP="00174635">
      <w:pPr>
        <w:pStyle w:val="BodyText"/>
      </w:pPr>
      <w:r>
        <w:t xml:space="preserve">Both administrative boundaries and </w:t>
      </w:r>
      <w:r w:rsidRPr="00DA2C77">
        <w:t>infrastructure</w:t>
      </w:r>
      <w:r>
        <w:t xml:space="preserve"> (</w:t>
      </w:r>
      <w:r w:rsidRPr="00DA2C77">
        <w:t>road and rail</w:t>
      </w:r>
      <w:r>
        <w:t>)</w:t>
      </w:r>
      <w:r w:rsidRPr="00DA2C77">
        <w:t xml:space="preserve"> </w:t>
      </w:r>
      <w:r>
        <w:t xml:space="preserve">shown on the infrastructure maps in Appendix C </w:t>
      </w:r>
      <w:r w:rsidRPr="00DA2C77">
        <w:t>w</w:t>
      </w:r>
      <w:r>
        <w:t>ere</w:t>
      </w:r>
      <w:r w:rsidRPr="00DA2C77">
        <w:t xml:space="preserve"> sourced from the Australian Topographic Base Map (Web Mercator) MapServer</w:t>
      </w:r>
      <w:r>
        <w:t xml:space="preserve">. </w:t>
      </w:r>
      <w:r w:rsidRPr="00DA2C77">
        <w:t>The Australian Topographic base map service is</w:t>
      </w:r>
      <w:r>
        <w:t xml:space="preserve"> a</w:t>
      </w:r>
      <w:r w:rsidRPr="00DA2C77">
        <w:t xml:space="preserve"> seamless national dataset coverage for the whole of Australia. The map is a representation of the </w:t>
      </w:r>
      <w:r>
        <w:t>GA</w:t>
      </w:r>
      <w:r w:rsidRPr="00DA2C77">
        <w:t xml:space="preserve"> </w:t>
      </w:r>
      <w:r>
        <w:t>1:</w:t>
      </w:r>
      <w:r w:rsidRPr="00DA2C77">
        <w:t xml:space="preserve">250k topographic specification and portrays a detailed graphic representation of features that appear on the Earth's surface. </w:t>
      </w:r>
    </w:p>
    <w:p w14:paraId="3F758215" w14:textId="77777777" w:rsidR="00D27769" w:rsidRPr="00C20261" w:rsidRDefault="00D27769" w:rsidP="00174635">
      <w:pPr>
        <w:pStyle w:val="BodyText"/>
        <w:rPr>
          <w:rStyle w:val="Bold"/>
        </w:rPr>
      </w:pPr>
      <w:r w:rsidRPr="00C20261">
        <w:rPr>
          <w:rStyle w:val="Bold"/>
        </w:rPr>
        <w:t>Digital elevation data</w:t>
      </w:r>
    </w:p>
    <w:p w14:paraId="1A0C3221" w14:textId="77777777" w:rsidR="00D27769" w:rsidRPr="00DA2C77" w:rsidRDefault="00D27769" w:rsidP="00174635">
      <w:pPr>
        <w:pStyle w:val="BodyText"/>
      </w:pPr>
      <w:r w:rsidRPr="00AF7D33">
        <w:t>The GEODATA 9 Second Digital Elevation Model (DEM-9S) Version 3 is a grid of ground level elevation points covering the whole of Australia with a grid spacing of 9 seconds in longitude and latitude (approximately 25</w:t>
      </w:r>
      <w:r>
        <w:t>0 m</w:t>
      </w:r>
      <w:r w:rsidRPr="00AF7D33">
        <w:t>etres) in the GDA94 coordinate system</w:t>
      </w:r>
      <w:r>
        <w:t xml:space="preserve"> (Hutchison et al., 2008)</w:t>
      </w:r>
      <w:r w:rsidRPr="00AF7D33">
        <w:t>.</w:t>
      </w:r>
    </w:p>
    <w:p w14:paraId="60EBCEF0" w14:textId="77777777" w:rsidR="00D27769" w:rsidRPr="00E8799B" w:rsidRDefault="00D27769" w:rsidP="00D27769">
      <w:pPr>
        <w:pStyle w:val="Heading3"/>
      </w:pPr>
      <w:bookmarkStart w:id="91" w:name="_Toc494277015"/>
      <w:bookmarkStart w:id="92" w:name="_Toc517101426"/>
      <w:r w:rsidRPr="00E8799B">
        <w:t>Geological datasets</w:t>
      </w:r>
      <w:bookmarkEnd w:id="91"/>
      <w:bookmarkEnd w:id="92"/>
    </w:p>
    <w:p w14:paraId="516EBACF" w14:textId="77777777" w:rsidR="00D27769" w:rsidRPr="00C20261" w:rsidRDefault="00D27769" w:rsidP="00174635">
      <w:pPr>
        <w:pStyle w:val="BodyText"/>
        <w:rPr>
          <w:rStyle w:val="Bold"/>
        </w:rPr>
      </w:pPr>
      <w:r w:rsidRPr="00C20261">
        <w:rPr>
          <w:rStyle w:val="Bold"/>
        </w:rPr>
        <w:t>Geologic Provinces</w:t>
      </w:r>
    </w:p>
    <w:p w14:paraId="20016713" w14:textId="6355257C" w:rsidR="00D27769" w:rsidRDefault="00D27769" w:rsidP="00174635">
      <w:pPr>
        <w:pStyle w:val="BodyText"/>
      </w:pPr>
      <w:r>
        <w:t xml:space="preserve">To identify the areas of interest, the extent of the sedimentary basin associated with the potentially prospective shale and/or tight gas areas was used as the extent for analysis. These sedimentary basins are compiled within the </w:t>
      </w:r>
      <w:r>
        <w:lastRenderedPageBreak/>
        <w:t xml:space="preserve">Australian Geological Provinces dataset, along with other geological provinces such as orogenic belts. The nine chosen sedimentary basins (see </w:t>
      </w:r>
      <w:r w:rsidR="00232334">
        <w:t>S</w:t>
      </w:r>
      <w:r>
        <w:t xml:space="preserve">ection </w:t>
      </w:r>
      <w:r w:rsidR="008E5932">
        <w:t>5</w:t>
      </w:r>
      <w:r>
        <w:t>.1) were extracted from the Australian Geological Provinces (Stewart et al., 2013</w:t>
      </w:r>
      <w:r w:rsidR="005E1B62">
        <w:t>)</w:t>
      </w:r>
      <w:r w:rsidR="007166E9">
        <w:t>.</w:t>
      </w:r>
      <w:r w:rsidR="005E1B62">
        <w:t xml:space="preserve"> </w:t>
      </w:r>
      <w:r>
        <w:t>It was decided to use the entire polygon area for each province as the areas of interest for further analysis conducted for this report. These outlines provide a clipping and analytical extent for the various other datasets considered in this stage.</w:t>
      </w:r>
    </w:p>
    <w:p w14:paraId="70DC0F81" w14:textId="77777777" w:rsidR="00D27769" w:rsidRPr="00C20261" w:rsidRDefault="00D27769" w:rsidP="00174635">
      <w:pPr>
        <w:pStyle w:val="BodyText"/>
        <w:rPr>
          <w:rStyle w:val="Bold"/>
        </w:rPr>
      </w:pPr>
      <w:r w:rsidRPr="00C20261">
        <w:rPr>
          <w:rStyle w:val="Bold"/>
        </w:rPr>
        <w:t>Surface Geology</w:t>
      </w:r>
    </w:p>
    <w:p w14:paraId="454BAC44" w14:textId="583D9507" w:rsidR="00D27769" w:rsidRDefault="00D27769" w:rsidP="00174635">
      <w:pPr>
        <w:pStyle w:val="BodyText"/>
      </w:pPr>
      <w:r w:rsidRPr="00EF6814">
        <w:t xml:space="preserve">The surface geology </w:t>
      </w:r>
      <w:r>
        <w:t>used in each basin location map in Appendix C</w:t>
      </w:r>
      <w:r w:rsidRPr="00EF6814">
        <w:t xml:space="preserve"> is sourced from </w:t>
      </w:r>
      <w:r w:rsidR="000A0A6D">
        <w:t xml:space="preserve">either </w:t>
      </w:r>
      <w:r>
        <w:t xml:space="preserve">the </w:t>
      </w:r>
      <w:r w:rsidRPr="00AF7D33">
        <w:t xml:space="preserve">Surface Geology of Australia 1:1M scale dataset (2012 edition) </w:t>
      </w:r>
      <w:r w:rsidRPr="00EF6814">
        <w:t>(Raymond et al., 20</w:t>
      </w:r>
      <w:r>
        <w:t>09</w:t>
      </w:r>
      <w:r w:rsidRPr="00EF6814">
        <w:t>)</w:t>
      </w:r>
      <w:r w:rsidR="000A0A6D">
        <w:t xml:space="preserve"> or 1:2.5M (2012 edition) (Raymond et al., 2012)</w:t>
      </w:r>
      <w:r w:rsidRPr="00EF6814">
        <w:t>.</w:t>
      </w:r>
      <w:r w:rsidR="007166E9">
        <w:t xml:space="preserve"> </w:t>
      </w:r>
      <w:r>
        <w:t>Th</w:t>
      </w:r>
      <w:r w:rsidR="000A0A6D">
        <w:t>ese</w:t>
      </w:r>
      <w:r>
        <w:t xml:space="preserve"> </w:t>
      </w:r>
      <w:r w:rsidR="000A0A6D">
        <w:t>are</w:t>
      </w:r>
      <w:r w:rsidRPr="00AF7D33">
        <w:t xml:space="preserve"> seamless national coverage</w:t>
      </w:r>
      <w:r w:rsidR="000A0A6D">
        <w:t>s</w:t>
      </w:r>
      <w:r w:rsidRPr="00AF7D33">
        <w:t xml:space="preserve"> of outcrop and surficial geology. The data maps outcropping bedrock geology and unconsolidated or poorly consolidated regolith material covering bedrock. Geological units are represented as polygon and line geometries, and are attributed with information regarding stratigraphic nomenclature and hierarchy, age, lithology, and primary data source. The dataset also contains geological contacts, structural features such as faults and shears, and miscellaneous supporting lines like the boundaries of water and ice bodies.</w:t>
      </w:r>
    </w:p>
    <w:p w14:paraId="031C95D5" w14:textId="77777777" w:rsidR="00D27769" w:rsidRPr="00E8799B" w:rsidRDefault="00D27769" w:rsidP="00D27769">
      <w:pPr>
        <w:pStyle w:val="Heading3"/>
      </w:pPr>
      <w:bookmarkStart w:id="93" w:name="_Toc494277016"/>
      <w:bookmarkStart w:id="94" w:name="_Toc517101427"/>
      <w:r w:rsidRPr="00E8799B">
        <w:t>Petroleum datasets</w:t>
      </w:r>
      <w:bookmarkEnd w:id="93"/>
      <w:bookmarkEnd w:id="94"/>
    </w:p>
    <w:p w14:paraId="7AACB9C8" w14:textId="77777777" w:rsidR="00D27769" w:rsidRPr="00C20261" w:rsidRDefault="00D27769" w:rsidP="00174635">
      <w:pPr>
        <w:pStyle w:val="BodyText"/>
        <w:rPr>
          <w:rStyle w:val="Bold"/>
        </w:rPr>
      </w:pPr>
      <w:r w:rsidRPr="00C20261">
        <w:rPr>
          <w:rStyle w:val="Bold"/>
        </w:rPr>
        <w:t>Petroleum wells</w:t>
      </w:r>
    </w:p>
    <w:p w14:paraId="4F6030B5" w14:textId="13BBBBB3" w:rsidR="00D27769" w:rsidRPr="008F396E" w:rsidRDefault="00D27769" w:rsidP="00174635">
      <w:pPr>
        <w:pStyle w:val="BodyText"/>
      </w:pPr>
      <w:r>
        <w:lastRenderedPageBreak/>
        <w:t>Petroleum well header data was sourced directly from the state and territory government websites. A full list of d</w:t>
      </w:r>
      <w:r w:rsidRPr="00FE4FEB">
        <w:t>ata source</w:t>
      </w:r>
      <w:r>
        <w:t xml:space="preserve">s can be found in </w:t>
      </w:r>
      <w:r w:rsidR="00232334">
        <w:fldChar w:fldCharType="begin"/>
      </w:r>
      <w:r w:rsidR="00232334">
        <w:instrText xml:space="preserve"> REF _Ref493774326 \h </w:instrText>
      </w:r>
      <w:r w:rsidR="00232334">
        <w:fldChar w:fldCharType="separate"/>
      </w:r>
      <w:r w:rsidR="004A16F5" w:rsidRPr="00AB6721">
        <w:t xml:space="preserve">Table </w:t>
      </w:r>
      <w:r w:rsidR="004A16F5">
        <w:rPr>
          <w:noProof/>
        </w:rPr>
        <w:t>5</w:t>
      </w:r>
      <w:r w:rsidR="004A16F5" w:rsidRPr="00AB6721">
        <w:noBreakHyphen/>
      </w:r>
      <w:r w:rsidR="004A16F5">
        <w:rPr>
          <w:noProof/>
        </w:rPr>
        <w:t>3</w:t>
      </w:r>
      <w:r w:rsidR="00232334">
        <w:fldChar w:fldCharType="end"/>
      </w:r>
      <w:r>
        <w:t xml:space="preserve">. The national scale distribution of petroleum wells is shown on </w:t>
      </w:r>
      <w:r>
        <w:fldChar w:fldCharType="begin"/>
      </w:r>
      <w:r>
        <w:instrText xml:space="preserve"> REF _Ref493832544 \h </w:instrText>
      </w:r>
      <w:r>
        <w:fldChar w:fldCharType="separate"/>
      </w:r>
      <w:r w:rsidR="004A16F5" w:rsidRPr="00AB6721">
        <w:t xml:space="preserve">Figure </w:t>
      </w:r>
      <w:r w:rsidR="004A16F5">
        <w:rPr>
          <w:noProof/>
        </w:rPr>
        <w:t>5</w:t>
      </w:r>
      <w:r w:rsidR="004A16F5">
        <w:noBreakHyphen/>
      </w:r>
      <w:r w:rsidR="004A16F5">
        <w:rPr>
          <w:noProof/>
        </w:rPr>
        <w:t>4</w:t>
      </w:r>
      <w:r>
        <w:fldChar w:fldCharType="end"/>
      </w:r>
      <w:r>
        <w:t>, while the data coverage maps in Appendix C show the distribution of petroleum well data within each shortlisted basin in greater detail.</w:t>
      </w:r>
    </w:p>
    <w:p w14:paraId="383974AF" w14:textId="77777777" w:rsidR="00D27769" w:rsidRPr="00C20261" w:rsidRDefault="00D27769" w:rsidP="00174635">
      <w:pPr>
        <w:pStyle w:val="BodyText"/>
        <w:rPr>
          <w:rStyle w:val="Bold"/>
        </w:rPr>
      </w:pPr>
      <w:r w:rsidRPr="00C20261">
        <w:rPr>
          <w:rStyle w:val="Bold"/>
        </w:rPr>
        <w:t>Seismic data</w:t>
      </w:r>
    </w:p>
    <w:p w14:paraId="0F3E2AC1" w14:textId="6E519CE8" w:rsidR="00D27769" w:rsidRPr="008F396E" w:rsidRDefault="00D27769" w:rsidP="00174635">
      <w:pPr>
        <w:pStyle w:val="BodyText"/>
      </w:pPr>
      <w:r>
        <w:t>Both 2D seismic navigation and 3D seismic areas for each state were sourced directly from the state and territory government websites. Navigation data for deep crustal seismic was also included within the inventory, where available. A full list of d</w:t>
      </w:r>
      <w:r w:rsidRPr="00FE4FEB">
        <w:t>ata source</w:t>
      </w:r>
      <w:r w:rsidR="00232334">
        <w:t xml:space="preserve">s can be found in </w:t>
      </w:r>
      <w:r w:rsidR="00232334">
        <w:fldChar w:fldCharType="begin"/>
      </w:r>
      <w:r w:rsidR="00232334">
        <w:instrText xml:space="preserve"> REF _Ref493774326 \h </w:instrText>
      </w:r>
      <w:r w:rsidR="00232334">
        <w:fldChar w:fldCharType="separate"/>
      </w:r>
      <w:r w:rsidR="004A16F5" w:rsidRPr="00AB6721">
        <w:t xml:space="preserve">Table </w:t>
      </w:r>
      <w:r w:rsidR="004A16F5">
        <w:rPr>
          <w:noProof/>
        </w:rPr>
        <w:t>5</w:t>
      </w:r>
      <w:r w:rsidR="004A16F5" w:rsidRPr="00AB6721">
        <w:noBreakHyphen/>
      </w:r>
      <w:r w:rsidR="004A16F5">
        <w:rPr>
          <w:noProof/>
        </w:rPr>
        <w:t>3</w:t>
      </w:r>
      <w:r w:rsidR="00232334">
        <w:fldChar w:fldCharType="end"/>
      </w:r>
      <w:r>
        <w:t xml:space="preserve">. The national scale distribution of 2D seismic data is shown on </w:t>
      </w:r>
      <w:r>
        <w:fldChar w:fldCharType="begin"/>
      </w:r>
      <w:r>
        <w:instrText xml:space="preserve"> REF _Ref493832544 \h </w:instrText>
      </w:r>
      <w:r>
        <w:fldChar w:fldCharType="separate"/>
      </w:r>
      <w:r w:rsidR="004A16F5" w:rsidRPr="00AB6721">
        <w:t xml:space="preserve">Figure </w:t>
      </w:r>
      <w:r w:rsidR="004A16F5">
        <w:rPr>
          <w:noProof/>
        </w:rPr>
        <w:t>5</w:t>
      </w:r>
      <w:r w:rsidR="004A16F5">
        <w:noBreakHyphen/>
      </w:r>
      <w:r w:rsidR="004A16F5">
        <w:rPr>
          <w:noProof/>
        </w:rPr>
        <w:t>4</w:t>
      </w:r>
      <w:r>
        <w:fldChar w:fldCharType="end"/>
      </w:r>
      <w:r>
        <w:t>, while the data coverage maps in Appendix C show the distribution of all seismic data within each shortlisted basin in greater detail.</w:t>
      </w:r>
    </w:p>
    <w:p w14:paraId="5EFAE509" w14:textId="77777777" w:rsidR="00D27769" w:rsidRDefault="00D27769" w:rsidP="00174635">
      <w:pPr>
        <w:pStyle w:val="FiguresImagesCentred"/>
      </w:pPr>
      <w:r>
        <w:rPr>
          <w:noProof/>
        </w:rPr>
        <w:lastRenderedPageBreak/>
        <w:drawing>
          <wp:inline distT="0" distB="0" distL="0" distR="0" wp14:anchorId="7BB45EB6" wp14:editId="51A27310">
            <wp:extent cx="6062400" cy="5400000"/>
            <wp:effectExtent l="0" t="0" r="0"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62400" cy="5400000"/>
                    </a:xfrm>
                    <a:prstGeom prst="rect">
                      <a:avLst/>
                    </a:prstGeom>
                  </pic:spPr>
                </pic:pic>
              </a:graphicData>
            </a:graphic>
          </wp:inline>
        </w:drawing>
      </w:r>
    </w:p>
    <w:p w14:paraId="5A316994" w14:textId="77777777" w:rsidR="00D27769" w:rsidRPr="00AB6721" w:rsidRDefault="00D27769" w:rsidP="00174635">
      <w:pPr>
        <w:pStyle w:val="Caption"/>
      </w:pPr>
      <w:bookmarkStart w:id="95" w:name="_Ref493832544"/>
      <w:bookmarkStart w:id="96" w:name="_Toc517101449"/>
      <w:r w:rsidRPr="00AB6721">
        <w:t xml:space="preserve">Figure </w:t>
      </w:r>
      <w:fldSimple w:instr=" STYLEREF 1 \s ">
        <w:r w:rsidR="004A16F5">
          <w:rPr>
            <w:noProof/>
          </w:rPr>
          <w:t>5</w:t>
        </w:r>
      </w:fldSimple>
      <w:r>
        <w:noBreakHyphen/>
      </w:r>
      <w:fldSimple w:instr=" SEQ Figure \* ARABIC \s 1 ">
        <w:r w:rsidR="004A16F5">
          <w:rPr>
            <w:noProof/>
          </w:rPr>
          <w:t>4</w:t>
        </w:r>
      </w:fldSimple>
      <w:bookmarkEnd w:id="95"/>
      <w:r w:rsidRPr="00AB6721">
        <w:t xml:space="preserve"> Distribution of petroleum wells and</w:t>
      </w:r>
      <w:r>
        <w:t xml:space="preserve"> 2D</w:t>
      </w:r>
      <w:r w:rsidRPr="00AB6721">
        <w:t xml:space="preserve"> seismic data across Australia.</w:t>
      </w:r>
      <w:bookmarkEnd w:id="96"/>
    </w:p>
    <w:p w14:paraId="34AC2E67" w14:textId="77777777" w:rsidR="00D27769" w:rsidRPr="00C20261" w:rsidRDefault="00D27769" w:rsidP="00174635">
      <w:pPr>
        <w:pStyle w:val="BodyText"/>
        <w:rPr>
          <w:rStyle w:val="Bold"/>
        </w:rPr>
      </w:pPr>
      <w:r w:rsidRPr="00C20261">
        <w:rPr>
          <w:rStyle w:val="Bold"/>
        </w:rPr>
        <w:t>Oil and gas pipelines</w:t>
      </w:r>
    </w:p>
    <w:p w14:paraId="4C7D04E0" w14:textId="64DA82F3" w:rsidR="00D27769" w:rsidRDefault="00D27769" w:rsidP="00174635">
      <w:pPr>
        <w:pStyle w:val="BodyText"/>
      </w:pPr>
      <w:r w:rsidRPr="00AF7D33">
        <w:lastRenderedPageBreak/>
        <w:t>The National Onshore Gas Pipelines Dataset represents the spatial locations of pipelines for the transmission of natural gas within mainland Australia complimented with feature attribution</w:t>
      </w:r>
      <w:r>
        <w:t xml:space="preserve"> (GA, 2015</w:t>
      </w:r>
      <w:r w:rsidR="005E1B62">
        <w:t>)</w:t>
      </w:r>
      <w:r w:rsidR="006C130C">
        <w:t>.</w:t>
      </w:r>
      <w:r w:rsidR="005E1B62">
        <w:t xml:space="preserve"> </w:t>
      </w:r>
    </w:p>
    <w:p w14:paraId="7330EEF2" w14:textId="77777777" w:rsidR="00D27769" w:rsidRPr="00C20261" w:rsidRDefault="00D27769" w:rsidP="00174635">
      <w:pPr>
        <w:pStyle w:val="BodyText"/>
        <w:rPr>
          <w:rStyle w:val="Bold"/>
        </w:rPr>
      </w:pPr>
      <w:r w:rsidRPr="00C20261">
        <w:rPr>
          <w:rStyle w:val="Bold"/>
        </w:rPr>
        <w:t>Gas processing facilities</w:t>
      </w:r>
    </w:p>
    <w:p w14:paraId="374BB77F" w14:textId="1B924163" w:rsidR="00D27769" w:rsidRPr="00E8799B" w:rsidRDefault="00D27769" w:rsidP="00E8799B">
      <w:pPr>
        <w:pStyle w:val="BodyText"/>
      </w:pPr>
      <w:r w:rsidRPr="00E8799B">
        <w:t xml:space="preserve">The location of gas processing facilities is extracted from the Offshore Oil and Gas Platforms dataset, which includes infrastructure facilities for the extraction, processing and/or storage </w:t>
      </w:r>
      <w:r w:rsidR="00D017DA">
        <w:t>of oil and natural gas (GA, 2015b</w:t>
      </w:r>
      <w:r w:rsidRPr="00E8799B">
        <w:t>).</w:t>
      </w:r>
    </w:p>
    <w:p w14:paraId="6ECB4718" w14:textId="77777777" w:rsidR="00D27769" w:rsidRPr="00C20261" w:rsidRDefault="00D27769" w:rsidP="00174635">
      <w:pPr>
        <w:pStyle w:val="BodyText"/>
        <w:rPr>
          <w:rStyle w:val="Bold"/>
        </w:rPr>
      </w:pPr>
      <w:r w:rsidRPr="00C20261">
        <w:rPr>
          <w:rStyle w:val="Bold"/>
        </w:rPr>
        <w:t>Field Outlines</w:t>
      </w:r>
    </w:p>
    <w:p w14:paraId="07735A42" w14:textId="77777777" w:rsidR="00D27769" w:rsidRDefault="00D27769" w:rsidP="00174635">
      <w:pPr>
        <w:pStyle w:val="BodyText"/>
        <w:sectPr w:rsidR="00D27769" w:rsidSect="005E0FA1">
          <w:headerReference w:type="even" r:id="rId41"/>
          <w:headerReference w:type="default" r:id="rId42"/>
          <w:footerReference w:type="even" r:id="rId43"/>
          <w:footerReference w:type="default" r:id="rId44"/>
          <w:headerReference w:type="first" r:id="rId45"/>
          <w:pgSz w:w="11907" w:h="16840" w:code="9"/>
          <w:pgMar w:top="1134" w:right="1134" w:bottom="1134" w:left="1134" w:header="510" w:footer="624" w:gutter="0"/>
          <w:pgNumType w:start="0"/>
          <w:cols w:space="720"/>
          <w:docGrid w:linePitch="326"/>
        </w:sectPr>
      </w:pPr>
      <w:r>
        <w:t>Field outlines shown in the basin audit images are sourced from Encom GPInfo, a Pitney Bowes Software (PBS) Pty Ltd product. Although all care is taken in compilation of the field outlines by PBS, no warranty is provided regarding the accuracy or completeness of the information. It is the responsibility of the users to ensure, by independent means, that those parts of the information used by it are correct before any reliability is placed on them.</w:t>
      </w:r>
    </w:p>
    <w:p w14:paraId="6F5A5716" w14:textId="77777777" w:rsidR="00D27769" w:rsidRPr="00AB6721" w:rsidRDefault="00D27769" w:rsidP="00924E2B">
      <w:pPr>
        <w:pStyle w:val="Caption"/>
      </w:pPr>
      <w:bookmarkStart w:id="97" w:name="_Ref493774326"/>
      <w:bookmarkStart w:id="98" w:name="_Toc517101457"/>
      <w:r w:rsidRPr="00AB6721">
        <w:lastRenderedPageBreak/>
        <w:t xml:space="preserve">Table </w:t>
      </w:r>
      <w:fldSimple w:instr=" STYLEREF 1 \s ">
        <w:r w:rsidR="004A16F5">
          <w:rPr>
            <w:noProof/>
          </w:rPr>
          <w:t>5</w:t>
        </w:r>
      </w:fldSimple>
      <w:r w:rsidRPr="00AB6721">
        <w:noBreakHyphen/>
      </w:r>
      <w:fldSimple w:instr=" SEQ Table \* ARABIC \s 1 ">
        <w:r w:rsidR="004A16F5">
          <w:rPr>
            <w:noProof/>
          </w:rPr>
          <w:t>3</w:t>
        </w:r>
      </w:fldSimple>
      <w:bookmarkEnd w:id="97"/>
      <w:r w:rsidRPr="00AB6721">
        <w:t xml:space="preserve"> National-scale datasets relating to geology and petroleum used in this report, indicating the sources and the date when the datasets were downloaded. A full list of the datasets incorporated in the data inventory can be found in Appendix B.</w:t>
      </w:r>
      <w:bookmarkEnd w:id="98"/>
    </w:p>
    <w:tbl>
      <w:tblPr>
        <w:tblStyle w:val="TableBAHeaderRow"/>
        <w:tblW w:w="0" w:type="auto"/>
        <w:tblLayout w:type="fixed"/>
        <w:tblLook w:val="04A0" w:firstRow="1" w:lastRow="0" w:firstColumn="1" w:lastColumn="0" w:noHBand="0" w:noVBand="1"/>
      </w:tblPr>
      <w:tblGrid>
        <w:gridCol w:w="1843"/>
        <w:gridCol w:w="1701"/>
        <w:gridCol w:w="3828"/>
        <w:gridCol w:w="1701"/>
        <w:gridCol w:w="2268"/>
        <w:gridCol w:w="1559"/>
        <w:gridCol w:w="1729"/>
      </w:tblGrid>
      <w:tr w:rsidR="00714E8F" w14:paraId="0AC8C74D" w14:textId="77777777" w:rsidTr="00012858">
        <w:trPr>
          <w:cnfStyle w:val="100000000000" w:firstRow="1" w:lastRow="0" w:firstColumn="0" w:lastColumn="0" w:oddVBand="0" w:evenVBand="0" w:oddHBand="0" w:evenHBand="0" w:firstRowFirstColumn="0" w:firstRowLastColumn="0" w:lastRowFirstColumn="0" w:lastRowLastColumn="0"/>
          <w:tblHeader/>
        </w:trPr>
        <w:tc>
          <w:tcPr>
            <w:tcW w:w="1843" w:type="dxa"/>
          </w:tcPr>
          <w:p w14:paraId="77CBE146" w14:textId="77777777" w:rsidR="00714E8F" w:rsidRDefault="00714E8F" w:rsidP="00760658">
            <w:pPr>
              <w:pStyle w:val="TableTextLeft"/>
            </w:pPr>
            <w:r>
              <w:t>Information</w:t>
            </w:r>
          </w:p>
        </w:tc>
        <w:tc>
          <w:tcPr>
            <w:tcW w:w="1701" w:type="dxa"/>
          </w:tcPr>
          <w:p w14:paraId="638E250D" w14:textId="77777777" w:rsidR="00714E8F" w:rsidRDefault="00714E8F" w:rsidP="00760658">
            <w:pPr>
              <w:pStyle w:val="TableTextLeft"/>
            </w:pPr>
            <w:r>
              <w:t>Dataset</w:t>
            </w:r>
          </w:p>
        </w:tc>
        <w:tc>
          <w:tcPr>
            <w:tcW w:w="3828" w:type="dxa"/>
          </w:tcPr>
          <w:p w14:paraId="5F304FD8" w14:textId="101D9207" w:rsidR="00714E8F" w:rsidRDefault="00714E8F" w:rsidP="00760658">
            <w:pPr>
              <w:pStyle w:val="TableTextLeft"/>
            </w:pPr>
            <w:r>
              <w:t>Description</w:t>
            </w:r>
          </w:p>
        </w:tc>
        <w:tc>
          <w:tcPr>
            <w:tcW w:w="1701" w:type="dxa"/>
          </w:tcPr>
          <w:p w14:paraId="651595DA" w14:textId="6A77C716" w:rsidR="00714E8F" w:rsidRDefault="00714E8F" w:rsidP="00760658">
            <w:pPr>
              <w:pStyle w:val="TableTextLeft"/>
            </w:pPr>
            <w:r>
              <w:t>Reference</w:t>
            </w:r>
          </w:p>
        </w:tc>
        <w:tc>
          <w:tcPr>
            <w:tcW w:w="2268" w:type="dxa"/>
          </w:tcPr>
          <w:p w14:paraId="5B73EF6D" w14:textId="17C7BFCB" w:rsidR="00714E8F" w:rsidRDefault="00714E8F" w:rsidP="00760658">
            <w:pPr>
              <w:pStyle w:val="TableTextLeft"/>
            </w:pPr>
            <w:r>
              <w:t>Website link or ISBN</w:t>
            </w:r>
          </w:p>
        </w:tc>
        <w:tc>
          <w:tcPr>
            <w:tcW w:w="1559" w:type="dxa"/>
          </w:tcPr>
          <w:p w14:paraId="09B52043" w14:textId="77777777" w:rsidR="00714E8F" w:rsidRDefault="00714E8F" w:rsidP="00760658">
            <w:pPr>
              <w:pStyle w:val="TableTextLeft"/>
            </w:pPr>
            <w:r>
              <w:t>Date downloaded</w:t>
            </w:r>
          </w:p>
        </w:tc>
        <w:tc>
          <w:tcPr>
            <w:tcW w:w="1729" w:type="dxa"/>
          </w:tcPr>
          <w:p w14:paraId="04A360E4" w14:textId="77777777" w:rsidR="00714E8F" w:rsidRDefault="00714E8F" w:rsidP="00760658">
            <w:pPr>
              <w:pStyle w:val="TableTextLeft"/>
            </w:pPr>
            <w:r>
              <w:t>Refer to map in Appendices</w:t>
            </w:r>
          </w:p>
        </w:tc>
      </w:tr>
      <w:tr w:rsidR="00714E8F" w:rsidRPr="00172559" w14:paraId="71C15477"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5392787D" w14:textId="77777777" w:rsidR="00714E8F" w:rsidRPr="00D24584" w:rsidRDefault="00714E8F" w:rsidP="00760658">
            <w:pPr>
              <w:pStyle w:val="TableTextLeft"/>
              <w:rPr>
                <w:highlight w:val="cyan"/>
              </w:rPr>
            </w:pPr>
            <w:r w:rsidRPr="00E930CF">
              <w:t>Extent of sedimentary basins</w:t>
            </w:r>
          </w:p>
        </w:tc>
        <w:tc>
          <w:tcPr>
            <w:tcW w:w="1701" w:type="dxa"/>
          </w:tcPr>
          <w:p w14:paraId="352530FF" w14:textId="77777777" w:rsidR="00714E8F" w:rsidRPr="009676C2" w:rsidRDefault="00714E8F" w:rsidP="00760658">
            <w:pPr>
              <w:pStyle w:val="TableTextLeft"/>
            </w:pPr>
            <w:r>
              <w:t>Geological province extents</w:t>
            </w:r>
          </w:p>
        </w:tc>
        <w:tc>
          <w:tcPr>
            <w:tcW w:w="3828" w:type="dxa"/>
          </w:tcPr>
          <w:p w14:paraId="6ED57B74" w14:textId="6503A2AD" w:rsidR="00714E8F" w:rsidRDefault="00714E8F" w:rsidP="00714E8F">
            <w:pPr>
              <w:pStyle w:val="TableTextLeft"/>
            </w:pPr>
            <w:r>
              <w:t>Australian Geological Provinces, 2013.01 edition, Geoscience Australia</w:t>
            </w:r>
          </w:p>
        </w:tc>
        <w:tc>
          <w:tcPr>
            <w:tcW w:w="1701" w:type="dxa"/>
          </w:tcPr>
          <w:p w14:paraId="36733FFB" w14:textId="32EBB057" w:rsidR="00714E8F" w:rsidRPr="005E5F9B" w:rsidRDefault="00714E8F" w:rsidP="005E5F9B">
            <w:pPr>
              <w:pStyle w:val="TableTextLeft"/>
            </w:pPr>
            <w:r w:rsidRPr="005E5F9B">
              <w:t>Stewart et al. (2013)</w:t>
            </w:r>
          </w:p>
        </w:tc>
        <w:tc>
          <w:tcPr>
            <w:tcW w:w="2268" w:type="dxa"/>
          </w:tcPr>
          <w:p w14:paraId="0EEE02A9" w14:textId="0822B480" w:rsidR="00714E8F" w:rsidRPr="00012858" w:rsidRDefault="00A3211E" w:rsidP="00760658">
            <w:pPr>
              <w:pStyle w:val="TableTextLeft"/>
              <w:rPr>
                <w:rStyle w:val="Hyperlink"/>
              </w:rPr>
            </w:pPr>
            <w:hyperlink r:id="rId46" w:history="1">
              <w:r w:rsidR="00714E8F" w:rsidRPr="00012858">
                <w:rPr>
                  <w:rStyle w:val="Hyperlink"/>
                </w:rPr>
                <w:t>www.ga.gov.au/metadata-gateway/metadata/record/74371</w:t>
              </w:r>
            </w:hyperlink>
            <w:r w:rsidR="00714E8F" w:rsidRPr="00012858">
              <w:rPr>
                <w:rStyle w:val="Hyperlink"/>
              </w:rPr>
              <w:t xml:space="preserve"> </w:t>
            </w:r>
          </w:p>
        </w:tc>
        <w:tc>
          <w:tcPr>
            <w:tcW w:w="1559" w:type="dxa"/>
          </w:tcPr>
          <w:p w14:paraId="5BE8C810" w14:textId="77777777" w:rsidR="00714E8F" w:rsidRPr="00172559" w:rsidRDefault="00714E8F" w:rsidP="00760658">
            <w:pPr>
              <w:pStyle w:val="TableTextLeft"/>
            </w:pPr>
            <w:r>
              <w:t>18/07/2017</w:t>
            </w:r>
          </w:p>
        </w:tc>
        <w:tc>
          <w:tcPr>
            <w:tcW w:w="1729" w:type="dxa"/>
          </w:tcPr>
          <w:p w14:paraId="0C4FF046" w14:textId="77777777" w:rsidR="00714E8F" w:rsidRPr="00172559" w:rsidRDefault="00714E8F" w:rsidP="00760658">
            <w:pPr>
              <w:pStyle w:val="TableTextLeft"/>
            </w:pPr>
            <w:r>
              <w:t>Depicted on all regional maps.</w:t>
            </w:r>
          </w:p>
        </w:tc>
      </w:tr>
      <w:tr w:rsidR="00714E8F" w14:paraId="4B8A9734"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20D24B6C" w14:textId="77777777" w:rsidR="00714E8F" w:rsidRPr="00A1090D" w:rsidRDefault="00714E8F" w:rsidP="00760658">
            <w:pPr>
              <w:pStyle w:val="TableTextLeft"/>
            </w:pPr>
            <w:r>
              <w:t>Geological Map</w:t>
            </w:r>
          </w:p>
        </w:tc>
        <w:tc>
          <w:tcPr>
            <w:tcW w:w="1701" w:type="dxa"/>
          </w:tcPr>
          <w:p w14:paraId="3EA4412E" w14:textId="77777777" w:rsidR="00714E8F" w:rsidRDefault="00714E8F" w:rsidP="00760658">
            <w:pPr>
              <w:pStyle w:val="TableTextLeft"/>
            </w:pPr>
            <w:r>
              <w:t>Geological Map</w:t>
            </w:r>
          </w:p>
        </w:tc>
        <w:tc>
          <w:tcPr>
            <w:tcW w:w="3828" w:type="dxa"/>
          </w:tcPr>
          <w:p w14:paraId="3E655E79" w14:textId="37FB432B" w:rsidR="00714E8F" w:rsidRDefault="00714E8F" w:rsidP="00714E8F">
            <w:pPr>
              <w:pStyle w:val="TableTextLeft"/>
            </w:pPr>
            <w:r>
              <w:t>Surface Geology of Australia 1:1 million scale dataset 2012 edition, Geoscience Australia</w:t>
            </w:r>
          </w:p>
        </w:tc>
        <w:tc>
          <w:tcPr>
            <w:tcW w:w="1701" w:type="dxa"/>
          </w:tcPr>
          <w:p w14:paraId="5284F8E9" w14:textId="1F6F2A95" w:rsidR="00810324" w:rsidRPr="00012858" w:rsidRDefault="00810324" w:rsidP="005E5F9B">
            <w:pPr>
              <w:pStyle w:val="TableTextLeft"/>
              <w:rPr>
                <w:rStyle w:val="Hyperlink"/>
                <w:rFonts w:cs="Arial"/>
                <w:color w:val="auto"/>
              </w:rPr>
            </w:pPr>
            <w:r w:rsidRPr="005E5F9B">
              <w:rPr>
                <w:rStyle w:val="Hyperlink"/>
                <w:rFonts w:cs="Arial"/>
                <w:color w:val="auto"/>
              </w:rPr>
              <w:t>Raymond (2009)</w:t>
            </w:r>
          </w:p>
        </w:tc>
        <w:tc>
          <w:tcPr>
            <w:tcW w:w="2268" w:type="dxa"/>
          </w:tcPr>
          <w:p w14:paraId="51E61CDA" w14:textId="279AABF1" w:rsidR="00714E8F" w:rsidRPr="002747DB" w:rsidRDefault="002747DB" w:rsidP="00760658">
            <w:pPr>
              <w:pStyle w:val="TableTextLeft"/>
              <w:rPr>
                <w:rStyle w:val="Hyperlink"/>
              </w:rPr>
            </w:pPr>
            <w:r w:rsidRPr="002747DB">
              <w:rPr>
                <w:rStyle w:val="Hyperlink"/>
              </w:rPr>
              <w:t>https://www.ga.gov.au/products/servlet/controller?event=GEOCAT_DETAILS&amp;catno=69455</w:t>
            </w:r>
          </w:p>
        </w:tc>
        <w:tc>
          <w:tcPr>
            <w:tcW w:w="1559" w:type="dxa"/>
          </w:tcPr>
          <w:p w14:paraId="03EDA952" w14:textId="77777777" w:rsidR="00714E8F" w:rsidRDefault="00714E8F" w:rsidP="00760658">
            <w:pPr>
              <w:pStyle w:val="TableTextLeft"/>
            </w:pPr>
            <w:r>
              <w:t>11/08/2017</w:t>
            </w:r>
          </w:p>
        </w:tc>
        <w:tc>
          <w:tcPr>
            <w:tcW w:w="1729" w:type="dxa"/>
          </w:tcPr>
          <w:p w14:paraId="4F856543" w14:textId="77777777" w:rsidR="00714E8F" w:rsidRPr="0010531C" w:rsidRDefault="00714E8F" w:rsidP="00760658">
            <w:pPr>
              <w:pStyle w:val="TableTextLeft"/>
            </w:pPr>
            <w:r>
              <w:t>Appendix C – location maps</w:t>
            </w:r>
          </w:p>
        </w:tc>
      </w:tr>
      <w:tr w:rsidR="00714E8F" w14:paraId="7EAA5961"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3DE6B408" w14:textId="745EE778" w:rsidR="00714E8F" w:rsidRDefault="00714E8F" w:rsidP="00760658">
            <w:pPr>
              <w:pStyle w:val="TableTextLeft"/>
            </w:pPr>
            <w:r>
              <w:t>Geological Map</w:t>
            </w:r>
          </w:p>
        </w:tc>
        <w:tc>
          <w:tcPr>
            <w:tcW w:w="1701" w:type="dxa"/>
          </w:tcPr>
          <w:p w14:paraId="5695607C" w14:textId="77E2E465" w:rsidR="00714E8F" w:rsidRDefault="00714E8F" w:rsidP="00760658">
            <w:pPr>
              <w:pStyle w:val="TableTextLeft"/>
            </w:pPr>
            <w:r>
              <w:t>Geological Map</w:t>
            </w:r>
          </w:p>
        </w:tc>
        <w:tc>
          <w:tcPr>
            <w:tcW w:w="3828" w:type="dxa"/>
          </w:tcPr>
          <w:p w14:paraId="3BA35D1F" w14:textId="5E4BBE36" w:rsidR="00714E8F" w:rsidDel="00714E8F" w:rsidRDefault="00714E8F" w:rsidP="00714E8F">
            <w:pPr>
              <w:pStyle w:val="TableTextLeft"/>
            </w:pPr>
            <w:r>
              <w:t>Surface Geology of Australia 1:2.5 million scale dataset 2009 edition, Geoscience Australia</w:t>
            </w:r>
          </w:p>
        </w:tc>
        <w:tc>
          <w:tcPr>
            <w:tcW w:w="1701" w:type="dxa"/>
          </w:tcPr>
          <w:p w14:paraId="05385392" w14:textId="7BA200CD" w:rsidR="00714E8F" w:rsidRPr="005E5F9B" w:rsidRDefault="00810324" w:rsidP="005E5F9B">
            <w:pPr>
              <w:pStyle w:val="TableTextLeft"/>
              <w:rPr>
                <w:rStyle w:val="Hyperlink"/>
                <w:rFonts w:cs="Arial"/>
                <w:color w:val="auto"/>
              </w:rPr>
            </w:pPr>
            <w:r w:rsidRPr="00012858">
              <w:rPr>
                <w:rStyle w:val="Hyperlink"/>
                <w:rFonts w:cs="Arial"/>
                <w:color w:val="auto"/>
              </w:rPr>
              <w:t>Raymond et al. (2012)</w:t>
            </w:r>
          </w:p>
        </w:tc>
        <w:tc>
          <w:tcPr>
            <w:tcW w:w="2268" w:type="dxa"/>
          </w:tcPr>
          <w:p w14:paraId="5CEAAB54" w14:textId="0E6895AE" w:rsidR="00714E8F" w:rsidRPr="002747DB" w:rsidRDefault="00810324" w:rsidP="00810324">
            <w:pPr>
              <w:pStyle w:val="TableTextLeft"/>
              <w:rPr>
                <w:rStyle w:val="Hyperlink"/>
              </w:rPr>
            </w:pPr>
            <w:r w:rsidRPr="002747DB">
              <w:rPr>
                <w:rStyle w:val="Hyperlink"/>
              </w:rPr>
              <w:t xml:space="preserve">https://data.gov.au/dataset/surface-geology-of-australia-1-1-million-scale-dataset-2012-edition </w:t>
            </w:r>
            <w:hyperlink r:id="rId47" w:tooltip="Link to Geoscience Australia website" w:history="1"/>
          </w:p>
        </w:tc>
        <w:tc>
          <w:tcPr>
            <w:tcW w:w="1559" w:type="dxa"/>
          </w:tcPr>
          <w:p w14:paraId="31BBA490" w14:textId="48669D88" w:rsidR="00714E8F" w:rsidRDefault="00714E8F" w:rsidP="00760658">
            <w:pPr>
              <w:pStyle w:val="TableTextLeft"/>
            </w:pPr>
            <w:r>
              <w:t>11/08/2017</w:t>
            </w:r>
          </w:p>
        </w:tc>
        <w:tc>
          <w:tcPr>
            <w:tcW w:w="1729" w:type="dxa"/>
          </w:tcPr>
          <w:p w14:paraId="06A4E323" w14:textId="23B63A6F" w:rsidR="00714E8F" w:rsidRDefault="00714E8F" w:rsidP="00760658">
            <w:pPr>
              <w:pStyle w:val="TableTextLeft"/>
            </w:pPr>
            <w:r>
              <w:t>Appendix C – location maps</w:t>
            </w:r>
          </w:p>
        </w:tc>
      </w:tr>
      <w:tr w:rsidR="00714E8F" w:rsidRPr="00635223" w14:paraId="2FFED91B"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1ED773E5" w14:textId="77777777" w:rsidR="00714E8F" w:rsidRPr="00A1090D" w:rsidRDefault="00714E8F" w:rsidP="00760658">
            <w:pPr>
              <w:pStyle w:val="TableTextLeft"/>
            </w:pPr>
            <w:r>
              <w:t>2D seismic navigation</w:t>
            </w:r>
          </w:p>
        </w:tc>
        <w:tc>
          <w:tcPr>
            <w:tcW w:w="1701" w:type="dxa"/>
          </w:tcPr>
          <w:p w14:paraId="4A85CF0A" w14:textId="161ED249" w:rsidR="00714E8F" w:rsidRDefault="00714E8F" w:rsidP="00760658">
            <w:pPr>
              <w:pStyle w:val="TableTextLeft"/>
            </w:pPr>
            <w:r>
              <w:t>NSW Seismic lines</w:t>
            </w:r>
          </w:p>
        </w:tc>
        <w:tc>
          <w:tcPr>
            <w:tcW w:w="3828" w:type="dxa"/>
          </w:tcPr>
          <w:p w14:paraId="0A648AFA" w14:textId="1B4ABD43" w:rsidR="00714E8F" w:rsidRDefault="00373E92" w:rsidP="00760658">
            <w:pPr>
              <w:pStyle w:val="TableTextLeft"/>
            </w:pPr>
            <w:r>
              <w:t>Seismic lines</w:t>
            </w:r>
          </w:p>
        </w:tc>
        <w:tc>
          <w:tcPr>
            <w:tcW w:w="1701" w:type="dxa"/>
          </w:tcPr>
          <w:p w14:paraId="0F979827" w14:textId="549DD1F2" w:rsidR="00714E8F" w:rsidRPr="00012858" w:rsidRDefault="00671D0D" w:rsidP="005E5F9B">
            <w:pPr>
              <w:pStyle w:val="TableTextLeft"/>
              <w:rPr>
                <w:rStyle w:val="Hyperlink"/>
                <w:rFonts w:cs="Arial"/>
                <w:color w:val="auto"/>
              </w:rPr>
            </w:pPr>
            <w:r>
              <w:t>GSNSW</w:t>
            </w:r>
            <w:r w:rsidR="00373E92">
              <w:t xml:space="preserve"> (</w:t>
            </w:r>
            <w:r w:rsidR="00373E92" w:rsidRPr="005B2851">
              <w:t>2017</w:t>
            </w:r>
            <w:r w:rsidR="00373E92">
              <w:t>)</w:t>
            </w:r>
          </w:p>
        </w:tc>
        <w:tc>
          <w:tcPr>
            <w:tcW w:w="2268" w:type="dxa"/>
          </w:tcPr>
          <w:p w14:paraId="4E345237" w14:textId="52506C10" w:rsidR="00373E92" w:rsidRPr="00012858" w:rsidRDefault="00373E92" w:rsidP="00373E92">
            <w:pPr>
              <w:pStyle w:val="TableTextLeft"/>
              <w:rPr>
                <w:rStyle w:val="Hyperlink"/>
              </w:rPr>
            </w:pPr>
            <w:r w:rsidRPr="00E169E7">
              <w:rPr>
                <w:rStyle w:val="Hyperlink"/>
              </w:rPr>
              <w:t>https://minview.geoscience.nsw.gov.au/#/?bm=bm2&amp;z=6&amp;lat=148.9143431&amp;lon=-32.6560775&amp;l=gp8:y:100</w:t>
            </w:r>
          </w:p>
        </w:tc>
        <w:tc>
          <w:tcPr>
            <w:tcW w:w="1559" w:type="dxa"/>
          </w:tcPr>
          <w:p w14:paraId="4842E710" w14:textId="267D3DEB" w:rsidR="00714E8F" w:rsidRPr="002E0CF3" w:rsidRDefault="00810324" w:rsidP="00760658">
            <w:pPr>
              <w:pStyle w:val="TableTextLeft"/>
            </w:pPr>
            <w:r>
              <w:t>29/08/2017</w:t>
            </w:r>
          </w:p>
        </w:tc>
        <w:tc>
          <w:tcPr>
            <w:tcW w:w="1729" w:type="dxa"/>
          </w:tcPr>
          <w:p w14:paraId="49A73DE8" w14:textId="77777777" w:rsidR="00714E8F" w:rsidRPr="002E0CF3" w:rsidRDefault="00714E8F" w:rsidP="00760658">
            <w:pPr>
              <w:pStyle w:val="TableTextLeft"/>
            </w:pPr>
            <w:r>
              <w:t>Appendix C</w:t>
            </w:r>
            <w:r w:rsidRPr="002E0CF3">
              <w:t xml:space="preserve"> – data distribution maps</w:t>
            </w:r>
          </w:p>
        </w:tc>
      </w:tr>
      <w:tr w:rsidR="00714E8F" w14:paraId="3CC19B63"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5EDBA2E5" w14:textId="77777777" w:rsidR="00714E8F" w:rsidRPr="00A1090D" w:rsidRDefault="00714E8F" w:rsidP="00760658">
            <w:pPr>
              <w:pStyle w:val="TableTextLeft"/>
            </w:pPr>
            <w:r>
              <w:t>Petroleum well header</w:t>
            </w:r>
          </w:p>
        </w:tc>
        <w:tc>
          <w:tcPr>
            <w:tcW w:w="1701" w:type="dxa"/>
          </w:tcPr>
          <w:p w14:paraId="2B050CF9" w14:textId="65426654" w:rsidR="00714E8F" w:rsidRDefault="00714E8F" w:rsidP="00714E8F">
            <w:pPr>
              <w:pStyle w:val="TableTextLeft"/>
            </w:pPr>
            <w:r>
              <w:t xml:space="preserve">Petroleum well header </w:t>
            </w:r>
          </w:p>
        </w:tc>
        <w:tc>
          <w:tcPr>
            <w:tcW w:w="3828" w:type="dxa"/>
          </w:tcPr>
          <w:p w14:paraId="7BCF87DE" w14:textId="7DB62C2F" w:rsidR="00714E8F" w:rsidRDefault="00714E8F" w:rsidP="00760658">
            <w:pPr>
              <w:pStyle w:val="TableTextLeft"/>
            </w:pPr>
            <w:r>
              <w:t xml:space="preserve">Collar information for mineral and coal </w:t>
            </w:r>
            <w:r w:rsidR="001902E2">
              <w:t>drill holes</w:t>
            </w:r>
            <w:r>
              <w:t xml:space="preserve">, and petroleum wells (including coal seam gas) that </w:t>
            </w:r>
            <w:r>
              <w:lastRenderedPageBreak/>
              <w:t>are recorded in the Mineral Resources’ drilling database.</w:t>
            </w:r>
          </w:p>
        </w:tc>
        <w:tc>
          <w:tcPr>
            <w:tcW w:w="1701" w:type="dxa"/>
          </w:tcPr>
          <w:p w14:paraId="45A24181" w14:textId="2B6BFB0D" w:rsidR="00714E8F" w:rsidRPr="00012858" w:rsidRDefault="008A502D" w:rsidP="005E5F9B">
            <w:pPr>
              <w:pStyle w:val="TableTextLeft"/>
              <w:rPr>
                <w:rStyle w:val="Hyperlink"/>
                <w:rFonts w:cs="Arial"/>
                <w:color w:val="auto"/>
              </w:rPr>
            </w:pPr>
            <w:r>
              <w:lastRenderedPageBreak/>
              <w:t>DREMP</w:t>
            </w:r>
            <w:r w:rsidR="00671D0D">
              <w:t xml:space="preserve"> (</w:t>
            </w:r>
            <w:r w:rsidR="00671D0D" w:rsidRPr="005B2851">
              <w:t>2017</w:t>
            </w:r>
            <w:r w:rsidR="00671D0D">
              <w:t>)</w:t>
            </w:r>
          </w:p>
        </w:tc>
        <w:tc>
          <w:tcPr>
            <w:tcW w:w="2268" w:type="dxa"/>
          </w:tcPr>
          <w:p w14:paraId="639C4090" w14:textId="4994402C" w:rsidR="00714E8F" w:rsidRPr="00012858" w:rsidRDefault="008A502D" w:rsidP="005E5F9B">
            <w:pPr>
              <w:pStyle w:val="TableTextLeft"/>
              <w:rPr>
                <w:rStyle w:val="Hyperlink"/>
              </w:rPr>
            </w:pPr>
            <w:r w:rsidRPr="00E169E7">
              <w:rPr>
                <w:rStyle w:val="Hyperlink"/>
              </w:rPr>
              <w:t>http://dwh.minerals.nsw.gov.au/CI/warehouse</w:t>
            </w:r>
          </w:p>
        </w:tc>
        <w:tc>
          <w:tcPr>
            <w:tcW w:w="1559" w:type="dxa"/>
          </w:tcPr>
          <w:p w14:paraId="7C65CA52" w14:textId="77777777" w:rsidR="00714E8F" w:rsidRDefault="00714E8F" w:rsidP="00760658">
            <w:pPr>
              <w:pStyle w:val="TableTextLeft"/>
            </w:pPr>
            <w:r>
              <w:t>29/08/2017</w:t>
            </w:r>
          </w:p>
        </w:tc>
        <w:tc>
          <w:tcPr>
            <w:tcW w:w="1729" w:type="dxa"/>
          </w:tcPr>
          <w:p w14:paraId="680FAF36" w14:textId="77777777" w:rsidR="00714E8F" w:rsidRDefault="00714E8F" w:rsidP="00760658">
            <w:pPr>
              <w:pStyle w:val="TableTextLeft"/>
            </w:pPr>
            <w:r>
              <w:t>Appendix C</w:t>
            </w:r>
            <w:r w:rsidRPr="002E0CF3">
              <w:t xml:space="preserve"> – data distribution maps</w:t>
            </w:r>
          </w:p>
        </w:tc>
      </w:tr>
      <w:tr w:rsidR="00714E8F" w14:paraId="3DECD87A"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6A72E69A" w14:textId="77777777" w:rsidR="00714E8F" w:rsidRPr="00A1090D" w:rsidRDefault="00714E8F" w:rsidP="00760658">
            <w:pPr>
              <w:pStyle w:val="TableTextLeft"/>
            </w:pPr>
            <w:r>
              <w:t>2D seismic navigation</w:t>
            </w:r>
          </w:p>
        </w:tc>
        <w:tc>
          <w:tcPr>
            <w:tcW w:w="1701" w:type="dxa"/>
          </w:tcPr>
          <w:p w14:paraId="55058047" w14:textId="77777777" w:rsidR="00714E8F" w:rsidRDefault="00714E8F" w:rsidP="00760658">
            <w:pPr>
              <w:pStyle w:val="TableTextLeft"/>
            </w:pPr>
            <w:r>
              <w:t>Northern Territory Statewide Geophysics - Seismic Lines</w:t>
            </w:r>
          </w:p>
        </w:tc>
        <w:tc>
          <w:tcPr>
            <w:tcW w:w="3828" w:type="dxa"/>
          </w:tcPr>
          <w:p w14:paraId="4F1717EE" w14:textId="534AD4FE" w:rsidR="00714E8F" w:rsidRDefault="00714E8F" w:rsidP="004955AC">
            <w:pPr>
              <w:pStyle w:val="TableTextLeft"/>
            </w:pPr>
            <w:r>
              <w:t xml:space="preserve">seismic survey lines shot in the Northern Territory of Australia on land and over coastal waters (2 or 3D), Department of Primary Industry and Resources </w:t>
            </w:r>
          </w:p>
        </w:tc>
        <w:tc>
          <w:tcPr>
            <w:tcW w:w="1701" w:type="dxa"/>
          </w:tcPr>
          <w:p w14:paraId="34DD29BB" w14:textId="4EEEDC0D" w:rsidR="00714E8F" w:rsidRPr="00012858" w:rsidRDefault="004955AC" w:rsidP="005E5F9B">
            <w:pPr>
              <w:pStyle w:val="TableTextLeft"/>
              <w:rPr>
                <w:rStyle w:val="Hyperlink"/>
                <w:rFonts w:cs="Arial"/>
                <w:color w:val="auto"/>
              </w:rPr>
            </w:pPr>
            <w:r>
              <w:rPr>
                <w:rStyle w:val="Hyperlink"/>
                <w:rFonts w:cs="Arial"/>
                <w:color w:val="auto"/>
              </w:rPr>
              <w:t>NTGS (2017a)</w:t>
            </w:r>
          </w:p>
        </w:tc>
        <w:tc>
          <w:tcPr>
            <w:tcW w:w="2268" w:type="dxa"/>
          </w:tcPr>
          <w:p w14:paraId="43FDF421" w14:textId="78D9FFCB" w:rsidR="00714E8F" w:rsidRPr="00012858" w:rsidRDefault="004955AC" w:rsidP="00760658">
            <w:pPr>
              <w:pStyle w:val="TableTextLeft"/>
              <w:rPr>
                <w:rStyle w:val="Hyperlink"/>
              </w:rPr>
            </w:pPr>
            <w:r w:rsidRPr="004955AC">
              <w:rPr>
                <w:rStyle w:val="Hyperlink"/>
              </w:rPr>
              <w:t>http://www.ntlis.nt.gov.au/metadata/export_data?type=html&amp;metadata_id=FB25348A02CB16B2E040CD9B2144584B</w:t>
            </w:r>
          </w:p>
        </w:tc>
        <w:tc>
          <w:tcPr>
            <w:tcW w:w="1559" w:type="dxa"/>
          </w:tcPr>
          <w:p w14:paraId="008B7AB2" w14:textId="77777777" w:rsidR="00714E8F" w:rsidRDefault="00714E8F" w:rsidP="00760658">
            <w:pPr>
              <w:pStyle w:val="TableTextLeft"/>
            </w:pPr>
            <w:r>
              <w:t>23/07/2017</w:t>
            </w:r>
          </w:p>
        </w:tc>
        <w:tc>
          <w:tcPr>
            <w:tcW w:w="1729" w:type="dxa"/>
          </w:tcPr>
          <w:p w14:paraId="01EEB6F0" w14:textId="77777777" w:rsidR="00714E8F" w:rsidRDefault="00714E8F" w:rsidP="00760658">
            <w:pPr>
              <w:pStyle w:val="TableTextLeft"/>
            </w:pPr>
            <w:r>
              <w:t>Appendix C</w:t>
            </w:r>
            <w:r w:rsidRPr="002E0CF3">
              <w:t xml:space="preserve"> – data distribution maps</w:t>
            </w:r>
          </w:p>
        </w:tc>
      </w:tr>
      <w:tr w:rsidR="00714E8F" w14:paraId="0BB6BD04"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423983A4" w14:textId="77777777" w:rsidR="00714E8F" w:rsidRPr="00A1090D" w:rsidRDefault="00714E8F" w:rsidP="00760658">
            <w:pPr>
              <w:pStyle w:val="TableTextLeft"/>
            </w:pPr>
            <w:r>
              <w:t>Petroleum well header</w:t>
            </w:r>
          </w:p>
        </w:tc>
        <w:tc>
          <w:tcPr>
            <w:tcW w:w="1701" w:type="dxa"/>
          </w:tcPr>
          <w:p w14:paraId="337C0877" w14:textId="77777777" w:rsidR="00714E8F" w:rsidRDefault="00714E8F" w:rsidP="00760658">
            <w:pPr>
              <w:pStyle w:val="TableTextLeft"/>
            </w:pPr>
            <w:r>
              <w:t>Petroleum well header - NT</w:t>
            </w:r>
          </w:p>
        </w:tc>
        <w:tc>
          <w:tcPr>
            <w:tcW w:w="3828" w:type="dxa"/>
          </w:tcPr>
          <w:p w14:paraId="385D878F" w14:textId="7FB3BB74" w:rsidR="00714E8F" w:rsidRDefault="005E5F9B" w:rsidP="005E5F9B">
            <w:pPr>
              <w:pStyle w:val="TableTextLeft"/>
            </w:pPr>
            <w:r w:rsidRPr="005E5F9B">
              <w:t>Geoscience exploration and mining information system (GEMIS) – Petroleum wells</w:t>
            </w:r>
          </w:p>
        </w:tc>
        <w:tc>
          <w:tcPr>
            <w:tcW w:w="1701" w:type="dxa"/>
          </w:tcPr>
          <w:p w14:paraId="6ACB28CE" w14:textId="3C7CCDC4" w:rsidR="00714E8F" w:rsidRPr="005E5F9B" w:rsidRDefault="005E5F9B" w:rsidP="005E5F9B">
            <w:pPr>
              <w:pStyle w:val="TableTextLeft"/>
              <w:rPr>
                <w:rStyle w:val="Hyperlink"/>
                <w:rFonts w:cs="Arial"/>
                <w:color w:val="auto"/>
              </w:rPr>
            </w:pPr>
            <w:r>
              <w:t>NTGS (2017</w:t>
            </w:r>
            <w:r w:rsidR="004955AC">
              <w:t>b</w:t>
            </w:r>
            <w:r>
              <w:t>)</w:t>
            </w:r>
          </w:p>
        </w:tc>
        <w:tc>
          <w:tcPr>
            <w:tcW w:w="2268" w:type="dxa"/>
          </w:tcPr>
          <w:p w14:paraId="772659FA" w14:textId="2D2B3F83" w:rsidR="00714E8F" w:rsidRPr="00012858" w:rsidRDefault="005E5F9B" w:rsidP="00760658">
            <w:pPr>
              <w:pStyle w:val="TableTextLeft"/>
              <w:rPr>
                <w:rStyle w:val="Hyperlink"/>
              </w:rPr>
            </w:pPr>
            <w:r w:rsidRPr="00012858">
              <w:rPr>
                <w:rStyle w:val="Hyperlink"/>
              </w:rPr>
              <w:t>http://www.geoscience.nt.gov.au/gemis/ntgsjspui/handle/1/79187</w:t>
            </w:r>
          </w:p>
        </w:tc>
        <w:tc>
          <w:tcPr>
            <w:tcW w:w="1559" w:type="dxa"/>
          </w:tcPr>
          <w:p w14:paraId="1556D4A4" w14:textId="77777777" w:rsidR="00714E8F" w:rsidRDefault="00714E8F" w:rsidP="00760658">
            <w:pPr>
              <w:pStyle w:val="TableTextLeft"/>
            </w:pPr>
            <w:r>
              <w:t>23/07/2017</w:t>
            </w:r>
          </w:p>
        </w:tc>
        <w:tc>
          <w:tcPr>
            <w:tcW w:w="1729" w:type="dxa"/>
          </w:tcPr>
          <w:p w14:paraId="3F2864FB" w14:textId="77777777" w:rsidR="00714E8F" w:rsidRDefault="00714E8F" w:rsidP="00760658">
            <w:pPr>
              <w:pStyle w:val="TableTextLeft"/>
            </w:pPr>
            <w:r>
              <w:t>Appendix C</w:t>
            </w:r>
            <w:r w:rsidRPr="002E0CF3">
              <w:t xml:space="preserve"> – data distribution maps</w:t>
            </w:r>
          </w:p>
        </w:tc>
      </w:tr>
      <w:tr w:rsidR="00714E8F" w14:paraId="5D225E47"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7C7DEF08" w14:textId="77777777" w:rsidR="00714E8F" w:rsidRPr="00A1090D" w:rsidRDefault="00714E8F" w:rsidP="00760658">
            <w:pPr>
              <w:pStyle w:val="TableTextLeft"/>
            </w:pPr>
            <w:r>
              <w:t>2D seismic navigation</w:t>
            </w:r>
          </w:p>
        </w:tc>
        <w:tc>
          <w:tcPr>
            <w:tcW w:w="1701" w:type="dxa"/>
          </w:tcPr>
          <w:p w14:paraId="06480909" w14:textId="77777777" w:rsidR="00714E8F" w:rsidRDefault="00714E8F" w:rsidP="00760658">
            <w:pPr>
              <w:pStyle w:val="TableTextLeft"/>
            </w:pPr>
            <w:r>
              <w:t>Seismic survey 2D - Queensland</w:t>
            </w:r>
          </w:p>
        </w:tc>
        <w:tc>
          <w:tcPr>
            <w:tcW w:w="3828" w:type="dxa"/>
          </w:tcPr>
          <w:p w14:paraId="148F4CCE" w14:textId="77777777" w:rsidR="00714E8F" w:rsidRDefault="00714E8F" w:rsidP="00760658">
            <w:pPr>
              <w:pStyle w:val="TableTextLeft"/>
            </w:pPr>
            <w:r>
              <w:t xml:space="preserve">Department of Natural Resources and Mines (2017), The location of lines along which 2D seismic reflection surveys have been acquired by exploration </w:t>
            </w:r>
            <w:r>
              <w:lastRenderedPageBreak/>
              <w:t>companies in Queensland</w:t>
            </w:r>
          </w:p>
        </w:tc>
        <w:tc>
          <w:tcPr>
            <w:tcW w:w="1701" w:type="dxa"/>
          </w:tcPr>
          <w:p w14:paraId="29511155" w14:textId="5FE716C6" w:rsidR="00714E8F" w:rsidRPr="004F115B" w:rsidRDefault="004F115B" w:rsidP="005E5F9B">
            <w:pPr>
              <w:pStyle w:val="TableTextLeft"/>
              <w:rPr>
                <w:rStyle w:val="Hyperlink"/>
                <w:rFonts w:cs="Arial"/>
                <w:color w:val="auto"/>
              </w:rPr>
            </w:pPr>
            <w:r>
              <w:lastRenderedPageBreak/>
              <w:t>DNRME (2017a)</w:t>
            </w:r>
          </w:p>
        </w:tc>
        <w:tc>
          <w:tcPr>
            <w:tcW w:w="2268" w:type="dxa"/>
          </w:tcPr>
          <w:p w14:paraId="58822698" w14:textId="083A3068" w:rsidR="00714E8F" w:rsidRPr="00012858" w:rsidRDefault="004F115B" w:rsidP="00760658">
            <w:pPr>
              <w:pStyle w:val="TableTextLeft"/>
              <w:rPr>
                <w:rStyle w:val="Hyperlink"/>
              </w:rPr>
            </w:pPr>
            <w:r w:rsidRPr="00012858">
              <w:rPr>
                <w:rStyle w:val="Hyperlink"/>
              </w:rPr>
              <w:t>http://qldspatial.information.qld.gov.au/catalogue/custom/detail.page?fid={13A3258F-6E27-443C-A956-9DD5DA41E3CC}</w:t>
            </w:r>
          </w:p>
        </w:tc>
        <w:tc>
          <w:tcPr>
            <w:tcW w:w="1559" w:type="dxa"/>
          </w:tcPr>
          <w:p w14:paraId="140F720F" w14:textId="77777777" w:rsidR="00714E8F" w:rsidRDefault="00714E8F" w:rsidP="00760658">
            <w:pPr>
              <w:pStyle w:val="TableTextLeft"/>
            </w:pPr>
            <w:r>
              <w:t>11/08/2017</w:t>
            </w:r>
          </w:p>
        </w:tc>
        <w:tc>
          <w:tcPr>
            <w:tcW w:w="1729" w:type="dxa"/>
          </w:tcPr>
          <w:p w14:paraId="2F975EF3" w14:textId="77777777" w:rsidR="00714E8F" w:rsidRDefault="00714E8F" w:rsidP="00760658">
            <w:pPr>
              <w:pStyle w:val="TableTextLeft"/>
            </w:pPr>
            <w:r>
              <w:t>Appendix C</w:t>
            </w:r>
            <w:r w:rsidRPr="002E0CF3">
              <w:t xml:space="preserve"> – data distribution maps</w:t>
            </w:r>
          </w:p>
        </w:tc>
      </w:tr>
      <w:tr w:rsidR="004F115B" w14:paraId="6EBF4F68"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00C94613" w14:textId="7BE86503" w:rsidR="004F115B" w:rsidRDefault="004F115B" w:rsidP="00760658">
            <w:pPr>
              <w:pStyle w:val="TableTextLeft"/>
            </w:pPr>
            <w:r>
              <w:t>Petroleum well header</w:t>
            </w:r>
          </w:p>
        </w:tc>
        <w:tc>
          <w:tcPr>
            <w:tcW w:w="1701" w:type="dxa"/>
          </w:tcPr>
          <w:p w14:paraId="4491EBFE" w14:textId="1D7822A5" w:rsidR="004F115B" w:rsidRDefault="004F115B" w:rsidP="00760658">
            <w:pPr>
              <w:pStyle w:val="TableTextLeft"/>
            </w:pPr>
            <w:r>
              <w:t>Petroleum well locations - Queensland</w:t>
            </w:r>
          </w:p>
        </w:tc>
        <w:tc>
          <w:tcPr>
            <w:tcW w:w="3828" w:type="dxa"/>
          </w:tcPr>
          <w:p w14:paraId="2D1745BE" w14:textId="24D5E5D7" w:rsidR="004F115B" w:rsidRDefault="004F115B" w:rsidP="00760658">
            <w:pPr>
              <w:pStyle w:val="TableTextLeft"/>
            </w:pPr>
            <w:r>
              <w:t>Location of petroleum wells to identify where petroleum exploration and production wells have been drilled in Queensland.</w:t>
            </w:r>
          </w:p>
        </w:tc>
        <w:tc>
          <w:tcPr>
            <w:tcW w:w="1701" w:type="dxa"/>
          </w:tcPr>
          <w:p w14:paraId="70DB607D" w14:textId="3F619EF8" w:rsidR="004F115B" w:rsidRDefault="004F115B" w:rsidP="005E5F9B">
            <w:pPr>
              <w:pStyle w:val="TableTextLeft"/>
            </w:pPr>
            <w:r>
              <w:rPr>
                <w:rStyle w:val="Hyperlink"/>
                <w:rFonts w:cs="Arial"/>
                <w:color w:val="auto"/>
              </w:rPr>
              <w:t>DNRME (2017b)</w:t>
            </w:r>
          </w:p>
        </w:tc>
        <w:tc>
          <w:tcPr>
            <w:tcW w:w="2268" w:type="dxa"/>
          </w:tcPr>
          <w:p w14:paraId="2B118CC7" w14:textId="3226C119" w:rsidR="004F115B" w:rsidRPr="002747DB" w:rsidDel="004F115B" w:rsidRDefault="002747DB" w:rsidP="00760658">
            <w:pPr>
              <w:pStyle w:val="TableTextLeft"/>
              <w:rPr>
                <w:rStyle w:val="Hyperlink"/>
              </w:rPr>
            </w:pPr>
            <w:r w:rsidRPr="002747DB">
              <w:rPr>
                <w:rStyle w:val="Hyperlink"/>
              </w:rPr>
              <w:t>http://qldspatial.information.qld.gov.au/catalogue/custom/detail.page?fid=%7bCBBE665F-60A8-4116-87C8-AEBF0D21B97C%7d</w:t>
            </w:r>
          </w:p>
        </w:tc>
        <w:tc>
          <w:tcPr>
            <w:tcW w:w="1559" w:type="dxa"/>
          </w:tcPr>
          <w:p w14:paraId="5B528163" w14:textId="640DB9DD" w:rsidR="004F115B" w:rsidRDefault="004F115B" w:rsidP="00760658">
            <w:pPr>
              <w:pStyle w:val="TableTextLeft"/>
            </w:pPr>
            <w:r>
              <w:t>11/08/2017</w:t>
            </w:r>
          </w:p>
        </w:tc>
        <w:tc>
          <w:tcPr>
            <w:tcW w:w="1729" w:type="dxa"/>
          </w:tcPr>
          <w:p w14:paraId="073A9DAB" w14:textId="7DA04313" w:rsidR="004F115B" w:rsidRDefault="004F115B" w:rsidP="00760658">
            <w:pPr>
              <w:pStyle w:val="TableTextLeft"/>
            </w:pPr>
            <w:r>
              <w:t>Appendix C</w:t>
            </w:r>
            <w:r w:rsidRPr="002E0CF3">
              <w:t xml:space="preserve"> – data distribution maps</w:t>
            </w:r>
          </w:p>
        </w:tc>
      </w:tr>
      <w:tr w:rsidR="004F115B" w14:paraId="25D56A18"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0A87A702" w14:textId="77777777" w:rsidR="004F115B" w:rsidRPr="00A1090D" w:rsidRDefault="004F115B" w:rsidP="00760658">
            <w:pPr>
              <w:pStyle w:val="TableTextLeft"/>
            </w:pPr>
            <w:r>
              <w:t>3D seismic surveys</w:t>
            </w:r>
          </w:p>
        </w:tc>
        <w:tc>
          <w:tcPr>
            <w:tcW w:w="1701" w:type="dxa"/>
          </w:tcPr>
          <w:p w14:paraId="111EA9B5" w14:textId="77777777" w:rsidR="004F115B" w:rsidRDefault="004F115B" w:rsidP="00760658">
            <w:pPr>
              <w:pStyle w:val="TableTextLeft"/>
            </w:pPr>
            <w:r>
              <w:t>Seismic survey 3D - Queensland</w:t>
            </w:r>
          </w:p>
        </w:tc>
        <w:tc>
          <w:tcPr>
            <w:tcW w:w="3828" w:type="dxa"/>
          </w:tcPr>
          <w:p w14:paraId="60613E26" w14:textId="77777777" w:rsidR="004F115B" w:rsidRDefault="004F115B" w:rsidP="00760658">
            <w:pPr>
              <w:pStyle w:val="TableTextLeft"/>
            </w:pPr>
            <w:r>
              <w:t>Department of Natural Resources and Mines (2014), The areas in which 3D seismic reflection surveys have been acquired by exploration companies in Queensland.</w:t>
            </w:r>
          </w:p>
        </w:tc>
        <w:tc>
          <w:tcPr>
            <w:tcW w:w="1701" w:type="dxa"/>
          </w:tcPr>
          <w:p w14:paraId="3675B7D7" w14:textId="1F1C5F4C" w:rsidR="004F115B" w:rsidRPr="004F115B" w:rsidRDefault="004F115B" w:rsidP="005E5F9B">
            <w:pPr>
              <w:pStyle w:val="TableTextLeft"/>
              <w:rPr>
                <w:rStyle w:val="Hyperlink"/>
                <w:rFonts w:cs="Arial"/>
                <w:color w:val="auto"/>
              </w:rPr>
            </w:pPr>
            <w:r>
              <w:t>DNRME (2017c)</w:t>
            </w:r>
          </w:p>
        </w:tc>
        <w:tc>
          <w:tcPr>
            <w:tcW w:w="2268" w:type="dxa"/>
          </w:tcPr>
          <w:p w14:paraId="0D9A16E4" w14:textId="0B5763FF" w:rsidR="004F115B" w:rsidRPr="00012858" w:rsidRDefault="004F115B" w:rsidP="00760658">
            <w:pPr>
              <w:pStyle w:val="TableTextLeft"/>
              <w:rPr>
                <w:rStyle w:val="Hyperlink"/>
              </w:rPr>
            </w:pPr>
            <w:r w:rsidRPr="00012858">
              <w:rPr>
                <w:rStyle w:val="Hyperlink"/>
              </w:rPr>
              <w:t>http://qldspatial.information.qld.gov.au/catalogue/custom/detail.page?fid={9D42C49B-4C83-490F-870C-7E2AB376CF86}</w:t>
            </w:r>
          </w:p>
        </w:tc>
        <w:tc>
          <w:tcPr>
            <w:tcW w:w="1559" w:type="dxa"/>
          </w:tcPr>
          <w:p w14:paraId="6B6CEF8F" w14:textId="77777777" w:rsidR="004F115B" w:rsidRDefault="004F115B" w:rsidP="00760658">
            <w:pPr>
              <w:pStyle w:val="TableTextLeft"/>
            </w:pPr>
            <w:r>
              <w:t>11/08/2017</w:t>
            </w:r>
          </w:p>
        </w:tc>
        <w:tc>
          <w:tcPr>
            <w:tcW w:w="1729" w:type="dxa"/>
          </w:tcPr>
          <w:p w14:paraId="4D2F2CC5" w14:textId="77777777" w:rsidR="004F115B" w:rsidRPr="0010531C" w:rsidRDefault="004F115B" w:rsidP="00760658">
            <w:pPr>
              <w:pStyle w:val="TableTextLeft"/>
            </w:pPr>
            <w:r>
              <w:t>Appendix C</w:t>
            </w:r>
            <w:r w:rsidRPr="002E0CF3">
              <w:t xml:space="preserve"> – data distribution maps</w:t>
            </w:r>
          </w:p>
        </w:tc>
      </w:tr>
      <w:tr w:rsidR="004F115B" w14:paraId="0DEC93C2"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0753DD1C" w14:textId="77777777" w:rsidR="004F115B" w:rsidRPr="00A1090D" w:rsidRDefault="004F115B" w:rsidP="00760658">
            <w:pPr>
              <w:pStyle w:val="TableTextLeft"/>
            </w:pPr>
            <w:r>
              <w:t>Deep crustal seismic surveys</w:t>
            </w:r>
          </w:p>
        </w:tc>
        <w:tc>
          <w:tcPr>
            <w:tcW w:w="1701" w:type="dxa"/>
          </w:tcPr>
          <w:p w14:paraId="37562C1A" w14:textId="77777777" w:rsidR="004F115B" w:rsidRDefault="004F115B" w:rsidP="00760658">
            <w:pPr>
              <w:pStyle w:val="TableTextLeft"/>
            </w:pPr>
            <w:r>
              <w:t>Seismic survey deep - Queensland</w:t>
            </w:r>
          </w:p>
        </w:tc>
        <w:tc>
          <w:tcPr>
            <w:tcW w:w="3828" w:type="dxa"/>
          </w:tcPr>
          <w:p w14:paraId="7FE6AC5F" w14:textId="77777777" w:rsidR="004F115B" w:rsidRDefault="004F115B" w:rsidP="00760658">
            <w:pPr>
              <w:pStyle w:val="TableTextLeft"/>
            </w:pPr>
            <w:r>
              <w:t xml:space="preserve">Department of Natural Resources and Mines (2014), Line locations of deep crustal seismic reflection </w:t>
            </w:r>
            <w:r>
              <w:lastRenderedPageBreak/>
              <w:t>surveys that have been conducted in available Queensland</w:t>
            </w:r>
          </w:p>
        </w:tc>
        <w:tc>
          <w:tcPr>
            <w:tcW w:w="1701" w:type="dxa"/>
          </w:tcPr>
          <w:p w14:paraId="5BD231C9" w14:textId="1E8099DD" w:rsidR="004F115B" w:rsidRPr="004F115B" w:rsidRDefault="004F115B" w:rsidP="005E5F9B">
            <w:pPr>
              <w:pStyle w:val="TableTextLeft"/>
              <w:rPr>
                <w:rStyle w:val="Hyperlink"/>
                <w:rFonts w:cs="Arial"/>
                <w:color w:val="auto"/>
              </w:rPr>
            </w:pPr>
            <w:r>
              <w:lastRenderedPageBreak/>
              <w:t>DNRME (2017d)</w:t>
            </w:r>
          </w:p>
        </w:tc>
        <w:tc>
          <w:tcPr>
            <w:tcW w:w="2268" w:type="dxa"/>
          </w:tcPr>
          <w:p w14:paraId="4F6FAAED" w14:textId="549E0018" w:rsidR="004F115B" w:rsidRPr="00012858" w:rsidRDefault="004F115B" w:rsidP="00760658">
            <w:pPr>
              <w:pStyle w:val="TableTextLeft"/>
              <w:rPr>
                <w:rStyle w:val="Hyperlink"/>
              </w:rPr>
            </w:pPr>
            <w:r w:rsidRPr="00012858">
              <w:rPr>
                <w:rStyle w:val="Hyperlink"/>
              </w:rPr>
              <w:t>http://qldspatial.information.qld.gov.au/catalogue/custom/detail.page?fid={49ABBD21-C752-4D88-847B-6C85B9B6E867}</w:t>
            </w:r>
          </w:p>
        </w:tc>
        <w:tc>
          <w:tcPr>
            <w:tcW w:w="1559" w:type="dxa"/>
          </w:tcPr>
          <w:p w14:paraId="09FD2E07" w14:textId="77777777" w:rsidR="004F115B" w:rsidRDefault="004F115B" w:rsidP="00760658">
            <w:pPr>
              <w:pStyle w:val="TableTextLeft"/>
            </w:pPr>
            <w:r>
              <w:t>11/08/2017</w:t>
            </w:r>
          </w:p>
        </w:tc>
        <w:tc>
          <w:tcPr>
            <w:tcW w:w="1729" w:type="dxa"/>
          </w:tcPr>
          <w:p w14:paraId="50DB738C" w14:textId="77777777" w:rsidR="004F115B" w:rsidRDefault="004F115B" w:rsidP="00760658">
            <w:pPr>
              <w:pStyle w:val="TableTextLeft"/>
            </w:pPr>
            <w:r>
              <w:t>Appendix C</w:t>
            </w:r>
            <w:r w:rsidRPr="002E0CF3">
              <w:t xml:space="preserve"> – data distribution maps</w:t>
            </w:r>
          </w:p>
        </w:tc>
      </w:tr>
      <w:tr w:rsidR="00012858" w14:paraId="0956C6A0"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688E1C9C" w14:textId="63BB0D25" w:rsidR="00012858" w:rsidRDefault="00012858" w:rsidP="00760658">
            <w:pPr>
              <w:pStyle w:val="TableTextLeft"/>
            </w:pPr>
            <w:r>
              <w:t>3D seismic surveys</w:t>
            </w:r>
          </w:p>
        </w:tc>
        <w:tc>
          <w:tcPr>
            <w:tcW w:w="1701" w:type="dxa"/>
          </w:tcPr>
          <w:p w14:paraId="2EEC6C22" w14:textId="19F4330A" w:rsidR="00012858" w:rsidRDefault="00012858" w:rsidP="00760658">
            <w:pPr>
              <w:pStyle w:val="TableTextLeft"/>
            </w:pPr>
            <w:r>
              <w:t>3D Seismic Survey Areas</w:t>
            </w:r>
          </w:p>
        </w:tc>
        <w:tc>
          <w:tcPr>
            <w:tcW w:w="3828" w:type="dxa"/>
          </w:tcPr>
          <w:p w14:paraId="3EFD1790" w14:textId="4856BE01" w:rsidR="00012858" w:rsidDel="00012858" w:rsidRDefault="00012858" w:rsidP="00760658">
            <w:pPr>
              <w:pStyle w:val="TableTextLeft"/>
            </w:pPr>
            <w:r>
              <w:t>Department of State Development, Resources and Energy (2017), Location of ground traverses along which seismic surveys have been carried out as part of geophysical exploration for petroleum resources and research studies</w:t>
            </w:r>
          </w:p>
        </w:tc>
        <w:tc>
          <w:tcPr>
            <w:tcW w:w="1701" w:type="dxa"/>
          </w:tcPr>
          <w:p w14:paraId="0E7DC688" w14:textId="00E39477" w:rsidR="00012858" w:rsidRDefault="00012858" w:rsidP="00012858">
            <w:pPr>
              <w:pStyle w:val="TableTextLeft"/>
              <w:rPr>
                <w:rStyle w:val="Hyperlink"/>
                <w:rFonts w:cs="Arial"/>
                <w:color w:val="auto"/>
              </w:rPr>
            </w:pPr>
            <w:r>
              <w:rPr>
                <w:rStyle w:val="Hyperlink"/>
                <w:rFonts w:cs="Arial"/>
                <w:color w:val="auto"/>
              </w:rPr>
              <w:t>DPCSA (2017a)</w:t>
            </w:r>
          </w:p>
        </w:tc>
        <w:tc>
          <w:tcPr>
            <w:tcW w:w="2268" w:type="dxa"/>
          </w:tcPr>
          <w:p w14:paraId="0A36135F" w14:textId="1850DA06" w:rsidR="00012858" w:rsidRPr="002747DB" w:rsidDel="00012858" w:rsidRDefault="002747DB" w:rsidP="00760658">
            <w:pPr>
              <w:pStyle w:val="TableTextLeft"/>
              <w:rPr>
                <w:rStyle w:val="Hyperlink"/>
              </w:rPr>
            </w:pPr>
            <w:r w:rsidRPr="002747DB">
              <w:rPr>
                <w:rStyle w:val="Hyperlink"/>
              </w:rPr>
              <w:t>https://map.sarig.sa.gov.au/</w:t>
            </w:r>
          </w:p>
        </w:tc>
        <w:tc>
          <w:tcPr>
            <w:tcW w:w="1559" w:type="dxa"/>
          </w:tcPr>
          <w:p w14:paraId="5791CD52" w14:textId="61D908B0" w:rsidR="00012858" w:rsidRDefault="00012858" w:rsidP="00760658">
            <w:pPr>
              <w:pStyle w:val="TableTextLeft"/>
            </w:pPr>
            <w:r>
              <w:t>27/07/2017</w:t>
            </w:r>
          </w:p>
        </w:tc>
        <w:tc>
          <w:tcPr>
            <w:tcW w:w="1729" w:type="dxa"/>
          </w:tcPr>
          <w:p w14:paraId="0F7EAA45" w14:textId="5E2F42BE" w:rsidR="00012858" w:rsidRDefault="00012858" w:rsidP="00760658">
            <w:pPr>
              <w:pStyle w:val="TableTextLeft"/>
            </w:pPr>
            <w:r>
              <w:t>Appendix C</w:t>
            </w:r>
            <w:r w:rsidRPr="002E0CF3">
              <w:t xml:space="preserve"> – data distribution maps</w:t>
            </w:r>
          </w:p>
        </w:tc>
      </w:tr>
      <w:tr w:rsidR="004F115B" w14:paraId="48B71354"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0AFB916F" w14:textId="77777777" w:rsidR="004F115B" w:rsidRPr="00A1090D" w:rsidRDefault="004F115B" w:rsidP="00760658">
            <w:pPr>
              <w:pStyle w:val="TableTextLeft"/>
            </w:pPr>
            <w:r>
              <w:t>2D seismic navigation</w:t>
            </w:r>
          </w:p>
        </w:tc>
        <w:tc>
          <w:tcPr>
            <w:tcW w:w="1701" w:type="dxa"/>
          </w:tcPr>
          <w:p w14:paraId="7006F8C2" w14:textId="77777777" w:rsidR="004F115B" w:rsidRDefault="004F115B" w:rsidP="00760658">
            <w:pPr>
              <w:pStyle w:val="TableTextLeft"/>
            </w:pPr>
            <w:r>
              <w:t>Seismic lines</w:t>
            </w:r>
          </w:p>
        </w:tc>
        <w:tc>
          <w:tcPr>
            <w:tcW w:w="3828" w:type="dxa"/>
          </w:tcPr>
          <w:p w14:paraId="56821579" w14:textId="5620680F" w:rsidR="004F115B" w:rsidRDefault="004F115B" w:rsidP="00760658">
            <w:pPr>
              <w:pStyle w:val="TableTextLeft"/>
            </w:pPr>
            <w:r>
              <w:t xml:space="preserve">Location of ground traverses along which seismic surveys have been carried out as part of geophysical exploration for petroleum resources </w:t>
            </w:r>
            <w:r>
              <w:lastRenderedPageBreak/>
              <w:t>and research studies.</w:t>
            </w:r>
          </w:p>
        </w:tc>
        <w:tc>
          <w:tcPr>
            <w:tcW w:w="1701" w:type="dxa"/>
          </w:tcPr>
          <w:p w14:paraId="61771557" w14:textId="35C34870" w:rsidR="004F115B" w:rsidRPr="004F115B" w:rsidRDefault="005E07EC" w:rsidP="00012858">
            <w:pPr>
              <w:pStyle w:val="TableTextLeft"/>
              <w:rPr>
                <w:rStyle w:val="Hyperlink"/>
                <w:rFonts w:cs="Arial"/>
                <w:color w:val="auto"/>
              </w:rPr>
            </w:pPr>
            <w:r>
              <w:rPr>
                <w:rStyle w:val="Hyperlink"/>
                <w:rFonts w:cs="Arial"/>
                <w:color w:val="auto"/>
              </w:rPr>
              <w:lastRenderedPageBreak/>
              <w:t>D</w:t>
            </w:r>
            <w:r w:rsidR="00012858">
              <w:rPr>
                <w:rStyle w:val="Hyperlink"/>
                <w:rFonts w:cs="Arial"/>
                <w:color w:val="auto"/>
              </w:rPr>
              <w:t>PCSA</w:t>
            </w:r>
            <w:r>
              <w:rPr>
                <w:rStyle w:val="Hyperlink"/>
                <w:rFonts w:cs="Arial"/>
                <w:color w:val="auto"/>
              </w:rPr>
              <w:t xml:space="preserve"> (2017</w:t>
            </w:r>
            <w:r w:rsidR="00012858">
              <w:rPr>
                <w:rStyle w:val="Hyperlink"/>
                <w:rFonts w:cs="Arial"/>
                <w:color w:val="auto"/>
              </w:rPr>
              <w:t>b</w:t>
            </w:r>
            <w:r>
              <w:rPr>
                <w:rStyle w:val="Hyperlink"/>
                <w:rFonts w:cs="Arial"/>
                <w:color w:val="auto"/>
              </w:rPr>
              <w:t>)</w:t>
            </w:r>
          </w:p>
        </w:tc>
        <w:tc>
          <w:tcPr>
            <w:tcW w:w="2268" w:type="dxa"/>
          </w:tcPr>
          <w:p w14:paraId="577EAB7B" w14:textId="7F93D43F" w:rsidR="004F115B" w:rsidRPr="002747DB" w:rsidRDefault="00A3211E" w:rsidP="00760658">
            <w:pPr>
              <w:pStyle w:val="TableTextLeft"/>
              <w:rPr>
                <w:rStyle w:val="Hyperlink"/>
              </w:rPr>
            </w:pPr>
            <w:hyperlink r:id="rId48" w:history="1">
              <w:r w:rsidR="00012858" w:rsidRPr="002747DB">
                <w:rPr>
                  <w:rStyle w:val="Hyperlink"/>
                </w:rPr>
                <w:t>https://map.sarig.sa.gov.au/</w:t>
              </w:r>
            </w:hyperlink>
          </w:p>
        </w:tc>
        <w:tc>
          <w:tcPr>
            <w:tcW w:w="1559" w:type="dxa"/>
          </w:tcPr>
          <w:p w14:paraId="3185766F" w14:textId="77777777" w:rsidR="004F115B" w:rsidRDefault="004F115B" w:rsidP="00760658">
            <w:pPr>
              <w:pStyle w:val="TableTextLeft"/>
            </w:pPr>
            <w:r>
              <w:t>4/09/2017</w:t>
            </w:r>
          </w:p>
        </w:tc>
        <w:tc>
          <w:tcPr>
            <w:tcW w:w="1729" w:type="dxa"/>
          </w:tcPr>
          <w:p w14:paraId="681D579D" w14:textId="77777777" w:rsidR="004F115B" w:rsidRDefault="004F115B" w:rsidP="00760658">
            <w:pPr>
              <w:pStyle w:val="TableTextLeft"/>
            </w:pPr>
            <w:r>
              <w:t>Appendix C</w:t>
            </w:r>
            <w:r w:rsidRPr="002E0CF3">
              <w:t xml:space="preserve"> – data distribution maps</w:t>
            </w:r>
          </w:p>
        </w:tc>
      </w:tr>
      <w:tr w:rsidR="00012858" w14:paraId="588998EE"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08192306" w14:textId="77777777" w:rsidR="004F115B" w:rsidRPr="00E70BDF" w:rsidRDefault="004F115B" w:rsidP="00760658">
            <w:pPr>
              <w:pStyle w:val="TableTextLeft"/>
            </w:pPr>
            <w:r>
              <w:t>Petroleum well header</w:t>
            </w:r>
          </w:p>
        </w:tc>
        <w:tc>
          <w:tcPr>
            <w:tcW w:w="1701" w:type="dxa"/>
          </w:tcPr>
          <w:p w14:paraId="476151DB" w14:textId="77777777" w:rsidR="004F115B" w:rsidRDefault="004F115B" w:rsidP="00760658">
            <w:pPr>
              <w:pStyle w:val="TableTextLeft"/>
            </w:pPr>
            <w:r>
              <w:t>Petroleum Wells</w:t>
            </w:r>
          </w:p>
        </w:tc>
        <w:tc>
          <w:tcPr>
            <w:tcW w:w="3828" w:type="dxa"/>
          </w:tcPr>
          <w:p w14:paraId="7B8E0CA1" w14:textId="77777777" w:rsidR="004F115B" w:rsidRDefault="004F115B" w:rsidP="00760658">
            <w:pPr>
              <w:pStyle w:val="TableTextLeft"/>
            </w:pPr>
            <w:r>
              <w:t>Department of State Development, Resources and Energy (2017), Department of State Development, Resources and Energy</w:t>
            </w:r>
          </w:p>
        </w:tc>
        <w:tc>
          <w:tcPr>
            <w:tcW w:w="1701" w:type="dxa"/>
          </w:tcPr>
          <w:p w14:paraId="2CE0F477" w14:textId="1FBEB4CD" w:rsidR="004F115B" w:rsidRPr="004F115B" w:rsidRDefault="00012858" w:rsidP="005E5F9B">
            <w:pPr>
              <w:pStyle w:val="TableTextLeft"/>
              <w:rPr>
                <w:rStyle w:val="Hyperlink"/>
                <w:rFonts w:cs="Arial"/>
                <w:color w:val="auto"/>
              </w:rPr>
            </w:pPr>
            <w:r>
              <w:rPr>
                <w:rStyle w:val="Hyperlink"/>
                <w:rFonts w:cs="Arial"/>
                <w:color w:val="auto"/>
              </w:rPr>
              <w:t>DPCSA (2017c)</w:t>
            </w:r>
          </w:p>
        </w:tc>
        <w:tc>
          <w:tcPr>
            <w:tcW w:w="2268" w:type="dxa"/>
          </w:tcPr>
          <w:p w14:paraId="13878709" w14:textId="7E7014F5" w:rsidR="004F115B" w:rsidRPr="002E0CF3" w:rsidRDefault="004F115B" w:rsidP="00760658">
            <w:pPr>
              <w:pStyle w:val="TableTextLeft"/>
              <w:rPr>
                <w:rStyle w:val="Hyperlink"/>
              </w:rPr>
            </w:pPr>
            <w:r w:rsidRPr="002E0CF3">
              <w:rPr>
                <w:rStyle w:val="Hyperlink"/>
              </w:rPr>
              <w:t>https://sarigbasis.pir.sa.gov.au/WebtopEw/ws/catapp/sarig/cat/Record;jsessionid=EE0C9DD86F81E2C6E6FB298C99D568AD</w:t>
            </w:r>
          </w:p>
        </w:tc>
        <w:tc>
          <w:tcPr>
            <w:tcW w:w="1559" w:type="dxa"/>
          </w:tcPr>
          <w:p w14:paraId="51541233" w14:textId="77777777" w:rsidR="004F115B" w:rsidRDefault="004F115B" w:rsidP="00760658">
            <w:pPr>
              <w:pStyle w:val="TableTextLeft"/>
            </w:pPr>
            <w:r>
              <w:t>27/07/2017</w:t>
            </w:r>
          </w:p>
        </w:tc>
        <w:tc>
          <w:tcPr>
            <w:tcW w:w="1729" w:type="dxa"/>
          </w:tcPr>
          <w:p w14:paraId="214B15A2" w14:textId="77777777" w:rsidR="004F115B" w:rsidRDefault="004F115B" w:rsidP="00760658">
            <w:pPr>
              <w:pStyle w:val="TableTextLeft"/>
            </w:pPr>
            <w:r>
              <w:t>Appendix C</w:t>
            </w:r>
            <w:r w:rsidRPr="002E0CF3">
              <w:t xml:space="preserve"> – data distribution maps</w:t>
            </w:r>
          </w:p>
        </w:tc>
      </w:tr>
      <w:tr w:rsidR="00012858" w14:paraId="503339C2"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31BCBB54" w14:textId="77777777" w:rsidR="004F115B" w:rsidRPr="00A1090D" w:rsidRDefault="004F115B" w:rsidP="00760658">
            <w:pPr>
              <w:pStyle w:val="TableTextLeft"/>
            </w:pPr>
            <w:r>
              <w:t>2D seismic navigation</w:t>
            </w:r>
          </w:p>
        </w:tc>
        <w:tc>
          <w:tcPr>
            <w:tcW w:w="1701" w:type="dxa"/>
          </w:tcPr>
          <w:p w14:paraId="306B4954" w14:textId="77777777" w:rsidR="004F115B" w:rsidRDefault="004F115B" w:rsidP="00760658">
            <w:pPr>
              <w:pStyle w:val="TableTextLeft"/>
            </w:pPr>
            <w:r>
              <w:t>Seismic Survey Lines - for Petroleum Industry Exploration</w:t>
            </w:r>
          </w:p>
        </w:tc>
        <w:tc>
          <w:tcPr>
            <w:tcW w:w="3828" w:type="dxa"/>
          </w:tcPr>
          <w:p w14:paraId="1EE8DDC1" w14:textId="5F9E38D9" w:rsidR="004F115B" w:rsidRDefault="004F115B" w:rsidP="00760658">
            <w:pPr>
              <w:pStyle w:val="TableTextLeft"/>
            </w:pPr>
            <w:r>
              <w:t>Seismic Survey Lines - for Petroleum Industry Exploration</w:t>
            </w:r>
            <w:r w:rsidR="00012858">
              <w:t>, Geological Survey Victoria</w:t>
            </w:r>
          </w:p>
        </w:tc>
        <w:tc>
          <w:tcPr>
            <w:tcW w:w="1701" w:type="dxa"/>
          </w:tcPr>
          <w:p w14:paraId="5CBC9032" w14:textId="3141A9D6" w:rsidR="004F115B" w:rsidRPr="004F115B" w:rsidRDefault="00012858" w:rsidP="005E5F9B">
            <w:pPr>
              <w:pStyle w:val="TableTextLeft"/>
              <w:rPr>
                <w:rStyle w:val="Hyperlink"/>
                <w:rFonts w:cs="Arial"/>
                <w:color w:val="auto"/>
              </w:rPr>
            </w:pPr>
            <w:r>
              <w:rPr>
                <w:rStyle w:val="Hyperlink"/>
                <w:rFonts w:cs="Arial"/>
                <w:color w:val="auto"/>
              </w:rPr>
              <w:t>GSV (2017a)</w:t>
            </w:r>
          </w:p>
        </w:tc>
        <w:tc>
          <w:tcPr>
            <w:tcW w:w="2268" w:type="dxa"/>
          </w:tcPr>
          <w:p w14:paraId="668FFE77" w14:textId="4D0F3DA4" w:rsidR="004F115B" w:rsidRPr="00FD7F86" w:rsidRDefault="004F115B" w:rsidP="00760658">
            <w:pPr>
              <w:pStyle w:val="TableTextLeft"/>
              <w:rPr>
                <w:rStyle w:val="Hyperlink"/>
              </w:rPr>
            </w:pPr>
            <w:r w:rsidRPr="00FD7F86">
              <w:rPr>
                <w:rStyle w:val="Hyperlink"/>
              </w:rPr>
              <w:t>https://sarigbasis.pir.sa.gov.au/WebtopEw/ws/catapp/sarig/cat/Record</w:t>
            </w:r>
          </w:p>
        </w:tc>
        <w:tc>
          <w:tcPr>
            <w:tcW w:w="1559" w:type="dxa"/>
          </w:tcPr>
          <w:p w14:paraId="3D2214C4" w14:textId="77777777" w:rsidR="004F115B" w:rsidRDefault="004F115B" w:rsidP="00760658">
            <w:pPr>
              <w:pStyle w:val="TableTextLeft"/>
            </w:pPr>
            <w:r>
              <w:t>11/08/2017</w:t>
            </w:r>
          </w:p>
        </w:tc>
        <w:tc>
          <w:tcPr>
            <w:tcW w:w="1729" w:type="dxa"/>
          </w:tcPr>
          <w:p w14:paraId="5F836E81" w14:textId="77777777" w:rsidR="004F115B" w:rsidRPr="002E0CF3" w:rsidRDefault="004F115B" w:rsidP="00760658">
            <w:pPr>
              <w:pStyle w:val="TableTextLeft"/>
            </w:pPr>
            <w:r>
              <w:t>Appendix C</w:t>
            </w:r>
            <w:r w:rsidRPr="002E0CF3">
              <w:t xml:space="preserve"> – data distribution maps</w:t>
            </w:r>
          </w:p>
        </w:tc>
      </w:tr>
      <w:tr w:rsidR="00012858" w:rsidRPr="002E0CF3" w14:paraId="071B8800"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583B9AB9" w14:textId="77777777" w:rsidR="004F115B" w:rsidRPr="00A1090D" w:rsidRDefault="004F115B" w:rsidP="00760658">
            <w:pPr>
              <w:pStyle w:val="TableTextLeft"/>
            </w:pPr>
            <w:r>
              <w:t>3D seismic surveys</w:t>
            </w:r>
          </w:p>
        </w:tc>
        <w:tc>
          <w:tcPr>
            <w:tcW w:w="1701" w:type="dxa"/>
          </w:tcPr>
          <w:p w14:paraId="01AB7D7C" w14:textId="77777777" w:rsidR="004F115B" w:rsidRDefault="004F115B" w:rsidP="00760658">
            <w:pPr>
              <w:pStyle w:val="TableTextLeft"/>
            </w:pPr>
            <w:r>
              <w:t>Seismic 3D Survey Areas - for Petroleum Industry Exploration</w:t>
            </w:r>
          </w:p>
        </w:tc>
        <w:tc>
          <w:tcPr>
            <w:tcW w:w="3828" w:type="dxa"/>
          </w:tcPr>
          <w:p w14:paraId="2AF99C18" w14:textId="53F7BA7E" w:rsidR="004F115B" w:rsidRDefault="004F115B" w:rsidP="00760658">
            <w:pPr>
              <w:pStyle w:val="TableTextLeft"/>
            </w:pPr>
            <w:r>
              <w:t>The polygons depict the outline of 3D surveys. These outlines illustrate the survey outlines but are not consistently defined.</w:t>
            </w:r>
            <w:r w:rsidR="00012858">
              <w:t xml:space="preserve"> Geological Survey Victoria</w:t>
            </w:r>
          </w:p>
        </w:tc>
        <w:tc>
          <w:tcPr>
            <w:tcW w:w="1701" w:type="dxa"/>
          </w:tcPr>
          <w:p w14:paraId="70F450F5" w14:textId="54C416C0" w:rsidR="004F115B" w:rsidRPr="00012858" w:rsidRDefault="00012858" w:rsidP="005E5F9B">
            <w:pPr>
              <w:pStyle w:val="TableTextLeft"/>
              <w:rPr>
                <w:rStyle w:val="Hyperlink"/>
                <w:rFonts w:cs="Arial"/>
                <w:color w:val="auto"/>
              </w:rPr>
            </w:pPr>
            <w:r>
              <w:rPr>
                <w:rStyle w:val="Hyperlink"/>
                <w:rFonts w:cs="Arial"/>
                <w:color w:val="auto"/>
              </w:rPr>
              <w:t>GSV (2009)</w:t>
            </w:r>
          </w:p>
        </w:tc>
        <w:tc>
          <w:tcPr>
            <w:tcW w:w="2268" w:type="dxa"/>
          </w:tcPr>
          <w:p w14:paraId="44E61857" w14:textId="48F4C347" w:rsidR="004F115B" w:rsidRPr="00FD7F86" w:rsidRDefault="004F115B" w:rsidP="00760658">
            <w:pPr>
              <w:pStyle w:val="TableTextLeft"/>
              <w:rPr>
                <w:rStyle w:val="Hyperlink"/>
              </w:rPr>
            </w:pPr>
            <w:r w:rsidRPr="00FD7F86">
              <w:rPr>
                <w:rStyle w:val="Hyperlink"/>
              </w:rPr>
              <w:t>http://services.land.vic.gov.au/SpatialDatamart/viewMetadata.html?anzlicId=ANZVI0803002766&amp;extractionProviderId=1</w:t>
            </w:r>
          </w:p>
        </w:tc>
        <w:tc>
          <w:tcPr>
            <w:tcW w:w="1559" w:type="dxa"/>
          </w:tcPr>
          <w:p w14:paraId="4A40A75C" w14:textId="77777777" w:rsidR="004F115B" w:rsidRDefault="004F115B" w:rsidP="00760658">
            <w:pPr>
              <w:pStyle w:val="TableTextLeft"/>
            </w:pPr>
            <w:r>
              <w:t>11/08/2017</w:t>
            </w:r>
          </w:p>
        </w:tc>
        <w:tc>
          <w:tcPr>
            <w:tcW w:w="1729" w:type="dxa"/>
          </w:tcPr>
          <w:p w14:paraId="2D614186" w14:textId="77777777" w:rsidR="004F115B" w:rsidRPr="002E0CF3" w:rsidRDefault="004F115B" w:rsidP="00760658">
            <w:pPr>
              <w:pStyle w:val="TableTextLeft"/>
            </w:pPr>
            <w:r>
              <w:t>Appendix C</w:t>
            </w:r>
            <w:r w:rsidRPr="002E0CF3">
              <w:t xml:space="preserve"> – data distribution maps</w:t>
            </w:r>
          </w:p>
        </w:tc>
      </w:tr>
      <w:tr w:rsidR="00012858" w:rsidRPr="002E0CF3" w14:paraId="36E2CAE0" w14:textId="77777777" w:rsidTr="00012858">
        <w:trPr>
          <w:cnfStyle w:val="000000100000" w:firstRow="0" w:lastRow="0" w:firstColumn="0" w:lastColumn="0" w:oddVBand="0" w:evenVBand="0" w:oddHBand="1" w:evenHBand="0" w:firstRowFirstColumn="0" w:firstRowLastColumn="0" w:lastRowFirstColumn="0" w:lastRowLastColumn="0"/>
        </w:trPr>
        <w:tc>
          <w:tcPr>
            <w:tcW w:w="1843" w:type="dxa"/>
          </w:tcPr>
          <w:p w14:paraId="463D2511" w14:textId="77777777" w:rsidR="004F115B" w:rsidRDefault="004F115B" w:rsidP="00760658">
            <w:pPr>
              <w:pStyle w:val="TableTextLeft"/>
            </w:pPr>
            <w:r>
              <w:t>Petroleum well header</w:t>
            </w:r>
          </w:p>
        </w:tc>
        <w:tc>
          <w:tcPr>
            <w:tcW w:w="1701" w:type="dxa"/>
          </w:tcPr>
          <w:p w14:paraId="32C3D871" w14:textId="77777777" w:rsidR="004F115B" w:rsidRPr="00FD7F86" w:rsidRDefault="004F115B" w:rsidP="00760658">
            <w:pPr>
              <w:pStyle w:val="TableTextLeft"/>
            </w:pPr>
            <w:r w:rsidRPr="00FD7F86">
              <w:t xml:space="preserve">Petroleum Wells. </w:t>
            </w:r>
          </w:p>
        </w:tc>
        <w:tc>
          <w:tcPr>
            <w:tcW w:w="3828" w:type="dxa"/>
          </w:tcPr>
          <w:p w14:paraId="1E5323AC" w14:textId="61BA4F8F" w:rsidR="004F115B" w:rsidRPr="00FD7F86" w:rsidRDefault="004F115B" w:rsidP="00760658">
            <w:pPr>
              <w:pStyle w:val="TableTextLeft"/>
            </w:pPr>
            <w:r w:rsidRPr="00FD7F86">
              <w:t xml:space="preserve">Petroleum Wells (from Minerals </w:t>
            </w:r>
            <w:r w:rsidRPr="00FD7F86">
              <w:lastRenderedPageBreak/>
              <w:t>and Petroleum's DbMap database)</w:t>
            </w:r>
            <w:r w:rsidR="00012858">
              <w:t>, Geological Survey Victoria</w:t>
            </w:r>
          </w:p>
        </w:tc>
        <w:tc>
          <w:tcPr>
            <w:tcW w:w="1701" w:type="dxa"/>
          </w:tcPr>
          <w:p w14:paraId="1B8A5581" w14:textId="13AEBAD1" w:rsidR="004F115B" w:rsidRPr="00012858" w:rsidRDefault="00012858" w:rsidP="005E5F9B">
            <w:pPr>
              <w:pStyle w:val="TableTextLeft"/>
              <w:rPr>
                <w:rStyle w:val="Hyperlink"/>
                <w:rFonts w:cs="Arial"/>
                <w:color w:val="auto"/>
              </w:rPr>
            </w:pPr>
            <w:r>
              <w:rPr>
                <w:rStyle w:val="Hyperlink"/>
                <w:rFonts w:cs="Arial"/>
                <w:color w:val="auto"/>
              </w:rPr>
              <w:lastRenderedPageBreak/>
              <w:t>GSV (2017b)</w:t>
            </w:r>
          </w:p>
        </w:tc>
        <w:tc>
          <w:tcPr>
            <w:tcW w:w="2268" w:type="dxa"/>
          </w:tcPr>
          <w:p w14:paraId="768C2EEF" w14:textId="67D2C2DC" w:rsidR="004F115B" w:rsidRPr="00FD7F86" w:rsidRDefault="004F115B" w:rsidP="00760658">
            <w:pPr>
              <w:pStyle w:val="TableTextLeft"/>
              <w:rPr>
                <w:rStyle w:val="Hyperlink"/>
              </w:rPr>
            </w:pPr>
            <w:r w:rsidRPr="00FD7F86">
              <w:rPr>
                <w:rStyle w:val="Hyperlink"/>
              </w:rPr>
              <w:t>http://services.land.vic.gov.au/SpatialDatamart/viewMetadata.html?anzlicId=ANZVI0803002954&amp;extractionProviderId=1</w:t>
            </w:r>
          </w:p>
        </w:tc>
        <w:tc>
          <w:tcPr>
            <w:tcW w:w="1559" w:type="dxa"/>
          </w:tcPr>
          <w:p w14:paraId="7AF18287" w14:textId="77777777" w:rsidR="004F115B" w:rsidRDefault="004F115B" w:rsidP="00760658">
            <w:pPr>
              <w:pStyle w:val="TableTextLeft"/>
            </w:pPr>
            <w:r>
              <w:t>11/08/2017</w:t>
            </w:r>
          </w:p>
        </w:tc>
        <w:tc>
          <w:tcPr>
            <w:tcW w:w="1729" w:type="dxa"/>
          </w:tcPr>
          <w:p w14:paraId="1E29710D" w14:textId="77777777" w:rsidR="004F115B" w:rsidRPr="002E0CF3" w:rsidRDefault="004F115B" w:rsidP="00760658">
            <w:pPr>
              <w:pStyle w:val="TableTextLeft"/>
            </w:pPr>
            <w:r>
              <w:t>Appendix C</w:t>
            </w:r>
            <w:r w:rsidRPr="002E0CF3">
              <w:t xml:space="preserve"> – data distribution maps</w:t>
            </w:r>
          </w:p>
        </w:tc>
      </w:tr>
      <w:tr w:rsidR="00012858" w:rsidRPr="002E0CF3" w14:paraId="3BAF114A" w14:textId="77777777" w:rsidTr="00012858">
        <w:trPr>
          <w:cnfStyle w:val="000000010000" w:firstRow="0" w:lastRow="0" w:firstColumn="0" w:lastColumn="0" w:oddVBand="0" w:evenVBand="0" w:oddHBand="0" w:evenHBand="1" w:firstRowFirstColumn="0" w:firstRowLastColumn="0" w:lastRowFirstColumn="0" w:lastRowLastColumn="0"/>
        </w:trPr>
        <w:tc>
          <w:tcPr>
            <w:tcW w:w="1843" w:type="dxa"/>
          </w:tcPr>
          <w:p w14:paraId="358DD455" w14:textId="77777777" w:rsidR="004F115B" w:rsidRDefault="004F115B" w:rsidP="00760658">
            <w:pPr>
              <w:pStyle w:val="TableTextLeft"/>
            </w:pPr>
            <w:r>
              <w:t>Oil and gas pipelines</w:t>
            </w:r>
          </w:p>
        </w:tc>
        <w:tc>
          <w:tcPr>
            <w:tcW w:w="1701" w:type="dxa"/>
          </w:tcPr>
          <w:p w14:paraId="1D179C5E" w14:textId="77777777" w:rsidR="004F115B" w:rsidRPr="00FD7F86" w:rsidRDefault="004F115B" w:rsidP="00760658">
            <w:pPr>
              <w:pStyle w:val="TableTextLeft"/>
            </w:pPr>
            <w:r w:rsidRPr="00FD7F86">
              <w:t>National Oil and Gas Infrastructure</w:t>
            </w:r>
          </w:p>
        </w:tc>
        <w:tc>
          <w:tcPr>
            <w:tcW w:w="3828" w:type="dxa"/>
          </w:tcPr>
          <w:p w14:paraId="2DD693AC" w14:textId="50CA118A" w:rsidR="004F115B" w:rsidRPr="00FD7F86" w:rsidRDefault="003F5C0F" w:rsidP="00012858">
            <w:pPr>
              <w:pStyle w:val="TableTextLeft"/>
            </w:pPr>
            <w:r>
              <w:t xml:space="preserve">Web service </w:t>
            </w:r>
            <w:r w:rsidR="001902E2">
              <w:t>providing</w:t>
            </w:r>
            <w:r w:rsidRPr="003F5C0F">
              <w:t xml:space="preserve"> access to the National Oil and Gas Infrastructure datasets. These datasets present the spatial locations of onshore oil and gas pipelines for the transmission of oil and gas within mainland Australia. They also present the location of oil and gas platforms within Australia's territorial waters.</w:t>
            </w:r>
          </w:p>
        </w:tc>
        <w:tc>
          <w:tcPr>
            <w:tcW w:w="1701" w:type="dxa"/>
          </w:tcPr>
          <w:p w14:paraId="6497C5C3" w14:textId="438B0E58" w:rsidR="004F115B" w:rsidRPr="00012858" w:rsidRDefault="00012858" w:rsidP="005E5F9B">
            <w:pPr>
              <w:pStyle w:val="TableTextLeft"/>
              <w:rPr>
                <w:rStyle w:val="Hyperlink"/>
                <w:rFonts w:cs="Arial"/>
                <w:color w:val="auto"/>
              </w:rPr>
            </w:pPr>
            <w:r>
              <w:rPr>
                <w:rStyle w:val="Hyperlink"/>
                <w:rFonts w:cs="Arial"/>
                <w:color w:val="auto"/>
              </w:rPr>
              <w:t>GA (2015a)</w:t>
            </w:r>
          </w:p>
        </w:tc>
        <w:tc>
          <w:tcPr>
            <w:tcW w:w="2268" w:type="dxa"/>
          </w:tcPr>
          <w:p w14:paraId="1BEBF8F1" w14:textId="24FEF8B4" w:rsidR="004F115B" w:rsidRPr="00FD7F86" w:rsidRDefault="004F115B" w:rsidP="00760658">
            <w:pPr>
              <w:pStyle w:val="TableTextLeft"/>
              <w:rPr>
                <w:rStyle w:val="Hyperlink"/>
              </w:rPr>
            </w:pPr>
            <w:r w:rsidRPr="00FD7F86">
              <w:rPr>
                <w:rStyle w:val="Hyperlink"/>
              </w:rPr>
              <w:t>http://services.ga.gov.au/site_9/rest/services/Oil_Gas_Infrastructure/MapServer</w:t>
            </w:r>
          </w:p>
        </w:tc>
        <w:tc>
          <w:tcPr>
            <w:tcW w:w="1559" w:type="dxa"/>
          </w:tcPr>
          <w:p w14:paraId="46B9E5A8" w14:textId="77777777" w:rsidR="004F115B" w:rsidRDefault="004F115B" w:rsidP="00760658">
            <w:pPr>
              <w:pStyle w:val="TableTextLeft"/>
            </w:pPr>
            <w:r>
              <w:t>23/07/2017</w:t>
            </w:r>
          </w:p>
        </w:tc>
        <w:tc>
          <w:tcPr>
            <w:tcW w:w="1729" w:type="dxa"/>
          </w:tcPr>
          <w:p w14:paraId="64AC2908" w14:textId="77777777" w:rsidR="004F115B" w:rsidRPr="002E0CF3" w:rsidRDefault="004F115B" w:rsidP="00760658">
            <w:pPr>
              <w:pStyle w:val="TableTextLeft"/>
            </w:pPr>
            <w:r>
              <w:t>Appendix C</w:t>
            </w:r>
            <w:r w:rsidRPr="002E0CF3">
              <w:t xml:space="preserve"> – </w:t>
            </w:r>
            <w:r>
              <w:t xml:space="preserve">infrastructure </w:t>
            </w:r>
            <w:r w:rsidRPr="002E0CF3">
              <w:t>maps</w:t>
            </w:r>
          </w:p>
        </w:tc>
      </w:tr>
      <w:tr w:rsidR="00012858" w:rsidRPr="002E0CF3" w14:paraId="232B53B4" w14:textId="77777777" w:rsidTr="00012858">
        <w:trPr>
          <w:cnfStyle w:val="000000100000" w:firstRow="0" w:lastRow="0" w:firstColumn="0" w:lastColumn="0" w:oddVBand="0" w:evenVBand="0" w:oddHBand="1" w:evenHBand="0" w:firstRowFirstColumn="0" w:firstRowLastColumn="0" w:lastRowFirstColumn="0" w:lastRowLastColumn="0"/>
          <w:trHeight w:val="123"/>
        </w:trPr>
        <w:tc>
          <w:tcPr>
            <w:tcW w:w="1843" w:type="dxa"/>
          </w:tcPr>
          <w:p w14:paraId="4637279D" w14:textId="77777777" w:rsidR="004F115B" w:rsidRDefault="004F115B" w:rsidP="00760658">
            <w:pPr>
              <w:pStyle w:val="TableTextLeft"/>
            </w:pPr>
            <w:r>
              <w:t>Gas processing facilities</w:t>
            </w:r>
          </w:p>
        </w:tc>
        <w:tc>
          <w:tcPr>
            <w:tcW w:w="1701" w:type="dxa"/>
          </w:tcPr>
          <w:p w14:paraId="4CF782CF" w14:textId="77777777" w:rsidR="004F115B" w:rsidRPr="00FD7F86" w:rsidRDefault="004F115B" w:rsidP="00760658">
            <w:pPr>
              <w:pStyle w:val="TableTextLeft"/>
            </w:pPr>
            <w:r>
              <w:t>Offshore oil and gas platforms</w:t>
            </w:r>
          </w:p>
        </w:tc>
        <w:tc>
          <w:tcPr>
            <w:tcW w:w="3828" w:type="dxa"/>
          </w:tcPr>
          <w:p w14:paraId="4E6211B2" w14:textId="1104F842" w:rsidR="004F115B" w:rsidRPr="00FD7F86" w:rsidRDefault="003F5C0F" w:rsidP="00012858">
            <w:pPr>
              <w:pStyle w:val="TableTextLeft"/>
            </w:pPr>
            <w:r>
              <w:t>Point dataset containing</w:t>
            </w:r>
            <w:r w:rsidRPr="003F5C0F">
              <w:t xml:space="preserve"> offshore Oil and Gas Platforms </w:t>
            </w:r>
            <w:r w:rsidRPr="003F5C0F">
              <w:lastRenderedPageBreak/>
              <w:t>located in Australian waters that include infrastructure facilities for the extraction, processing and/or storage of oil and natural gas.</w:t>
            </w:r>
          </w:p>
        </w:tc>
        <w:tc>
          <w:tcPr>
            <w:tcW w:w="1701" w:type="dxa"/>
          </w:tcPr>
          <w:p w14:paraId="4044FBDE" w14:textId="48B2274D" w:rsidR="004F115B" w:rsidRPr="005E5F9B" w:rsidRDefault="00012858" w:rsidP="005E5F9B">
            <w:pPr>
              <w:pStyle w:val="TableTextLeft"/>
            </w:pPr>
            <w:r>
              <w:lastRenderedPageBreak/>
              <w:t>GA (2015b)</w:t>
            </w:r>
          </w:p>
        </w:tc>
        <w:tc>
          <w:tcPr>
            <w:tcW w:w="2268" w:type="dxa"/>
          </w:tcPr>
          <w:p w14:paraId="234DB2FB" w14:textId="2D8AC8C5" w:rsidR="004F115B" w:rsidRPr="00FD7F86" w:rsidRDefault="00A3211E" w:rsidP="00760658">
            <w:pPr>
              <w:pStyle w:val="TableTextLeft"/>
              <w:rPr>
                <w:rStyle w:val="Hyperlink"/>
              </w:rPr>
            </w:pPr>
            <w:hyperlink r:id="rId49" w:anchor="!0a4a79dc-978a-0e89-e054-00144fdd4fa6" w:history="1">
              <w:r w:rsidR="004F115B" w:rsidRPr="00743C84">
                <w:rPr>
                  <w:rStyle w:val="Hyperlink"/>
                </w:rPr>
                <w:t>https://ecat.ga.gov.au/geonetwork/srv/eng/search#!0a4a79dc-978a-0e89-e054-00144fdd4fa6</w:t>
              </w:r>
            </w:hyperlink>
          </w:p>
        </w:tc>
        <w:tc>
          <w:tcPr>
            <w:tcW w:w="1559" w:type="dxa"/>
          </w:tcPr>
          <w:p w14:paraId="76D80E70" w14:textId="77777777" w:rsidR="004F115B" w:rsidRDefault="004F115B" w:rsidP="00760658">
            <w:pPr>
              <w:pStyle w:val="TableTextLeft"/>
            </w:pPr>
            <w:r>
              <w:t>23/07/2017</w:t>
            </w:r>
          </w:p>
        </w:tc>
        <w:tc>
          <w:tcPr>
            <w:tcW w:w="1729" w:type="dxa"/>
          </w:tcPr>
          <w:p w14:paraId="59AED4EC" w14:textId="77777777" w:rsidR="004F115B" w:rsidRPr="002E0CF3" w:rsidRDefault="004F115B" w:rsidP="00760658">
            <w:pPr>
              <w:pStyle w:val="TableTextLeft"/>
            </w:pPr>
            <w:r>
              <w:t>Appendix C</w:t>
            </w:r>
            <w:r w:rsidRPr="002E0CF3">
              <w:t xml:space="preserve"> – </w:t>
            </w:r>
            <w:r>
              <w:t xml:space="preserve">infrastructure </w:t>
            </w:r>
            <w:r w:rsidRPr="002E0CF3">
              <w:t>maps</w:t>
            </w:r>
          </w:p>
        </w:tc>
      </w:tr>
    </w:tbl>
    <w:p w14:paraId="5036DE6E" w14:textId="77777777" w:rsidR="00D27769" w:rsidRDefault="00D27769" w:rsidP="00174635">
      <w:pPr>
        <w:pStyle w:val="BodyText"/>
        <w:sectPr w:rsidR="00D27769" w:rsidSect="005E0FA1">
          <w:headerReference w:type="default" r:id="rId50"/>
          <w:pgSz w:w="16840" w:h="11907" w:orient="landscape" w:code="9"/>
          <w:pgMar w:top="1134" w:right="1134" w:bottom="1134" w:left="1134" w:header="510" w:footer="624" w:gutter="0"/>
          <w:cols w:space="720"/>
          <w:docGrid w:linePitch="326"/>
        </w:sectPr>
      </w:pPr>
    </w:p>
    <w:p w14:paraId="64000B15" w14:textId="77777777" w:rsidR="00D27769" w:rsidRPr="00E8799B" w:rsidRDefault="00D27769" w:rsidP="00D27769">
      <w:pPr>
        <w:pStyle w:val="Heading3"/>
      </w:pPr>
      <w:bookmarkStart w:id="99" w:name="_Toc494277017"/>
      <w:bookmarkStart w:id="100" w:name="_Toc517101428"/>
      <w:r w:rsidRPr="00E8799B">
        <w:lastRenderedPageBreak/>
        <w:t>Groundwater, surface water, environmental assets and social datasets</w:t>
      </w:r>
      <w:bookmarkEnd w:id="99"/>
      <w:bookmarkEnd w:id="100"/>
    </w:p>
    <w:p w14:paraId="70B61EC2" w14:textId="06B4BDFE" w:rsidR="00D27769" w:rsidRPr="00622B40" w:rsidRDefault="00D27769" w:rsidP="00174635">
      <w:pPr>
        <w:pStyle w:val="BodyText"/>
      </w:pPr>
      <w:r>
        <w:t>Maps of the datasets described below are presented in Appendix B Regional Maps.</w:t>
      </w:r>
    </w:p>
    <w:p w14:paraId="15C6FB87" w14:textId="77777777" w:rsidR="00D27769" w:rsidRPr="00C13F18" w:rsidRDefault="00D27769" w:rsidP="005E0FA1">
      <w:pPr>
        <w:pStyle w:val="Heading4"/>
        <w:rPr>
          <w:rStyle w:val="Bold"/>
        </w:rPr>
      </w:pPr>
      <w:r w:rsidRPr="00C13F18">
        <w:rPr>
          <w:rStyle w:val="Bold"/>
        </w:rPr>
        <w:t xml:space="preserve">National </w:t>
      </w:r>
      <w:r>
        <w:rPr>
          <w:rStyle w:val="Bold"/>
        </w:rPr>
        <w:t>h</w:t>
      </w:r>
      <w:r w:rsidRPr="00C13F18">
        <w:rPr>
          <w:rStyle w:val="Bold"/>
        </w:rPr>
        <w:t>ydrogeology</w:t>
      </w:r>
    </w:p>
    <w:p w14:paraId="0DAC380C" w14:textId="113CC7ED" w:rsidR="00D27769" w:rsidRPr="00C13F18" w:rsidRDefault="00D27769" w:rsidP="00C32947">
      <w:pPr>
        <w:pStyle w:val="BodyText"/>
      </w:pPr>
      <w:r w:rsidRPr="00C13F18">
        <w:t xml:space="preserve">The national hydrogeology dataset (Jacobsen </w:t>
      </w:r>
      <w:r>
        <w:t xml:space="preserve">and </w:t>
      </w:r>
      <w:r w:rsidRPr="00C13F18">
        <w:t>Lau</w:t>
      </w:r>
      <w:r>
        <w:t>, 1987) provide the</w:t>
      </w:r>
      <w:r w:rsidRPr="00C13F18">
        <w:t xml:space="preserve"> framework of national hydrogeology by describing areas over the entire country as one of five categories: extensive highly-productive porous aquifers; extensive low-moderate productivity porous aquifers; extensive highly-productive fractured or fissured aquifers; extensive low-moderate productivity fractured or fissured aquifers; and local aquifers of low productivity.</w:t>
      </w:r>
      <w:r>
        <w:t xml:space="preserve"> </w:t>
      </w:r>
      <w:r w:rsidRPr="005740FA">
        <w:t xml:space="preserve">Highly productive </w:t>
      </w:r>
      <w:r>
        <w:t>aquifers are defined as having “</w:t>
      </w:r>
      <w:r w:rsidRPr="005740FA">
        <w:t xml:space="preserve">extensive aquifer distribution with most bore yields greater than 5 </w:t>
      </w:r>
      <w:r w:rsidR="004C28D4">
        <w:t>Litres per second (</w:t>
      </w:r>
      <w:r w:rsidRPr="005740FA">
        <w:t>L/s</w:t>
      </w:r>
      <w:r w:rsidR="004C28D4">
        <w:t>)</w:t>
      </w:r>
      <w:r>
        <w:t>”</w:t>
      </w:r>
      <w:r w:rsidRPr="005740FA">
        <w:t xml:space="preserve">; Low-moderate productivity </w:t>
      </w:r>
      <w:r>
        <w:t>is defined as having</w:t>
      </w:r>
      <w:r w:rsidRPr="005740FA">
        <w:t xml:space="preserve"> </w:t>
      </w:r>
      <w:r>
        <w:t>“</w:t>
      </w:r>
      <w:r w:rsidRPr="005740FA">
        <w:t>extensive aquifer distribution with most bore yields of 0.5–5 L/s</w:t>
      </w:r>
      <w:r>
        <w:t>”</w:t>
      </w:r>
      <w:r w:rsidRPr="005740FA">
        <w:t xml:space="preserve">; </w:t>
      </w:r>
      <w:r>
        <w:t>while a l</w:t>
      </w:r>
      <w:r w:rsidRPr="005740FA">
        <w:t xml:space="preserve">ow </w:t>
      </w:r>
      <w:r>
        <w:t>classification is defined as having</w:t>
      </w:r>
      <w:r w:rsidRPr="005740FA">
        <w:t xml:space="preserve"> </w:t>
      </w:r>
      <w:r>
        <w:t>“</w:t>
      </w:r>
      <w:r w:rsidRPr="005740FA">
        <w:t>local aquifer distribution, bore yields less than 0.5 L/s</w:t>
      </w:r>
      <w:r>
        <w:t>”</w:t>
      </w:r>
      <w:r w:rsidRPr="005740FA">
        <w:t>.</w:t>
      </w:r>
      <w:r>
        <w:t xml:space="preserve"> </w:t>
      </w:r>
      <w:r w:rsidRPr="00C13F18">
        <w:t>Whilst being a broad-scale dataset, the nationally consistent approach allows for inter-basin comparisons. More detailed hydrogeological information is presented for individual basins in the Basin Audit (</w:t>
      </w:r>
      <w:r>
        <w:t>Appendix C</w:t>
      </w:r>
      <w:r w:rsidR="005E1B62">
        <w:t>)</w:t>
      </w:r>
      <w:r w:rsidR="009A6EB4">
        <w:t>.</w:t>
      </w:r>
      <w:r w:rsidR="005E1B62">
        <w:t xml:space="preserve"> </w:t>
      </w:r>
    </w:p>
    <w:p w14:paraId="22EEDB36" w14:textId="77777777" w:rsidR="00D27769" w:rsidRPr="00C13F18" w:rsidRDefault="00D27769" w:rsidP="005E0FA1">
      <w:pPr>
        <w:pStyle w:val="Heading4"/>
        <w:rPr>
          <w:rStyle w:val="Bold"/>
        </w:rPr>
      </w:pPr>
      <w:r w:rsidRPr="00C13F18">
        <w:rPr>
          <w:rStyle w:val="Bold"/>
        </w:rPr>
        <w:lastRenderedPageBreak/>
        <w:t>Groundwater bores</w:t>
      </w:r>
    </w:p>
    <w:p w14:paraId="405C5898" w14:textId="308C5568" w:rsidR="00D27769" w:rsidRPr="00C13F18" w:rsidRDefault="00D27769" w:rsidP="00C32947">
      <w:pPr>
        <w:pStyle w:val="BodyText"/>
      </w:pPr>
      <w:r w:rsidRPr="00C13F18">
        <w:t>Groundwater bores provide insights into the groundwater system. Measurements taken from the bores provide information on groundwater quality, quantity, and flow directions. Bore construction records provide information on the lithology, purpose, bore depth and casing information. To obtain the location and information about groundwater bores, a national dataset known as the National Groundwater Information System (NGIS), version 1.3, was used</w:t>
      </w:r>
      <w:r>
        <w:t xml:space="preserve"> </w:t>
      </w:r>
      <w:r w:rsidRPr="00C13F18">
        <w:t>(B</w:t>
      </w:r>
      <w:r>
        <w:t>o</w:t>
      </w:r>
      <w:r w:rsidRPr="00C13F18">
        <w:t>M, 2016</w:t>
      </w:r>
      <w:r w:rsidR="005E1B62">
        <w:t>)</w:t>
      </w:r>
      <w:r w:rsidR="009A6EB4">
        <w:t>.</w:t>
      </w:r>
      <w:r w:rsidR="005E1B62">
        <w:t xml:space="preserve"> </w:t>
      </w:r>
      <w:r w:rsidRPr="00C13F18">
        <w:t xml:space="preserve">The NGIS contains a nationwide inventory on groundwater bores that have been registered with the relevant State </w:t>
      </w:r>
      <w:r w:rsidR="009A6EB4">
        <w:t>or</w:t>
      </w:r>
      <w:r w:rsidRPr="00C13F18">
        <w:t xml:space="preserve"> Territory Authority with sufficient information to allow the national compilation. For this phase of work, analysis was undertaken on all bores within the NGIS regardless of usage (operational or not</w:t>
      </w:r>
      <w:r w:rsidR="005E1B62">
        <w:t>)</w:t>
      </w:r>
      <w:r w:rsidR="009A6EB4">
        <w:t>.</w:t>
      </w:r>
      <w:r w:rsidR="005E1B62">
        <w:t xml:space="preserve"> </w:t>
      </w:r>
      <w:r w:rsidRPr="00C13F18">
        <w:t>Future stages of work will require a more detailed assessment of bores within the dataset.</w:t>
      </w:r>
    </w:p>
    <w:p w14:paraId="31BF9EFA" w14:textId="77777777" w:rsidR="00D27769" w:rsidRPr="00C13F18" w:rsidRDefault="00D27769" w:rsidP="005E0FA1">
      <w:pPr>
        <w:pStyle w:val="Heading4"/>
        <w:rPr>
          <w:rStyle w:val="Bold"/>
        </w:rPr>
      </w:pPr>
      <w:r w:rsidRPr="00C13F18">
        <w:rPr>
          <w:rStyle w:val="Bold"/>
        </w:rPr>
        <w:t xml:space="preserve">Groundwater </w:t>
      </w:r>
      <w:r>
        <w:rPr>
          <w:rStyle w:val="Bold"/>
        </w:rPr>
        <w:t>b</w:t>
      </w:r>
      <w:r w:rsidRPr="00C13F18">
        <w:rPr>
          <w:rStyle w:val="Bold"/>
        </w:rPr>
        <w:t xml:space="preserve">ore </w:t>
      </w:r>
      <w:r>
        <w:rPr>
          <w:rStyle w:val="Bold"/>
        </w:rPr>
        <w:t>d</w:t>
      </w:r>
      <w:r w:rsidRPr="00C13F18">
        <w:rPr>
          <w:rStyle w:val="Bold"/>
        </w:rPr>
        <w:t>ensity</w:t>
      </w:r>
    </w:p>
    <w:p w14:paraId="1F42BBE8" w14:textId="12B54C81" w:rsidR="00D27769" w:rsidRPr="00C13F18" w:rsidRDefault="00D27769" w:rsidP="00C32947">
      <w:pPr>
        <w:pStyle w:val="BodyText"/>
      </w:pPr>
      <w:r w:rsidRPr="00C13F18">
        <w:t>Groundwater bore density was used to elucidate the current state of groundwater bore development in each basin.</w:t>
      </w:r>
      <w:r>
        <w:t xml:space="preserve"> </w:t>
      </w:r>
      <w:r w:rsidRPr="00C13F18">
        <w:t>It is recognised that having many bores indicates a high likelihood of finding groundwater, but also a high likelihood of that groundwater is being used. The Australian Groundwater Insight bore density grid was obtained at 25 km</w:t>
      </w:r>
      <w:r w:rsidRPr="004A65B5">
        <w:rPr>
          <w:rStyle w:val="Superscript"/>
        </w:rPr>
        <w:t>2</w:t>
      </w:r>
      <w:r w:rsidRPr="00C13F18">
        <w:t xml:space="preserve"> resolution (</w:t>
      </w:r>
      <w:r>
        <w:t>BoM,</w:t>
      </w:r>
      <w:r w:rsidRPr="00C13F18">
        <w:t xml:space="preserve"> 2015</w:t>
      </w:r>
      <w:r w:rsidR="005E1B62">
        <w:t>)</w:t>
      </w:r>
      <w:r w:rsidR="009A6EB4">
        <w:t>.</w:t>
      </w:r>
      <w:r w:rsidR="005E1B62">
        <w:t xml:space="preserve"> </w:t>
      </w:r>
    </w:p>
    <w:p w14:paraId="5E2F7A03" w14:textId="77777777" w:rsidR="00D27769" w:rsidRPr="00C13F18" w:rsidRDefault="00D27769" w:rsidP="005E0FA1">
      <w:pPr>
        <w:pStyle w:val="Heading4"/>
        <w:rPr>
          <w:rStyle w:val="Bold"/>
        </w:rPr>
      </w:pPr>
      <w:r w:rsidRPr="00C13F18">
        <w:rPr>
          <w:rStyle w:val="Bold"/>
        </w:rPr>
        <w:lastRenderedPageBreak/>
        <w:t xml:space="preserve">Bore </w:t>
      </w:r>
      <w:r>
        <w:rPr>
          <w:rStyle w:val="Bold"/>
        </w:rPr>
        <w:t>d</w:t>
      </w:r>
      <w:r w:rsidRPr="00C13F18">
        <w:rPr>
          <w:rStyle w:val="Bold"/>
        </w:rPr>
        <w:t>epth</w:t>
      </w:r>
    </w:p>
    <w:p w14:paraId="5E68B0E9" w14:textId="77777777" w:rsidR="00D27769" w:rsidRPr="00C13F18" w:rsidRDefault="00D27769" w:rsidP="00C32947">
      <w:pPr>
        <w:pStyle w:val="BodyText"/>
      </w:pPr>
      <w:r w:rsidRPr="00C13F18">
        <w:t>To provide an indication of the depth of the aquifers being tapped, the bore depth (metres below ground level) was used.</w:t>
      </w:r>
      <w:r>
        <w:t xml:space="preserve"> </w:t>
      </w:r>
      <w:r w:rsidRPr="00C13F18">
        <w:t>It has been assumed that in most cases, drilling of a bore would stop once a sufficient water supply had been found.</w:t>
      </w:r>
      <w:r>
        <w:t xml:space="preserve"> </w:t>
      </w:r>
      <w:r w:rsidRPr="00C13F18">
        <w:t xml:space="preserve">As such, it has been assumed that the bore depth is a useful proxy in representing the aquifer depth. In calculating bore depth statistics, all bores shallower than 2 m were excluded from calculations: this was done to exclude what was considered to be incorrectly entered data. </w:t>
      </w:r>
    </w:p>
    <w:p w14:paraId="7157C318" w14:textId="77777777" w:rsidR="00D27769" w:rsidRPr="00C13F18" w:rsidRDefault="00D27769" w:rsidP="005E0FA1">
      <w:pPr>
        <w:pStyle w:val="Heading4"/>
        <w:rPr>
          <w:rStyle w:val="Bold"/>
        </w:rPr>
      </w:pPr>
      <w:r w:rsidRPr="00C13F18">
        <w:rPr>
          <w:rStyle w:val="Bold"/>
        </w:rPr>
        <w:t xml:space="preserve">Groundwater </w:t>
      </w:r>
      <w:r>
        <w:rPr>
          <w:rStyle w:val="Bold"/>
        </w:rPr>
        <w:t>s</w:t>
      </w:r>
      <w:r w:rsidRPr="00C13F18">
        <w:rPr>
          <w:rStyle w:val="Bold"/>
        </w:rPr>
        <w:t>alinity</w:t>
      </w:r>
    </w:p>
    <w:p w14:paraId="4EE45180" w14:textId="77777777" w:rsidR="00D27769" w:rsidRPr="00C13F18" w:rsidRDefault="00D27769" w:rsidP="00C32947">
      <w:pPr>
        <w:pStyle w:val="BodyText"/>
      </w:pPr>
      <w:r w:rsidRPr="00C13F18">
        <w:t xml:space="preserve">A significant number of the bores in the NGIS had groundwater salinity values (measured in electrical conductivity </w:t>
      </w:r>
      <w:r>
        <w:t xml:space="preserve">(EC) </w:t>
      </w:r>
      <w:r w:rsidRPr="00C13F18">
        <w:t xml:space="preserve">as microsiemens per centimetre, μS/cm) associated with them. Electrical conductivity is a simple and commonly used method for estimating water salinity. The number of measurements for each bore was highly variable, and ranged from a single measurement up to thousands of measurements. To facilitate mapping and identifying spatial trends, the average salinity value for each bore was taken. </w:t>
      </w:r>
    </w:p>
    <w:p w14:paraId="281776FD" w14:textId="64819C21" w:rsidR="00D27769" w:rsidRPr="00C13F18" w:rsidRDefault="00D27769" w:rsidP="00C32947">
      <w:pPr>
        <w:pStyle w:val="BodyText"/>
      </w:pPr>
      <w:r w:rsidRPr="00C13F18">
        <w:t xml:space="preserve"> </w:t>
      </w:r>
      <w:r>
        <w:t xml:space="preserve">The electrical conductivity </w:t>
      </w:r>
      <w:r w:rsidRPr="00C13F18">
        <w:t xml:space="preserve">data was converted into total dissolved solids (TDS) </w:t>
      </w:r>
      <w:r>
        <w:t xml:space="preserve">expressed </w:t>
      </w:r>
      <w:r w:rsidRPr="00C13F18">
        <w:t>in mg/L</w:t>
      </w:r>
      <w:r>
        <w:t>, a commonly reported salinity unit</w:t>
      </w:r>
      <w:r w:rsidRPr="00C13F18">
        <w:t>. For this purpose a conversion factor of 0.64</w:t>
      </w:r>
      <w:r>
        <w:t xml:space="preserve">, </w:t>
      </w:r>
      <w:r w:rsidRPr="00C13F18">
        <w:t xml:space="preserve">as suggested by the Australian Drinking Water Guidelines (NHMRC </w:t>
      </w:r>
      <w:r w:rsidR="005049C5">
        <w:t>and</w:t>
      </w:r>
      <w:r w:rsidRPr="00C13F18">
        <w:t xml:space="preserve"> NRMMC</w:t>
      </w:r>
      <w:r w:rsidR="00024CD8">
        <w:t>,</w:t>
      </w:r>
      <w:r w:rsidRPr="00C13F18">
        <w:t xml:space="preserve"> 2011)</w:t>
      </w:r>
      <w:r>
        <w:t>,</w:t>
      </w:r>
      <w:r w:rsidRPr="00C13F18">
        <w:t xml:space="preserve"> was used</w:t>
      </w:r>
      <w:r>
        <w:t>.</w:t>
      </w:r>
    </w:p>
    <w:p w14:paraId="273C996F" w14:textId="77777777" w:rsidR="00D27769" w:rsidRPr="00C13F18" w:rsidRDefault="00D27769" w:rsidP="005E0FA1">
      <w:pPr>
        <w:pStyle w:val="Heading4"/>
        <w:rPr>
          <w:rStyle w:val="Bold"/>
        </w:rPr>
      </w:pPr>
      <w:r w:rsidRPr="00C13F18">
        <w:rPr>
          <w:rStyle w:val="Bold"/>
        </w:rPr>
        <w:lastRenderedPageBreak/>
        <w:t xml:space="preserve">Wetlands </w:t>
      </w:r>
    </w:p>
    <w:p w14:paraId="5AD702C7" w14:textId="389CD44A" w:rsidR="00D27769" w:rsidRPr="00C13F18" w:rsidRDefault="00D27769" w:rsidP="00C32947">
      <w:pPr>
        <w:pStyle w:val="BodyText"/>
      </w:pPr>
      <w:r w:rsidRPr="00C13F18">
        <w:t>Wetlands have a strong relationship to the water cycle and are often intimately linked with groundwater springs or surface water systems. Wetlands are a surface expression of ground</w:t>
      </w:r>
      <w:r w:rsidR="009A6EB4">
        <w:t>water systems and groundwater–</w:t>
      </w:r>
      <w:r w:rsidRPr="00C13F18">
        <w:t xml:space="preserve">surface water interactions. </w:t>
      </w:r>
      <w:r w:rsidR="0075618D">
        <w:t xml:space="preserve">They </w:t>
      </w:r>
      <w:r w:rsidRPr="00C13F18">
        <w:t>are also a critical part of the natural environment: they protect waterways in terms floods and water quality, provide habitat for noteworthy ecosystems, and have aesthetic, social, economic and cultural values (</w:t>
      </w:r>
      <w:r w:rsidR="0075618D">
        <w:t xml:space="preserve">DoEE, </w:t>
      </w:r>
      <w:r w:rsidRPr="00C13F18">
        <w:t>2017</w:t>
      </w:r>
      <w:r w:rsidR="005E1B62">
        <w:t>)</w:t>
      </w:r>
      <w:r w:rsidR="009A6EB4">
        <w:t>.</w:t>
      </w:r>
      <w:r w:rsidR="005E1B62">
        <w:t xml:space="preserve"> </w:t>
      </w:r>
      <w:r w:rsidRPr="00C13F18">
        <w:t>For this assessment</w:t>
      </w:r>
      <w:r w:rsidR="0075618D">
        <w:t>,</w:t>
      </w:r>
      <w:r w:rsidRPr="00C13F18">
        <w:t xml:space="preserve"> both Ramsar wetlands (</w:t>
      </w:r>
      <w:r w:rsidR="0075618D">
        <w:t xml:space="preserve">DoEE, </w:t>
      </w:r>
      <w:r w:rsidRPr="00C13F18">
        <w:t>2016a) and those listed under the Directory of Important Wetlands in Australia (DIWA) were considered (</w:t>
      </w:r>
      <w:r w:rsidR="00AD1F83">
        <w:t>DEWHA</w:t>
      </w:r>
      <w:r>
        <w:t>,</w:t>
      </w:r>
      <w:r w:rsidRPr="00C13F18">
        <w:t xml:space="preserve"> 2010).</w:t>
      </w:r>
    </w:p>
    <w:p w14:paraId="059262C4" w14:textId="7BA81085" w:rsidR="00D27769" w:rsidRPr="00C13F18" w:rsidRDefault="00D27769" w:rsidP="00C32947">
      <w:pPr>
        <w:pStyle w:val="BodyText"/>
      </w:pPr>
      <w:r w:rsidRPr="00C13F18">
        <w:t>Ramsar wetlands are those that are rare or unique wetlands, or are important for conserving ecological diversity. These are included on the List of Wetlands of International Importance developed under the Ramsar convention, and catalogued as Australian Ramsar Wetlands (</w:t>
      </w:r>
      <w:r w:rsidR="0075618D">
        <w:t>DoEE</w:t>
      </w:r>
      <w:r w:rsidRPr="00C13F18">
        <w:t>, 2016a).</w:t>
      </w:r>
    </w:p>
    <w:p w14:paraId="5BE39DD7" w14:textId="7388DC38" w:rsidR="00D27769" w:rsidRPr="00C13F18" w:rsidRDefault="00D27769" w:rsidP="00C32947">
      <w:pPr>
        <w:pStyle w:val="BodyText"/>
      </w:pPr>
      <w:r w:rsidRPr="00C13F18">
        <w:t>The Directory of Important Wetlands in Australia (DIWA) provides a list of nationally significant wetlands</w:t>
      </w:r>
      <w:r w:rsidR="00024CD8">
        <w:t xml:space="preserve"> </w:t>
      </w:r>
      <w:r w:rsidR="00024CD8" w:rsidRPr="00C13F18">
        <w:t>(</w:t>
      </w:r>
      <w:r w:rsidR="00AD1F83">
        <w:t>DEWHA</w:t>
      </w:r>
      <w:r w:rsidR="00024CD8">
        <w:t>, 2010</w:t>
      </w:r>
      <w:r w:rsidR="005E1B62">
        <w:t>)</w:t>
      </w:r>
      <w:r w:rsidR="009A6EB4">
        <w:t>.</w:t>
      </w:r>
      <w:r w:rsidR="005E1B62">
        <w:t xml:space="preserve"> </w:t>
      </w:r>
      <w:r w:rsidRPr="00C13F18">
        <w:t>For</w:t>
      </w:r>
      <w:r w:rsidR="00024CD8">
        <w:t xml:space="preserve"> a wetland to be listed in DIWA,</w:t>
      </w:r>
      <w:r w:rsidRPr="00C13F18">
        <w:t xml:space="preserve"> it must meet at least one of the following criteria:</w:t>
      </w:r>
    </w:p>
    <w:p w14:paraId="462B3A7D" w14:textId="77777777" w:rsidR="00D27769" w:rsidRPr="00CC5FD9" w:rsidRDefault="00D27769" w:rsidP="00C32947">
      <w:pPr>
        <w:pStyle w:val="ListBullet"/>
      </w:pPr>
      <w:r>
        <w:t>A</w:t>
      </w:r>
      <w:r w:rsidRPr="00CC5FD9">
        <w:t xml:space="preserve"> good example of a wetland type occurring within a biogeographic region in Australia.</w:t>
      </w:r>
    </w:p>
    <w:p w14:paraId="036FB125" w14:textId="77777777" w:rsidR="00D27769" w:rsidRPr="00CC5FD9" w:rsidRDefault="00D27769" w:rsidP="00C32947">
      <w:pPr>
        <w:pStyle w:val="ListBullet"/>
      </w:pPr>
      <w:r>
        <w:t>A</w:t>
      </w:r>
      <w:r w:rsidRPr="00CC5FD9">
        <w:t xml:space="preserve"> wetland which plays an important ecological or hydrological role in the natural functioning of a major wetland system/complex.</w:t>
      </w:r>
    </w:p>
    <w:p w14:paraId="6EEB82D9" w14:textId="77777777" w:rsidR="00D27769" w:rsidRPr="00CC5FD9" w:rsidRDefault="00D27769" w:rsidP="00C32947">
      <w:pPr>
        <w:pStyle w:val="ListBullet"/>
      </w:pPr>
      <w:r>
        <w:lastRenderedPageBreak/>
        <w:t xml:space="preserve">A </w:t>
      </w:r>
      <w:r w:rsidRPr="00CC5FD9">
        <w:t>wetland which is important as the habitat for animal taxa at a vulnerable stage in their life cycles, or provides a refuge when adverse conditions such as drought prevail.</w:t>
      </w:r>
    </w:p>
    <w:p w14:paraId="5C07B7B1" w14:textId="77777777" w:rsidR="00D27769" w:rsidRPr="00CC5FD9" w:rsidRDefault="00D27769" w:rsidP="00C32947">
      <w:pPr>
        <w:pStyle w:val="ListBullet"/>
      </w:pPr>
      <w:r w:rsidRPr="00CC5FD9">
        <w:t>The wetland supports 1% or more of the national populations of any native plant or animal taxa.</w:t>
      </w:r>
    </w:p>
    <w:p w14:paraId="2F1EDAB1" w14:textId="77777777" w:rsidR="00D27769" w:rsidRPr="00CC5FD9" w:rsidRDefault="00D27769" w:rsidP="00C32947">
      <w:pPr>
        <w:pStyle w:val="ListBullet"/>
      </w:pPr>
      <w:r w:rsidRPr="00CC5FD9">
        <w:t>The wetland supports native plant or animal taxa or communities which are considered endangered or vulnerable at the national level.</w:t>
      </w:r>
    </w:p>
    <w:p w14:paraId="4DB88687" w14:textId="77777777" w:rsidR="00D27769" w:rsidRDefault="00D27769" w:rsidP="00C32947">
      <w:pPr>
        <w:pStyle w:val="ListBullet"/>
      </w:pPr>
      <w:r w:rsidRPr="00CC5FD9">
        <w:t>The wetland is of outstanding historical or cultural significance.</w:t>
      </w:r>
    </w:p>
    <w:p w14:paraId="3B0DB4CC" w14:textId="77777777" w:rsidR="00D27769" w:rsidRPr="00C13F18" w:rsidRDefault="00D27769" w:rsidP="00174635">
      <w:pPr>
        <w:pStyle w:val="BodyText"/>
      </w:pPr>
      <w:r w:rsidRPr="00C13F18">
        <w:t>For this assessment, the spatial coverage of both the Ramsar wetlands and DIWA wetlands were overlaid on the geological basins to provide coverage maps.</w:t>
      </w:r>
      <w:r>
        <w:t xml:space="preserve"> </w:t>
      </w:r>
    </w:p>
    <w:p w14:paraId="17DDC217" w14:textId="77777777" w:rsidR="00D27769" w:rsidRPr="00C13F18" w:rsidRDefault="00D27769" w:rsidP="005E0FA1">
      <w:pPr>
        <w:pStyle w:val="Heading4"/>
        <w:rPr>
          <w:rStyle w:val="Bold"/>
        </w:rPr>
      </w:pPr>
      <w:r w:rsidRPr="00C13F18">
        <w:rPr>
          <w:rStyle w:val="Bold"/>
        </w:rPr>
        <w:t xml:space="preserve">Groundwater </w:t>
      </w:r>
      <w:r>
        <w:rPr>
          <w:rStyle w:val="Bold"/>
        </w:rPr>
        <w:t>d</w:t>
      </w:r>
      <w:r w:rsidRPr="00C13F18">
        <w:rPr>
          <w:rStyle w:val="Bold"/>
        </w:rPr>
        <w:t xml:space="preserve">ependant </w:t>
      </w:r>
      <w:r>
        <w:rPr>
          <w:rStyle w:val="Bold"/>
        </w:rPr>
        <w:t>e</w:t>
      </w:r>
      <w:r w:rsidRPr="00C13F18">
        <w:rPr>
          <w:rStyle w:val="Bold"/>
        </w:rPr>
        <w:t xml:space="preserve">cosystems </w:t>
      </w:r>
    </w:p>
    <w:p w14:paraId="316BA6E0" w14:textId="3E494875" w:rsidR="00D27769" w:rsidRPr="00C13F18" w:rsidRDefault="00D27769" w:rsidP="00C32947">
      <w:pPr>
        <w:pStyle w:val="BodyText"/>
      </w:pPr>
      <w:r w:rsidRPr="00C13F18">
        <w:t>The Bureau of Meteorology has published an Atlas of Groundwater Dependant Ecosystems (GDE Atlas</w:t>
      </w:r>
      <w:r w:rsidR="0075618D">
        <w:t>;</w:t>
      </w:r>
      <w:r w:rsidRPr="00C13F18" w:rsidDel="00B02E62">
        <w:t xml:space="preserve"> </w:t>
      </w:r>
      <w:r>
        <w:t>BoM,</w:t>
      </w:r>
      <w:r w:rsidR="009A6EB4">
        <w:t xml:space="preserve"> 2017).</w:t>
      </w:r>
      <w:r w:rsidRPr="00C13F18">
        <w:t xml:space="preserve"> </w:t>
      </w:r>
      <w:r w:rsidR="009A6EB4">
        <w:t>D</w:t>
      </w:r>
      <w:r w:rsidRPr="00C13F18">
        <w:t>ata from this atlas was used to identify GDEs in the nine</w:t>
      </w:r>
      <w:r>
        <w:t xml:space="preserve"> </w:t>
      </w:r>
      <w:r w:rsidRPr="00C13F18">
        <w:t>basins.</w:t>
      </w:r>
      <w:r>
        <w:t xml:space="preserve"> </w:t>
      </w:r>
    </w:p>
    <w:p w14:paraId="09EDB3E6" w14:textId="77777777" w:rsidR="00D27769" w:rsidRPr="00C13F18" w:rsidRDefault="00D27769" w:rsidP="00C32947">
      <w:pPr>
        <w:pStyle w:val="BodyText"/>
      </w:pPr>
      <w:r w:rsidRPr="00C13F18">
        <w:t xml:space="preserve">Groundwater Dependant Ecosystems (GDEs) by nature are intimately linked with groundwater springs or other subsurface source of water and therefore vulnerable to changes in the hydrological cycle. </w:t>
      </w:r>
    </w:p>
    <w:p w14:paraId="7F1B2DD5" w14:textId="77777777" w:rsidR="00D27769" w:rsidRPr="00C13F18" w:rsidRDefault="00D27769" w:rsidP="00C32947">
      <w:pPr>
        <w:pStyle w:val="BodyText"/>
      </w:pPr>
      <w:r w:rsidRPr="00C13F18">
        <w:t xml:space="preserve">Two categories of GDE in the atlas were used for analysis: </w:t>
      </w:r>
    </w:p>
    <w:p w14:paraId="50BA35D2" w14:textId="77777777" w:rsidR="00D27769" w:rsidRDefault="00D27769" w:rsidP="00C32947">
      <w:pPr>
        <w:pStyle w:val="ListBullet"/>
      </w:pPr>
      <w:r>
        <w:lastRenderedPageBreak/>
        <w:t>“Aquatic ecosystems”: these rely on the surface expression of groundwater, and include rivers, wetlands and springs</w:t>
      </w:r>
    </w:p>
    <w:p w14:paraId="12AF9348" w14:textId="77777777" w:rsidR="00D27769" w:rsidRDefault="00D27769" w:rsidP="00C32947">
      <w:pPr>
        <w:pStyle w:val="ListBullet"/>
      </w:pPr>
      <w:r>
        <w:t>“Terrestrial ecosystems”: these rely on the subsurface presence of groundwater, such as vegetation. As such, the majority of the landmass is covered by some kind of terrestrial GDE indication</w:t>
      </w:r>
    </w:p>
    <w:p w14:paraId="74B1EA66" w14:textId="77777777" w:rsidR="00D27769" w:rsidRPr="00C13F18" w:rsidRDefault="00D27769" w:rsidP="00C32947">
      <w:pPr>
        <w:pStyle w:val="BodyText"/>
      </w:pPr>
      <w:r w:rsidRPr="00C13F18">
        <w:t>A third category, “subterranean ecosystems” which include cave and stygofauna, was not included as it has not been mapped nationally.</w:t>
      </w:r>
    </w:p>
    <w:p w14:paraId="687A4290" w14:textId="5AD26DFC" w:rsidR="00D27769" w:rsidRPr="00C13F18" w:rsidRDefault="00D27769" w:rsidP="00C32947">
      <w:pPr>
        <w:pStyle w:val="BodyText"/>
      </w:pPr>
      <w:r w:rsidRPr="00C13F18">
        <w:t>From the GDE Atlas (</w:t>
      </w:r>
      <w:r>
        <w:t>BoM,</w:t>
      </w:r>
      <w:r w:rsidRPr="00C13F18">
        <w:t xml:space="preserve"> 2017), the calculated total area </w:t>
      </w:r>
      <w:r>
        <w:t xml:space="preserve">with </w:t>
      </w:r>
      <w:r w:rsidRPr="00C13F18">
        <w:t>at least a moderate potential for GDEs (i.e. also including high potential and known classifications), either from national or regional studies, were summed. All of the areas within these classes are treated identically.</w:t>
      </w:r>
      <w:r>
        <w:t xml:space="preserve"> </w:t>
      </w:r>
      <w:r w:rsidRPr="00C13F18">
        <w:t xml:space="preserve">The total area of aquatic and terrestrial ecosystems with at least moderate potential has been calculated. </w:t>
      </w:r>
    </w:p>
    <w:p w14:paraId="355883BA" w14:textId="77777777" w:rsidR="00D27769" w:rsidRPr="00C13F18" w:rsidRDefault="00D27769" w:rsidP="00C32947">
      <w:pPr>
        <w:pStyle w:val="BodyText"/>
      </w:pPr>
      <w:r w:rsidRPr="00C13F18">
        <w:t>Given the many of the methods for compiling this atlas are based on regional and remotely-sensed techniques, it is acknowledged that that there may be other areas, on smaller scales, that are not depicted in this atlas.</w:t>
      </w:r>
      <w:r>
        <w:t xml:space="preserve"> </w:t>
      </w:r>
      <w:r w:rsidRPr="00C13F18">
        <w:t>Also, it is acknowledged that there has been no consideration into the relative value of ecosystems within this atlas – it is possible that some are critical to important species, while others are just a small area of the habitat for far-reaching species.</w:t>
      </w:r>
      <w:r>
        <w:t xml:space="preserve"> </w:t>
      </w:r>
      <w:r w:rsidRPr="00C13F18">
        <w:t xml:space="preserve">However, such an assessment beyond the level of GDE potential and </w:t>
      </w:r>
      <w:r w:rsidRPr="00C13F18">
        <w:lastRenderedPageBreak/>
        <w:t xml:space="preserve">likelihood, and given the data available in the GDE Atlas, would be highly subjective – as such, it was decided to treat all </w:t>
      </w:r>
      <w:r>
        <w:t xml:space="preserve">the </w:t>
      </w:r>
      <w:r w:rsidRPr="00C13F18">
        <w:t>area of GDE with at least a moderate potential as equal.</w:t>
      </w:r>
    </w:p>
    <w:p w14:paraId="1FC24240" w14:textId="77777777" w:rsidR="00D27769" w:rsidRPr="00C13F18" w:rsidRDefault="00D27769" w:rsidP="005E0FA1">
      <w:pPr>
        <w:pStyle w:val="Heading4"/>
        <w:rPr>
          <w:rStyle w:val="Bold"/>
        </w:rPr>
      </w:pPr>
      <w:r w:rsidRPr="00C13F18">
        <w:rPr>
          <w:rStyle w:val="Bold"/>
        </w:rPr>
        <w:t xml:space="preserve">Protected </w:t>
      </w:r>
      <w:r>
        <w:rPr>
          <w:rStyle w:val="Bold"/>
        </w:rPr>
        <w:t>a</w:t>
      </w:r>
      <w:r w:rsidRPr="00C13F18">
        <w:rPr>
          <w:rStyle w:val="Bold"/>
        </w:rPr>
        <w:t>reas</w:t>
      </w:r>
    </w:p>
    <w:p w14:paraId="7A745641" w14:textId="1C6D8A58" w:rsidR="00D27769" w:rsidRPr="00C13F18" w:rsidRDefault="00D27769" w:rsidP="00C32947">
      <w:pPr>
        <w:pStyle w:val="BodyText"/>
      </w:pPr>
      <w:r w:rsidRPr="00C13F18">
        <w:t>To highlight areas where national parks and other protected areas could affect the prospect of development, a spatial representation of these reserves was used.</w:t>
      </w:r>
      <w:r>
        <w:t xml:space="preserve"> </w:t>
      </w:r>
      <w:r w:rsidRPr="00C13F18">
        <w:t>Although many parks are managed by state/territory governments, the Collaborative Australian Protected Area Database (CAPAD) has compiled these across the country (</w:t>
      </w:r>
      <w:r>
        <w:t>DoEE,</w:t>
      </w:r>
      <w:r w:rsidRPr="00C13F18">
        <w:t xml:space="preserve"> 2016b</w:t>
      </w:r>
      <w:r w:rsidR="005E1B62">
        <w:t>)</w:t>
      </w:r>
      <w:r w:rsidR="009A6EB4">
        <w:t>.</w:t>
      </w:r>
      <w:r w:rsidR="005E1B62">
        <w:t xml:space="preserve"> </w:t>
      </w:r>
      <w:r w:rsidRPr="00C13F18">
        <w:t>As such, it is a nationally-consistent framework to depict these protected areas.</w:t>
      </w:r>
      <w:r>
        <w:t xml:space="preserve"> </w:t>
      </w:r>
      <w:r w:rsidRPr="00C13F18">
        <w:t>There are many categories in the database, with some existing only in certain states/territories, as differences in laws between states/territories require such classification.</w:t>
      </w:r>
      <w:r>
        <w:t xml:space="preserve"> </w:t>
      </w:r>
      <w:r w:rsidRPr="00C13F18">
        <w:t>As such, the analysis provided for this report has not made a distinction between these types.</w:t>
      </w:r>
      <w:r>
        <w:t xml:space="preserve"> </w:t>
      </w:r>
      <w:r w:rsidRPr="00C13F18">
        <w:t>It is acknowledged that areas such as World Heritage Areas and National Parks may be of greater importance than some Regional Parks and Nature Refuges; however, for the purpose of this analysis, the total area has been considered as a whole.</w:t>
      </w:r>
      <w:r>
        <w:t xml:space="preserve"> </w:t>
      </w:r>
      <w:r w:rsidRPr="00C13F18">
        <w:t>This means that the reported values from this analysis are assisting understanding the area that has some kind of protection, without assuming any quantified relative importance of these types.</w:t>
      </w:r>
      <w:r>
        <w:t xml:space="preserve"> </w:t>
      </w:r>
      <w:r w:rsidRPr="00C13F18">
        <w:t xml:space="preserve">Indigenous Protected Areas were not considered as part of this analysis: these areas were mapped with Native Title areas. </w:t>
      </w:r>
    </w:p>
    <w:p w14:paraId="5C1E06FA" w14:textId="77777777" w:rsidR="00D27769" w:rsidRPr="00C13F18" w:rsidRDefault="00D27769" w:rsidP="005E0FA1">
      <w:pPr>
        <w:pStyle w:val="Heading4"/>
        <w:rPr>
          <w:rStyle w:val="Bold"/>
        </w:rPr>
      </w:pPr>
      <w:r w:rsidRPr="00C13F18">
        <w:rPr>
          <w:rStyle w:val="Bold"/>
        </w:rPr>
        <w:lastRenderedPageBreak/>
        <w:t xml:space="preserve">Native </w:t>
      </w:r>
      <w:r>
        <w:rPr>
          <w:rStyle w:val="Bold"/>
        </w:rPr>
        <w:t>t</w:t>
      </w:r>
      <w:r w:rsidRPr="00C13F18">
        <w:rPr>
          <w:rStyle w:val="Bold"/>
        </w:rPr>
        <w:t xml:space="preserve">itle and </w:t>
      </w:r>
      <w:r>
        <w:rPr>
          <w:rStyle w:val="Bold"/>
        </w:rPr>
        <w:t>i</w:t>
      </w:r>
      <w:r w:rsidRPr="00C13F18">
        <w:rPr>
          <w:rStyle w:val="Bold"/>
        </w:rPr>
        <w:t xml:space="preserve">ndigenous </w:t>
      </w:r>
      <w:r>
        <w:rPr>
          <w:rStyle w:val="Bold"/>
        </w:rPr>
        <w:t>p</w:t>
      </w:r>
      <w:r w:rsidRPr="00C13F18">
        <w:rPr>
          <w:rStyle w:val="Bold"/>
        </w:rPr>
        <w:t xml:space="preserve">rotected </w:t>
      </w:r>
      <w:r>
        <w:rPr>
          <w:rStyle w:val="Bold"/>
        </w:rPr>
        <w:t>a</w:t>
      </w:r>
      <w:r w:rsidRPr="00C13F18">
        <w:rPr>
          <w:rStyle w:val="Bold"/>
        </w:rPr>
        <w:t>reas</w:t>
      </w:r>
    </w:p>
    <w:p w14:paraId="06FE9F55" w14:textId="659E9E96" w:rsidR="00D27769" w:rsidRPr="00C13F18" w:rsidRDefault="00D27769" w:rsidP="00C32947">
      <w:pPr>
        <w:pStyle w:val="BodyText"/>
      </w:pPr>
      <w:r w:rsidRPr="00C13F18">
        <w:t>National data layers representing Native Title (not including Aboriginal freehold land) and declared Indigenous Protected Areas were overlain to show the spatial distribution of these in the basins of interest. Data was sourced from the Indigenous Protected Areas of the CAPAD dataset (</w:t>
      </w:r>
      <w:r>
        <w:t>DoEE,</w:t>
      </w:r>
      <w:r w:rsidRPr="00C13F18">
        <w:t xml:space="preserve"> 2016b) as well as from the Native Title Determination Outcomes (both exclusive and non-exclusive native title) from the National Native Title Tribunal (</w:t>
      </w:r>
      <w:r w:rsidR="0075618D">
        <w:t xml:space="preserve">NNTT, </w:t>
      </w:r>
      <w:r w:rsidRPr="00C13F18">
        <w:t>2017).</w:t>
      </w:r>
    </w:p>
    <w:p w14:paraId="713332AD" w14:textId="317341E8" w:rsidR="00D27769" w:rsidRPr="00C13F18" w:rsidRDefault="00D27769" w:rsidP="00C32947">
      <w:pPr>
        <w:pStyle w:val="BodyText"/>
      </w:pPr>
      <w:r w:rsidRPr="00C13F18">
        <w:t>Native Title does not confer legislative protection to areas per se, but many determinations allow Indigenous Australians who hold native title, or who have a pending native title claim, the right to be consulted and, in some cases, to participate in decisions about activities proposed to be undertaken on the land</w:t>
      </w:r>
      <w:r w:rsidR="001924EC">
        <w:t xml:space="preserve"> (NNTT, 2017</w:t>
      </w:r>
      <w:r>
        <w:t>)</w:t>
      </w:r>
      <w:r w:rsidRPr="00C13F18">
        <w:t>.</w:t>
      </w:r>
    </w:p>
    <w:p w14:paraId="542C1CE5" w14:textId="77777777" w:rsidR="00D27769" w:rsidRPr="00C13F18" w:rsidRDefault="00D27769" w:rsidP="005E0FA1">
      <w:pPr>
        <w:pStyle w:val="Heading4"/>
        <w:rPr>
          <w:rStyle w:val="Bold"/>
        </w:rPr>
      </w:pPr>
      <w:r w:rsidRPr="00C13F18">
        <w:rPr>
          <w:rStyle w:val="Bold"/>
        </w:rPr>
        <w:t xml:space="preserve">Population </w:t>
      </w:r>
      <w:r>
        <w:rPr>
          <w:rStyle w:val="Bold"/>
        </w:rPr>
        <w:t>and p</w:t>
      </w:r>
      <w:r w:rsidRPr="00C13F18">
        <w:rPr>
          <w:rStyle w:val="Bold"/>
        </w:rPr>
        <w:t xml:space="preserve">opulation </w:t>
      </w:r>
      <w:r>
        <w:rPr>
          <w:rStyle w:val="Bold"/>
        </w:rPr>
        <w:t>d</w:t>
      </w:r>
      <w:r w:rsidRPr="00C13F18">
        <w:rPr>
          <w:rStyle w:val="Bold"/>
        </w:rPr>
        <w:t>ensity</w:t>
      </w:r>
    </w:p>
    <w:p w14:paraId="3B5D5562" w14:textId="316123A4" w:rsidR="00D27769" w:rsidRDefault="00D27769" w:rsidP="00174635">
      <w:pPr>
        <w:pStyle w:val="BodyText"/>
      </w:pPr>
      <w:r w:rsidRPr="00F94E6C">
        <w:t>The population density grid was used to show the population distribution within the basins and used to estimate total population (</w:t>
      </w:r>
      <w:r>
        <w:t>ABS,</w:t>
      </w:r>
      <w:r w:rsidRPr="00F94E6C">
        <w:t xml:space="preserve"> 2016</w:t>
      </w:r>
      <w:r w:rsidR="005E1B62">
        <w:t>)</w:t>
      </w:r>
      <w:r w:rsidR="009A6EB4">
        <w:t>.</w:t>
      </w:r>
      <w:r w:rsidR="005E1B62">
        <w:t xml:space="preserve"> </w:t>
      </w:r>
      <w:r w:rsidRPr="00F94E6C">
        <w:t>This represents levels of urbanisation and intense development</w:t>
      </w:r>
      <w:r>
        <w:t>.</w:t>
      </w:r>
    </w:p>
    <w:p w14:paraId="06A1626D" w14:textId="77777777" w:rsidR="00D27769" w:rsidRPr="00C13F18" w:rsidRDefault="00D27769" w:rsidP="005E0FA1">
      <w:pPr>
        <w:pStyle w:val="Heading4"/>
        <w:rPr>
          <w:rStyle w:val="Bold"/>
        </w:rPr>
      </w:pPr>
      <w:r w:rsidRPr="00C13F18">
        <w:rPr>
          <w:rStyle w:val="Bold"/>
        </w:rPr>
        <w:t>Land use</w:t>
      </w:r>
    </w:p>
    <w:p w14:paraId="26F980E8" w14:textId="76A123F7" w:rsidR="00D27769" w:rsidRPr="00C13F18" w:rsidRDefault="00D27769" w:rsidP="00C32947">
      <w:pPr>
        <w:pStyle w:val="BodyText"/>
      </w:pPr>
      <w:r w:rsidRPr="00C13F18">
        <w:t xml:space="preserve">A spatial representation of land uses has been included to indicate what areas are covered by existing land uses that may conflict with the ability for shale </w:t>
      </w:r>
      <w:r w:rsidRPr="00C13F18">
        <w:lastRenderedPageBreak/>
        <w:t>and tight gas to be developed.</w:t>
      </w:r>
      <w:r>
        <w:t xml:space="preserve"> </w:t>
      </w:r>
      <w:r w:rsidRPr="00C13F18">
        <w:t>A national classification framework has been developed as part of the Australian Collaborative Land Use and Management Program (ACLUMP), which lead to the Catchment-scale Land Use Mapping (CLUM) dataset (</w:t>
      </w:r>
      <w:r w:rsidR="0075618D">
        <w:t>ABARES</w:t>
      </w:r>
      <w:r>
        <w:t>,</w:t>
      </w:r>
      <w:r w:rsidRPr="00C13F18">
        <w:t xml:space="preserve"> 2016</w:t>
      </w:r>
      <w:r w:rsidR="005E1B62">
        <w:t>)</w:t>
      </w:r>
      <w:r w:rsidR="009A6EB4">
        <w:t>.</w:t>
      </w:r>
      <w:r w:rsidR="005E1B62">
        <w:t xml:space="preserve"> </w:t>
      </w:r>
      <w:r w:rsidRPr="00C13F18">
        <w:t>Although there are finer-scale details that alter this, the CLUM dataset is a nationally-consistent framework.</w:t>
      </w:r>
      <w:r>
        <w:t xml:space="preserve"> </w:t>
      </w:r>
      <w:r w:rsidRPr="00C13F18">
        <w:t>For this analysis, the total area of each category of land use encountered in each basin has been calculated, allowing a percentage of basin coverage list to be tabulated.</w:t>
      </w:r>
      <w:r>
        <w:t xml:space="preserve"> </w:t>
      </w:r>
      <w:r w:rsidRPr="00C13F18">
        <w:t xml:space="preserve">Some land uses are more likely to create conflict than others; however, for the purposes of this analysis, a list of the land use classes with the greatest area has been compiled. </w:t>
      </w:r>
    </w:p>
    <w:p w14:paraId="4CD3011F" w14:textId="77777777" w:rsidR="00D27769" w:rsidRPr="00C13F18" w:rsidRDefault="00D27769" w:rsidP="005E0FA1">
      <w:pPr>
        <w:pStyle w:val="Heading4"/>
        <w:rPr>
          <w:rStyle w:val="Bold"/>
        </w:rPr>
      </w:pPr>
      <w:r w:rsidRPr="00C13F18">
        <w:rPr>
          <w:rStyle w:val="Bold"/>
        </w:rPr>
        <w:t>River catchment areas</w:t>
      </w:r>
    </w:p>
    <w:p w14:paraId="55DEEEFB" w14:textId="1EEDAF52" w:rsidR="00D27769" w:rsidRPr="00C13F18" w:rsidRDefault="00D27769" w:rsidP="00C32947">
      <w:pPr>
        <w:pStyle w:val="BodyText"/>
      </w:pPr>
      <w:r w:rsidRPr="00C13F18">
        <w:t>To determine the river systems overlying the basins of interest, the catchment areas for rivers were required.</w:t>
      </w:r>
      <w:r>
        <w:t xml:space="preserve"> </w:t>
      </w:r>
      <w:r w:rsidRPr="00C13F18">
        <w:t>A nationally-mapped categorisation of drainage divisions (level 1) and river regions (level 2) has been included in the Australian Hydrological Geospatial Fabric (“Geofabric”), as produced by the Bureau of Meteorology (</w:t>
      </w:r>
      <w:r>
        <w:t>B</w:t>
      </w:r>
      <w:r w:rsidR="00FE21C3">
        <w:t>o</w:t>
      </w:r>
      <w:r>
        <w:t xml:space="preserve">M, </w:t>
      </w:r>
      <w:r w:rsidRPr="00C13F18">
        <w:t>2014</w:t>
      </w:r>
      <w:r w:rsidR="005E1B62">
        <w:t>)</w:t>
      </w:r>
      <w:r w:rsidR="009A6EB4">
        <w:t>.</w:t>
      </w:r>
      <w:r w:rsidR="005E1B62">
        <w:t xml:space="preserve"> </w:t>
      </w:r>
      <w:r w:rsidRPr="00C13F18">
        <w:t>Each river region is named after the major river in the area. The main purpose of reporting these river regions is to inform the surface water hydrology.</w:t>
      </w:r>
    </w:p>
    <w:p w14:paraId="64830286" w14:textId="77777777" w:rsidR="00D27769" w:rsidRPr="00C13F18" w:rsidRDefault="00D27769" w:rsidP="00174635">
      <w:pPr>
        <w:pStyle w:val="BodyText"/>
        <w:sectPr w:rsidR="00D27769" w:rsidRPr="00C13F18" w:rsidSect="005E0FA1">
          <w:headerReference w:type="default" r:id="rId51"/>
          <w:pgSz w:w="11907" w:h="16840" w:code="9"/>
          <w:pgMar w:top="1134" w:right="1134" w:bottom="1134" w:left="1134" w:header="510" w:footer="624" w:gutter="0"/>
          <w:cols w:space="720"/>
          <w:docGrid w:linePitch="326"/>
        </w:sectPr>
      </w:pPr>
    </w:p>
    <w:p w14:paraId="1104CBBD" w14:textId="18940AA9" w:rsidR="00D27769" w:rsidRPr="00AB6721" w:rsidRDefault="00D27769" w:rsidP="00924E2B">
      <w:pPr>
        <w:pStyle w:val="Caption"/>
      </w:pPr>
      <w:bookmarkStart w:id="101" w:name="_Ref493757951"/>
      <w:bookmarkStart w:id="102" w:name="_Toc517101458"/>
      <w:r w:rsidRPr="00AB6721">
        <w:lastRenderedPageBreak/>
        <w:t xml:space="preserve">Table </w:t>
      </w:r>
      <w:fldSimple w:instr=" STYLEREF 1 \s ">
        <w:r w:rsidR="004A16F5">
          <w:rPr>
            <w:noProof/>
          </w:rPr>
          <w:t>5</w:t>
        </w:r>
      </w:fldSimple>
      <w:r w:rsidRPr="00AB6721">
        <w:noBreakHyphen/>
      </w:r>
      <w:fldSimple w:instr=" SEQ Table \* ARABIC \s 1 ">
        <w:r w:rsidR="004A16F5">
          <w:rPr>
            <w:noProof/>
          </w:rPr>
          <w:t>4</w:t>
        </w:r>
      </w:fldSimple>
      <w:bookmarkEnd w:id="101"/>
      <w:r w:rsidRPr="00AB6721">
        <w:t xml:space="preserve"> National-scale datasets relating to ground water, surface water, environmental assets and social factors used in this report, indicating the sources and the date when the datasets were downloaded.</w:t>
      </w:r>
      <w:bookmarkEnd w:id="102"/>
      <w:r w:rsidRPr="00AB6721">
        <w:t xml:space="preserve"> </w:t>
      </w:r>
    </w:p>
    <w:tbl>
      <w:tblPr>
        <w:tblStyle w:val="TableBAHeaderRow"/>
        <w:tblW w:w="5000" w:type="pct"/>
        <w:tblLayout w:type="fixed"/>
        <w:tblLook w:val="04A0" w:firstRow="1" w:lastRow="0" w:firstColumn="1" w:lastColumn="0" w:noHBand="0" w:noVBand="1"/>
      </w:tblPr>
      <w:tblGrid>
        <w:gridCol w:w="1407"/>
        <w:gridCol w:w="1487"/>
        <w:gridCol w:w="3649"/>
        <w:gridCol w:w="3299"/>
        <w:gridCol w:w="1162"/>
        <w:gridCol w:w="3000"/>
      </w:tblGrid>
      <w:tr w:rsidR="00D27769" w14:paraId="5421F3F8" w14:textId="77777777" w:rsidTr="008F3EBE">
        <w:trPr>
          <w:cnfStyle w:val="100000000000" w:firstRow="1" w:lastRow="0" w:firstColumn="0" w:lastColumn="0" w:oddVBand="0" w:evenVBand="0" w:oddHBand="0" w:evenHBand="0" w:firstRowFirstColumn="0" w:firstRowLastColumn="0" w:lastRowFirstColumn="0" w:lastRowLastColumn="0"/>
          <w:tblHeader/>
        </w:trPr>
        <w:tc>
          <w:tcPr>
            <w:tcW w:w="502" w:type="pct"/>
          </w:tcPr>
          <w:p w14:paraId="0008CB36" w14:textId="77777777" w:rsidR="00D27769" w:rsidRPr="00924E2B" w:rsidRDefault="00D27769" w:rsidP="00924E2B">
            <w:pPr>
              <w:pStyle w:val="Caption"/>
              <w:rPr>
                <w:color w:val="FFFFFF" w:themeColor="background1"/>
              </w:rPr>
            </w:pPr>
            <w:r w:rsidRPr="00924E2B">
              <w:rPr>
                <w:color w:val="FFFFFF" w:themeColor="background1"/>
              </w:rPr>
              <w:t>           </w:t>
            </w:r>
          </w:p>
        </w:tc>
        <w:tc>
          <w:tcPr>
            <w:tcW w:w="531" w:type="pct"/>
          </w:tcPr>
          <w:p w14:paraId="6C6876E9" w14:textId="77777777" w:rsidR="00D27769" w:rsidRPr="00924E2B" w:rsidRDefault="00D27769" w:rsidP="00924E2B">
            <w:pPr>
              <w:pStyle w:val="Caption"/>
              <w:rPr>
                <w:color w:val="FFFFFF" w:themeColor="background1"/>
              </w:rPr>
            </w:pPr>
            <w:r w:rsidRPr="00924E2B">
              <w:rPr>
                <w:color w:val="FFFFFF" w:themeColor="background1"/>
              </w:rPr>
              <w:t>       </w:t>
            </w:r>
          </w:p>
        </w:tc>
        <w:tc>
          <w:tcPr>
            <w:tcW w:w="1303" w:type="pct"/>
          </w:tcPr>
          <w:p w14:paraId="7EA6AD7F" w14:textId="77777777" w:rsidR="00D27769" w:rsidRPr="00924E2B" w:rsidRDefault="00D27769" w:rsidP="00924E2B">
            <w:pPr>
              <w:pStyle w:val="Caption"/>
              <w:rPr>
                <w:color w:val="FFFFFF" w:themeColor="background1"/>
              </w:rPr>
            </w:pPr>
            <w:r w:rsidRPr="00924E2B">
              <w:rPr>
                <w:color w:val="FFFFFF" w:themeColor="background1"/>
              </w:rPr>
              <w:t>      </w:t>
            </w:r>
          </w:p>
        </w:tc>
        <w:tc>
          <w:tcPr>
            <w:tcW w:w="1178" w:type="pct"/>
          </w:tcPr>
          <w:p w14:paraId="5B5ADB58" w14:textId="77777777" w:rsidR="00D27769" w:rsidRPr="00924E2B" w:rsidRDefault="00D27769" w:rsidP="00924E2B">
            <w:pPr>
              <w:pStyle w:val="Caption"/>
              <w:rPr>
                <w:color w:val="FFFFFF" w:themeColor="background1"/>
              </w:rPr>
            </w:pPr>
            <w:r w:rsidRPr="00924E2B">
              <w:rPr>
                <w:color w:val="FFFFFF" w:themeColor="background1"/>
              </w:rPr>
              <w:t>                    </w:t>
            </w:r>
          </w:p>
        </w:tc>
        <w:tc>
          <w:tcPr>
            <w:tcW w:w="415" w:type="pct"/>
          </w:tcPr>
          <w:p w14:paraId="479DA2B3" w14:textId="77777777" w:rsidR="00D27769" w:rsidRPr="00924E2B" w:rsidRDefault="00D27769" w:rsidP="00924E2B">
            <w:pPr>
              <w:pStyle w:val="Caption"/>
              <w:rPr>
                <w:color w:val="FFFFFF" w:themeColor="background1"/>
              </w:rPr>
            </w:pPr>
            <w:r w:rsidRPr="00924E2B">
              <w:rPr>
                <w:color w:val="FFFFFF" w:themeColor="background1"/>
              </w:rPr>
              <w:t>               </w:t>
            </w:r>
          </w:p>
        </w:tc>
        <w:tc>
          <w:tcPr>
            <w:tcW w:w="1071" w:type="pct"/>
          </w:tcPr>
          <w:p w14:paraId="05777DCE" w14:textId="2C68EEB3" w:rsidR="00D27769" w:rsidRPr="00924E2B" w:rsidRDefault="00D27769" w:rsidP="00245DB8">
            <w:pPr>
              <w:pStyle w:val="Caption"/>
              <w:rPr>
                <w:color w:val="FFFFFF" w:themeColor="background1"/>
              </w:rPr>
            </w:pPr>
            <w:r w:rsidRPr="00924E2B">
              <w:rPr>
                <w:color w:val="FFFFFF" w:themeColor="background1"/>
              </w:rPr>
              <w:t>                         </w:t>
            </w:r>
            <w:r>
              <w:rPr>
                <w:color w:val="FFFFFF" w:themeColor="background1"/>
              </w:rPr>
              <w:t> </w:t>
            </w:r>
            <w:r w:rsidRPr="00924E2B">
              <w:rPr>
                <w:color w:val="FFFFFF" w:themeColor="background1"/>
              </w:rPr>
              <w:t> </w:t>
            </w:r>
          </w:p>
        </w:tc>
      </w:tr>
      <w:tr w:rsidR="00D27769" w:rsidRPr="00172559" w14:paraId="79474880" w14:textId="77777777" w:rsidTr="008F3EBE">
        <w:trPr>
          <w:cnfStyle w:val="000000100000" w:firstRow="0" w:lastRow="0" w:firstColumn="0" w:lastColumn="0" w:oddVBand="0" w:evenVBand="0" w:oddHBand="1" w:evenHBand="0" w:firstRowFirstColumn="0" w:firstRowLastColumn="0" w:lastRowFirstColumn="0" w:lastRowLastColumn="0"/>
        </w:trPr>
        <w:tc>
          <w:tcPr>
            <w:tcW w:w="502" w:type="pct"/>
          </w:tcPr>
          <w:p w14:paraId="35994A69" w14:textId="77777777" w:rsidR="00D27769" w:rsidRPr="00D24584" w:rsidRDefault="00D27769" w:rsidP="00760658">
            <w:pPr>
              <w:pStyle w:val="TableTextLeft"/>
              <w:rPr>
                <w:highlight w:val="cyan"/>
              </w:rPr>
            </w:pPr>
            <w:r w:rsidRPr="00E930CF">
              <w:t>Extent of sedimentary basins</w:t>
            </w:r>
          </w:p>
        </w:tc>
        <w:tc>
          <w:tcPr>
            <w:tcW w:w="531" w:type="pct"/>
          </w:tcPr>
          <w:p w14:paraId="54C86567" w14:textId="77777777" w:rsidR="00D27769" w:rsidRPr="009676C2" w:rsidRDefault="00D27769" w:rsidP="00760658">
            <w:pPr>
              <w:pStyle w:val="TableTextLeft"/>
            </w:pPr>
            <w:r>
              <w:t>Geological Province extents</w:t>
            </w:r>
          </w:p>
        </w:tc>
        <w:tc>
          <w:tcPr>
            <w:tcW w:w="1303" w:type="pct"/>
          </w:tcPr>
          <w:p w14:paraId="26E6F04B" w14:textId="77777777" w:rsidR="00D27769" w:rsidRDefault="00D27769" w:rsidP="00760658">
            <w:pPr>
              <w:pStyle w:val="TableTextLeft"/>
            </w:pPr>
            <w:r>
              <w:t>GA (2013): Australian Geological Provinces, 2013.01 edition</w:t>
            </w:r>
          </w:p>
        </w:tc>
        <w:tc>
          <w:tcPr>
            <w:tcW w:w="1178" w:type="pct"/>
          </w:tcPr>
          <w:p w14:paraId="049D38DA" w14:textId="076CAE91" w:rsidR="00D27769" w:rsidRPr="00C30F1D" w:rsidRDefault="002747DB" w:rsidP="00760658">
            <w:pPr>
              <w:pStyle w:val="TableTextLeft"/>
              <w:rPr>
                <w:rStyle w:val="Hyperlink"/>
              </w:rPr>
            </w:pPr>
            <w:r w:rsidRPr="002747DB">
              <w:rPr>
                <w:rStyle w:val="Hyperlink"/>
              </w:rPr>
              <w:t>www.ga.gov.au/metadata-gateway/metadata/record/74371</w:t>
            </w:r>
            <w:r w:rsidR="00D27769" w:rsidRPr="00C30F1D">
              <w:rPr>
                <w:rStyle w:val="Hyperlink"/>
              </w:rPr>
              <w:t xml:space="preserve"> </w:t>
            </w:r>
          </w:p>
        </w:tc>
        <w:tc>
          <w:tcPr>
            <w:tcW w:w="415" w:type="pct"/>
          </w:tcPr>
          <w:p w14:paraId="1E9AC13D" w14:textId="77777777" w:rsidR="00D27769" w:rsidRPr="00172559" w:rsidRDefault="00D27769" w:rsidP="00760658">
            <w:pPr>
              <w:pStyle w:val="TableTextLeft"/>
            </w:pPr>
            <w:r>
              <w:t>18/07/2017</w:t>
            </w:r>
          </w:p>
        </w:tc>
        <w:tc>
          <w:tcPr>
            <w:tcW w:w="1071" w:type="pct"/>
          </w:tcPr>
          <w:p w14:paraId="31F403EC" w14:textId="77777777" w:rsidR="00D27769" w:rsidRPr="00172559" w:rsidRDefault="00D27769" w:rsidP="00760658">
            <w:pPr>
              <w:pStyle w:val="TableTextLeft"/>
            </w:pPr>
            <w:r>
              <w:t>Depicted on all regional maps.</w:t>
            </w:r>
          </w:p>
        </w:tc>
      </w:tr>
      <w:tr w:rsidR="00D27769" w14:paraId="2AF9889A" w14:textId="77777777" w:rsidTr="008F3EBE">
        <w:trPr>
          <w:cnfStyle w:val="000000010000" w:firstRow="0" w:lastRow="0" w:firstColumn="0" w:lastColumn="0" w:oddVBand="0" w:evenVBand="0" w:oddHBand="0" w:evenHBand="1" w:firstRowFirstColumn="0" w:firstRowLastColumn="0" w:lastRowFirstColumn="0" w:lastRowLastColumn="0"/>
        </w:trPr>
        <w:tc>
          <w:tcPr>
            <w:tcW w:w="502" w:type="pct"/>
          </w:tcPr>
          <w:p w14:paraId="3EB5598D" w14:textId="77777777" w:rsidR="00D27769" w:rsidRPr="00A1090D" w:rsidRDefault="00D27769" w:rsidP="00760658">
            <w:pPr>
              <w:pStyle w:val="TableTextLeft"/>
            </w:pPr>
            <w:r w:rsidRPr="00A1090D">
              <w:t>National Hydrogeology</w:t>
            </w:r>
          </w:p>
        </w:tc>
        <w:tc>
          <w:tcPr>
            <w:tcW w:w="531" w:type="pct"/>
          </w:tcPr>
          <w:p w14:paraId="4E394439" w14:textId="77777777" w:rsidR="00D27769" w:rsidRPr="00A1090D" w:rsidRDefault="00D27769" w:rsidP="00760658">
            <w:pPr>
              <w:pStyle w:val="TableTextLeft"/>
            </w:pPr>
            <w:r w:rsidRPr="00A1090D">
              <w:t>Hydro</w:t>
            </w:r>
            <w:r>
              <w:t>geo</w:t>
            </w:r>
            <w:r w:rsidRPr="00A1090D">
              <w:t>log</w:t>
            </w:r>
            <w:r>
              <w:t>y: Principal aquifer type</w:t>
            </w:r>
          </w:p>
        </w:tc>
        <w:tc>
          <w:tcPr>
            <w:tcW w:w="1303" w:type="pct"/>
          </w:tcPr>
          <w:p w14:paraId="05FB1BEC" w14:textId="77777777" w:rsidR="00D27769" w:rsidRPr="00A1090D" w:rsidRDefault="00D27769" w:rsidP="00504516">
            <w:pPr>
              <w:pStyle w:val="TableTextLeft"/>
            </w:pPr>
            <w:r w:rsidRPr="00A1090D">
              <w:t>Jacobson</w:t>
            </w:r>
            <w:r>
              <w:t xml:space="preserve"> </w:t>
            </w:r>
            <w:r w:rsidRPr="00A1090D">
              <w:t>and Lau (1987), Hydrology of Australia, Geoscience Australia.</w:t>
            </w:r>
          </w:p>
        </w:tc>
        <w:tc>
          <w:tcPr>
            <w:tcW w:w="1178" w:type="pct"/>
          </w:tcPr>
          <w:p w14:paraId="0D6ADEB7" w14:textId="77777777" w:rsidR="00D27769" w:rsidRPr="00C30F1D" w:rsidRDefault="00D27769" w:rsidP="00760658">
            <w:pPr>
              <w:pStyle w:val="TableTextLeft"/>
              <w:rPr>
                <w:rStyle w:val="Hyperlink"/>
              </w:rPr>
            </w:pPr>
            <w:r w:rsidRPr="00C30F1D">
              <w:rPr>
                <w:rStyle w:val="Hyperlink"/>
              </w:rPr>
              <w:t>https://ecat.ga.gov.au/geonetwork/srv/eng/search#!a05f7892-72bf-7506-e044-00144fdd4fa6</w:t>
            </w:r>
          </w:p>
        </w:tc>
        <w:tc>
          <w:tcPr>
            <w:tcW w:w="415" w:type="pct"/>
          </w:tcPr>
          <w:p w14:paraId="57EECBE0" w14:textId="77777777" w:rsidR="00D27769" w:rsidRPr="00A1090D" w:rsidRDefault="00D27769" w:rsidP="00760658">
            <w:pPr>
              <w:pStyle w:val="TableTextLeft"/>
            </w:pPr>
            <w:r w:rsidRPr="00A1090D">
              <w:t>10/07/2017</w:t>
            </w:r>
          </w:p>
        </w:tc>
        <w:tc>
          <w:tcPr>
            <w:tcW w:w="1071" w:type="pct"/>
          </w:tcPr>
          <w:p w14:paraId="7F102F75" w14:textId="509A1861" w:rsidR="00D27769" w:rsidRPr="0010531C" w:rsidRDefault="00D27769" w:rsidP="00245DB8">
            <w:pPr>
              <w:pStyle w:val="TableTextLeft"/>
            </w:pPr>
            <w:r>
              <w:t>National Hydrogeology – Figure B.1</w:t>
            </w:r>
          </w:p>
        </w:tc>
      </w:tr>
      <w:tr w:rsidR="00D27769" w14:paraId="58CA82CF" w14:textId="77777777" w:rsidTr="008F3EBE">
        <w:trPr>
          <w:cnfStyle w:val="000000100000" w:firstRow="0" w:lastRow="0" w:firstColumn="0" w:lastColumn="0" w:oddVBand="0" w:evenVBand="0" w:oddHBand="1" w:evenHBand="0" w:firstRowFirstColumn="0" w:firstRowLastColumn="0" w:lastRowFirstColumn="0" w:lastRowLastColumn="0"/>
        </w:trPr>
        <w:tc>
          <w:tcPr>
            <w:tcW w:w="502" w:type="pct"/>
          </w:tcPr>
          <w:p w14:paraId="41FA4167" w14:textId="77777777" w:rsidR="00D27769" w:rsidRPr="00A1090D" w:rsidRDefault="00D27769" w:rsidP="00760658">
            <w:pPr>
              <w:pStyle w:val="TableTextLeft"/>
            </w:pPr>
            <w:r w:rsidRPr="00A1090D">
              <w:t>Groundwater bores</w:t>
            </w:r>
          </w:p>
        </w:tc>
        <w:tc>
          <w:tcPr>
            <w:tcW w:w="531" w:type="pct"/>
          </w:tcPr>
          <w:p w14:paraId="38ABF4DE" w14:textId="77777777" w:rsidR="00D27769" w:rsidRPr="00A1090D" w:rsidRDefault="00D27769" w:rsidP="00760658">
            <w:pPr>
              <w:pStyle w:val="TableTextLeft"/>
            </w:pPr>
            <w:r w:rsidRPr="00A1090D">
              <w:t>NGIS registered bores</w:t>
            </w:r>
          </w:p>
        </w:tc>
        <w:tc>
          <w:tcPr>
            <w:tcW w:w="1303" w:type="pct"/>
          </w:tcPr>
          <w:p w14:paraId="37DDCA6E" w14:textId="426FF530" w:rsidR="00D27769" w:rsidRPr="00A1090D" w:rsidRDefault="001924EC" w:rsidP="00760658">
            <w:pPr>
              <w:pStyle w:val="TableTextLeft"/>
            </w:pPr>
            <w:r>
              <w:t>Bo</w:t>
            </w:r>
            <w:r w:rsidR="00D27769">
              <w:t xml:space="preserve">M </w:t>
            </w:r>
            <w:r w:rsidR="00D27769" w:rsidRPr="00A1090D">
              <w:t>(2016), National Groundwater Information System, v.1.3.</w:t>
            </w:r>
          </w:p>
        </w:tc>
        <w:tc>
          <w:tcPr>
            <w:tcW w:w="1178" w:type="pct"/>
          </w:tcPr>
          <w:p w14:paraId="52ABB95F" w14:textId="77777777" w:rsidR="00D27769" w:rsidRPr="00C30F1D" w:rsidRDefault="00A3211E" w:rsidP="00760658">
            <w:pPr>
              <w:pStyle w:val="TableTextLeft"/>
              <w:rPr>
                <w:rStyle w:val="Hyperlink"/>
              </w:rPr>
            </w:pPr>
            <w:hyperlink r:id="rId52" w:history="1">
              <w:r w:rsidR="00D27769" w:rsidRPr="00C30F1D">
                <w:rPr>
                  <w:rStyle w:val="Hyperlink"/>
                </w:rPr>
                <w:t>http://www.bom.gov.au/water/groundwater/ngis/</w:t>
              </w:r>
            </w:hyperlink>
            <w:r w:rsidR="00D27769" w:rsidRPr="00C30F1D">
              <w:rPr>
                <w:rStyle w:val="Hyperlink"/>
              </w:rPr>
              <w:t xml:space="preserve"> </w:t>
            </w:r>
          </w:p>
        </w:tc>
        <w:tc>
          <w:tcPr>
            <w:tcW w:w="415" w:type="pct"/>
          </w:tcPr>
          <w:p w14:paraId="20F3626E" w14:textId="77777777" w:rsidR="00D27769" w:rsidRPr="00A1090D" w:rsidRDefault="00D27769" w:rsidP="00760658">
            <w:pPr>
              <w:pStyle w:val="TableTextLeft"/>
            </w:pPr>
            <w:r w:rsidRPr="00A1090D">
              <w:t>7/07/2017</w:t>
            </w:r>
          </w:p>
        </w:tc>
        <w:tc>
          <w:tcPr>
            <w:tcW w:w="1071" w:type="pct"/>
          </w:tcPr>
          <w:p w14:paraId="3413E589" w14:textId="42A6196E" w:rsidR="00D27769" w:rsidRDefault="00D27769" w:rsidP="00760658">
            <w:pPr>
              <w:pStyle w:val="TableTextLeft"/>
            </w:pPr>
            <w:r w:rsidRPr="0010531C">
              <w:t>NGIS (Bore Depth)</w:t>
            </w:r>
            <w:r>
              <w:t xml:space="preserve"> – Figure B.2</w:t>
            </w:r>
          </w:p>
          <w:p w14:paraId="7A598EDC" w14:textId="792A62C8" w:rsidR="00D27769" w:rsidRDefault="00D27769" w:rsidP="00245DB8">
            <w:pPr>
              <w:pStyle w:val="TableTextLeft"/>
            </w:pPr>
            <w:r w:rsidRPr="0010531C">
              <w:t>NGIS (Salinity)</w:t>
            </w:r>
            <w:r>
              <w:t xml:space="preserve"> – Figure B.3</w:t>
            </w:r>
          </w:p>
        </w:tc>
      </w:tr>
      <w:tr w:rsidR="00D27769" w:rsidRPr="00635223" w14:paraId="0E2AB6A5" w14:textId="77777777" w:rsidTr="008F3EBE">
        <w:trPr>
          <w:cnfStyle w:val="000000010000" w:firstRow="0" w:lastRow="0" w:firstColumn="0" w:lastColumn="0" w:oddVBand="0" w:evenVBand="0" w:oddHBand="0" w:evenHBand="1" w:firstRowFirstColumn="0" w:firstRowLastColumn="0" w:lastRowFirstColumn="0" w:lastRowLastColumn="0"/>
        </w:trPr>
        <w:tc>
          <w:tcPr>
            <w:tcW w:w="502" w:type="pct"/>
          </w:tcPr>
          <w:p w14:paraId="6C0926D3" w14:textId="77777777" w:rsidR="00D27769" w:rsidRPr="00A1090D" w:rsidRDefault="00D27769" w:rsidP="00760658">
            <w:pPr>
              <w:pStyle w:val="TableTextLeft"/>
            </w:pPr>
            <w:r w:rsidRPr="00A1090D">
              <w:t>Density of bores</w:t>
            </w:r>
          </w:p>
        </w:tc>
        <w:tc>
          <w:tcPr>
            <w:tcW w:w="531" w:type="pct"/>
          </w:tcPr>
          <w:p w14:paraId="36234E82" w14:textId="77777777" w:rsidR="00D27769" w:rsidRPr="00A1090D" w:rsidRDefault="00D27769" w:rsidP="00760658">
            <w:pPr>
              <w:pStyle w:val="TableTextLeft"/>
            </w:pPr>
            <w:r w:rsidRPr="00A1090D">
              <w:t xml:space="preserve">Grid of density </w:t>
            </w:r>
            <w:r>
              <w:t>of</w:t>
            </w:r>
            <w:r w:rsidRPr="00A1090D">
              <w:t xml:space="preserve"> NGIS bore points</w:t>
            </w:r>
          </w:p>
        </w:tc>
        <w:tc>
          <w:tcPr>
            <w:tcW w:w="1303" w:type="pct"/>
          </w:tcPr>
          <w:p w14:paraId="0387B39D" w14:textId="17DA96FE" w:rsidR="00D27769" w:rsidRPr="00A1090D" w:rsidRDefault="001924EC" w:rsidP="00760658">
            <w:pPr>
              <w:pStyle w:val="TableTextLeft"/>
            </w:pPr>
            <w:r>
              <w:t>Bo</w:t>
            </w:r>
            <w:r w:rsidR="00D27769">
              <w:t xml:space="preserve">M (2015) </w:t>
            </w:r>
            <w:r w:rsidR="00D27769" w:rsidRPr="00A1090D">
              <w:t>Australian Groundwater Insight – Bore density 2015</w:t>
            </w:r>
          </w:p>
        </w:tc>
        <w:tc>
          <w:tcPr>
            <w:tcW w:w="1178" w:type="pct"/>
          </w:tcPr>
          <w:p w14:paraId="08022E1C" w14:textId="77777777" w:rsidR="00D27769" w:rsidRPr="00C30F1D" w:rsidRDefault="00A3211E" w:rsidP="00760658">
            <w:pPr>
              <w:pStyle w:val="TableTextLeft"/>
              <w:rPr>
                <w:rStyle w:val="Hyperlink"/>
              </w:rPr>
            </w:pPr>
            <w:hyperlink r:id="rId53" w:anchor="/bore/density" w:history="1">
              <w:r w:rsidR="00D27769" w:rsidRPr="00C30F1D">
                <w:rPr>
                  <w:rStyle w:val="Hyperlink"/>
                </w:rPr>
                <w:t>http://www.bom.gov.au/water/groundwater/insight/#/bore/density</w:t>
              </w:r>
            </w:hyperlink>
            <w:r w:rsidR="00D27769" w:rsidRPr="00C30F1D">
              <w:rPr>
                <w:rStyle w:val="Hyperlink"/>
              </w:rPr>
              <w:t xml:space="preserve"> </w:t>
            </w:r>
          </w:p>
        </w:tc>
        <w:tc>
          <w:tcPr>
            <w:tcW w:w="415" w:type="pct"/>
          </w:tcPr>
          <w:p w14:paraId="56AF91C2" w14:textId="77777777" w:rsidR="00D27769" w:rsidRPr="00A1090D" w:rsidRDefault="00D27769" w:rsidP="00760658">
            <w:pPr>
              <w:pStyle w:val="TableTextLeft"/>
            </w:pPr>
            <w:r w:rsidRPr="00A1090D">
              <w:t>18/07/2017</w:t>
            </w:r>
          </w:p>
        </w:tc>
        <w:tc>
          <w:tcPr>
            <w:tcW w:w="1071" w:type="pct"/>
          </w:tcPr>
          <w:p w14:paraId="2877920D" w14:textId="6A1C79FB" w:rsidR="00D27769" w:rsidRPr="00635223" w:rsidRDefault="00D27769" w:rsidP="00245DB8">
            <w:pPr>
              <w:pStyle w:val="TableTextLeft"/>
              <w:rPr>
                <w:highlight w:val="yellow"/>
              </w:rPr>
            </w:pPr>
            <w:r w:rsidRPr="0010531C">
              <w:t>NGIS (Bore Density)</w:t>
            </w:r>
            <w:r>
              <w:t xml:space="preserve"> – Figure B.4</w:t>
            </w:r>
          </w:p>
        </w:tc>
      </w:tr>
      <w:tr w:rsidR="00D27769" w14:paraId="2B9475FA" w14:textId="77777777" w:rsidTr="008F3EBE">
        <w:trPr>
          <w:cnfStyle w:val="000000100000" w:firstRow="0" w:lastRow="0" w:firstColumn="0" w:lastColumn="0" w:oddVBand="0" w:evenVBand="0" w:oddHBand="1" w:evenHBand="0" w:firstRowFirstColumn="0" w:firstRowLastColumn="0" w:lastRowFirstColumn="0" w:lastRowLastColumn="0"/>
        </w:trPr>
        <w:tc>
          <w:tcPr>
            <w:tcW w:w="502" w:type="pct"/>
          </w:tcPr>
          <w:p w14:paraId="17AD9B14" w14:textId="77777777" w:rsidR="00D27769" w:rsidRPr="00A1090D" w:rsidRDefault="00D27769" w:rsidP="00760658">
            <w:pPr>
              <w:pStyle w:val="TableTextLeft"/>
            </w:pPr>
            <w:r w:rsidRPr="00A1090D">
              <w:t>Wetlands of international importance</w:t>
            </w:r>
          </w:p>
        </w:tc>
        <w:tc>
          <w:tcPr>
            <w:tcW w:w="531" w:type="pct"/>
          </w:tcPr>
          <w:p w14:paraId="7A231E83" w14:textId="77777777" w:rsidR="00D27769" w:rsidRPr="00A1090D" w:rsidRDefault="00D27769" w:rsidP="00760658">
            <w:pPr>
              <w:pStyle w:val="TableTextLeft"/>
            </w:pPr>
            <w:r w:rsidRPr="00A1090D">
              <w:t>Declared Ramsar wetlands</w:t>
            </w:r>
          </w:p>
        </w:tc>
        <w:tc>
          <w:tcPr>
            <w:tcW w:w="1303" w:type="pct"/>
          </w:tcPr>
          <w:p w14:paraId="30567609" w14:textId="77777777" w:rsidR="00D27769" w:rsidRPr="00A1090D" w:rsidRDefault="00D27769" w:rsidP="00760658">
            <w:pPr>
              <w:pStyle w:val="TableTextLeft"/>
            </w:pPr>
            <w:r>
              <w:t>DoEE</w:t>
            </w:r>
            <w:r w:rsidRPr="00A1090D">
              <w:t xml:space="preserve"> (2016</w:t>
            </w:r>
            <w:r>
              <w:t>a</w:t>
            </w:r>
            <w:r w:rsidRPr="00A1090D">
              <w:t>): Australian Ramsar Wetlands</w:t>
            </w:r>
          </w:p>
        </w:tc>
        <w:tc>
          <w:tcPr>
            <w:tcW w:w="1178" w:type="pct"/>
          </w:tcPr>
          <w:p w14:paraId="7FFB0711" w14:textId="77777777" w:rsidR="00D27769" w:rsidRPr="00C30F1D" w:rsidRDefault="00D27769" w:rsidP="00760658">
            <w:pPr>
              <w:pStyle w:val="TableTextLeft"/>
              <w:rPr>
                <w:rStyle w:val="Hyperlink"/>
              </w:rPr>
            </w:pPr>
            <w:r w:rsidRPr="00C30F1D">
              <w:rPr>
                <w:rStyle w:val="Hyperlink"/>
              </w:rPr>
              <w:t xml:space="preserve">http://www.environment.gov.au/fed/catalog/search/resource/downloadData.page?uuid=%7B3F208CDF-28ED-4B1F-B965-A733EB58D952%7D </w:t>
            </w:r>
          </w:p>
        </w:tc>
        <w:tc>
          <w:tcPr>
            <w:tcW w:w="415" w:type="pct"/>
          </w:tcPr>
          <w:p w14:paraId="5C4B022C" w14:textId="77777777" w:rsidR="00D27769" w:rsidRPr="00A1090D" w:rsidRDefault="00D27769" w:rsidP="00760658">
            <w:pPr>
              <w:pStyle w:val="TableTextLeft"/>
            </w:pPr>
            <w:r w:rsidRPr="00A1090D">
              <w:t>19/07/2017</w:t>
            </w:r>
          </w:p>
        </w:tc>
        <w:tc>
          <w:tcPr>
            <w:tcW w:w="1071" w:type="pct"/>
          </w:tcPr>
          <w:p w14:paraId="449F3A82" w14:textId="61807E9A" w:rsidR="00D27769" w:rsidRDefault="00D27769" w:rsidP="00245DB8">
            <w:pPr>
              <w:pStyle w:val="TableTextLeft"/>
            </w:pPr>
            <w:r>
              <w:t>Wetlands – Figure B.5</w:t>
            </w:r>
          </w:p>
        </w:tc>
      </w:tr>
      <w:tr w:rsidR="00D27769" w14:paraId="539A4C7F" w14:textId="77777777" w:rsidTr="008F3EBE">
        <w:trPr>
          <w:cnfStyle w:val="000000010000" w:firstRow="0" w:lastRow="0" w:firstColumn="0" w:lastColumn="0" w:oddVBand="0" w:evenVBand="0" w:oddHBand="0" w:evenHBand="1" w:firstRowFirstColumn="0" w:firstRowLastColumn="0" w:lastRowFirstColumn="0" w:lastRowLastColumn="0"/>
        </w:trPr>
        <w:tc>
          <w:tcPr>
            <w:tcW w:w="502" w:type="pct"/>
          </w:tcPr>
          <w:p w14:paraId="797ECF1C" w14:textId="77777777" w:rsidR="00D27769" w:rsidRPr="00A1090D" w:rsidRDefault="00D27769" w:rsidP="00760658">
            <w:pPr>
              <w:pStyle w:val="TableTextLeft"/>
            </w:pPr>
            <w:r w:rsidRPr="00A1090D">
              <w:t>Wetlands of national importance</w:t>
            </w:r>
          </w:p>
        </w:tc>
        <w:tc>
          <w:tcPr>
            <w:tcW w:w="531" w:type="pct"/>
          </w:tcPr>
          <w:p w14:paraId="10DC5677" w14:textId="77777777" w:rsidR="00D27769" w:rsidRPr="00A1090D" w:rsidRDefault="00D27769" w:rsidP="00760658">
            <w:pPr>
              <w:pStyle w:val="TableTextLeft"/>
            </w:pPr>
            <w:r w:rsidRPr="00A1090D">
              <w:t>Directory of Important Wetlands in Australia</w:t>
            </w:r>
          </w:p>
        </w:tc>
        <w:tc>
          <w:tcPr>
            <w:tcW w:w="1303" w:type="pct"/>
          </w:tcPr>
          <w:p w14:paraId="6FEDDF48" w14:textId="16488451" w:rsidR="00D27769" w:rsidRPr="00A1090D" w:rsidRDefault="00AD1F83" w:rsidP="00335D70">
            <w:pPr>
              <w:pStyle w:val="TableTextLeft"/>
            </w:pPr>
            <w:r>
              <w:t>DEWHA</w:t>
            </w:r>
            <w:r w:rsidR="00D27769" w:rsidRPr="00A1090D">
              <w:t xml:space="preserve"> (2010): A Directory of Important Wetlands in Australia (DIWA) Spatial Database, third edition</w:t>
            </w:r>
          </w:p>
        </w:tc>
        <w:tc>
          <w:tcPr>
            <w:tcW w:w="1178" w:type="pct"/>
          </w:tcPr>
          <w:p w14:paraId="139BB503" w14:textId="77777777" w:rsidR="00D27769" w:rsidRPr="00C30F1D" w:rsidRDefault="00A3211E" w:rsidP="00760658">
            <w:pPr>
              <w:pStyle w:val="TableTextLeft"/>
              <w:rPr>
                <w:rStyle w:val="Hyperlink"/>
              </w:rPr>
            </w:pPr>
            <w:hyperlink r:id="rId54" w:history="1">
              <w:r w:rsidR="00D27769" w:rsidRPr="00C30F1D">
                <w:rPr>
                  <w:rStyle w:val="Hyperlink"/>
                </w:rPr>
                <w:t>http://www.environment.gov.au/fed/catalog/search/resource/details.page?uuid=%7BE6C815D9-FB67-4372-AC25-81C7473CCD21%7D</w:t>
              </w:r>
            </w:hyperlink>
            <w:r w:rsidR="00D27769" w:rsidRPr="00C30F1D">
              <w:rPr>
                <w:rStyle w:val="Hyperlink"/>
              </w:rPr>
              <w:t xml:space="preserve"> </w:t>
            </w:r>
          </w:p>
        </w:tc>
        <w:tc>
          <w:tcPr>
            <w:tcW w:w="415" w:type="pct"/>
          </w:tcPr>
          <w:p w14:paraId="577BDE20" w14:textId="77777777" w:rsidR="00D27769" w:rsidRPr="00A1090D" w:rsidRDefault="00D27769" w:rsidP="00760658">
            <w:pPr>
              <w:pStyle w:val="TableTextLeft"/>
            </w:pPr>
            <w:r w:rsidRPr="00A1090D">
              <w:t>10/08/2017</w:t>
            </w:r>
          </w:p>
        </w:tc>
        <w:tc>
          <w:tcPr>
            <w:tcW w:w="1071" w:type="pct"/>
          </w:tcPr>
          <w:p w14:paraId="460547A5" w14:textId="1985D3C8" w:rsidR="00D27769" w:rsidRDefault="00D27769" w:rsidP="00245DB8">
            <w:pPr>
              <w:pStyle w:val="TableTextLeft"/>
            </w:pPr>
            <w:r>
              <w:t>Wetlands – Figure B.5</w:t>
            </w:r>
          </w:p>
        </w:tc>
      </w:tr>
      <w:tr w:rsidR="00D27769" w14:paraId="386269BD" w14:textId="77777777" w:rsidTr="008F3EBE">
        <w:trPr>
          <w:cnfStyle w:val="000000100000" w:firstRow="0" w:lastRow="0" w:firstColumn="0" w:lastColumn="0" w:oddVBand="0" w:evenVBand="0" w:oddHBand="1" w:evenHBand="0" w:firstRowFirstColumn="0" w:firstRowLastColumn="0" w:lastRowFirstColumn="0" w:lastRowLastColumn="0"/>
        </w:trPr>
        <w:tc>
          <w:tcPr>
            <w:tcW w:w="502" w:type="pct"/>
          </w:tcPr>
          <w:p w14:paraId="61758FE2" w14:textId="77777777" w:rsidR="00D27769" w:rsidRPr="00A1090D" w:rsidRDefault="00D27769" w:rsidP="00760658">
            <w:pPr>
              <w:pStyle w:val="TableTextLeft"/>
            </w:pPr>
            <w:r w:rsidRPr="00A1090D">
              <w:t>Spatial representation of groundwater-</w:t>
            </w:r>
            <w:r w:rsidRPr="00A1090D">
              <w:lastRenderedPageBreak/>
              <w:t>dependent ecosystems</w:t>
            </w:r>
          </w:p>
        </w:tc>
        <w:tc>
          <w:tcPr>
            <w:tcW w:w="531" w:type="pct"/>
          </w:tcPr>
          <w:p w14:paraId="761DB295" w14:textId="77777777" w:rsidR="00D27769" w:rsidRPr="00A1090D" w:rsidRDefault="00D27769" w:rsidP="00760658">
            <w:pPr>
              <w:pStyle w:val="TableTextLeft"/>
            </w:pPr>
            <w:r w:rsidRPr="00A1090D">
              <w:lastRenderedPageBreak/>
              <w:t>GDE Atlas</w:t>
            </w:r>
          </w:p>
        </w:tc>
        <w:tc>
          <w:tcPr>
            <w:tcW w:w="1303" w:type="pct"/>
          </w:tcPr>
          <w:p w14:paraId="6C58E407" w14:textId="7D944E78" w:rsidR="00D27769" w:rsidRPr="00A1090D" w:rsidRDefault="001924EC" w:rsidP="00760658">
            <w:pPr>
              <w:pStyle w:val="TableTextLeft"/>
            </w:pPr>
            <w:r>
              <w:t>Bo</w:t>
            </w:r>
            <w:r w:rsidR="00D27769">
              <w:t>M</w:t>
            </w:r>
            <w:r w:rsidR="00D27769" w:rsidRPr="00A1090D">
              <w:t xml:space="preserve"> (2017): Groundwater Dependent </w:t>
            </w:r>
            <w:r w:rsidR="00D27769" w:rsidRPr="00A1090D">
              <w:lastRenderedPageBreak/>
              <w:t>Ecosystems Atlas</w:t>
            </w:r>
          </w:p>
        </w:tc>
        <w:tc>
          <w:tcPr>
            <w:tcW w:w="1178" w:type="pct"/>
          </w:tcPr>
          <w:p w14:paraId="2930E1F2" w14:textId="77777777" w:rsidR="00D27769" w:rsidRPr="00C30F1D" w:rsidRDefault="00A3211E" w:rsidP="00760658">
            <w:pPr>
              <w:pStyle w:val="TableTextLeft"/>
              <w:rPr>
                <w:rStyle w:val="Hyperlink"/>
              </w:rPr>
            </w:pPr>
            <w:hyperlink r:id="rId55" w:history="1">
              <w:r w:rsidR="00D27769" w:rsidRPr="00C30F1D">
                <w:rPr>
                  <w:rStyle w:val="Hyperlink"/>
                </w:rPr>
                <w:t>http://www.bom.gov.au/water/groundwater/gde/map.shtml</w:t>
              </w:r>
            </w:hyperlink>
            <w:r w:rsidR="00D27769" w:rsidRPr="00C30F1D">
              <w:rPr>
                <w:rStyle w:val="Hyperlink"/>
              </w:rPr>
              <w:t xml:space="preserve"> </w:t>
            </w:r>
          </w:p>
          <w:p w14:paraId="5358CF10" w14:textId="77777777" w:rsidR="00D27769" w:rsidRPr="00C30F1D" w:rsidRDefault="00D27769" w:rsidP="00760658">
            <w:pPr>
              <w:pStyle w:val="TableTextLeft"/>
              <w:rPr>
                <w:rStyle w:val="Hyperlink"/>
              </w:rPr>
            </w:pPr>
          </w:p>
        </w:tc>
        <w:tc>
          <w:tcPr>
            <w:tcW w:w="415" w:type="pct"/>
          </w:tcPr>
          <w:p w14:paraId="110C83F7" w14:textId="77777777" w:rsidR="00D27769" w:rsidRPr="00A1090D" w:rsidRDefault="00D27769" w:rsidP="00760658">
            <w:pPr>
              <w:pStyle w:val="TableTextLeft"/>
            </w:pPr>
            <w:r w:rsidRPr="00A1090D">
              <w:t>28/07/2017</w:t>
            </w:r>
          </w:p>
        </w:tc>
        <w:tc>
          <w:tcPr>
            <w:tcW w:w="1071" w:type="pct"/>
          </w:tcPr>
          <w:p w14:paraId="282F4478" w14:textId="3E1A6078" w:rsidR="00D27769" w:rsidRDefault="00D27769" w:rsidP="00245DB8">
            <w:pPr>
              <w:pStyle w:val="TableTextLeft"/>
            </w:pPr>
            <w:r>
              <w:t>Groundwater Dependant Ecosystems – Figure B.6</w:t>
            </w:r>
          </w:p>
        </w:tc>
      </w:tr>
      <w:tr w:rsidR="00D27769" w14:paraId="7F1026BF" w14:textId="77777777" w:rsidTr="008F3EBE">
        <w:trPr>
          <w:cnfStyle w:val="000000010000" w:firstRow="0" w:lastRow="0" w:firstColumn="0" w:lastColumn="0" w:oddVBand="0" w:evenVBand="0" w:oddHBand="0" w:evenHBand="1" w:firstRowFirstColumn="0" w:firstRowLastColumn="0" w:lastRowFirstColumn="0" w:lastRowLastColumn="0"/>
        </w:trPr>
        <w:tc>
          <w:tcPr>
            <w:tcW w:w="502" w:type="pct"/>
          </w:tcPr>
          <w:p w14:paraId="327F4FB4" w14:textId="77777777" w:rsidR="00D27769" w:rsidRPr="00A1090D" w:rsidRDefault="00D27769" w:rsidP="00760658">
            <w:pPr>
              <w:pStyle w:val="TableTextLeft"/>
            </w:pPr>
            <w:r w:rsidRPr="00A1090D">
              <w:t>Extent of protected areas</w:t>
            </w:r>
          </w:p>
        </w:tc>
        <w:tc>
          <w:tcPr>
            <w:tcW w:w="531" w:type="pct"/>
          </w:tcPr>
          <w:p w14:paraId="59217046" w14:textId="77777777" w:rsidR="00D27769" w:rsidRPr="00A1090D" w:rsidRDefault="00D27769" w:rsidP="00760658">
            <w:pPr>
              <w:pStyle w:val="TableTextLeft"/>
            </w:pPr>
            <w:r w:rsidRPr="00A1090D">
              <w:t>CAPAD polygon areas</w:t>
            </w:r>
          </w:p>
        </w:tc>
        <w:tc>
          <w:tcPr>
            <w:tcW w:w="1303" w:type="pct"/>
          </w:tcPr>
          <w:p w14:paraId="72DD1CFF" w14:textId="77777777" w:rsidR="00D27769" w:rsidRPr="00A1090D" w:rsidRDefault="00D27769" w:rsidP="00760658">
            <w:pPr>
              <w:pStyle w:val="TableTextLeft"/>
            </w:pPr>
            <w:r>
              <w:t>DoEE</w:t>
            </w:r>
            <w:r w:rsidRPr="00A1090D">
              <w:t xml:space="preserve"> (2016</w:t>
            </w:r>
            <w:r>
              <w:t>b</w:t>
            </w:r>
            <w:r w:rsidRPr="00A1090D">
              <w:t>): Collaborative Australian Protected Area Database</w:t>
            </w:r>
          </w:p>
        </w:tc>
        <w:tc>
          <w:tcPr>
            <w:tcW w:w="1178" w:type="pct"/>
          </w:tcPr>
          <w:p w14:paraId="27AE4E3C" w14:textId="77777777" w:rsidR="00D27769" w:rsidRPr="00C30F1D" w:rsidRDefault="00A3211E" w:rsidP="00760658">
            <w:pPr>
              <w:pStyle w:val="TableTextLeft"/>
              <w:rPr>
                <w:rStyle w:val="Hyperlink"/>
              </w:rPr>
            </w:pPr>
            <w:hyperlink r:id="rId56" w:history="1">
              <w:r w:rsidR="00D27769" w:rsidRPr="00C30F1D">
                <w:rPr>
                  <w:rStyle w:val="Hyperlink"/>
                </w:rPr>
                <w:t>https://www.environment.gov.au/land/nrs/science/capad/2016</w:t>
              </w:r>
            </w:hyperlink>
            <w:r w:rsidR="00D27769" w:rsidRPr="00C30F1D">
              <w:rPr>
                <w:rStyle w:val="Hyperlink"/>
              </w:rPr>
              <w:t xml:space="preserve"> </w:t>
            </w:r>
          </w:p>
        </w:tc>
        <w:tc>
          <w:tcPr>
            <w:tcW w:w="415" w:type="pct"/>
          </w:tcPr>
          <w:p w14:paraId="64FC2757" w14:textId="77777777" w:rsidR="00D27769" w:rsidRPr="00A1090D" w:rsidRDefault="00D27769" w:rsidP="00760658">
            <w:pPr>
              <w:pStyle w:val="TableTextLeft"/>
            </w:pPr>
            <w:r w:rsidRPr="00A1090D">
              <w:t>18/07/2017</w:t>
            </w:r>
          </w:p>
        </w:tc>
        <w:tc>
          <w:tcPr>
            <w:tcW w:w="1071" w:type="pct"/>
          </w:tcPr>
          <w:p w14:paraId="387E22C0" w14:textId="14F3BA02" w:rsidR="00D27769" w:rsidRDefault="00D27769" w:rsidP="00760658">
            <w:pPr>
              <w:pStyle w:val="TableTextLeft"/>
            </w:pPr>
            <w:r>
              <w:t>Collaborative Australian Protected Areas – Figure B.7</w:t>
            </w:r>
          </w:p>
          <w:p w14:paraId="5A07FA0A" w14:textId="77777777" w:rsidR="00D27769" w:rsidRDefault="00D27769" w:rsidP="00760658">
            <w:pPr>
              <w:pStyle w:val="TableTextLeft"/>
            </w:pPr>
          </w:p>
        </w:tc>
      </w:tr>
      <w:tr w:rsidR="00D27769" w14:paraId="3C2D666A" w14:textId="77777777" w:rsidTr="008F3EBE">
        <w:trPr>
          <w:cnfStyle w:val="000000100000" w:firstRow="0" w:lastRow="0" w:firstColumn="0" w:lastColumn="0" w:oddVBand="0" w:evenVBand="0" w:oddHBand="1" w:evenHBand="0" w:firstRowFirstColumn="0" w:firstRowLastColumn="0" w:lastRowFirstColumn="0" w:lastRowLastColumn="0"/>
        </w:trPr>
        <w:tc>
          <w:tcPr>
            <w:tcW w:w="502" w:type="pct"/>
          </w:tcPr>
          <w:p w14:paraId="29AB7AC7" w14:textId="77777777" w:rsidR="00D27769" w:rsidRPr="00A1090D" w:rsidRDefault="00D27769" w:rsidP="00760658">
            <w:pPr>
              <w:pStyle w:val="TableTextLeft"/>
            </w:pPr>
            <w:r w:rsidRPr="00A1090D">
              <w:t>Native Title</w:t>
            </w:r>
          </w:p>
        </w:tc>
        <w:tc>
          <w:tcPr>
            <w:tcW w:w="531" w:type="pct"/>
          </w:tcPr>
          <w:p w14:paraId="3291F4D8" w14:textId="77777777" w:rsidR="00D27769" w:rsidRPr="00A1090D" w:rsidRDefault="00D27769" w:rsidP="00760658">
            <w:pPr>
              <w:pStyle w:val="TableTextLeft"/>
            </w:pPr>
            <w:r w:rsidRPr="00A1090D">
              <w:t>Areas where Native Title exists</w:t>
            </w:r>
          </w:p>
        </w:tc>
        <w:tc>
          <w:tcPr>
            <w:tcW w:w="1303" w:type="pct"/>
          </w:tcPr>
          <w:p w14:paraId="246AC010" w14:textId="03A78FCC" w:rsidR="00D27769" w:rsidRPr="00A1090D" w:rsidRDefault="0075618D" w:rsidP="00760658">
            <w:pPr>
              <w:pStyle w:val="TableTextLeft"/>
            </w:pPr>
            <w:r>
              <w:t>NNTT</w:t>
            </w:r>
            <w:r w:rsidR="005F6F81">
              <w:t xml:space="preserve"> </w:t>
            </w:r>
            <w:r w:rsidR="00D27769" w:rsidRPr="00A1090D">
              <w:t>(2017): Native Title Determination Outcomes</w:t>
            </w:r>
          </w:p>
        </w:tc>
        <w:tc>
          <w:tcPr>
            <w:tcW w:w="1178" w:type="pct"/>
          </w:tcPr>
          <w:p w14:paraId="2E56E521" w14:textId="77777777" w:rsidR="00D27769" w:rsidRPr="00C30F1D" w:rsidRDefault="00A3211E" w:rsidP="00760658">
            <w:pPr>
              <w:pStyle w:val="TableTextLeft"/>
              <w:rPr>
                <w:rStyle w:val="Hyperlink"/>
              </w:rPr>
            </w:pPr>
            <w:hyperlink r:id="rId57" w:history="1">
              <w:r w:rsidR="00D27769" w:rsidRPr="00C30F1D">
                <w:rPr>
                  <w:rStyle w:val="Hyperlink"/>
                </w:rPr>
                <w:t>http://www.ntv.nntt.gov.au/intramaps/download/download.asp</w:t>
              </w:r>
            </w:hyperlink>
            <w:r w:rsidR="00D27769" w:rsidRPr="00C30F1D">
              <w:rPr>
                <w:rStyle w:val="Hyperlink"/>
              </w:rPr>
              <w:t xml:space="preserve"> </w:t>
            </w:r>
          </w:p>
        </w:tc>
        <w:tc>
          <w:tcPr>
            <w:tcW w:w="415" w:type="pct"/>
          </w:tcPr>
          <w:p w14:paraId="56A0E91F" w14:textId="77777777" w:rsidR="00D27769" w:rsidRPr="00A1090D" w:rsidRDefault="00D27769" w:rsidP="00760658">
            <w:pPr>
              <w:pStyle w:val="TableTextLeft"/>
            </w:pPr>
            <w:r w:rsidRPr="00A1090D">
              <w:t>7/7/2017</w:t>
            </w:r>
          </w:p>
        </w:tc>
        <w:tc>
          <w:tcPr>
            <w:tcW w:w="1071" w:type="pct"/>
          </w:tcPr>
          <w:p w14:paraId="761C24B2" w14:textId="65338D1B" w:rsidR="00D27769" w:rsidRDefault="00D27769" w:rsidP="00760658">
            <w:pPr>
              <w:pStyle w:val="TableTextLeft"/>
            </w:pPr>
            <w:r>
              <w:t>Native Title and Indigenous Protected Areas – Figure B.8</w:t>
            </w:r>
          </w:p>
          <w:p w14:paraId="30B8CA15" w14:textId="77777777" w:rsidR="00D27769" w:rsidRPr="0010531C" w:rsidRDefault="00D27769" w:rsidP="00760658">
            <w:pPr>
              <w:pStyle w:val="TableTextLeft"/>
            </w:pPr>
          </w:p>
        </w:tc>
      </w:tr>
      <w:tr w:rsidR="00D27769" w14:paraId="18C7C92D" w14:textId="77777777" w:rsidTr="008F3EBE">
        <w:trPr>
          <w:cnfStyle w:val="000000010000" w:firstRow="0" w:lastRow="0" w:firstColumn="0" w:lastColumn="0" w:oddVBand="0" w:evenVBand="0" w:oddHBand="0" w:evenHBand="1" w:firstRowFirstColumn="0" w:firstRowLastColumn="0" w:lastRowFirstColumn="0" w:lastRowLastColumn="0"/>
        </w:trPr>
        <w:tc>
          <w:tcPr>
            <w:tcW w:w="502" w:type="pct"/>
          </w:tcPr>
          <w:p w14:paraId="34BEC1BB" w14:textId="77777777" w:rsidR="00D27769" w:rsidRPr="00A1090D" w:rsidRDefault="00D27769" w:rsidP="00760658">
            <w:pPr>
              <w:pStyle w:val="TableTextLeft"/>
            </w:pPr>
            <w:r w:rsidRPr="00A1090D">
              <w:t>Population density</w:t>
            </w:r>
          </w:p>
        </w:tc>
        <w:tc>
          <w:tcPr>
            <w:tcW w:w="531" w:type="pct"/>
          </w:tcPr>
          <w:p w14:paraId="151AF8E1" w14:textId="77777777" w:rsidR="00D27769" w:rsidRPr="00A1090D" w:rsidRDefault="00D27769" w:rsidP="00760658">
            <w:pPr>
              <w:pStyle w:val="TableTextLeft"/>
            </w:pPr>
            <w:r w:rsidRPr="00A1090D">
              <w:t>Population density grid</w:t>
            </w:r>
          </w:p>
        </w:tc>
        <w:tc>
          <w:tcPr>
            <w:tcW w:w="1303" w:type="pct"/>
          </w:tcPr>
          <w:p w14:paraId="46CA9054" w14:textId="77777777" w:rsidR="00D27769" w:rsidRPr="00A1090D" w:rsidRDefault="00D27769" w:rsidP="00760658">
            <w:pPr>
              <w:pStyle w:val="TableTextLeft"/>
            </w:pPr>
            <w:r>
              <w:t>ABS</w:t>
            </w:r>
            <w:r w:rsidRPr="00A1090D">
              <w:t xml:space="preserve"> (2016): Australian Population Grid</w:t>
            </w:r>
          </w:p>
        </w:tc>
        <w:tc>
          <w:tcPr>
            <w:tcW w:w="1178" w:type="pct"/>
          </w:tcPr>
          <w:p w14:paraId="640FB005" w14:textId="77777777" w:rsidR="00D27769" w:rsidRPr="00C30F1D" w:rsidRDefault="00A3211E" w:rsidP="00760658">
            <w:pPr>
              <w:pStyle w:val="TableTextLeft"/>
              <w:rPr>
                <w:rStyle w:val="Hyperlink"/>
              </w:rPr>
            </w:pPr>
            <w:hyperlink r:id="rId58" w:history="1">
              <w:r w:rsidR="00D27769" w:rsidRPr="00C30F1D">
                <w:rPr>
                  <w:rStyle w:val="Hyperlink"/>
                </w:rPr>
                <w:t>http://www.abs.gov.au/AUSSTATS/abs@.nsf/DetailsPage/3218.02015-16?OpenDocument</w:t>
              </w:r>
            </w:hyperlink>
            <w:r w:rsidR="00D27769" w:rsidRPr="00C30F1D">
              <w:rPr>
                <w:rStyle w:val="Hyperlink"/>
              </w:rPr>
              <w:t xml:space="preserve"> </w:t>
            </w:r>
          </w:p>
        </w:tc>
        <w:tc>
          <w:tcPr>
            <w:tcW w:w="415" w:type="pct"/>
          </w:tcPr>
          <w:p w14:paraId="48E090EC" w14:textId="77777777" w:rsidR="00D27769" w:rsidRPr="00A1090D" w:rsidRDefault="00D27769" w:rsidP="00760658">
            <w:pPr>
              <w:pStyle w:val="TableTextLeft"/>
            </w:pPr>
            <w:r w:rsidRPr="00A1090D">
              <w:t>7/07/2017</w:t>
            </w:r>
          </w:p>
        </w:tc>
        <w:tc>
          <w:tcPr>
            <w:tcW w:w="1071" w:type="pct"/>
          </w:tcPr>
          <w:p w14:paraId="6A249728" w14:textId="05B92F5C" w:rsidR="00D27769" w:rsidRDefault="00D27769" w:rsidP="00245DB8">
            <w:pPr>
              <w:pStyle w:val="TableTextLeft"/>
            </w:pPr>
            <w:r>
              <w:t>Population Density – Figure B.9</w:t>
            </w:r>
          </w:p>
        </w:tc>
      </w:tr>
      <w:tr w:rsidR="00D27769" w14:paraId="3BFDC5D3" w14:textId="77777777" w:rsidTr="008F3EBE">
        <w:trPr>
          <w:cnfStyle w:val="000000100000" w:firstRow="0" w:lastRow="0" w:firstColumn="0" w:lastColumn="0" w:oddVBand="0" w:evenVBand="0" w:oddHBand="1" w:evenHBand="0" w:firstRowFirstColumn="0" w:firstRowLastColumn="0" w:lastRowFirstColumn="0" w:lastRowLastColumn="0"/>
        </w:trPr>
        <w:tc>
          <w:tcPr>
            <w:tcW w:w="502" w:type="pct"/>
          </w:tcPr>
          <w:p w14:paraId="437D8F8D" w14:textId="77777777" w:rsidR="00D27769" w:rsidRPr="00E70BDF" w:rsidRDefault="00D27769" w:rsidP="00760658">
            <w:pPr>
              <w:pStyle w:val="TableTextLeft"/>
            </w:pPr>
            <w:r w:rsidRPr="00E70BDF">
              <w:t>Land use</w:t>
            </w:r>
          </w:p>
        </w:tc>
        <w:tc>
          <w:tcPr>
            <w:tcW w:w="531" w:type="pct"/>
          </w:tcPr>
          <w:p w14:paraId="42F8E3A6" w14:textId="77777777" w:rsidR="00D27769" w:rsidRPr="00E70BDF" w:rsidRDefault="00D27769" w:rsidP="00760658">
            <w:pPr>
              <w:pStyle w:val="TableTextLeft"/>
            </w:pPr>
            <w:r w:rsidRPr="00E70BDF">
              <w:t>CLUM</w:t>
            </w:r>
          </w:p>
        </w:tc>
        <w:tc>
          <w:tcPr>
            <w:tcW w:w="1303" w:type="pct"/>
          </w:tcPr>
          <w:p w14:paraId="61421F75" w14:textId="0858FB78" w:rsidR="00D27769" w:rsidRPr="00E70BDF" w:rsidRDefault="0075618D" w:rsidP="0075618D">
            <w:pPr>
              <w:pStyle w:val="TableTextLeft"/>
            </w:pPr>
            <w:r>
              <w:t>ABARES</w:t>
            </w:r>
            <w:r w:rsidR="00D27769" w:rsidRPr="00E70BDF">
              <w:t xml:space="preserve"> (2016): Catchment-scale Land Use Mapping of Australia</w:t>
            </w:r>
          </w:p>
        </w:tc>
        <w:tc>
          <w:tcPr>
            <w:tcW w:w="1178" w:type="pct"/>
          </w:tcPr>
          <w:p w14:paraId="40BDC8A2" w14:textId="77777777" w:rsidR="00D27769" w:rsidRPr="00C30F1D" w:rsidRDefault="00A3211E" w:rsidP="00760658">
            <w:pPr>
              <w:pStyle w:val="TableTextLeft"/>
              <w:rPr>
                <w:rStyle w:val="Hyperlink"/>
              </w:rPr>
            </w:pPr>
            <w:hyperlink r:id="rId59" w:history="1">
              <w:r w:rsidR="00D27769" w:rsidRPr="00C30F1D">
                <w:rPr>
                  <w:rStyle w:val="Hyperlink"/>
                </w:rPr>
                <w:t>http://data.gov.au/dataset/catchment-scale-land-use-of-australia-update-may-2016</w:t>
              </w:r>
            </w:hyperlink>
            <w:r w:rsidR="00D27769" w:rsidRPr="00C30F1D">
              <w:rPr>
                <w:rStyle w:val="Hyperlink"/>
              </w:rPr>
              <w:t xml:space="preserve"> </w:t>
            </w:r>
          </w:p>
        </w:tc>
        <w:tc>
          <w:tcPr>
            <w:tcW w:w="415" w:type="pct"/>
          </w:tcPr>
          <w:p w14:paraId="4BC6D5BA" w14:textId="77777777" w:rsidR="00D27769" w:rsidRPr="00A1090D" w:rsidRDefault="00D27769" w:rsidP="00760658">
            <w:pPr>
              <w:pStyle w:val="TableTextLeft"/>
            </w:pPr>
            <w:r w:rsidRPr="00A1090D">
              <w:t>18/07/2017</w:t>
            </w:r>
          </w:p>
        </w:tc>
        <w:tc>
          <w:tcPr>
            <w:tcW w:w="1071" w:type="pct"/>
          </w:tcPr>
          <w:p w14:paraId="26022979" w14:textId="2C5A9B23" w:rsidR="00D27769" w:rsidRPr="00CF5F77" w:rsidRDefault="00D27769" w:rsidP="00245DB8">
            <w:pPr>
              <w:pStyle w:val="TableTextLeft"/>
            </w:pPr>
            <w:r w:rsidRPr="0010531C">
              <w:t>L</w:t>
            </w:r>
            <w:r>
              <w:t>and use – Figure B.10</w:t>
            </w:r>
          </w:p>
        </w:tc>
      </w:tr>
      <w:tr w:rsidR="00D27769" w14:paraId="3B553661" w14:textId="77777777" w:rsidTr="008F3EBE">
        <w:trPr>
          <w:cnfStyle w:val="000000010000" w:firstRow="0" w:lastRow="0" w:firstColumn="0" w:lastColumn="0" w:oddVBand="0" w:evenVBand="0" w:oddHBand="0" w:evenHBand="1" w:firstRowFirstColumn="0" w:firstRowLastColumn="0" w:lastRowFirstColumn="0" w:lastRowLastColumn="0"/>
        </w:trPr>
        <w:tc>
          <w:tcPr>
            <w:tcW w:w="502" w:type="pct"/>
          </w:tcPr>
          <w:p w14:paraId="119AF257" w14:textId="77777777" w:rsidR="00D27769" w:rsidRPr="00E70BDF" w:rsidRDefault="00D27769" w:rsidP="00760658">
            <w:pPr>
              <w:pStyle w:val="TableTextLeft"/>
            </w:pPr>
            <w:r w:rsidRPr="00E70BDF">
              <w:t>Rivers and Catchments</w:t>
            </w:r>
          </w:p>
        </w:tc>
        <w:tc>
          <w:tcPr>
            <w:tcW w:w="531" w:type="pct"/>
          </w:tcPr>
          <w:p w14:paraId="004FC069" w14:textId="77777777" w:rsidR="00D27769" w:rsidRPr="00E70BDF" w:rsidRDefault="00D27769" w:rsidP="00760658">
            <w:pPr>
              <w:pStyle w:val="TableTextLeft"/>
            </w:pPr>
            <w:r w:rsidRPr="00E70BDF">
              <w:t>Geofabric</w:t>
            </w:r>
          </w:p>
        </w:tc>
        <w:tc>
          <w:tcPr>
            <w:tcW w:w="1303" w:type="pct"/>
          </w:tcPr>
          <w:p w14:paraId="0E953698" w14:textId="2BE84878" w:rsidR="00D27769" w:rsidRPr="00E70BDF" w:rsidRDefault="001924EC" w:rsidP="00760658">
            <w:pPr>
              <w:pStyle w:val="TableTextLeft"/>
            </w:pPr>
            <w:r>
              <w:t>Bo</w:t>
            </w:r>
            <w:r w:rsidR="00D27769">
              <w:t>M</w:t>
            </w:r>
            <w:r w:rsidR="00D27769" w:rsidRPr="00E70BDF">
              <w:t xml:space="preserve"> (2014): Australian Hydrological Geospatial Fabric</w:t>
            </w:r>
            <w:r w:rsidR="00D27769">
              <w:t xml:space="preserve"> (“Geofabric”), version 2.1.1</w:t>
            </w:r>
          </w:p>
        </w:tc>
        <w:tc>
          <w:tcPr>
            <w:tcW w:w="1178" w:type="pct"/>
          </w:tcPr>
          <w:p w14:paraId="0D5C0C69" w14:textId="77777777" w:rsidR="00D27769" w:rsidRPr="00C30F1D" w:rsidRDefault="00A3211E" w:rsidP="00760658">
            <w:pPr>
              <w:pStyle w:val="TableTextLeft"/>
              <w:rPr>
                <w:rStyle w:val="Hyperlink"/>
              </w:rPr>
            </w:pPr>
            <w:hyperlink r:id="rId60" w:history="1">
              <w:r w:rsidR="00D27769" w:rsidRPr="00C30F1D">
                <w:rPr>
                  <w:rStyle w:val="Hyperlink"/>
                </w:rPr>
                <w:t>http://www.bom.gov.au/water/geofabric/download.shtml</w:t>
              </w:r>
            </w:hyperlink>
            <w:r w:rsidR="00D27769" w:rsidRPr="00C30F1D">
              <w:rPr>
                <w:rStyle w:val="Hyperlink"/>
              </w:rPr>
              <w:t xml:space="preserve"> </w:t>
            </w:r>
          </w:p>
        </w:tc>
        <w:tc>
          <w:tcPr>
            <w:tcW w:w="415" w:type="pct"/>
          </w:tcPr>
          <w:p w14:paraId="1F54D9EA" w14:textId="77777777" w:rsidR="00D27769" w:rsidRDefault="00D27769" w:rsidP="00760658">
            <w:pPr>
              <w:pStyle w:val="TableTextLeft"/>
            </w:pPr>
            <w:r w:rsidRPr="00A1090D">
              <w:t>2/08/2017</w:t>
            </w:r>
          </w:p>
        </w:tc>
        <w:tc>
          <w:tcPr>
            <w:tcW w:w="1071" w:type="pct"/>
          </w:tcPr>
          <w:p w14:paraId="1538B3C5" w14:textId="282784D3" w:rsidR="00D27769" w:rsidRDefault="00D27769" w:rsidP="00245DB8">
            <w:pPr>
              <w:pStyle w:val="TableTextLeft"/>
            </w:pPr>
            <w:r>
              <w:t>Surface Water – Figures B.11–.19</w:t>
            </w:r>
          </w:p>
        </w:tc>
      </w:tr>
    </w:tbl>
    <w:p w14:paraId="4F13E85A" w14:textId="77777777" w:rsidR="00D27769" w:rsidRPr="0033590F" w:rsidRDefault="00D27769" w:rsidP="00174635">
      <w:pPr>
        <w:pStyle w:val="BodyText"/>
      </w:pPr>
    </w:p>
    <w:p w14:paraId="49C5989D" w14:textId="77777777" w:rsidR="00D27769" w:rsidRDefault="00D27769" w:rsidP="00174635">
      <w:pPr>
        <w:pStyle w:val="BodyText"/>
        <w:sectPr w:rsidR="00D27769" w:rsidSect="005E0FA1">
          <w:headerReference w:type="even" r:id="rId61"/>
          <w:headerReference w:type="default" r:id="rId62"/>
          <w:headerReference w:type="first" r:id="rId63"/>
          <w:pgSz w:w="16840" w:h="11907" w:orient="landscape" w:code="9"/>
          <w:pgMar w:top="1418" w:right="1418" w:bottom="1418" w:left="1418" w:header="510" w:footer="624" w:gutter="0"/>
          <w:cols w:space="720"/>
          <w:docGrid w:linePitch="326"/>
        </w:sectPr>
      </w:pPr>
    </w:p>
    <w:p w14:paraId="3C7CA9A9" w14:textId="77777777" w:rsidR="00D27769" w:rsidRPr="00E8799B" w:rsidRDefault="00D27769" w:rsidP="00404F8C">
      <w:pPr>
        <w:pStyle w:val="Heading2"/>
      </w:pPr>
      <w:bookmarkStart w:id="103" w:name="_Ref493831669"/>
      <w:bookmarkStart w:id="104" w:name="_Toc494277018"/>
      <w:bookmarkStart w:id="105" w:name="_Toc517101429"/>
      <w:r w:rsidRPr="00E8799B">
        <w:lastRenderedPageBreak/>
        <w:t xml:space="preserve">Audit of </w:t>
      </w:r>
      <w:r>
        <w:t>shortlist</w:t>
      </w:r>
      <w:r w:rsidRPr="00E8799B">
        <w:t>ed basins</w:t>
      </w:r>
      <w:bookmarkEnd w:id="103"/>
      <w:bookmarkEnd w:id="104"/>
      <w:bookmarkEnd w:id="105"/>
    </w:p>
    <w:p w14:paraId="15857E15" w14:textId="1492705A" w:rsidR="00D27769" w:rsidRPr="00C13F18" w:rsidRDefault="00D27769" w:rsidP="00404F8C">
      <w:pPr>
        <w:pStyle w:val="BodyText"/>
      </w:pPr>
      <w:r w:rsidRPr="00C13F18">
        <w:t xml:space="preserve">A rapid audit was then undertaken on the </w:t>
      </w:r>
      <w:r>
        <w:t>shortlist</w:t>
      </w:r>
      <w:r w:rsidRPr="00C13F18">
        <w:t xml:space="preserve">ed basins </w:t>
      </w:r>
      <w:r>
        <w:t>(</w:t>
      </w:r>
      <w:r>
        <w:fldChar w:fldCharType="begin"/>
      </w:r>
      <w:r>
        <w:instrText xml:space="preserve"> REF _Ref493777836 \h </w:instrText>
      </w:r>
      <w:r>
        <w:fldChar w:fldCharType="separate"/>
      </w:r>
      <w:r w:rsidR="004A16F5" w:rsidRPr="00AB6721">
        <w:t xml:space="preserve">Figure </w:t>
      </w:r>
      <w:r w:rsidR="004A16F5">
        <w:rPr>
          <w:noProof/>
        </w:rPr>
        <w:t>5</w:t>
      </w:r>
      <w:r w:rsidR="004A16F5">
        <w:noBreakHyphen/>
      </w:r>
      <w:r w:rsidR="004A16F5">
        <w:rPr>
          <w:noProof/>
        </w:rPr>
        <w:t>5</w:t>
      </w:r>
      <w:r>
        <w:fldChar w:fldCharType="end"/>
      </w:r>
      <w:r>
        <w:t xml:space="preserve">) </w:t>
      </w:r>
      <w:r w:rsidRPr="00C13F18">
        <w:t>in order to prioritise areas for further research (</w:t>
      </w:r>
      <w:r>
        <w:t>Appendix C</w:t>
      </w:r>
      <w:r w:rsidR="005E1B62">
        <w:t>)</w:t>
      </w:r>
      <w:r w:rsidR="009A6EB4">
        <w:t>.</w:t>
      </w:r>
      <w:r w:rsidR="005E1B62">
        <w:t xml:space="preserve"> </w:t>
      </w:r>
      <w:r>
        <w:t>This</w:t>
      </w:r>
      <w:r w:rsidRPr="00C13F18">
        <w:t xml:space="preserve"> process aimed to:</w:t>
      </w:r>
    </w:p>
    <w:p w14:paraId="3D429C42" w14:textId="77777777" w:rsidR="00D27769" w:rsidRPr="00C13F18" w:rsidRDefault="00D27769" w:rsidP="00E8799B">
      <w:pPr>
        <w:pStyle w:val="ListBullet"/>
      </w:pPr>
      <w:r w:rsidRPr="00C13F18">
        <w:t xml:space="preserve">capture the current state of knowledge </w:t>
      </w:r>
      <w:r>
        <w:t xml:space="preserve">of </w:t>
      </w:r>
      <w:r w:rsidRPr="00C13F18">
        <w:t>each basin’s shale and tight gas prospectivity</w:t>
      </w:r>
      <w:r>
        <w:t>,</w:t>
      </w:r>
      <w:r w:rsidRPr="00C13F18">
        <w:t xml:space="preserve"> and;</w:t>
      </w:r>
    </w:p>
    <w:p w14:paraId="3F716565" w14:textId="77777777" w:rsidR="00D27769" w:rsidRPr="00C13F18" w:rsidRDefault="00D27769" w:rsidP="00E8799B">
      <w:pPr>
        <w:pStyle w:val="ListBullet"/>
      </w:pPr>
      <w:r w:rsidRPr="00C13F18">
        <w:t>identify the water resources and environmental assets that may be affected by shale and tight</w:t>
      </w:r>
      <w:r>
        <w:t xml:space="preserve"> gas</w:t>
      </w:r>
      <w:r w:rsidRPr="00C13F18">
        <w:t xml:space="preserve"> extraction. </w:t>
      </w:r>
    </w:p>
    <w:p w14:paraId="7C4BB039" w14:textId="77777777" w:rsidR="00D27769" w:rsidRPr="00C13F18" w:rsidRDefault="00D27769" w:rsidP="00174635">
      <w:pPr>
        <w:pStyle w:val="BodyText"/>
      </w:pPr>
      <w:r w:rsidRPr="00C13F18">
        <w:t>The audit was conducted based on the following rapid regional rapid prioritisation criteria</w:t>
      </w:r>
      <w:r>
        <w:t xml:space="preserve"> as agreed by GA and the DoEE</w:t>
      </w:r>
      <w:r w:rsidRPr="00C13F18">
        <w:t xml:space="preserve">, and hence contains a brief summary of the following topics for each </w:t>
      </w:r>
      <w:r>
        <w:t>shortlist</w:t>
      </w:r>
      <w:r w:rsidRPr="00C13F18">
        <w:t>ed basin.</w:t>
      </w:r>
    </w:p>
    <w:p w14:paraId="7EB4876B" w14:textId="77777777" w:rsidR="00D27769" w:rsidRPr="00C13F18" w:rsidRDefault="00D27769" w:rsidP="00E8799B">
      <w:pPr>
        <w:pStyle w:val="ListBullet"/>
      </w:pPr>
      <w:r w:rsidRPr="00C13F18">
        <w:rPr>
          <w:rStyle w:val="Bold"/>
        </w:rPr>
        <w:t>Basin geology and prospectivity:</w:t>
      </w:r>
      <w:r w:rsidRPr="00C13F18">
        <w:t xml:space="preserve"> age, depth, lithology, depositional environment, source rock and reservoir formations, petroleum systems, summary of key unconventional play types (including formation, source rock characteristics); current basin exploration status (i.e. level of basin exploration and development) for shale and tight gas plays; reported production, reserves, contingent or prospective resources; key unconventional wells; approximate development timeframe.</w:t>
      </w:r>
    </w:p>
    <w:p w14:paraId="6EBC18B7" w14:textId="77777777" w:rsidR="00D27769" w:rsidRPr="00C13F18" w:rsidRDefault="00D27769" w:rsidP="00E8799B">
      <w:pPr>
        <w:pStyle w:val="ListBullet"/>
      </w:pPr>
      <w:r w:rsidRPr="00C13F18">
        <w:rPr>
          <w:rStyle w:val="Bold"/>
        </w:rPr>
        <w:t xml:space="preserve">Market access and infrastructure: </w:t>
      </w:r>
      <w:r w:rsidRPr="00970CD0">
        <w:t>road/rail access;</w:t>
      </w:r>
      <w:r w:rsidRPr="00C13F18">
        <w:t xml:space="preserve"> proximity to existing gas infrastructure (incl. pipelines); distance to market</w:t>
      </w:r>
    </w:p>
    <w:p w14:paraId="410D26A2" w14:textId="77777777" w:rsidR="00D27769" w:rsidRPr="00C13F18" w:rsidRDefault="00D27769" w:rsidP="00E8799B">
      <w:pPr>
        <w:pStyle w:val="ListBullet"/>
      </w:pPr>
      <w:r w:rsidRPr="00C13F18">
        <w:rPr>
          <w:rStyle w:val="Bold"/>
        </w:rPr>
        <w:lastRenderedPageBreak/>
        <w:t>Regulatory:</w:t>
      </w:r>
      <w:r w:rsidRPr="00C13F18">
        <w:t xml:space="preserve"> hydraulic fracturing moratori</w:t>
      </w:r>
      <w:r>
        <w:t>a</w:t>
      </w:r>
      <w:r w:rsidRPr="00C13F18">
        <w:t>; exploration moratori</w:t>
      </w:r>
      <w:r>
        <w:t>a</w:t>
      </w:r>
      <w:r w:rsidRPr="00C13F18">
        <w:t>.</w:t>
      </w:r>
    </w:p>
    <w:p w14:paraId="308FDBF6" w14:textId="77777777" w:rsidR="00D27769" w:rsidRPr="00C13F18" w:rsidRDefault="00D27769" w:rsidP="00E8799B">
      <w:pPr>
        <w:pStyle w:val="ListBullet"/>
      </w:pPr>
      <w:r w:rsidRPr="00C13F18">
        <w:rPr>
          <w:rStyle w:val="Bold"/>
        </w:rPr>
        <w:t>Environmental constraints:</w:t>
      </w:r>
      <w:r w:rsidRPr="00C13F18">
        <w:t xml:space="preserve"> including groundwater systems; surface water systems; environmentally sensitive areas (e.g. groundwater-dependent ecosystems, important wetlands, national parks).</w:t>
      </w:r>
    </w:p>
    <w:p w14:paraId="19F62E4F" w14:textId="77777777" w:rsidR="00D27769" w:rsidRPr="00C13F18" w:rsidRDefault="00D27769" w:rsidP="00E8799B">
      <w:pPr>
        <w:pStyle w:val="ListBullet"/>
      </w:pPr>
      <w:r w:rsidRPr="00C13F18">
        <w:rPr>
          <w:rStyle w:val="Bold"/>
        </w:rPr>
        <w:t>Social factors/constraints:</w:t>
      </w:r>
      <w:r w:rsidRPr="00C13F18">
        <w:t xml:space="preserve"> population distribution; existing land use; culturally significant areas </w:t>
      </w:r>
    </w:p>
    <w:p w14:paraId="145B3A2F" w14:textId="77777777" w:rsidR="00D27769" w:rsidRPr="00C13F18" w:rsidRDefault="00D27769" w:rsidP="00174635">
      <w:pPr>
        <w:pStyle w:val="BodyText"/>
      </w:pPr>
      <w:r w:rsidRPr="00C13F18">
        <w:t xml:space="preserve">The project required integration of disparate sources of spatial data on petroleum geology, unconventional gas resources, environmental conditions and potential stressors. The results of each prioritisation theme are clearly presented in tables, maps, matrices and within the basin summary documents in </w:t>
      </w:r>
      <w:r>
        <w:t xml:space="preserve">Appendix C </w:t>
      </w:r>
      <w:r w:rsidRPr="00C13F18">
        <w:t xml:space="preserve">for the DoEE’s consideration when deciding on priority areas for further geological and bioregional assessment work. </w:t>
      </w:r>
    </w:p>
    <w:p w14:paraId="0AD3DA5E" w14:textId="77777777" w:rsidR="00D27769" w:rsidRDefault="00D27769" w:rsidP="00174635">
      <w:pPr>
        <w:pStyle w:val="FiguresImagesCentred"/>
      </w:pPr>
      <w:r w:rsidRPr="00C13F18">
        <w:rPr>
          <w:noProof/>
        </w:rPr>
        <w:lastRenderedPageBreak/>
        <w:drawing>
          <wp:inline distT="0" distB="0" distL="0" distR="0" wp14:anchorId="60250BE5" wp14:editId="60C65568">
            <wp:extent cx="5685433" cy="5254388"/>
            <wp:effectExtent l="0" t="0" r="0" b="381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88687" cy="5257395"/>
                    </a:xfrm>
                    <a:prstGeom prst="rect">
                      <a:avLst/>
                    </a:prstGeom>
                  </pic:spPr>
                </pic:pic>
              </a:graphicData>
            </a:graphic>
          </wp:inline>
        </w:drawing>
      </w:r>
    </w:p>
    <w:p w14:paraId="7C6D11F3" w14:textId="37E47989" w:rsidR="00D27769" w:rsidRPr="00AB6721" w:rsidRDefault="00D27769" w:rsidP="00174635">
      <w:pPr>
        <w:pStyle w:val="Caption"/>
      </w:pPr>
      <w:bookmarkStart w:id="106" w:name="_Ref493777836"/>
      <w:bookmarkStart w:id="107" w:name="_Toc517101450"/>
      <w:r w:rsidRPr="00AB6721">
        <w:t xml:space="preserve">Figure </w:t>
      </w:r>
      <w:fldSimple w:instr=" STYLEREF 1 \s ">
        <w:r w:rsidR="004A16F5">
          <w:rPr>
            <w:noProof/>
          </w:rPr>
          <w:t>5</w:t>
        </w:r>
      </w:fldSimple>
      <w:r>
        <w:noBreakHyphen/>
      </w:r>
      <w:fldSimple w:instr=" SEQ Figure \* ARABIC \s 1 ">
        <w:r w:rsidR="004A16F5">
          <w:rPr>
            <w:noProof/>
          </w:rPr>
          <w:t>5</w:t>
        </w:r>
      </w:fldSimple>
      <w:bookmarkEnd w:id="106"/>
      <w:r w:rsidRPr="00AB6721">
        <w:t xml:space="preserve"> Location of shortlisted </w:t>
      </w:r>
      <w:r w:rsidR="006D01A1">
        <w:t xml:space="preserve">onshore </w:t>
      </w:r>
      <w:r w:rsidRPr="00AB6721">
        <w:t>basins considered for audit.</w:t>
      </w:r>
      <w:bookmarkEnd w:id="107"/>
    </w:p>
    <w:p w14:paraId="7F569441" w14:textId="77777777" w:rsidR="00D27769" w:rsidRDefault="00D27769" w:rsidP="00174635">
      <w:pPr>
        <w:pStyle w:val="BodyText"/>
      </w:pPr>
      <w:r>
        <w:br w:type="page"/>
      </w:r>
    </w:p>
    <w:p w14:paraId="378280EB" w14:textId="77777777" w:rsidR="00D27769" w:rsidRPr="00E8799B" w:rsidRDefault="00D27769" w:rsidP="00D27769">
      <w:pPr>
        <w:pStyle w:val="Heading3"/>
      </w:pPr>
      <w:bookmarkStart w:id="108" w:name="_Toc494277019"/>
      <w:bookmarkStart w:id="109" w:name="_Toc517101430"/>
      <w:r w:rsidRPr="00E8799B">
        <w:lastRenderedPageBreak/>
        <w:t xml:space="preserve">Basin geology, prospectivity, market </w:t>
      </w:r>
      <w:r>
        <w:t xml:space="preserve">infrastructure </w:t>
      </w:r>
      <w:r w:rsidRPr="00E8799B">
        <w:t>access and regulatory environment</w:t>
      </w:r>
      <w:bookmarkEnd w:id="108"/>
      <w:bookmarkEnd w:id="109"/>
    </w:p>
    <w:p w14:paraId="2498823A" w14:textId="77777777" w:rsidR="00D27769" w:rsidRPr="00C13F18" w:rsidRDefault="00D27769" w:rsidP="00174635">
      <w:pPr>
        <w:pStyle w:val="BodyText"/>
      </w:pPr>
      <w:r w:rsidRPr="00C13F18">
        <w:t>The initial basi</w:t>
      </w:r>
      <w:r>
        <w:t>n short</w:t>
      </w:r>
      <w:r w:rsidRPr="00C13F18">
        <w:t xml:space="preserve">list was developed based on the stage of industry activity and reported resource information. However, as previously discussed, uncertainty in the </w:t>
      </w:r>
      <w:r>
        <w:t xml:space="preserve">estimates </w:t>
      </w:r>
      <w:r w:rsidRPr="00C13F18">
        <w:t>reported means basins cannot be ranked directly based on this data alone. As a result, the audit of geology and prospecti</w:t>
      </w:r>
      <w:r>
        <w:t>vity information for each shortlisted basin</w:t>
      </w:r>
      <w:r w:rsidRPr="00C13F18">
        <w:t xml:space="preserve"> provides the additional information required to effectively evaluate which basins have the greatest shale and tight gas prospectivity.</w:t>
      </w:r>
    </w:p>
    <w:p w14:paraId="09C8B028" w14:textId="77777777" w:rsidR="00D27769" w:rsidRPr="00E8799B" w:rsidRDefault="00D27769" w:rsidP="00D27769">
      <w:pPr>
        <w:pStyle w:val="Heading4"/>
      </w:pPr>
      <w:r w:rsidRPr="00E8799B">
        <w:t>Basin geology and prospectivity summaries</w:t>
      </w:r>
    </w:p>
    <w:p w14:paraId="731AB423" w14:textId="77777777" w:rsidR="00D27769" w:rsidRPr="00C13F18" w:rsidRDefault="00D27769" w:rsidP="00174635">
      <w:pPr>
        <w:pStyle w:val="BodyText"/>
      </w:pPr>
      <w:r w:rsidRPr="00C13F18">
        <w:t>Each audit summarised the basin geology and prospectivity, and included the following information:</w:t>
      </w:r>
    </w:p>
    <w:p w14:paraId="627D991A" w14:textId="77777777" w:rsidR="00D27769" w:rsidRPr="00C13F18" w:rsidRDefault="00D27769" w:rsidP="00E8799B">
      <w:pPr>
        <w:pStyle w:val="ListBullet"/>
      </w:pPr>
      <w:r w:rsidRPr="00C13F18">
        <w:t>play type;</w:t>
      </w:r>
    </w:p>
    <w:p w14:paraId="076753FD" w14:textId="77777777" w:rsidR="00D27769" w:rsidRPr="00C13F18" w:rsidRDefault="00D27769" w:rsidP="00E8799B">
      <w:pPr>
        <w:pStyle w:val="ListBullet"/>
      </w:pPr>
      <w:r w:rsidRPr="00C13F18">
        <w:t>petroleum systems;</w:t>
      </w:r>
    </w:p>
    <w:p w14:paraId="220DC6B6" w14:textId="77777777" w:rsidR="00D27769" w:rsidRPr="00C13F18" w:rsidRDefault="00D27769" w:rsidP="00E8799B">
      <w:pPr>
        <w:pStyle w:val="ListBullet"/>
      </w:pPr>
      <w:r w:rsidRPr="00C13F18">
        <w:t>source rock and reservoir formations, lithology, depositional environment, age and depth;</w:t>
      </w:r>
      <w:r>
        <w:t xml:space="preserve"> and,</w:t>
      </w:r>
    </w:p>
    <w:p w14:paraId="058CF7A2" w14:textId="730FCEBF" w:rsidR="00D27769" w:rsidRPr="00C13F18" w:rsidRDefault="00D27769" w:rsidP="00E8799B">
      <w:pPr>
        <w:pStyle w:val="ListBullet"/>
      </w:pPr>
      <w:r w:rsidRPr="00C13F18">
        <w:t>source rock characteristics (</w:t>
      </w:r>
      <w:r w:rsidR="00786335" w:rsidRPr="00C13F18">
        <w:t>e.g.</w:t>
      </w:r>
      <w:r w:rsidRPr="00C13F18">
        <w:t xml:space="preserve"> TOC, HI, maturity, kerogen type).</w:t>
      </w:r>
    </w:p>
    <w:p w14:paraId="0C04A838" w14:textId="1C054E44" w:rsidR="00D27769" w:rsidRPr="00C13F18" w:rsidRDefault="00D27769" w:rsidP="00174635">
      <w:pPr>
        <w:pStyle w:val="BodyText"/>
      </w:pPr>
      <w:r w:rsidRPr="00C13F18">
        <w:t>This section presents a synthesis of the basin geology and shale and tight gas prospectivity results of the basin audit</w:t>
      </w:r>
      <w:r w:rsidR="002462CA">
        <w:t>. F</w:t>
      </w:r>
      <w:r w:rsidRPr="00C13F18">
        <w:t>urther details</w:t>
      </w:r>
      <w:r w:rsidR="002462CA">
        <w:t xml:space="preserve"> and references</w:t>
      </w:r>
      <w:r w:rsidRPr="00C13F18">
        <w:t xml:space="preserve"> are presented for each of the nine basins in </w:t>
      </w:r>
      <w:r>
        <w:t>Appendix C.</w:t>
      </w:r>
    </w:p>
    <w:p w14:paraId="29B61FD2" w14:textId="77777777" w:rsidR="00D27769" w:rsidRPr="00E8799B" w:rsidRDefault="00D27769" w:rsidP="00D27769">
      <w:pPr>
        <w:pStyle w:val="Heading5"/>
      </w:pPr>
      <w:r w:rsidRPr="00E8799B">
        <w:lastRenderedPageBreak/>
        <w:t>Amadeus Basin</w:t>
      </w:r>
    </w:p>
    <w:p w14:paraId="4AEF8CF6" w14:textId="6CBC90A2" w:rsidR="00D27769" w:rsidRPr="00C13F18" w:rsidRDefault="00D27769" w:rsidP="00174635">
      <w:pPr>
        <w:pStyle w:val="BodyText"/>
      </w:pPr>
      <w:r w:rsidRPr="00C13F18">
        <w:t>The Neoproterozoic to Late Devonian Amadeus Basin is located mainly in the Northern Territory. It contains up to 14 km of clastic, carbonate and evaporitic sedimentary rocks that were deposited in shallow marine to continental environments</w:t>
      </w:r>
      <w:r w:rsidR="00F47FB1">
        <w:t xml:space="preserve"> (</w:t>
      </w:r>
      <w:r w:rsidR="00F47FB1" w:rsidRPr="0083382B">
        <w:t>Edgoose, 2013; Munson, 2014</w:t>
      </w:r>
      <w:r w:rsidR="005E1B62">
        <w:t>)</w:t>
      </w:r>
      <w:r w:rsidR="0072343D">
        <w:t>.</w:t>
      </w:r>
      <w:r w:rsidR="005E1B62">
        <w:t xml:space="preserve"> </w:t>
      </w:r>
      <w:r w:rsidRPr="00C13F18">
        <w:t xml:space="preserve">The basin is a producing hydrocarbon province currently supplying gas and oil to </w:t>
      </w:r>
      <w:r>
        <w:t>Darwin</w:t>
      </w:r>
      <w:r w:rsidRPr="00C13F18">
        <w:t>. Unconventional exploration interest is focused on shale and tight gas plays in the upper Cambrian-lower Ordovician Larapinta Group</w:t>
      </w:r>
      <w:r w:rsidR="00F47FB1">
        <w:t xml:space="preserve"> (</w:t>
      </w:r>
      <w:r w:rsidR="00F47FB1" w:rsidRPr="003739CA">
        <w:t>Central Petroleum, 2017</w:t>
      </w:r>
      <w:r w:rsidR="005E1B62">
        <w:t>)</w:t>
      </w:r>
      <w:r w:rsidR="0072343D">
        <w:t>.</w:t>
      </w:r>
      <w:r w:rsidR="005E1B62">
        <w:t xml:space="preserve"> </w:t>
      </w:r>
      <w:r w:rsidRPr="00C13F18">
        <w:t>No contingent shale or tight gas resources have been recorded for the basin</w:t>
      </w:r>
      <w:r>
        <w:t>, although</w:t>
      </w:r>
      <w:r w:rsidRPr="00C13F18">
        <w:t xml:space="preserve"> </w:t>
      </w:r>
      <w:r w:rsidR="00EA0558" w:rsidRPr="00EA0558">
        <w:t xml:space="preserve">a total mean prospective technically recoverable resource of 26.2 Tcf of gas </w:t>
      </w:r>
      <w:r w:rsidR="00EA0558">
        <w:t xml:space="preserve">has been estimated for the </w:t>
      </w:r>
      <w:r w:rsidR="00EA0558" w:rsidRPr="00EA0558">
        <w:t>lower Larapinta Group</w:t>
      </w:r>
      <w:r w:rsidR="00EA0558">
        <w:t xml:space="preserve"> (AERA 2018). This </w:t>
      </w:r>
      <w:r w:rsidR="00EA0558" w:rsidRPr="00EA0558">
        <w:t>includes 11.3 Tcf of</w:t>
      </w:r>
      <w:r w:rsidR="00EA0558">
        <w:t xml:space="preserve"> shale gas in the</w:t>
      </w:r>
      <w:r w:rsidR="00EA0558" w:rsidRPr="00EA0558">
        <w:t xml:space="preserve"> Horn Valley Siltstone (prospective area 7,395 km</w:t>
      </w:r>
      <w:r w:rsidR="00EA0558" w:rsidRPr="00EA0558">
        <w:rPr>
          <w:vertAlign w:val="superscript"/>
        </w:rPr>
        <w:t>2</w:t>
      </w:r>
      <w:r w:rsidR="00EA0558" w:rsidRPr="00EA0558">
        <w:t xml:space="preserve">), 9.8 Tcf of </w:t>
      </w:r>
      <w:r w:rsidR="00EA0558">
        <w:t xml:space="preserve">tight gas in the </w:t>
      </w:r>
      <w:r w:rsidR="00EA0558" w:rsidRPr="00EA0558">
        <w:t>Pacoota Sandstone (prospective area 3,440 km</w:t>
      </w:r>
      <w:r w:rsidR="00EA0558" w:rsidRPr="00EA0558">
        <w:rPr>
          <w:vertAlign w:val="superscript"/>
        </w:rPr>
        <w:t>2</w:t>
      </w:r>
      <w:r w:rsidR="00EA0558" w:rsidRPr="00EA0558">
        <w:t xml:space="preserve">) and 5.1 Tcf of </w:t>
      </w:r>
      <w:r w:rsidR="00EA0558">
        <w:t xml:space="preserve">tight gas in </w:t>
      </w:r>
      <w:r w:rsidR="00EA0558" w:rsidRPr="00EA0558">
        <w:t>Stairway Sandstone (prospective area 3,440 km</w:t>
      </w:r>
      <w:r w:rsidR="00EA0558" w:rsidRPr="00EA0558">
        <w:rPr>
          <w:vertAlign w:val="superscript"/>
        </w:rPr>
        <w:t>2</w:t>
      </w:r>
      <w:r w:rsidR="00B7389C">
        <w:t>)</w:t>
      </w:r>
      <w:r w:rsidR="00EA0558" w:rsidRPr="00EA0558">
        <w:t xml:space="preserve"> </w:t>
      </w:r>
      <w:r w:rsidR="00F47FB1">
        <w:t>(</w:t>
      </w:r>
      <w:r w:rsidR="00F47FB1" w:rsidRPr="008021A7">
        <w:t>DSWPET, 2011</w:t>
      </w:r>
      <w:r w:rsidR="00F47FB1">
        <w:t>)</w:t>
      </w:r>
      <w:r w:rsidRPr="00C13F18">
        <w:t>.</w:t>
      </w:r>
    </w:p>
    <w:p w14:paraId="62FF92C1" w14:textId="77777777" w:rsidR="00D27769" w:rsidRPr="00E8799B" w:rsidRDefault="00D27769" w:rsidP="00D27769">
      <w:pPr>
        <w:pStyle w:val="Heading5"/>
      </w:pPr>
      <w:r w:rsidRPr="00E8799B">
        <w:t>Bowen Basin</w:t>
      </w:r>
    </w:p>
    <w:p w14:paraId="01ADEAB5" w14:textId="3957DF9A" w:rsidR="00D27769" w:rsidRPr="00C13F18" w:rsidRDefault="00D27769" w:rsidP="00174635">
      <w:pPr>
        <w:pStyle w:val="BodyText"/>
      </w:pPr>
      <w:r w:rsidRPr="00C13F18">
        <w:t>The Permian–Triassic Bowen Basin is located in southeastern Queensland and extends into northern New South Wales.</w:t>
      </w:r>
      <w:r>
        <w:t xml:space="preserve"> The basin contains up to 10 km</w:t>
      </w:r>
      <w:r w:rsidRPr="00C13F18">
        <w:t xml:space="preserve"> of shallow marine to terrestrial clastic sediments including important coal resources, and is overlain by the Surat Basin</w:t>
      </w:r>
      <w:r w:rsidR="00F47FB1">
        <w:t xml:space="preserve"> (</w:t>
      </w:r>
      <w:r w:rsidR="00F47FB1" w:rsidRPr="003739CA">
        <w:t xml:space="preserve">Korsch and </w:t>
      </w:r>
      <w:r w:rsidR="00F47FB1">
        <w:t xml:space="preserve">Totterdell, 2009; </w:t>
      </w:r>
      <w:r w:rsidR="004C71B8">
        <w:t>Jell</w:t>
      </w:r>
      <w:r w:rsidR="00F47FB1">
        <w:t>, 2013</w:t>
      </w:r>
      <w:r w:rsidR="005E1B62">
        <w:t>)</w:t>
      </w:r>
      <w:r w:rsidR="0072343D">
        <w:t>.</w:t>
      </w:r>
      <w:r w:rsidR="005E1B62">
        <w:t xml:space="preserve"> </w:t>
      </w:r>
      <w:r w:rsidRPr="00C13F18">
        <w:t xml:space="preserve">The Bowen Basin succession contains multiple proven and potential </w:t>
      </w:r>
      <w:r w:rsidRPr="00C13F18">
        <w:lastRenderedPageBreak/>
        <w:t>source rocks, particularly within the upper Permian coal measures</w:t>
      </w:r>
      <w:r w:rsidR="00F47FB1">
        <w:t xml:space="preserve"> (DNRM, 2017</w:t>
      </w:r>
      <w:r w:rsidR="005E1B62">
        <w:t>)</w:t>
      </w:r>
      <w:r w:rsidR="0072343D">
        <w:t>.</w:t>
      </w:r>
      <w:r w:rsidR="005E1B62">
        <w:t xml:space="preserve"> </w:t>
      </w:r>
      <w:r w:rsidRPr="00C13F18">
        <w:t xml:space="preserve">The basin is an established hydrocarbon province (Gondwanan petroleum system) hosting &gt;100 conventional oil and gas discoveries and provides conventional and coal seam gas to the </w:t>
      </w:r>
      <w:r w:rsidR="00432D5D">
        <w:t>East Coast Gas Market</w:t>
      </w:r>
      <w:r w:rsidRPr="00C13F18">
        <w:t>. Unconventional exploration in the basin is at an early stage, with the focus on tight and some shale gas plays in the Taroom Trough.</w:t>
      </w:r>
      <w:r w:rsidR="00F47FB1">
        <w:t xml:space="preserve"> </w:t>
      </w:r>
      <w:r w:rsidR="00F47FB1" w:rsidRPr="00F47FB1">
        <w:t>Prospective shale gas resources from the Black Alley Shale have been estimated at 97 Tcf over an area of 51,252 km</w:t>
      </w:r>
      <w:r w:rsidR="00F47FB1" w:rsidRPr="00F47FB1">
        <w:rPr>
          <w:rStyle w:val="Superscript"/>
        </w:rPr>
        <w:t>2</w:t>
      </w:r>
      <w:r w:rsidR="00F47FB1" w:rsidRPr="00F47FB1">
        <w:t xml:space="preserve"> (AWT International, 2013</w:t>
      </w:r>
      <w:r w:rsidR="00EA0558">
        <w:t>; AERA, 2018</w:t>
      </w:r>
      <w:r w:rsidR="00F47FB1" w:rsidRPr="00F47FB1">
        <w:t>).</w:t>
      </w:r>
    </w:p>
    <w:p w14:paraId="0811C726" w14:textId="77777777" w:rsidR="00D27769" w:rsidRPr="00E8799B" w:rsidRDefault="00D27769" w:rsidP="00D27769">
      <w:pPr>
        <w:pStyle w:val="Heading5"/>
      </w:pPr>
      <w:r w:rsidRPr="00E8799B">
        <w:t>Clarence-Moreton Basin</w:t>
      </w:r>
    </w:p>
    <w:p w14:paraId="2D11A26C" w14:textId="1D9A08FF" w:rsidR="00D27769" w:rsidRPr="00C13F18" w:rsidRDefault="00D27769" w:rsidP="00174635">
      <w:pPr>
        <w:pStyle w:val="BodyText"/>
      </w:pPr>
      <w:r w:rsidRPr="00C13F18">
        <w:t>The Triassic–Cretaceous Clarence-Moreton Basin is located in northeastern New South Wales and southeastern Queensland, and adjoins the Surat Basin in the west. The basin contains up to 4 km of dominantly fluvio-lacustrine sedimentary rocks, and includes some rich potential source rocks</w:t>
      </w:r>
      <w:r w:rsidR="00F47FB1">
        <w:t xml:space="preserve"> (</w:t>
      </w:r>
      <w:r w:rsidR="00052807">
        <w:rPr>
          <w:lang w:eastAsia="ja-JP"/>
        </w:rPr>
        <w:t>Wells and O’Brien,</w:t>
      </w:r>
      <w:r w:rsidR="00F47FB1">
        <w:rPr>
          <w:lang w:eastAsia="ja-JP"/>
        </w:rPr>
        <w:t xml:space="preserve"> 1994</w:t>
      </w:r>
      <w:r w:rsidR="005E1B62">
        <w:rPr>
          <w:lang w:eastAsia="ja-JP"/>
        </w:rPr>
        <w:t>)</w:t>
      </w:r>
      <w:r w:rsidR="0072343D">
        <w:rPr>
          <w:lang w:eastAsia="ja-JP"/>
        </w:rPr>
        <w:t>.</w:t>
      </w:r>
      <w:r w:rsidR="005E1B62">
        <w:rPr>
          <w:lang w:eastAsia="ja-JP"/>
        </w:rPr>
        <w:t xml:space="preserve"> </w:t>
      </w:r>
      <w:r w:rsidRPr="00C13F18">
        <w:t>The basin is relatively poorly explored for conventional hydrocarbons</w:t>
      </w:r>
      <w:r>
        <w:t xml:space="preserve">, but </w:t>
      </w:r>
      <w:r w:rsidRPr="00C13F18">
        <w:t>drilling has resulted in abundant gas and minor oil shows and one discovery. Unconventional exploration is at a very early stage in the basin, with some tight gas intervals intersected in the lower Jurassic section.</w:t>
      </w:r>
      <w:r w:rsidR="002C2CDB">
        <w:t xml:space="preserve"> </w:t>
      </w:r>
      <w:r w:rsidR="002C2CDB" w:rsidRPr="003739CA">
        <w:t xml:space="preserve">The Koukandowie and Raceview formations have been proposed as potential shale gas plays with a best estimate prospective recoverable shale gas resource of 11 Tcf and 10 Tcf respectively </w:t>
      </w:r>
      <w:r w:rsidR="00EA0558" w:rsidRPr="00F47FB1">
        <w:t xml:space="preserve">over an area of </w:t>
      </w:r>
      <w:r w:rsidR="00EA0558">
        <w:t>4,407</w:t>
      </w:r>
      <w:r w:rsidR="00EA0558" w:rsidRPr="00F47FB1">
        <w:t xml:space="preserve"> km</w:t>
      </w:r>
      <w:r w:rsidR="00EA0558" w:rsidRPr="00F47FB1">
        <w:rPr>
          <w:rStyle w:val="Superscript"/>
        </w:rPr>
        <w:t>2</w:t>
      </w:r>
      <w:r w:rsidR="00EA0558" w:rsidRPr="00F47FB1">
        <w:t xml:space="preserve"> </w:t>
      </w:r>
      <w:r w:rsidR="002C2CDB" w:rsidRPr="003739CA">
        <w:t>(AWT</w:t>
      </w:r>
      <w:r w:rsidR="002C2CDB">
        <w:t xml:space="preserve"> International</w:t>
      </w:r>
      <w:r w:rsidR="002C2CDB" w:rsidRPr="003739CA">
        <w:t>, 2013</w:t>
      </w:r>
      <w:r w:rsidR="00EA0558">
        <w:t>; AERA, 2018</w:t>
      </w:r>
      <w:r w:rsidR="002C2CDB" w:rsidRPr="003739CA">
        <w:t>).</w:t>
      </w:r>
    </w:p>
    <w:p w14:paraId="1890DAC0" w14:textId="77777777" w:rsidR="00D27769" w:rsidRPr="00E8799B" w:rsidRDefault="00D27769" w:rsidP="00D27769">
      <w:pPr>
        <w:pStyle w:val="Heading5"/>
      </w:pPr>
      <w:r w:rsidRPr="00E8799B">
        <w:lastRenderedPageBreak/>
        <w:t>Cooper Basin</w:t>
      </w:r>
    </w:p>
    <w:p w14:paraId="0824B3F5" w14:textId="1B72C91C" w:rsidR="00D27769" w:rsidRPr="00C13F18" w:rsidRDefault="00D27769" w:rsidP="00174635">
      <w:pPr>
        <w:pStyle w:val="BodyText"/>
      </w:pPr>
      <w:r w:rsidRPr="00C13F18">
        <w:t>The upper Carboniferous–Middle Triassic Cooper Basin is located in northeastern South Australia and southwestern Queensland. The basin contains in excess of 4.5 km of dominantly fluvial</w:t>
      </w:r>
      <w:r>
        <w:t>–</w:t>
      </w:r>
      <w:r w:rsidRPr="00C13F18">
        <w:t>lacustrine sedimentary rocks, including thick coal measures, and is overlain by the Eromanga Basin</w:t>
      </w:r>
      <w:r w:rsidR="004C71B8">
        <w:t xml:space="preserve"> (</w:t>
      </w:r>
      <w:r w:rsidR="004C71B8" w:rsidRPr="00C9623F">
        <w:t>Gravestock et al,. 1998; Jell, 2013</w:t>
      </w:r>
      <w:r w:rsidR="004C71B8">
        <w:t>; Hall et al., 2015, 2016a</w:t>
      </w:r>
      <w:r w:rsidR="005E1B62">
        <w:t>)</w:t>
      </w:r>
      <w:r w:rsidR="00271D18">
        <w:t>.</w:t>
      </w:r>
      <w:r w:rsidR="005E1B62">
        <w:t xml:space="preserve"> </w:t>
      </w:r>
      <w:r w:rsidRPr="00C13F18">
        <w:t xml:space="preserve">The Cooper–Eromanga Basin has a proven petroleum system (Gondwanan) and is Australia’s premier onshore conventional hydrocarbon province, providing gas to the </w:t>
      </w:r>
      <w:r w:rsidR="000A0A6D">
        <w:t>East Coast Gas Market</w:t>
      </w:r>
      <w:r w:rsidRPr="00C13F18">
        <w:t>. Currently, 256 gas fields and 166 oil fields are in production. The Cooper Basin also hosts a range of unconventional play types including basin</w:t>
      </w:r>
      <w:r w:rsidRPr="00C13F18">
        <w:noBreakHyphen/>
        <w:t xml:space="preserve">centred gas and tight gas, deep </w:t>
      </w:r>
      <w:r>
        <w:t xml:space="preserve">(&gt; 2,000 m) </w:t>
      </w:r>
      <w:r w:rsidRPr="00C13F18">
        <w:t>coal gas, and shale gas plays</w:t>
      </w:r>
      <w:r w:rsidR="004C71B8">
        <w:t xml:space="preserve"> (Goldstein et al., 2012; Hall et al., 2016b</w:t>
      </w:r>
      <w:r w:rsidR="005E1B62">
        <w:t>)</w:t>
      </w:r>
      <w:r w:rsidR="00271D18">
        <w:t>.</w:t>
      </w:r>
      <w:r w:rsidR="005E1B62">
        <w:t xml:space="preserve"> </w:t>
      </w:r>
      <w:r w:rsidRPr="00C13F18">
        <w:t>There has been extensive exploration for both shale and tight gas in the South Australian part of the basin and a more limited amount in the Queensland portion.</w:t>
      </w:r>
      <w:r w:rsidR="00D205D1">
        <w:t xml:space="preserve"> </w:t>
      </w:r>
      <w:r w:rsidR="001F2978">
        <w:t xml:space="preserve">A total of </w:t>
      </w:r>
      <w:r w:rsidR="001F2978" w:rsidRPr="00CF20D5">
        <w:t>9.58</w:t>
      </w:r>
      <w:r w:rsidR="001F2978">
        <w:t xml:space="preserve"> Tcf of 2C resources have been booked for the basin</w:t>
      </w:r>
      <w:r w:rsidR="00980836">
        <w:t xml:space="preserve"> by a range of companies</w:t>
      </w:r>
      <w:r w:rsidR="001F2978">
        <w:t xml:space="preserve"> and p</w:t>
      </w:r>
      <w:r w:rsidR="00D205D1" w:rsidRPr="00D205D1">
        <w:t xml:space="preserve">otentially recoverable shale </w:t>
      </w:r>
      <w:r w:rsidR="00D205D1">
        <w:t xml:space="preserve">and tight </w:t>
      </w:r>
      <w:r w:rsidR="00D205D1" w:rsidRPr="00D205D1">
        <w:t>gas</w:t>
      </w:r>
      <w:r w:rsidR="00204B9B">
        <w:t>-in-place</w:t>
      </w:r>
      <w:r w:rsidR="00D205D1" w:rsidRPr="00D205D1">
        <w:t xml:space="preserve"> </w:t>
      </w:r>
      <w:r w:rsidR="00D205D1">
        <w:t xml:space="preserve">resources are estimated at </w:t>
      </w:r>
      <w:r w:rsidR="00D205D1" w:rsidRPr="00D205D1">
        <w:t xml:space="preserve">7 Tcf and </w:t>
      </w:r>
      <w:r w:rsidR="00D205D1">
        <w:t>51 Tcf respectively (</w:t>
      </w:r>
      <w:r w:rsidR="00EA0558">
        <w:t xml:space="preserve">refer to Appendix A for prospective areas; </w:t>
      </w:r>
      <w:r w:rsidR="00567A5E">
        <w:t xml:space="preserve">calculated with a 5% recovery factor at P50; </w:t>
      </w:r>
      <w:r w:rsidR="00D205D1">
        <w:t>AERA, 2018</w:t>
      </w:r>
      <w:r w:rsidR="00D205D1" w:rsidRPr="00D205D1">
        <w:t>).</w:t>
      </w:r>
    </w:p>
    <w:p w14:paraId="031882AE" w14:textId="77777777" w:rsidR="00D27769" w:rsidRPr="00E8799B" w:rsidRDefault="00D27769" w:rsidP="00D27769">
      <w:pPr>
        <w:pStyle w:val="Heading5"/>
      </w:pPr>
      <w:r w:rsidRPr="00E8799B">
        <w:t>Georgina Basin</w:t>
      </w:r>
    </w:p>
    <w:p w14:paraId="5E59FFAC" w14:textId="7C1FC609" w:rsidR="00D27769" w:rsidRPr="00C13F18" w:rsidRDefault="00D27769" w:rsidP="00174635">
      <w:pPr>
        <w:pStyle w:val="BodyText"/>
      </w:pPr>
      <w:r w:rsidRPr="00C13F18">
        <w:t xml:space="preserve">The Neoproterozoic–Devonian Georgina Basin is located in the Northern Territory and Queensland. The basin contains up to 4 km of marine, fluvial and </w:t>
      </w:r>
      <w:r w:rsidRPr="00C13F18">
        <w:lastRenderedPageBreak/>
        <w:t>glacial sediments. Although the basin is relatively under-explored, it contains rich marine source rocks and a proven Cambrian petroleum system (Larapintine)</w:t>
      </w:r>
      <w:r w:rsidR="001E2DAE">
        <w:t xml:space="preserve"> (Munson et al., 2013</w:t>
      </w:r>
      <w:r w:rsidR="005E1B62">
        <w:t>)</w:t>
      </w:r>
      <w:r w:rsidR="00271D18">
        <w:t>.</w:t>
      </w:r>
      <w:r w:rsidR="005E1B62">
        <w:t xml:space="preserve"> </w:t>
      </w:r>
      <w:r w:rsidRPr="00C13F18">
        <w:t xml:space="preserve">Recent exploration in the Georgina Basin has mainly focused on unconventional hydrocarbons </w:t>
      </w:r>
      <w:r w:rsidR="001E2DAE">
        <w:t xml:space="preserve">(Willink and Allison, 2015), </w:t>
      </w:r>
      <w:r w:rsidRPr="00C13F18">
        <w:t>with ~22 wells drilled in the southern Georgina Basin targeting shale oil, shale gas and basin-centred gas plays. However, drilling results to date have met with mixed success, and uncertainties due to lack of geological knowledge in this data poor area are considerable.</w:t>
      </w:r>
      <w:r w:rsidR="001E2DAE">
        <w:t xml:space="preserve"> Several regional scale prospective resource estimates have been published for shale gas plays in the Georgina Basin</w:t>
      </w:r>
      <w:r w:rsidR="00BE0777">
        <w:t xml:space="preserve"> </w:t>
      </w:r>
      <w:r w:rsidR="001E2DAE">
        <w:t xml:space="preserve">(e.g. </w:t>
      </w:r>
      <w:r w:rsidR="001E2DAE" w:rsidRPr="005450A3">
        <w:t>DSWPET, 2011</w:t>
      </w:r>
      <w:r w:rsidR="001E2DAE">
        <w:t xml:space="preserve">; </w:t>
      </w:r>
      <w:r w:rsidR="001E2DAE" w:rsidRPr="005450A3">
        <w:t>AWT International, 2013</w:t>
      </w:r>
      <w:r w:rsidR="00271D18">
        <w:t>);</w:t>
      </w:r>
      <w:r w:rsidR="001E2DAE">
        <w:t xml:space="preserve"> however these were conducted prior to recent drilling results.</w:t>
      </w:r>
    </w:p>
    <w:p w14:paraId="3DB2635C" w14:textId="77777777" w:rsidR="00D27769" w:rsidRPr="00E8799B" w:rsidRDefault="00D27769" w:rsidP="00D27769">
      <w:pPr>
        <w:pStyle w:val="Heading5"/>
      </w:pPr>
      <w:r w:rsidRPr="00E8799B">
        <w:t>Gippsland Basin (onshore)</w:t>
      </w:r>
    </w:p>
    <w:p w14:paraId="7F9A8880" w14:textId="74E367A7" w:rsidR="00D27769" w:rsidRPr="00C13F18" w:rsidRDefault="00D27769" w:rsidP="00174635">
      <w:pPr>
        <w:pStyle w:val="BodyText"/>
      </w:pPr>
      <w:r w:rsidRPr="00C13F18">
        <w:t>The Cretaceous–Cenozoic onshore Gippsland Basin is located in eastern Victoria. The onshore basin contains up to 4 km of clastic and carbonate sedimentary rocks deposited in fluvial, deltaic and marine environments. The offshore part of the basin has a proven petroleum system (Austral 2 and 3) and is one of Australia’s premier hydrocarbon provinces, hosting several giant oil and gas fields. Although numerous oil and gas shows have been recorded in wells drilled in the onshore part of the basin, no conventional discoveries have been made since relatively small volumes of oil were produced at Lakes Entrance in the 1920s and 1930s. Limited unconventional exploration has been undertaken in the onshore basin</w:t>
      </w:r>
      <w:r w:rsidR="005B4F3D">
        <w:t>,</w:t>
      </w:r>
      <w:r w:rsidR="00BE0777">
        <w:t xml:space="preserve"> </w:t>
      </w:r>
      <w:r w:rsidRPr="00C13F18">
        <w:t>targeting tight gas in the Lower Cretaceous Strzelecki Group</w:t>
      </w:r>
      <w:r w:rsidR="00BE0777">
        <w:t xml:space="preserve"> </w:t>
      </w:r>
      <w:r w:rsidR="00BE0777" w:rsidRPr="003739CA">
        <w:t>in the Seaspray Depression</w:t>
      </w:r>
      <w:r w:rsidR="005B4F3D">
        <w:t xml:space="preserve"> (Goldie Divko, 2015)</w:t>
      </w:r>
      <w:r w:rsidRPr="00C13F18">
        <w:t>, with 2C resources of ~0.72 Tcf reported</w:t>
      </w:r>
      <w:r>
        <w:t xml:space="preserve"> </w:t>
      </w:r>
      <w:r w:rsidR="00BE0777">
        <w:t xml:space="preserve">for the </w:t>
      </w:r>
      <w:r w:rsidR="00BE0777" w:rsidRPr="003739CA">
        <w:t xml:space="preserve">Trifon-Gangell </w:t>
      </w:r>
      <w:r w:rsidR="00BE0777">
        <w:t xml:space="preserve">and Wombat </w:t>
      </w:r>
      <w:r w:rsidR="00BE0777" w:rsidRPr="003739CA">
        <w:t>accumulation</w:t>
      </w:r>
      <w:r w:rsidR="00BE0777">
        <w:t xml:space="preserve">s </w:t>
      </w:r>
      <w:r>
        <w:t>(</w:t>
      </w:r>
      <w:r w:rsidR="001E2DAE" w:rsidRPr="003739CA">
        <w:t>Lakes Oil, 2017</w:t>
      </w:r>
      <w:r w:rsidR="005E1B62">
        <w:t>)</w:t>
      </w:r>
      <w:r w:rsidR="00271D18">
        <w:t>.</w:t>
      </w:r>
      <w:r w:rsidR="005E1B62">
        <w:t xml:space="preserve"> </w:t>
      </w:r>
      <w:r w:rsidR="00BE0777" w:rsidRPr="003739CA">
        <w:t xml:space="preserve">A recent volumetric </w:t>
      </w:r>
      <w:r w:rsidR="00BE0777" w:rsidRPr="0045199C">
        <w:t xml:space="preserve">study by Geoscience Australia based on publicly available data estimates the </w:t>
      </w:r>
      <w:r w:rsidR="00204B9B">
        <w:t>potentially recoverable</w:t>
      </w:r>
      <w:r w:rsidR="00BE0777" w:rsidRPr="0045199C">
        <w:t xml:space="preserve"> tight and shale gas</w:t>
      </w:r>
      <w:r w:rsidR="00204B9B">
        <w:t>-in-place</w:t>
      </w:r>
      <w:r w:rsidR="00BE0777" w:rsidRPr="0045199C">
        <w:t xml:space="preserve"> resources in the Strzelecki Group </w:t>
      </w:r>
      <w:r w:rsidR="00567A5E">
        <w:t>at</w:t>
      </w:r>
      <w:r w:rsidR="00BE0777" w:rsidRPr="0045199C">
        <w:t xml:space="preserve"> 13.</w:t>
      </w:r>
      <w:r w:rsidR="00567A5E">
        <w:t>6 Tcf and 5.6 Tcf respectively (</w:t>
      </w:r>
      <w:r w:rsidR="00F2712A">
        <w:t xml:space="preserve">refer to Appendix A for prospective areas; </w:t>
      </w:r>
      <w:r w:rsidR="00567A5E">
        <w:t xml:space="preserve">calculated with a 5% recovery factor at P50; </w:t>
      </w:r>
      <w:r w:rsidR="00BE0777">
        <w:t>AERA</w:t>
      </w:r>
      <w:r w:rsidR="00BE0777" w:rsidRPr="0045199C">
        <w:t>, 201</w:t>
      </w:r>
      <w:r w:rsidR="00BE0777">
        <w:t>8</w:t>
      </w:r>
      <w:r w:rsidR="005E1B62">
        <w:t>)</w:t>
      </w:r>
      <w:r w:rsidR="00271D18">
        <w:t>.</w:t>
      </w:r>
      <w:r w:rsidR="005E1B62">
        <w:t xml:space="preserve"> </w:t>
      </w:r>
      <w:r w:rsidR="00BE0777">
        <w:t xml:space="preserve">However if present, all prospective shale gas resources and any prospective tight gas resources located away from the Seaspray depression are considered to be speculative to be considered viable for development within a 10 year timeframe. </w:t>
      </w:r>
    </w:p>
    <w:p w14:paraId="66738CA9" w14:textId="1CFC7CFB" w:rsidR="00D27769" w:rsidRPr="00E8799B" w:rsidRDefault="00D27769" w:rsidP="00D27769">
      <w:pPr>
        <w:pStyle w:val="Heading5"/>
      </w:pPr>
      <w:r w:rsidRPr="00E8799B">
        <w:t>Isa Superbasin</w:t>
      </w:r>
    </w:p>
    <w:p w14:paraId="79E81A77" w14:textId="03558A8D" w:rsidR="00D27769" w:rsidRPr="00C13F18" w:rsidRDefault="00D27769" w:rsidP="00174635">
      <w:pPr>
        <w:pStyle w:val="BodyText"/>
      </w:pPr>
      <w:r w:rsidRPr="00C13F18">
        <w:t>The Paleo-Mesoproterozoic Isa Superbasin is located in northwestern Queensland</w:t>
      </w:r>
      <w:r w:rsidR="0029551E">
        <w:t xml:space="preserve"> and </w:t>
      </w:r>
      <w:r w:rsidR="0029551E" w:rsidRPr="003739CA">
        <w:t>is part of the complex M</w:t>
      </w:r>
      <w:r w:rsidR="00B77510">
        <w:t>oun</w:t>
      </w:r>
      <w:r w:rsidR="0029551E" w:rsidRPr="003739CA">
        <w:t>t Isa Province</w:t>
      </w:r>
      <w:r w:rsidR="0029551E">
        <w:t xml:space="preserve">. The superbasin </w:t>
      </w:r>
      <w:r w:rsidR="0029551E" w:rsidRPr="003739CA">
        <w:t>extends approximately 300</w:t>
      </w:r>
      <w:r w:rsidR="0029551E">
        <w:t> km</w:t>
      </w:r>
      <w:r w:rsidR="0029551E" w:rsidRPr="003739CA">
        <w:t xml:space="preserve"> from the eastern Leichhardt River Fault Trough through to the Murphy Tectonic </w:t>
      </w:r>
      <w:r w:rsidR="005B4F3D" w:rsidRPr="003739CA">
        <w:t>Ridge</w:t>
      </w:r>
      <w:r w:rsidR="005B4F3D">
        <w:t>;</w:t>
      </w:r>
      <w:r w:rsidR="0029551E">
        <w:t xml:space="preserve"> however</w:t>
      </w:r>
      <w:r w:rsidR="00317DBC">
        <w:t xml:space="preserve"> the superbasin</w:t>
      </w:r>
      <w:r w:rsidR="0029551E">
        <w:t xml:space="preserve"> boundary remains very poorly defined. </w:t>
      </w:r>
      <w:r w:rsidRPr="00C13F18">
        <w:t>The basin contains a shallow to deep marine succession up to 15 km thick, which includes rich potential source rocks containing over 5% T</w:t>
      </w:r>
      <w:r>
        <w:t>otal Organic Carbon (T</w:t>
      </w:r>
      <w:r w:rsidRPr="00C13F18">
        <w:t>OC</w:t>
      </w:r>
      <w:r>
        <w:t>)</w:t>
      </w:r>
      <w:r w:rsidR="00B85CAD">
        <w:t xml:space="preserve"> (</w:t>
      </w:r>
      <w:r w:rsidR="00B85CAD" w:rsidRPr="003739CA">
        <w:t>Betts and Lister, 2001; Southgate et al., 200</w:t>
      </w:r>
      <w:r w:rsidR="00B85CAD">
        <w:t>0</w:t>
      </w:r>
      <w:r w:rsidR="005E1B62">
        <w:t>)</w:t>
      </w:r>
      <w:r w:rsidR="00271D18">
        <w:t>.</w:t>
      </w:r>
      <w:r w:rsidR="005E1B62">
        <w:t xml:space="preserve"> </w:t>
      </w:r>
      <w:r w:rsidRPr="00C13F18">
        <w:t>Although the superbasin is poorly explored and has sparse data coverage, it has recently been the focus for frontier conventional and unconventional gas exploration in the relatively undeformed northern part of the superbasin. Drilling of shale gas targets has been successful with gas flowing from a multi-stage, hydraulically stimulated shale formation</w:t>
      </w:r>
      <w:r w:rsidR="001F2978">
        <w:t xml:space="preserve">. This has resulted in </w:t>
      </w:r>
      <w:r w:rsidR="00963A4C">
        <w:t>0.15</w:t>
      </w:r>
      <w:r w:rsidR="006D6686">
        <w:t> </w:t>
      </w:r>
      <w:r w:rsidR="001F2978">
        <w:t>Tcf of 2C resources begin booked for the basin</w:t>
      </w:r>
      <w:r w:rsidR="0029551E">
        <w:t>, in addition to reported prospective resources of 22.1 Tcf</w:t>
      </w:r>
      <w:r w:rsidR="0029551E" w:rsidRPr="002D4BDE">
        <w:t xml:space="preserve"> </w:t>
      </w:r>
      <w:r w:rsidR="0029551E">
        <w:t>for the</w:t>
      </w:r>
      <w:r w:rsidR="0029551E" w:rsidRPr="002D4BDE">
        <w:t xml:space="preserve"> Lawn Hill and Riversleigh Shale</w:t>
      </w:r>
      <w:r w:rsidR="0029551E">
        <w:t xml:space="preserve"> </w:t>
      </w:r>
      <w:r w:rsidR="00F2712A">
        <w:t xml:space="preserve">across permit </w:t>
      </w:r>
      <w:r w:rsidR="00F2712A" w:rsidRPr="002D4BDE">
        <w:t>ATP1087</w:t>
      </w:r>
      <w:r w:rsidR="00F2712A">
        <w:t xml:space="preserve"> </w:t>
      </w:r>
      <w:r w:rsidR="001F2978">
        <w:t>(Armour Energy, 2017).</w:t>
      </w:r>
    </w:p>
    <w:p w14:paraId="584C36B9" w14:textId="77777777" w:rsidR="00D27769" w:rsidRPr="00E8799B" w:rsidRDefault="00D27769" w:rsidP="00D27769">
      <w:pPr>
        <w:pStyle w:val="Heading5"/>
      </w:pPr>
      <w:r w:rsidRPr="00E8799B">
        <w:t>McArthur Basin</w:t>
      </w:r>
    </w:p>
    <w:p w14:paraId="7EDC3BD5" w14:textId="399B642E" w:rsidR="00D27769" w:rsidRDefault="00D27769" w:rsidP="00174635">
      <w:pPr>
        <w:pStyle w:val="BodyText"/>
      </w:pPr>
      <w:r w:rsidRPr="00782A74">
        <w:t xml:space="preserve">The </w:t>
      </w:r>
      <w:r>
        <w:t>Paleo-Mesoproterozoic McArthur Basin</w:t>
      </w:r>
      <w:r w:rsidRPr="00782A74">
        <w:t xml:space="preserve"> is </w:t>
      </w:r>
      <w:r>
        <w:t>located in the Northern Territory and Queensland; it includes the Beetaloo Sub-basin in the southwest. The McArthur Basin contains a mixed carbonate and siliciclastic succession approximately 12 km thick, which was deposited in shallow marine, fluvial and lacustrine environments</w:t>
      </w:r>
      <w:r w:rsidR="00F354D7">
        <w:t xml:space="preserve"> (</w:t>
      </w:r>
      <w:r w:rsidR="00F354D7" w:rsidRPr="003739CA">
        <w:t>Munson, 2014</w:t>
      </w:r>
      <w:r w:rsidR="005E1B62">
        <w:t>)</w:t>
      </w:r>
      <w:r w:rsidR="00271D18">
        <w:t>.</w:t>
      </w:r>
      <w:r w:rsidR="005E1B62">
        <w:t xml:space="preserve"> </w:t>
      </w:r>
      <w:r>
        <w:t xml:space="preserve">The basin </w:t>
      </w:r>
      <w:r w:rsidRPr="00C13F18">
        <w:t>contains</w:t>
      </w:r>
      <w:r>
        <w:t xml:space="preserve"> several rich source rocks (including the Barney Creek</w:t>
      </w:r>
      <w:r w:rsidR="00A65094">
        <w:t>,</w:t>
      </w:r>
      <w:r>
        <w:t xml:space="preserve"> Velkerri</w:t>
      </w:r>
      <w:r w:rsidR="00A65094">
        <w:t xml:space="preserve"> and Kyalla</w:t>
      </w:r>
      <w:r>
        <w:t xml:space="preserve"> formations) that have been the focus of unconventional exploration. More than 30 wells have been drilled, mainly in the Beetaloo Sub-basin where extended production testing of Amungee NW-1H led to the booking of </w:t>
      </w:r>
      <w:r w:rsidR="00B43612">
        <w:t>a gross 2C resource</w:t>
      </w:r>
      <w:r>
        <w:t xml:space="preserve"> of </w:t>
      </w:r>
      <w:r w:rsidR="002747DB">
        <w:t>6.6</w:t>
      </w:r>
      <w:r>
        <w:t xml:space="preserve"> Tcf</w:t>
      </w:r>
      <w:r w:rsidR="001F2978">
        <w:t xml:space="preserve"> (</w:t>
      </w:r>
      <w:r w:rsidR="00B43612">
        <w:t>equivalent to a net</w:t>
      </w:r>
      <w:r w:rsidR="00F2712A">
        <w:t xml:space="preserve"> share</w:t>
      </w:r>
      <w:r w:rsidR="00B43612">
        <w:t xml:space="preserve"> of 2.3 Tcf for Origin; </w:t>
      </w:r>
      <w:r w:rsidR="001F2978">
        <w:t>Close et al., 2017; Origin Energy, 2017</w:t>
      </w:r>
      <w:r w:rsidR="005E1B62">
        <w:t>)</w:t>
      </w:r>
      <w:r w:rsidR="00271D18">
        <w:t>.</w:t>
      </w:r>
      <w:r w:rsidR="005E1B62">
        <w:t xml:space="preserve"> </w:t>
      </w:r>
      <w:r w:rsidR="00503819">
        <w:t>T</w:t>
      </w:r>
      <w:r w:rsidR="00503819" w:rsidRPr="00503819">
        <w:t>he Northern Territory Geological Survey published gas-in-place (GIP) estimates for the middle Velkerri Formation of 202 Tcf (Revie, 2017a, b; Weatherford Laboratories, 2017).</w:t>
      </w:r>
    </w:p>
    <w:p w14:paraId="61F05868" w14:textId="77777777" w:rsidR="00D27769" w:rsidRPr="00E8799B" w:rsidRDefault="00D27769" w:rsidP="00D27769">
      <w:pPr>
        <w:pStyle w:val="Heading5"/>
      </w:pPr>
      <w:r w:rsidRPr="00E8799B">
        <w:t>Otway Basin (onshore)</w:t>
      </w:r>
    </w:p>
    <w:p w14:paraId="5C7C7B8D" w14:textId="22D2B1FB" w:rsidR="00D27769" w:rsidRPr="00C13F18" w:rsidRDefault="00D27769" w:rsidP="00174635">
      <w:pPr>
        <w:pStyle w:val="BodyText"/>
      </w:pPr>
      <w:r w:rsidRPr="00C13F18">
        <w:t xml:space="preserve">The Jurassic–Cenozoic onshore Otway Basin is located </w:t>
      </w:r>
      <w:r>
        <w:t xml:space="preserve">in </w:t>
      </w:r>
      <w:r w:rsidRPr="00C13F18">
        <w:t>Victoria and extends into southeast South Australia. The basin contains a fluvio-lacustrine, deltaic and marine, carbonate and clastic succession up to 4 km thick</w:t>
      </w:r>
      <w:r w:rsidR="00444E85">
        <w:t xml:space="preserve"> (</w:t>
      </w:r>
      <w:r w:rsidR="00444E85" w:rsidRPr="004C16C9">
        <w:t>Krassay et al., 2004</w:t>
      </w:r>
      <w:r w:rsidR="005E1B62">
        <w:t>)</w:t>
      </w:r>
      <w:r w:rsidR="00271D18">
        <w:t>.</w:t>
      </w:r>
      <w:r w:rsidR="005E1B62">
        <w:t xml:space="preserve"> </w:t>
      </w:r>
      <w:r w:rsidRPr="00C13F18">
        <w:t xml:space="preserve">The basin contains proven petroleum systems (Austral 1 and 2) and gas has been produced from conventional fields in Cretaceous sequences in the Penola Trough and Port Campbell Embayment. The majority of the 270 wells drilled in the onshore basin targeted conventional petroleum. Both the key conventional source rocks, and the main shale and tight gas targets, are the Casterton Formation–Crayfish </w:t>
      </w:r>
      <w:r>
        <w:t>Subg</w:t>
      </w:r>
      <w:r w:rsidRPr="00C13F18">
        <w:t>roup and Eumeralla Formation</w:t>
      </w:r>
      <w:r w:rsidR="00444E85">
        <w:t xml:space="preserve"> (</w:t>
      </w:r>
      <w:r w:rsidR="00444E85" w:rsidRPr="003739CA">
        <w:t>Goldstein et al., 2012</w:t>
      </w:r>
      <w:r w:rsidR="00444E85">
        <w:t>; Goldie Divko, 2015</w:t>
      </w:r>
      <w:r w:rsidR="005E1B62">
        <w:t>)</w:t>
      </w:r>
      <w:r w:rsidR="00271D18">
        <w:t>.</w:t>
      </w:r>
      <w:r w:rsidR="005E1B62">
        <w:t xml:space="preserve"> </w:t>
      </w:r>
      <w:r w:rsidR="00444E85">
        <w:t xml:space="preserve">The </w:t>
      </w:r>
      <w:r w:rsidR="00444E85" w:rsidRPr="00444E85">
        <w:t>potential</w:t>
      </w:r>
      <w:r w:rsidR="00444E85">
        <w:t>ly</w:t>
      </w:r>
      <w:r w:rsidR="00444E85" w:rsidRPr="00444E85">
        <w:t xml:space="preserve"> recoverable</w:t>
      </w:r>
      <w:r w:rsidR="00444E85">
        <w:t>,</w:t>
      </w:r>
      <w:r w:rsidR="00567A5E">
        <w:t xml:space="preserve"> tight and shale gas-in-place </w:t>
      </w:r>
      <w:r w:rsidR="00444E85" w:rsidRPr="00444E85">
        <w:t xml:space="preserve">resources </w:t>
      </w:r>
      <w:r w:rsidR="00444E85">
        <w:t xml:space="preserve">are estimated at </w:t>
      </w:r>
      <w:r w:rsidR="009F0DDA">
        <w:t>5.8</w:t>
      </w:r>
      <w:r w:rsidR="00444E85" w:rsidRPr="00444E85">
        <w:t xml:space="preserve"> Tcf and 1.</w:t>
      </w:r>
      <w:r w:rsidR="009F0DDA">
        <w:t>6</w:t>
      </w:r>
      <w:r w:rsidR="00444E85" w:rsidRPr="00444E85">
        <w:t xml:space="preserve"> Tcf respectively</w:t>
      </w:r>
      <w:r w:rsidR="00444E85">
        <w:t xml:space="preserve"> (</w:t>
      </w:r>
      <w:r w:rsidR="00B7389C">
        <w:t xml:space="preserve">refer to Appendix A for prospective areas; </w:t>
      </w:r>
      <w:r w:rsidR="00567A5E">
        <w:t xml:space="preserve">calculated with a 5% recovery factor at P50; </w:t>
      </w:r>
      <w:r w:rsidR="00444E85">
        <w:t>AERA, 2018).</w:t>
      </w:r>
    </w:p>
    <w:p w14:paraId="2E9CAE09" w14:textId="77777777" w:rsidR="00D27769" w:rsidRPr="00E8799B" w:rsidRDefault="00D27769" w:rsidP="00D27769">
      <w:pPr>
        <w:pStyle w:val="Heading4"/>
      </w:pPr>
      <w:r w:rsidRPr="00E8799B">
        <w:t>Basin geology and prospectivity prioritisation results</w:t>
      </w:r>
    </w:p>
    <w:p w14:paraId="4BCD52A1" w14:textId="77777777" w:rsidR="00D27769" w:rsidRPr="00C13F18" w:rsidRDefault="00D27769" w:rsidP="00174635">
      <w:pPr>
        <w:pStyle w:val="BodyText"/>
      </w:pPr>
      <w:r w:rsidRPr="00C13F18">
        <w:t>The results of the basin audit were used to assign a shale/ tight gas prospectivity ranking to each basin. Key factors considered in assessing regional shale and/or tight gas prospectivity included:</w:t>
      </w:r>
    </w:p>
    <w:p w14:paraId="1EE7CFA5" w14:textId="77777777" w:rsidR="00D27769" w:rsidRPr="00C13F18" w:rsidRDefault="00D27769" w:rsidP="00E8799B">
      <w:pPr>
        <w:pStyle w:val="ListBullet"/>
      </w:pPr>
      <w:r w:rsidRPr="00C13F18">
        <w:t>overall petroleum prospectivity;</w:t>
      </w:r>
    </w:p>
    <w:p w14:paraId="3E15A8A9" w14:textId="2BC140D0" w:rsidR="00D27769" w:rsidRPr="00C13F18" w:rsidRDefault="00D27769" w:rsidP="00E8799B">
      <w:pPr>
        <w:pStyle w:val="ListBullet"/>
      </w:pPr>
      <w:r w:rsidRPr="00C13F18">
        <w:t xml:space="preserve">estimated prospective resource area </w:t>
      </w:r>
      <w:r w:rsidR="003A2E9A">
        <w:t xml:space="preserve">which with the potential to be developed within a ten year timeframe, </w:t>
      </w:r>
      <w:r w:rsidRPr="00C13F18">
        <w:t>where such information was available from existing public domain sources;</w:t>
      </w:r>
    </w:p>
    <w:p w14:paraId="5FF42C51" w14:textId="77777777" w:rsidR="00D27769" w:rsidRPr="00C13F18" w:rsidRDefault="00D27769" w:rsidP="00E8799B">
      <w:pPr>
        <w:pStyle w:val="ListBullet"/>
      </w:pPr>
      <w:r w:rsidRPr="00C13F18">
        <w:t>prospective resources</w:t>
      </w:r>
      <w:r>
        <w:t>,</w:t>
      </w:r>
      <w:r w:rsidRPr="00C13F18">
        <w:t xml:space="preserve"> and</w:t>
      </w:r>
      <w:r>
        <w:t>;</w:t>
      </w:r>
    </w:p>
    <w:p w14:paraId="3554FFDC" w14:textId="407B59A4" w:rsidR="00D27769" w:rsidRPr="00C13F18" w:rsidRDefault="00BD6662" w:rsidP="00E8799B">
      <w:pPr>
        <w:pStyle w:val="ListBullet"/>
      </w:pPr>
      <w:r w:rsidRPr="00C13F18">
        <w:t>shale/tight gas exploration success to date.</w:t>
      </w:r>
    </w:p>
    <w:p w14:paraId="18E86BFF" w14:textId="77777777" w:rsidR="00D27769" w:rsidRPr="00C13F18" w:rsidRDefault="00D27769" w:rsidP="00174635">
      <w:pPr>
        <w:pStyle w:val="BodyText"/>
      </w:pPr>
      <w:r w:rsidRPr="00C13F18">
        <w:t xml:space="preserve"> “Shale and/or tight gas prospectivity” ranks are defined below.</w:t>
      </w:r>
    </w:p>
    <w:p w14:paraId="2783DDA5" w14:textId="41EFED79" w:rsidR="00D27769" w:rsidRPr="00C13F18" w:rsidRDefault="00D27769" w:rsidP="00E8799B">
      <w:pPr>
        <w:pStyle w:val="ListBullet"/>
      </w:pPr>
      <w:r w:rsidRPr="00C13F18">
        <w:rPr>
          <w:rStyle w:val="Bold"/>
        </w:rPr>
        <w:t>High:</w:t>
      </w:r>
      <w:r w:rsidRPr="00C13F18">
        <w:t xml:space="preserve"> overall prospectivity is high; large prospective resource area for shale/ tight gas</w:t>
      </w:r>
      <w:r w:rsidR="003A2E9A">
        <w:t xml:space="preserve"> which may be suitable for development in a ten year timeframe</w:t>
      </w:r>
      <w:r w:rsidRPr="00C13F18">
        <w:t xml:space="preserve"> (&gt;20,00</w:t>
      </w:r>
      <w:r>
        <w:t>0 km</w:t>
      </w:r>
      <w:r w:rsidRPr="007019B6">
        <w:rPr>
          <w:rStyle w:val="Superscript"/>
        </w:rPr>
        <w:t>2</w:t>
      </w:r>
      <w:r w:rsidRPr="00C13F18">
        <w:t>); shale/ tight gas exploration success to date.</w:t>
      </w:r>
    </w:p>
    <w:p w14:paraId="08DACBC7" w14:textId="161BC20B" w:rsidR="00D27769" w:rsidRPr="00C13F18" w:rsidRDefault="00D27769" w:rsidP="00E8799B">
      <w:pPr>
        <w:pStyle w:val="ListBullet"/>
      </w:pPr>
      <w:r w:rsidRPr="00C13F18">
        <w:rPr>
          <w:rStyle w:val="Bold"/>
        </w:rPr>
        <w:t>Moderate:</w:t>
      </w:r>
      <w:r w:rsidRPr="00C13F18">
        <w:t xml:space="preserve"> overall prospectivity is moderate; small prospective resource area for shale/ tight gas </w:t>
      </w:r>
      <w:r w:rsidR="003A2E9A">
        <w:t>suitable for development in a ten year timeframe</w:t>
      </w:r>
      <w:r w:rsidR="003A2E9A" w:rsidRPr="00C13F18">
        <w:t xml:space="preserve"> </w:t>
      </w:r>
      <w:r w:rsidRPr="00C13F18">
        <w:t>(&gt;5,00</w:t>
      </w:r>
      <w:r>
        <w:t>0 km</w:t>
      </w:r>
      <w:r w:rsidRPr="00C13F18">
        <w:rPr>
          <w:rStyle w:val="Superscript"/>
        </w:rPr>
        <w:t>2</w:t>
      </w:r>
      <w:r w:rsidRPr="00C13F18">
        <w:t>); variable exploration success to date.</w:t>
      </w:r>
    </w:p>
    <w:p w14:paraId="4CC833AF" w14:textId="7A7FB792" w:rsidR="00D27769" w:rsidRPr="00C13F18" w:rsidRDefault="00D27769" w:rsidP="00174635">
      <w:pPr>
        <w:pStyle w:val="BodyText"/>
      </w:pPr>
      <w:r w:rsidRPr="00C13F18">
        <w:t xml:space="preserve">This ranking is qualitative and is based on the level of knowledge and available data for the given basin, as summarised in </w:t>
      </w:r>
      <w:r w:rsidRPr="00C13F18">
        <w:fldChar w:fldCharType="begin"/>
      </w:r>
      <w:r w:rsidRPr="00C13F18">
        <w:instrText xml:space="preserve"> REF _Ref487817195 \h  \* MERGEFORMAT </w:instrText>
      </w:r>
      <w:r w:rsidRPr="00C13F18">
        <w:fldChar w:fldCharType="separate"/>
      </w:r>
      <w:r w:rsidR="004A16F5" w:rsidRPr="00AB6721">
        <w:t xml:space="preserve">Table </w:t>
      </w:r>
      <w:r w:rsidR="004A16F5">
        <w:t>5</w:t>
      </w:r>
      <w:r w:rsidR="004A16F5" w:rsidRPr="00AB6721">
        <w:noBreakHyphen/>
      </w:r>
      <w:r w:rsidR="004A16F5">
        <w:t>5</w:t>
      </w:r>
      <w:r w:rsidRPr="00C13F18">
        <w:fldChar w:fldCharType="end"/>
      </w:r>
      <w:r w:rsidRPr="00C13F18">
        <w:t xml:space="preserve">. </w:t>
      </w:r>
    </w:p>
    <w:p w14:paraId="3773A8BA" w14:textId="77777777" w:rsidR="00D27769" w:rsidRPr="00C13F18" w:rsidRDefault="00D27769" w:rsidP="00174635">
      <w:pPr>
        <w:pStyle w:val="BodyText"/>
      </w:pPr>
      <w:r w:rsidRPr="00C13F18">
        <w:t>The confidence rankings are based on both the amount of data available within the basin and the quality of that data. Key factors considered in assessing regional shale and/or tight gas prospectivity included:</w:t>
      </w:r>
    </w:p>
    <w:p w14:paraId="6B1CAD7A" w14:textId="77777777" w:rsidR="00D27769" w:rsidRPr="00C13F18" w:rsidRDefault="00D27769" w:rsidP="00E8799B">
      <w:pPr>
        <w:pStyle w:val="ListBullet"/>
      </w:pPr>
      <w:r w:rsidRPr="00C13F18">
        <w:t>basin area;</w:t>
      </w:r>
    </w:p>
    <w:p w14:paraId="46380D38" w14:textId="77777777" w:rsidR="00D27769" w:rsidRPr="00C13F18" w:rsidRDefault="00D27769" w:rsidP="00E8799B">
      <w:pPr>
        <w:pStyle w:val="ListBullet"/>
      </w:pPr>
      <w:r w:rsidRPr="00C13F18">
        <w:t>number of petroleum wells and shale/ tight gas wells drilled to date;</w:t>
      </w:r>
    </w:p>
    <w:p w14:paraId="6F5FE665" w14:textId="77777777" w:rsidR="00D27769" w:rsidRPr="00C13F18" w:rsidRDefault="00D27769" w:rsidP="00E8799B">
      <w:pPr>
        <w:pStyle w:val="ListBullet"/>
      </w:pPr>
      <w:r w:rsidRPr="00C13F18">
        <w:t>line km of seismic data;</w:t>
      </w:r>
    </w:p>
    <w:p w14:paraId="4D16B4B7" w14:textId="77777777" w:rsidR="00D27769" w:rsidRPr="00C13F18" w:rsidRDefault="00D27769" w:rsidP="00E8799B">
      <w:pPr>
        <w:pStyle w:val="ListBullet"/>
      </w:pPr>
      <w:r w:rsidRPr="00C13F18">
        <w:t>overall exploration status, and;</w:t>
      </w:r>
    </w:p>
    <w:p w14:paraId="7B1FAC44" w14:textId="572AC3C4" w:rsidR="00D27769" w:rsidRPr="00C13F18" w:rsidRDefault="00BD6662" w:rsidP="00E8799B">
      <w:pPr>
        <w:pStyle w:val="ListBullet"/>
      </w:pPr>
      <w:r w:rsidRPr="00C13F18">
        <w:t>shale/tight gas exploration status.</w:t>
      </w:r>
    </w:p>
    <w:p w14:paraId="09209A1A" w14:textId="76D04C07" w:rsidR="00D27769" w:rsidRPr="00C13F18" w:rsidRDefault="00D27769" w:rsidP="00174635">
      <w:pPr>
        <w:pStyle w:val="BodyText"/>
      </w:pPr>
      <w:r w:rsidRPr="00C13F18">
        <w:t xml:space="preserve">Less data with lower quality resulted in low confidence for the prospectivity ranking, whereas a high confidence was used to indicate the prospectivity rating is </w:t>
      </w:r>
      <w:r>
        <w:t>underpinned by more data</w:t>
      </w:r>
      <w:r w:rsidRPr="00C13F18">
        <w:t xml:space="preserve">. The petroleum data confidence ranking results are summarised </w:t>
      </w:r>
      <w:r w:rsidRPr="00C13F18">
        <w:fldChar w:fldCharType="begin"/>
      </w:r>
      <w:r w:rsidRPr="00C13F18">
        <w:instrText xml:space="preserve"> REF _Ref493770569 \h  \* MERGEFORMAT </w:instrText>
      </w:r>
      <w:r w:rsidRPr="00C13F18">
        <w:fldChar w:fldCharType="separate"/>
      </w:r>
      <w:r w:rsidR="004A16F5" w:rsidRPr="00AB6721">
        <w:t xml:space="preserve">Table </w:t>
      </w:r>
      <w:r w:rsidR="004A16F5">
        <w:t>5</w:t>
      </w:r>
      <w:r w:rsidR="004A16F5" w:rsidRPr="00AB6721">
        <w:noBreakHyphen/>
      </w:r>
      <w:r w:rsidR="004A16F5">
        <w:t>6</w:t>
      </w:r>
      <w:r w:rsidRPr="00C13F18">
        <w:fldChar w:fldCharType="end"/>
      </w:r>
      <w:r w:rsidRPr="00C13F18">
        <w:t>.</w:t>
      </w:r>
    </w:p>
    <w:p w14:paraId="42C4926A" w14:textId="77777777" w:rsidR="00D27769" w:rsidRDefault="00D27769" w:rsidP="00E8799B">
      <w:pPr>
        <w:pStyle w:val="ListBullet"/>
        <w:sectPr w:rsidR="00D27769" w:rsidSect="00555380">
          <w:headerReference w:type="default" r:id="rId65"/>
          <w:pgSz w:w="11907" w:h="16840" w:code="9"/>
          <w:pgMar w:top="1418" w:right="1134" w:bottom="1418" w:left="1134" w:header="510" w:footer="624" w:gutter="0"/>
          <w:cols w:space="720"/>
          <w:docGrid w:linePitch="326"/>
        </w:sectPr>
      </w:pPr>
    </w:p>
    <w:p w14:paraId="0A31C47A" w14:textId="77777777" w:rsidR="00D27769" w:rsidRPr="009B4A57" w:rsidRDefault="00D27769" w:rsidP="00174635">
      <w:pPr>
        <w:pStyle w:val="BodyText"/>
      </w:pPr>
    </w:p>
    <w:p w14:paraId="324B393D" w14:textId="1FAE1DEA" w:rsidR="00D27769" w:rsidRPr="00AB6721" w:rsidRDefault="00D27769" w:rsidP="00924E2B">
      <w:pPr>
        <w:pStyle w:val="Caption"/>
      </w:pPr>
      <w:bookmarkStart w:id="110" w:name="_Ref487817195"/>
      <w:bookmarkStart w:id="111" w:name="_Toc517101459"/>
      <w:r w:rsidRPr="00AB6721">
        <w:t xml:space="preserve">Table </w:t>
      </w:r>
      <w:fldSimple w:instr=" STYLEREF 1 \s ">
        <w:r w:rsidR="004A16F5">
          <w:rPr>
            <w:noProof/>
          </w:rPr>
          <w:t>5</w:t>
        </w:r>
      </w:fldSimple>
      <w:r w:rsidRPr="00AB6721">
        <w:noBreakHyphen/>
      </w:r>
      <w:fldSimple w:instr=" SEQ Table \* ARABIC \s 1 ">
        <w:r w:rsidR="004A16F5">
          <w:rPr>
            <w:noProof/>
          </w:rPr>
          <w:t>5</w:t>
        </w:r>
      </w:fldSimple>
      <w:bookmarkEnd w:id="110"/>
      <w:r w:rsidRPr="00AB6721">
        <w:t xml:space="preserve"> Summary of </w:t>
      </w:r>
      <w:r w:rsidR="00551FA4">
        <w:t xml:space="preserve">onshore </w:t>
      </w:r>
      <w:r w:rsidRPr="00AB6721">
        <w:t>basin prospectivity rankings. * Area based on formation extent only; ** Area based on formation and gas window extent.</w:t>
      </w:r>
      <w:bookmarkEnd w:id="111"/>
    </w:p>
    <w:tbl>
      <w:tblPr>
        <w:tblStyle w:val="TableBAHeaderRow"/>
        <w:tblW w:w="0" w:type="auto"/>
        <w:tblLook w:val="04A0" w:firstRow="1" w:lastRow="0" w:firstColumn="1" w:lastColumn="0" w:noHBand="0" w:noVBand="1"/>
      </w:tblPr>
      <w:tblGrid>
        <w:gridCol w:w="1702"/>
        <w:gridCol w:w="2303"/>
        <w:gridCol w:w="1551"/>
        <w:gridCol w:w="1516"/>
        <w:gridCol w:w="822"/>
        <w:gridCol w:w="1787"/>
        <w:gridCol w:w="2026"/>
        <w:gridCol w:w="2240"/>
      </w:tblGrid>
      <w:tr w:rsidR="00D27769" w:rsidRPr="002915B9" w14:paraId="5A286F30" w14:textId="77777777" w:rsidTr="008454B0">
        <w:trPr>
          <w:cnfStyle w:val="100000000000" w:firstRow="1" w:lastRow="0" w:firstColumn="0" w:lastColumn="0" w:oddVBand="0" w:evenVBand="0" w:oddHBand="0" w:evenHBand="0" w:firstRowFirstColumn="0" w:firstRowLastColumn="0" w:lastRowFirstColumn="0" w:lastRowLastColumn="0"/>
        </w:trPr>
        <w:tc>
          <w:tcPr>
            <w:tcW w:w="0" w:type="auto"/>
          </w:tcPr>
          <w:p w14:paraId="0ADFA67D" w14:textId="77777777" w:rsidR="00D27769" w:rsidRPr="00134D6E" w:rsidRDefault="00D27769" w:rsidP="00924E2B">
            <w:pPr>
              <w:pStyle w:val="Caption"/>
              <w:rPr>
                <w:b/>
                <w:color w:val="FFFFFF" w:themeColor="background1"/>
              </w:rPr>
            </w:pPr>
            <w:r w:rsidRPr="00134D6E">
              <w:rPr>
                <w:color w:val="FFFFFF" w:themeColor="background1"/>
              </w:rPr>
              <w:t>     </w:t>
            </w:r>
          </w:p>
        </w:tc>
        <w:tc>
          <w:tcPr>
            <w:tcW w:w="0" w:type="auto"/>
          </w:tcPr>
          <w:p w14:paraId="4102CE45" w14:textId="77777777" w:rsidR="00D27769" w:rsidRPr="00134D6E" w:rsidRDefault="00D27769" w:rsidP="00924E2B">
            <w:pPr>
              <w:pStyle w:val="Caption"/>
              <w:rPr>
                <w:color w:val="FFFFFF" w:themeColor="background1"/>
              </w:rPr>
            </w:pPr>
            <w:r w:rsidRPr="00134D6E">
              <w:rPr>
                <w:color w:val="FFFFFF" w:themeColor="background1"/>
              </w:rPr>
              <w:t>   </w:t>
            </w:r>
          </w:p>
        </w:tc>
        <w:tc>
          <w:tcPr>
            <w:tcW w:w="0" w:type="auto"/>
          </w:tcPr>
          <w:p w14:paraId="23B00423" w14:textId="77777777" w:rsidR="00D27769" w:rsidRPr="00134D6E" w:rsidRDefault="00D27769" w:rsidP="00924E2B">
            <w:pPr>
              <w:pStyle w:val="Caption"/>
              <w:rPr>
                <w:color w:val="FFFFFF" w:themeColor="background1"/>
              </w:rPr>
            </w:pPr>
            <w:r w:rsidRPr="00134D6E">
              <w:rPr>
                <w:color w:val="FFFFFF" w:themeColor="background1"/>
              </w:rPr>
              <w:t>                </w:t>
            </w:r>
          </w:p>
        </w:tc>
        <w:tc>
          <w:tcPr>
            <w:tcW w:w="0" w:type="auto"/>
          </w:tcPr>
          <w:p w14:paraId="329B68BD" w14:textId="77777777" w:rsidR="00D27769" w:rsidRPr="00134D6E" w:rsidRDefault="00D27769" w:rsidP="00924E2B">
            <w:pPr>
              <w:pStyle w:val="Caption"/>
              <w:rPr>
                <w:color w:val="FFFFFF" w:themeColor="background1"/>
              </w:rPr>
            </w:pPr>
            <w:r w:rsidRPr="00134D6E">
              <w:rPr>
                <w:color w:val="FFFFFF" w:themeColor="background1"/>
              </w:rPr>
              <w:t>                               </w:t>
            </w:r>
          </w:p>
        </w:tc>
        <w:tc>
          <w:tcPr>
            <w:tcW w:w="0" w:type="auto"/>
          </w:tcPr>
          <w:p w14:paraId="0F0DF314" w14:textId="77777777" w:rsidR="00D27769" w:rsidRPr="00134D6E" w:rsidRDefault="00D27769" w:rsidP="00924E2B">
            <w:pPr>
              <w:pStyle w:val="Caption"/>
              <w:rPr>
                <w:b/>
                <w:color w:val="FFFFFF" w:themeColor="background1"/>
              </w:rPr>
            </w:pPr>
            <w:r w:rsidRPr="00134D6E">
              <w:rPr>
                <w:color w:val="FFFFFF" w:themeColor="background1"/>
              </w:rPr>
              <w:t>              </w:t>
            </w:r>
            <w:r w:rsidRPr="00134D6E">
              <w:rPr>
                <w:rStyle w:val="Superscript"/>
                <w:color w:val="FFFFFF" w:themeColor="background1"/>
              </w:rPr>
              <w:t> </w:t>
            </w:r>
            <w:r w:rsidRPr="00134D6E">
              <w:rPr>
                <w:color w:val="FFFFFF" w:themeColor="background1"/>
              </w:rPr>
              <w:t> </w:t>
            </w:r>
          </w:p>
        </w:tc>
        <w:tc>
          <w:tcPr>
            <w:tcW w:w="0" w:type="auto"/>
          </w:tcPr>
          <w:p w14:paraId="253306A2" w14:textId="77777777" w:rsidR="00D27769" w:rsidRPr="00134D6E" w:rsidRDefault="00D27769" w:rsidP="00924E2B">
            <w:pPr>
              <w:pStyle w:val="Caption"/>
              <w:rPr>
                <w:color w:val="FFFFFF" w:themeColor="background1"/>
              </w:rPr>
            </w:pPr>
            <w:r w:rsidRPr="00134D6E">
              <w:rPr>
                <w:color w:val="FFFFFF" w:themeColor="background1"/>
              </w:rPr>
              <w:t>                                     </w:t>
            </w:r>
          </w:p>
        </w:tc>
        <w:tc>
          <w:tcPr>
            <w:tcW w:w="0" w:type="auto"/>
          </w:tcPr>
          <w:p w14:paraId="31922974" w14:textId="77777777" w:rsidR="00D27769" w:rsidRPr="00134D6E" w:rsidRDefault="00D27769" w:rsidP="00924E2B">
            <w:pPr>
              <w:pStyle w:val="Caption"/>
              <w:rPr>
                <w:color w:val="FFFFFF" w:themeColor="background1"/>
              </w:rPr>
            </w:pPr>
            <w:r w:rsidRPr="00134D6E">
              <w:rPr>
                <w:color w:val="FFFFFF" w:themeColor="background1"/>
              </w:rPr>
              <w:t>               </w:t>
            </w:r>
          </w:p>
        </w:tc>
        <w:tc>
          <w:tcPr>
            <w:tcW w:w="0" w:type="auto"/>
          </w:tcPr>
          <w:p w14:paraId="4F4D0E3F" w14:textId="77777777" w:rsidR="00D27769" w:rsidRPr="00134D6E" w:rsidRDefault="00D27769" w:rsidP="00924E2B">
            <w:pPr>
              <w:pStyle w:val="Caption"/>
              <w:rPr>
                <w:b/>
                <w:color w:val="FFFFFF" w:themeColor="background1"/>
              </w:rPr>
            </w:pPr>
            <w:r w:rsidRPr="00134D6E">
              <w:rPr>
                <w:color w:val="FFFFFF" w:themeColor="background1"/>
              </w:rPr>
              <w:t>                                               </w:t>
            </w:r>
          </w:p>
        </w:tc>
      </w:tr>
      <w:tr w:rsidR="00D27769" w:rsidRPr="009F4F54" w14:paraId="53772740"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tcPr>
          <w:p w14:paraId="5C3E5848" w14:textId="77777777" w:rsidR="00D27769" w:rsidRPr="009F4F54" w:rsidRDefault="00D27769" w:rsidP="00760658">
            <w:pPr>
              <w:pStyle w:val="TableTextLeft"/>
            </w:pPr>
            <w:r w:rsidRPr="009F4F54">
              <w:t>Amadeus Basin</w:t>
            </w:r>
          </w:p>
        </w:tc>
        <w:tc>
          <w:tcPr>
            <w:tcW w:w="0" w:type="auto"/>
          </w:tcPr>
          <w:p w14:paraId="5ECDA5CF" w14:textId="77777777" w:rsidR="00D27769" w:rsidRPr="009F4F54" w:rsidRDefault="00D27769" w:rsidP="00760658">
            <w:pPr>
              <w:pStyle w:val="TableTextLeft"/>
            </w:pPr>
            <w:r w:rsidRPr="009F4F54">
              <w:t>Neoproterozoic–Late Devonian</w:t>
            </w:r>
          </w:p>
        </w:tc>
        <w:tc>
          <w:tcPr>
            <w:tcW w:w="0" w:type="auto"/>
          </w:tcPr>
          <w:p w14:paraId="125EE65F" w14:textId="77777777" w:rsidR="00D27769" w:rsidRPr="009F4F54" w:rsidRDefault="00D27769" w:rsidP="00760658">
            <w:pPr>
              <w:pStyle w:val="TableTextLeft"/>
            </w:pPr>
            <w:r w:rsidRPr="009F4F54">
              <w:t xml:space="preserve">Larapintine, Centralian </w:t>
            </w:r>
          </w:p>
        </w:tc>
        <w:tc>
          <w:tcPr>
            <w:tcW w:w="0" w:type="auto"/>
          </w:tcPr>
          <w:p w14:paraId="5DB87AC4" w14:textId="77777777" w:rsidR="00D27769" w:rsidRPr="009F4F54" w:rsidRDefault="00D27769" w:rsidP="00760658">
            <w:pPr>
              <w:pStyle w:val="TableTextLeft"/>
            </w:pPr>
            <w:r w:rsidRPr="009F4F54">
              <w:t>High</w:t>
            </w:r>
          </w:p>
        </w:tc>
        <w:tc>
          <w:tcPr>
            <w:tcW w:w="0" w:type="auto"/>
          </w:tcPr>
          <w:p w14:paraId="094A8A26" w14:textId="77777777" w:rsidR="00D27769" w:rsidRPr="009F4F54" w:rsidRDefault="00D27769" w:rsidP="00760658">
            <w:pPr>
              <w:pStyle w:val="TableTextLeft"/>
            </w:pPr>
            <w:r w:rsidRPr="009F4F54">
              <w:t>180,000</w:t>
            </w:r>
          </w:p>
        </w:tc>
        <w:tc>
          <w:tcPr>
            <w:tcW w:w="0" w:type="auto"/>
          </w:tcPr>
          <w:p w14:paraId="0BA27839" w14:textId="77777777" w:rsidR="00D27769" w:rsidRPr="009F4F54" w:rsidRDefault="00D27769" w:rsidP="00760658">
            <w:pPr>
              <w:pStyle w:val="TableTextLeft"/>
            </w:pPr>
            <w:r w:rsidRPr="009F4F54">
              <w:t>Large</w:t>
            </w:r>
            <w:r>
              <w:t>*</w:t>
            </w:r>
          </w:p>
        </w:tc>
        <w:tc>
          <w:tcPr>
            <w:tcW w:w="0" w:type="auto"/>
          </w:tcPr>
          <w:p w14:paraId="72EAE0D2" w14:textId="77777777" w:rsidR="00D27769" w:rsidRPr="009F4F54" w:rsidRDefault="00D27769" w:rsidP="00760658">
            <w:pPr>
              <w:pStyle w:val="TableTextLeft"/>
            </w:pPr>
            <w:r w:rsidRPr="009F4F54">
              <w:t>Unknown</w:t>
            </w:r>
          </w:p>
        </w:tc>
        <w:tc>
          <w:tcPr>
            <w:tcW w:w="0" w:type="auto"/>
          </w:tcPr>
          <w:p w14:paraId="37BFC862" w14:textId="77777777" w:rsidR="00D27769" w:rsidRPr="009F4F54" w:rsidRDefault="00D27769" w:rsidP="00760658">
            <w:pPr>
              <w:pStyle w:val="TableTextLeft"/>
            </w:pPr>
            <w:r w:rsidRPr="009F4F54">
              <w:t>Moderate–high</w:t>
            </w:r>
          </w:p>
        </w:tc>
      </w:tr>
      <w:tr w:rsidR="00D27769" w:rsidRPr="009F4F54" w14:paraId="073C1562" w14:textId="77777777" w:rsidTr="008454B0">
        <w:trPr>
          <w:cnfStyle w:val="000000010000" w:firstRow="0" w:lastRow="0" w:firstColumn="0" w:lastColumn="0" w:oddVBand="0" w:evenVBand="0" w:oddHBand="0" w:evenHBand="1" w:firstRowFirstColumn="0" w:firstRowLastColumn="0" w:lastRowFirstColumn="0" w:lastRowLastColumn="0"/>
        </w:trPr>
        <w:tc>
          <w:tcPr>
            <w:tcW w:w="0" w:type="auto"/>
          </w:tcPr>
          <w:p w14:paraId="1D299F50" w14:textId="77777777" w:rsidR="00D27769" w:rsidRPr="009F4F54" w:rsidRDefault="00D27769" w:rsidP="00760658">
            <w:pPr>
              <w:pStyle w:val="TableTextLeft"/>
            </w:pPr>
            <w:r w:rsidRPr="009F4F54">
              <w:t>Bowen Basin</w:t>
            </w:r>
          </w:p>
        </w:tc>
        <w:tc>
          <w:tcPr>
            <w:tcW w:w="0" w:type="auto"/>
          </w:tcPr>
          <w:p w14:paraId="60D18A77" w14:textId="77777777" w:rsidR="00D27769" w:rsidRPr="009F4F54" w:rsidRDefault="00D27769" w:rsidP="00760658">
            <w:pPr>
              <w:pStyle w:val="TableTextLeft"/>
            </w:pPr>
            <w:r w:rsidRPr="009F4F54">
              <w:t>Permian–Triassic</w:t>
            </w:r>
          </w:p>
        </w:tc>
        <w:tc>
          <w:tcPr>
            <w:tcW w:w="0" w:type="auto"/>
          </w:tcPr>
          <w:p w14:paraId="61B9DF3B" w14:textId="77777777" w:rsidR="00D27769" w:rsidRPr="009F4F54" w:rsidRDefault="00D27769" w:rsidP="00760658">
            <w:pPr>
              <w:pStyle w:val="TableTextLeft"/>
            </w:pPr>
            <w:r w:rsidRPr="009F4F54">
              <w:t>Gondwanan</w:t>
            </w:r>
          </w:p>
        </w:tc>
        <w:tc>
          <w:tcPr>
            <w:tcW w:w="0" w:type="auto"/>
          </w:tcPr>
          <w:p w14:paraId="32B5B8C5" w14:textId="77777777" w:rsidR="00D27769" w:rsidRPr="009F4F54" w:rsidRDefault="00D27769" w:rsidP="00760658">
            <w:pPr>
              <w:pStyle w:val="TableTextLeft"/>
            </w:pPr>
            <w:r w:rsidRPr="009F4F54">
              <w:t>High</w:t>
            </w:r>
          </w:p>
        </w:tc>
        <w:tc>
          <w:tcPr>
            <w:tcW w:w="0" w:type="auto"/>
          </w:tcPr>
          <w:p w14:paraId="007E2B59" w14:textId="77777777" w:rsidR="00D27769" w:rsidRPr="009F4F54" w:rsidRDefault="00D27769" w:rsidP="00760658">
            <w:pPr>
              <w:pStyle w:val="TableTextLeft"/>
            </w:pPr>
            <w:r w:rsidRPr="009F4F54">
              <w:t>154,000</w:t>
            </w:r>
          </w:p>
        </w:tc>
        <w:tc>
          <w:tcPr>
            <w:tcW w:w="0" w:type="auto"/>
          </w:tcPr>
          <w:p w14:paraId="03519747" w14:textId="77777777" w:rsidR="00D27769" w:rsidRPr="009F4F54" w:rsidRDefault="00D27769" w:rsidP="00760658">
            <w:pPr>
              <w:pStyle w:val="TableTextLeft"/>
            </w:pPr>
            <w:r w:rsidRPr="009F4F54">
              <w:t>Large</w:t>
            </w:r>
            <w:r>
              <w:t>**</w:t>
            </w:r>
          </w:p>
        </w:tc>
        <w:tc>
          <w:tcPr>
            <w:tcW w:w="0" w:type="auto"/>
          </w:tcPr>
          <w:p w14:paraId="6C253D22" w14:textId="77777777" w:rsidR="00D27769" w:rsidRPr="009F4F54" w:rsidRDefault="00D27769" w:rsidP="00760658">
            <w:pPr>
              <w:pStyle w:val="TableTextLeft"/>
            </w:pPr>
            <w:r w:rsidRPr="009F4F54">
              <w:t>Low–moderate</w:t>
            </w:r>
          </w:p>
        </w:tc>
        <w:tc>
          <w:tcPr>
            <w:tcW w:w="0" w:type="auto"/>
          </w:tcPr>
          <w:p w14:paraId="6BA72B7C" w14:textId="77777777" w:rsidR="00D27769" w:rsidRPr="009F4F54" w:rsidRDefault="00D27769" w:rsidP="00760658">
            <w:pPr>
              <w:pStyle w:val="TableTextLeft"/>
            </w:pPr>
            <w:r w:rsidRPr="009F4F54">
              <w:t>High</w:t>
            </w:r>
          </w:p>
        </w:tc>
      </w:tr>
      <w:tr w:rsidR="00D27769" w:rsidRPr="009F4F54" w14:paraId="06E9A9DC"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tcPr>
          <w:p w14:paraId="270D0248" w14:textId="77777777" w:rsidR="00D27769" w:rsidRPr="009F4F54" w:rsidRDefault="00D27769" w:rsidP="00760658">
            <w:pPr>
              <w:pStyle w:val="TableTextLeft"/>
            </w:pPr>
            <w:r w:rsidRPr="009F4F54">
              <w:t>Clarence-Moreton Basin</w:t>
            </w:r>
          </w:p>
        </w:tc>
        <w:tc>
          <w:tcPr>
            <w:tcW w:w="0" w:type="auto"/>
          </w:tcPr>
          <w:p w14:paraId="391D480B" w14:textId="77777777" w:rsidR="00D27769" w:rsidRPr="009F4F54" w:rsidRDefault="00D27769" w:rsidP="00760658">
            <w:pPr>
              <w:pStyle w:val="TableTextLeft"/>
            </w:pPr>
            <w:r w:rsidRPr="009F4F54">
              <w:rPr>
                <w:rFonts w:hint="eastAsia"/>
              </w:rPr>
              <w:t>Late Triassic</w:t>
            </w:r>
            <w:r w:rsidRPr="009F4F54">
              <w:t>–Early</w:t>
            </w:r>
            <w:r w:rsidRPr="009F4F54">
              <w:rPr>
                <w:rFonts w:hint="eastAsia"/>
              </w:rPr>
              <w:t xml:space="preserve"> </w:t>
            </w:r>
            <w:r w:rsidRPr="009F4F54">
              <w:t>C</w:t>
            </w:r>
            <w:r w:rsidRPr="009F4F54">
              <w:rPr>
                <w:rFonts w:hint="eastAsia"/>
              </w:rPr>
              <w:t>retaceous</w:t>
            </w:r>
          </w:p>
        </w:tc>
        <w:tc>
          <w:tcPr>
            <w:tcW w:w="0" w:type="auto"/>
          </w:tcPr>
          <w:p w14:paraId="33619734" w14:textId="77777777" w:rsidR="00D27769" w:rsidRPr="009F4F54" w:rsidRDefault="00D27769" w:rsidP="00760658">
            <w:pPr>
              <w:pStyle w:val="TableTextLeft"/>
            </w:pPr>
            <w:r w:rsidRPr="009F4F54">
              <w:t>?Murta</w:t>
            </w:r>
          </w:p>
        </w:tc>
        <w:tc>
          <w:tcPr>
            <w:tcW w:w="0" w:type="auto"/>
          </w:tcPr>
          <w:p w14:paraId="41F26B20" w14:textId="77777777" w:rsidR="00D27769" w:rsidRPr="009F4F54" w:rsidRDefault="00D27769" w:rsidP="00760658">
            <w:pPr>
              <w:pStyle w:val="TableTextLeft"/>
            </w:pPr>
            <w:r w:rsidRPr="009F4F54">
              <w:t>Moderate</w:t>
            </w:r>
          </w:p>
        </w:tc>
        <w:tc>
          <w:tcPr>
            <w:tcW w:w="0" w:type="auto"/>
          </w:tcPr>
          <w:p w14:paraId="0C047E2C" w14:textId="77777777" w:rsidR="00D27769" w:rsidRPr="009F4F54" w:rsidRDefault="00D27769" w:rsidP="00760658">
            <w:pPr>
              <w:pStyle w:val="TableTextLeft"/>
            </w:pPr>
            <w:r w:rsidRPr="009F4F54">
              <w:t>38,000</w:t>
            </w:r>
          </w:p>
        </w:tc>
        <w:tc>
          <w:tcPr>
            <w:tcW w:w="0" w:type="auto"/>
          </w:tcPr>
          <w:p w14:paraId="236925C5" w14:textId="77777777" w:rsidR="00D27769" w:rsidRPr="009F4F54" w:rsidRDefault="00D27769" w:rsidP="00760658">
            <w:pPr>
              <w:pStyle w:val="TableTextLeft"/>
            </w:pPr>
            <w:r w:rsidRPr="009F4F54">
              <w:t>Small</w:t>
            </w:r>
            <w:r>
              <w:t>**</w:t>
            </w:r>
          </w:p>
        </w:tc>
        <w:tc>
          <w:tcPr>
            <w:tcW w:w="0" w:type="auto"/>
          </w:tcPr>
          <w:p w14:paraId="13DAAA7F" w14:textId="77777777" w:rsidR="00D27769" w:rsidRPr="009F4F54" w:rsidRDefault="00D27769" w:rsidP="00760658">
            <w:pPr>
              <w:pStyle w:val="TableTextLeft"/>
            </w:pPr>
            <w:r w:rsidRPr="009F4F54">
              <w:t>Too few wells drilled</w:t>
            </w:r>
          </w:p>
        </w:tc>
        <w:tc>
          <w:tcPr>
            <w:tcW w:w="0" w:type="auto"/>
          </w:tcPr>
          <w:p w14:paraId="46CB78E4" w14:textId="77777777" w:rsidR="00D27769" w:rsidRPr="009F4F54" w:rsidRDefault="00D27769" w:rsidP="00760658">
            <w:pPr>
              <w:pStyle w:val="TableTextLeft"/>
            </w:pPr>
            <w:r w:rsidRPr="009F4F54">
              <w:t>Low–moderate</w:t>
            </w:r>
          </w:p>
        </w:tc>
      </w:tr>
      <w:tr w:rsidR="00D27769" w:rsidRPr="009F4F54" w14:paraId="3B12D704" w14:textId="77777777" w:rsidTr="008454B0">
        <w:trPr>
          <w:cnfStyle w:val="000000010000" w:firstRow="0" w:lastRow="0" w:firstColumn="0" w:lastColumn="0" w:oddVBand="0" w:evenVBand="0" w:oddHBand="0" w:evenHBand="1" w:firstRowFirstColumn="0" w:firstRowLastColumn="0" w:lastRowFirstColumn="0" w:lastRowLastColumn="0"/>
        </w:trPr>
        <w:tc>
          <w:tcPr>
            <w:tcW w:w="0" w:type="auto"/>
          </w:tcPr>
          <w:p w14:paraId="4D260708" w14:textId="77777777" w:rsidR="00D27769" w:rsidRPr="009F4F54" w:rsidRDefault="00D27769" w:rsidP="00760658">
            <w:pPr>
              <w:pStyle w:val="TableTextLeft"/>
            </w:pPr>
            <w:r w:rsidRPr="009F4F54">
              <w:t>Cooper Basin</w:t>
            </w:r>
          </w:p>
        </w:tc>
        <w:tc>
          <w:tcPr>
            <w:tcW w:w="0" w:type="auto"/>
          </w:tcPr>
          <w:p w14:paraId="46E89AE4" w14:textId="77777777" w:rsidR="00D27769" w:rsidRPr="009F4F54" w:rsidRDefault="00D27769" w:rsidP="00760658">
            <w:pPr>
              <w:pStyle w:val="TableTextLeft"/>
            </w:pPr>
            <w:r w:rsidRPr="009F4F54">
              <w:t>?Pennsylvanian– Middle Triassic</w:t>
            </w:r>
          </w:p>
        </w:tc>
        <w:tc>
          <w:tcPr>
            <w:tcW w:w="0" w:type="auto"/>
          </w:tcPr>
          <w:p w14:paraId="648B06A0" w14:textId="77777777" w:rsidR="00D27769" w:rsidRPr="009F4F54" w:rsidRDefault="00D27769" w:rsidP="00760658">
            <w:pPr>
              <w:pStyle w:val="TableTextLeft"/>
            </w:pPr>
            <w:r w:rsidRPr="009F4F54">
              <w:t>Gondwanan</w:t>
            </w:r>
          </w:p>
        </w:tc>
        <w:tc>
          <w:tcPr>
            <w:tcW w:w="0" w:type="auto"/>
          </w:tcPr>
          <w:p w14:paraId="448A143F" w14:textId="77777777" w:rsidR="00D27769" w:rsidRPr="009F4F54" w:rsidRDefault="00D27769" w:rsidP="00760658">
            <w:pPr>
              <w:pStyle w:val="TableTextLeft"/>
            </w:pPr>
            <w:r w:rsidRPr="009F4F54">
              <w:t>High</w:t>
            </w:r>
          </w:p>
        </w:tc>
        <w:tc>
          <w:tcPr>
            <w:tcW w:w="0" w:type="auto"/>
          </w:tcPr>
          <w:p w14:paraId="003792DA" w14:textId="77777777" w:rsidR="00D27769" w:rsidRPr="009F4F54" w:rsidRDefault="00D27769" w:rsidP="00760658">
            <w:pPr>
              <w:pStyle w:val="TableTextLeft"/>
            </w:pPr>
            <w:r w:rsidRPr="009F4F54">
              <w:t>127,000</w:t>
            </w:r>
          </w:p>
        </w:tc>
        <w:tc>
          <w:tcPr>
            <w:tcW w:w="0" w:type="auto"/>
          </w:tcPr>
          <w:p w14:paraId="6F096020" w14:textId="77777777" w:rsidR="00D27769" w:rsidRPr="009F4F54" w:rsidRDefault="00D27769" w:rsidP="00760658">
            <w:pPr>
              <w:pStyle w:val="TableTextLeft"/>
            </w:pPr>
            <w:r w:rsidRPr="009F4F54">
              <w:t>Large</w:t>
            </w:r>
            <w:r>
              <w:t>**</w:t>
            </w:r>
          </w:p>
        </w:tc>
        <w:tc>
          <w:tcPr>
            <w:tcW w:w="0" w:type="auto"/>
          </w:tcPr>
          <w:p w14:paraId="55B9AEE6" w14:textId="77777777" w:rsidR="00D27769" w:rsidRPr="009F4F54" w:rsidRDefault="00D27769" w:rsidP="00760658">
            <w:pPr>
              <w:pStyle w:val="TableTextLeft"/>
            </w:pPr>
            <w:r w:rsidRPr="009F4F54">
              <w:t>High: contingent resources booked</w:t>
            </w:r>
          </w:p>
        </w:tc>
        <w:tc>
          <w:tcPr>
            <w:tcW w:w="0" w:type="auto"/>
          </w:tcPr>
          <w:p w14:paraId="4F779EC5" w14:textId="77777777" w:rsidR="00D27769" w:rsidRPr="009F4F54" w:rsidRDefault="00D27769" w:rsidP="00760658">
            <w:pPr>
              <w:pStyle w:val="TableTextLeft"/>
            </w:pPr>
            <w:r w:rsidRPr="009F4F54">
              <w:t>High</w:t>
            </w:r>
          </w:p>
        </w:tc>
      </w:tr>
      <w:tr w:rsidR="00D27769" w:rsidRPr="009F4F54" w14:paraId="47BB2C2E"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tcPr>
          <w:p w14:paraId="5CCF7A0F" w14:textId="77777777" w:rsidR="00D27769" w:rsidRPr="009F4F54" w:rsidRDefault="00D27769" w:rsidP="00760658">
            <w:pPr>
              <w:pStyle w:val="TableTextLeft"/>
            </w:pPr>
            <w:r w:rsidRPr="009F4F54">
              <w:t>Georgina Basin</w:t>
            </w:r>
          </w:p>
        </w:tc>
        <w:tc>
          <w:tcPr>
            <w:tcW w:w="0" w:type="auto"/>
          </w:tcPr>
          <w:p w14:paraId="1E8A87D7" w14:textId="77777777" w:rsidR="00D27769" w:rsidRPr="009F4F54" w:rsidRDefault="00D27769" w:rsidP="00760658">
            <w:pPr>
              <w:pStyle w:val="TableTextLeft"/>
            </w:pPr>
            <w:r w:rsidRPr="009F4F54">
              <w:t>Neoproterozoic– Devonian</w:t>
            </w:r>
          </w:p>
        </w:tc>
        <w:tc>
          <w:tcPr>
            <w:tcW w:w="0" w:type="auto"/>
          </w:tcPr>
          <w:p w14:paraId="4389F648" w14:textId="77777777" w:rsidR="00D27769" w:rsidRPr="009F4F54" w:rsidRDefault="00D27769" w:rsidP="00760658">
            <w:pPr>
              <w:pStyle w:val="TableTextLeft"/>
            </w:pPr>
            <w:r w:rsidRPr="009F4F54">
              <w:t xml:space="preserve">Larapintine </w:t>
            </w:r>
          </w:p>
        </w:tc>
        <w:tc>
          <w:tcPr>
            <w:tcW w:w="0" w:type="auto"/>
          </w:tcPr>
          <w:p w14:paraId="1EBA0452" w14:textId="77777777" w:rsidR="00D27769" w:rsidRPr="009F4F54" w:rsidRDefault="00D27769" w:rsidP="00760658">
            <w:pPr>
              <w:pStyle w:val="TableTextLeft"/>
            </w:pPr>
            <w:r w:rsidRPr="009F4F54">
              <w:t>Moderate</w:t>
            </w:r>
          </w:p>
        </w:tc>
        <w:tc>
          <w:tcPr>
            <w:tcW w:w="0" w:type="auto"/>
          </w:tcPr>
          <w:p w14:paraId="6144814C" w14:textId="77777777" w:rsidR="00D27769" w:rsidRPr="009F4F54" w:rsidRDefault="00D27769" w:rsidP="00760658">
            <w:pPr>
              <w:pStyle w:val="TableTextLeft"/>
            </w:pPr>
            <w:r w:rsidRPr="009F4F54">
              <w:t xml:space="preserve">330,000 </w:t>
            </w:r>
          </w:p>
        </w:tc>
        <w:tc>
          <w:tcPr>
            <w:tcW w:w="0" w:type="auto"/>
          </w:tcPr>
          <w:p w14:paraId="1C2133B4" w14:textId="77777777" w:rsidR="00D27769" w:rsidRPr="009F4F54" w:rsidRDefault="00D27769" w:rsidP="00760658">
            <w:pPr>
              <w:pStyle w:val="TableTextLeft"/>
            </w:pPr>
            <w:r w:rsidRPr="009F4F54">
              <w:t>Large</w:t>
            </w:r>
            <w:r>
              <w:t>*</w:t>
            </w:r>
          </w:p>
        </w:tc>
        <w:tc>
          <w:tcPr>
            <w:tcW w:w="0" w:type="auto"/>
          </w:tcPr>
          <w:p w14:paraId="40C933DE" w14:textId="77777777" w:rsidR="00D27769" w:rsidRPr="009F4F54" w:rsidRDefault="00D27769" w:rsidP="00760658">
            <w:pPr>
              <w:pStyle w:val="TableTextLeft"/>
            </w:pPr>
            <w:r w:rsidRPr="009F4F54">
              <w:t xml:space="preserve">Moderate </w:t>
            </w:r>
          </w:p>
        </w:tc>
        <w:tc>
          <w:tcPr>
            <w:tcW w:w="0" w:type="auto"/>
          </w:tcPr>
          <w:p w14:paraId="01D79D53" w14:textId="77777777" w:rsidR="00D27769" w:rsidRPr="009F4F54" w:rsidRDefault="00D27769" w:rsidP="00760658">
            <w:pPr>
              <w:pStyle w:val="TableTextLeft"/>
            </w:pPr>
            <w:r w:rsidRPr="009F4F54">
              <w:t>Moderate</w:t>
            </w:r>
          </w:p>
        </w:tc>
      </w:tr>
      <w:tr w:rsidR="00D27769" w:rsidRPr="009F4F54" w14:paraId="40534BD4" w14:textId="77777777" w:rsidTr="008454B0">
        <w:trPr>
          <w:cnfStyle w:val="000000010000" w:firstRow="0" w:lastRow="0" w:firstColumn="0" w:lastColumn="0" w:oddVBand="0" w:evenVBand="0" w:oddHBand="0" w:evenHBand="1" w:firstRowFirstColumn="0" w:firstRowLastColumn="0" w:lastRowFirstColumn="0" w:lastRowLastColumn="0"/>
        </w:trPr>
        <w:tc>
          <w:tcPr>
            <w:tcW w:w="0" w:type="auto"/>
          </w:tcPr>
          <w:p w14:paraId="729AAEF0" w14:textId="77777777" w:rsidR="00D27769" w:rsidRPr="009F4F54" w:rsidRDefault="00D27769" w:rsidP="00760658">
            <w:pPr>
              <w:pStyle w:val="TableTextLeft"/>
            </w:pPr>
            <w:r w:rsidRPr="009F4F54">
              <w:t>Gippsland Basin</w:t>
            </w:r>
            <w:r>
              <w:t xml:space="preserve"> (onshore)</w:t>
            </w:r>
          </w:p>
        </w:tc>
        <w:tc>
          <w:tcPr>
            <w:tcW w:w="0" w:type="auto"/>
          </w:tcPr>
          <w:p w14:paraId="33360FF2" w14:textId="77777777" w:rsidR="00D27769" w:rsidRPr="009F4F54" w:rsidRDefault="00D27769" w:rsidP="00760658">
            <w:pPr>
              <w:pStyle w:val="TableTextLeft"/>
            </w:pPr>
            <w:r w:rsidRPr="009F4F54">
              <w:t>Cretaceous–Cenozoic</w:t>
            </w:r>
          </w:p>
        </w:tc>
        <w:tc>
          <w:tcPr>
            <w:tcW w:w="0" w:type="auto"/>
          </w:tcPr>
          <w:p w14:paraId="3C0E79D3" w14:textId="77777777" w:rsidR="00D27769" w:rsidRPr="009F4F54" w:rsidRDefault="00D27769" w:rsidP="00760658">
            <w:pPr>
              <w:pStyle w:val="TableTextLeft"/>
            </w:pPr>
            <w:r w:rsidRPr="009F4F54">
              <w:t>Austral 2</w:t>
            </w:r>
          </w:p>
        </w:tc>
        <w:tc>
          <w:tcPr>
            <w:tcW w:w="0" w:type="auto"/>
          </w:tcPr>
          <w:p w14:paraId="1264755D" w14:textId="77777777" w:rsidR="00D27769" w:rsidRPr="009F4F54" w:rsidRDefault="00D27769" w:rsidP="00760658">
            <w:pPr>
              <w:pStyle w:val="TableTextLeft"/>
            </w:pPr>
            <w:r w:rsidRPr="009F4F54">
              <w:t>Moderate</w:t>
            </w:r>
          </w:p>
        </w:tc>
        <w:tc>
          <w:tcPr>
            <w:tcW w:w="0" w:type="auto"/>
          </w:tcPr>
          <w:p w14:paraId="32F71EDE" w14:textId="77777777" w:rsidR="00D27769" w:rsidRPr="009F4F54" w:rsidRDefault="00D27769" w:rsidP="00760658">
            <w:pPr>
              <w:pStyle w:val="TableTextLeft"/>
            </w:pPr>
            <w:r w:rsidRPr="009F4F54">
              <w:t>15,000</w:t>
            </w:r>
          </w:p>
        </w:tc>
        <w:tc>
          <w:tcPr>
            <w:tcW w:w="0" w:type="auto"/>
          </w:tcPr>
          <w:p w14:paraId="4D67F953" w14:textId="77777777" w:rsidR="00D27769" w:rsidRPr="009F4F54" w:rsidRDefault="00D27769" w:rsidP="00760658">
            <w:pPr>
              <w:pStyle w:val="TableTextLeft"/>
            </w:pPr>
            <w:r w:rsidRPr="009F4F54">
              <w:t>Small</w:t>
            </w:r>
            <w:r>
              <w:t>**</w:t>
            </w:r>
          </w:p>
        </w:tc>
        <w:tc>
          <w:tcPr>
            <w:tcW w:w="0" w:type="auto"/>
          </w:tcPr>
          <w:p w14:paraId="28D4B45A" w14:textId="77777777" w:rsidR="00D27769" w:rsidRPr="009F4F54" w:rsidRDefault="00D27769" w:rsidP="00760658">
            <w:pPr>
              <w:pStyle w:val="TableTextLeft"/>
            </w:pPr>
            <w:r w:rsidRPr="009F4F54">
              <w:t>High</w:t>
            </w:r>
            <w:r>
              <w:t xml:space="preserve">: </w:t>
            </w:r>
            <w:r w:rsidRPr="009F4F54">
              <w:t>contingent resources booked</w:t>
            </w:r>
          </w:p>
        </w:tc>
        <w:tc>
          <w:tcPr>
            <w:tcW w:w="0" w:type="auto"/>
          </w:tcPr>
          <w:p w14:paraId="0317BA50" w14:textId="77777777" w:rsidR="00D27769" w:rsidRPr="009F4F54" w:rsidRDefault="00D27769" w:rsidP="00760658">
            <w:pPr>
              <w:pStyle w:val="TableTextLeft"/>
            </w:pPr>
            <w:r w:rsidRPr="009F4F54">
              <w:t>Moderate</w:t>
            </w:r>
          </w:p>
        </w:tc>
      </w:tr>
      <w:tr w:rsidR="00D27769" w:rsidRPr="009F4F54" w14:paraId="65F92C66"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tcPr>
          <w:p w14:paraId="5690E9C5" w14:textId="77777777" w:rsidR="00D27769" w:rsidRPr="009F4F54" w:rsidRDefault="00D27769" w:rsidP="00760658">
            <w:pPr>
              <w:pStyle w:val="TableTextLeft"/>
            </w:pPr>
            <w:r w:rsidRPr="009F4F54">
              <w:t>Isa Superbasin</w:t>
            </w:r>
          </w:p>
        </w:tc>
        <w:tc>
          <w:tcPr>
            <w:tcW w:w="0" w:type="auto"/>
          </w:tcPr>
          <w:p w14:paraId="10650EAD" w14:textId="77777777" w:rsidR="00D27769" w:rsidRPr="009F4F54" w:rsidRDefault="00D27769" w:rsidP="00760658">
            <w:pPr>
              <w:pStyle w:val="TableTextLeft"/>
            </w:pPr>
            <w:r w:rsidRPr="009F4F54">
              <w:t>Paleoproterozoic–Mesoproterozoic</w:t>
            </w:r>
          </w:p>
        </w:tc>
        <w:tc>
          <w:tcPr>
            <w:tcW w:w="0" w:type="auto"/>
          </w:tcPr>
          <w:p w14:paraId="0FF0A9BD" w14:textId="77777777" w:rsidR="00D27769" w:rsidRPr="009F4F54" w:rsidRDefault="00D27769" w:rsidP="00760658">
            <w:pPr>
              <w:pStyle w:val="TableTextLeft"/>
            </w:pPr>
            <w:r>
              <w:t>Undefined</w:t>
            </w:r>
          </w:p>
        </w:tc>
        <w:tc>
          <w:tcPr>
            <w:tcW w:w="0" w:type="auto"/>
          </w:tcPr>
          <w:p w14:paraId="1EAC758E" w14:textId="77777777" w:rsidR="00D27769" w:rsidRPr="009F4F54" w:rsidRDefault="00D27769" w:rsidP="00760658">
            <w:pPr>
              <w:pStyle w:val="TableTextLeft"/>
            </w:pPr>
            <w:r w:rsidRPr="009F4F54">
              <w:t>Moderate</w:t>
            </w:r>
            <w:r>
              <w:t>–high</w:t>
            </w:r>
          </w:p>
        </w:tc>
        <w:tc>
          <w:tcPr>
            <w:tcW w:w="0" w:type="auto"/>
          </w:tcPr>
          <w:p w14:paraId="59267D69" w14:textId="77777777" w:rsidR="00D27769" w:rsidRPr="009F4F54" w:rsidRDefault="00D27769" w:rsidP="00760658">
            <w:pPr>
              <w:pStyle w:val="TableTextLeft"/>
            </w:pPr>
            <w:r w:rsidRPr="009F4F54">
              <w:t>56,000</w:t>
            </w:r>
          </w:p>
        </w:tc>
        <w:tc>
          <w:tcPr>
            <w:tcW w:w="0" w:type="auto"/>
          </w:tcPr>
          <w:p w14:paraId="34A60128" w14:textId="77777777" w:rsidR="00D27769" w:rsidRPr="009F4F54" w:rsidRDefault="00D27769" w:rsidP="00760658">
            <w:pPr>
              <w:pStyle w:val="TableTextLeft"/>
            </w:pPr>
            <w:r w:rsidRPr="009F4F54">
              <w:t>Large</w:t>
            </w:r>
            <w:r>
              <w:t>*</w:t>
            </w:r>
          </w:p>
        </w:tc>
        <w:tc>
          <w:tcPr>
            <w:tcW w:w="0" w:type="auto"/>
          </w:tcPr>
          <w:p w14:paraId="5F873777" w14:textId="77777777" w:rsidR="00D27769" w:rsidRPr="009F4F54" w:rsidRDefault="00D27769" w:rsidP="00760658">
            <w:pPr>
              <w:pStyle w:val="TableTextLeft"/>
            </w:pPr>
            <w:r w:rsidRPr="009F4F54">
              <w:t>High</w:t>
            </w:r>
            <w:r>
              <w:t xml:space="preserve">: </w:t>
            </w:r>
            <w:r w:rsidRPr="009F4F54">
              <w:t>contingent resources booked</w:t>
            </w:r>
          </w:p>
        </w:tc>
        <w:tc>
          <w:tcPr>
            <w:tcW w:w="0" w:type="auto"/>
          </w:tcPr>
          <w:p w14:paraId="6167CB90" w14:textId="77777777" w:rsidR="00D27769" w:rsidRPr="009F4F54" w:rsidRDefault="00D27769" w:rsidP="00760658">
            <w:pPr>
              <w:pStyle w:val="TableTextLeft"/>
            </w:pPr>
            <w:r w:rsidRPr="009F4F54">
              <w:t>Moderate–high</w:t>
            </w:r>
          </w:p>
        </w:tc>
      </w:tr>
      <w:tr w:rsidR="00D27769" w:rsidRPr="009F4F54" w14:paraId="7810436B" w14:textId="77777777" w:rsidTr="008454B0">
        <w:trPr>
          <w:cnfStyle w:val="000000010000" w:firstRow="0" w:lastRow="0" w:firstColumn="0" w:lastColumn="0" w:oddVBand="0" w:evenVBand="0" w:oddHBand="0" w:evenHBand="1" w:firstRowFirstColumn="0" w:firstRowLastColumn="0" w:lastRowFirstColumn="0" w:lastRowLastColumn="0"/>
        </w:trPr>
        <w:tc>
          <w:tcPr>
            <w:tcW w:w="0" w:type="auto"/>
          </w:tcPr>
          <w:p w14:paraId="23294423" w14:textId="77777777" w:rsidR="00D27769" w:rsidRPr="009F4F54" w:rsidRDefault="00D27769" w:rsidP="00760658">
            <w:pPr>
              <w:pStyle w:val="TableTextLeft"/>
            </w:pPr>
            <w:r w:rsidRPr="009F4F54">
              <w:t>McArthur Basin</w:t>
            </w:r>
          </w:p>
        </w:tc>
        <w:tc>
          <w:tcPr>
            <w:tcW w:w="0" w:type="auto"/>
          </w:tcPr>
          <w:p w14:paraId="0127A898" w14:textId="77777777" w:rsidR="00D27769" w:rsidRPr="009F4F54" w:rsidRDefault="00D27769" w:rsidP="00760658">
            <w:pPr>
              <w:pStyle w:val="TableTextLeft"/>
            </w:pPr>
            <w:r w:rsidRPr="009F4F54">
              <w:t>Paleoproterozoic–Mesoproterozoic</w:t>
            </w:r>
          </w:p>
        </w:tc>
        <w:tc>
          <w:tcPr>
            <w:tcW w:w="0" w:type="auto"/>
          </w:tcPr>
          <w:p w14:paraId="697B7355" w14:textId="77777777" w:rsidR="00D27769" w:rsidRPr="009F4F54" w:rsidRDefault="00D27769" w:rsidP="00760658">
            <w:pPr>
              <w:pStyle w:val="TableTextLeft"/>
            </w:pPr>
            <w:r w:rsidRPr="009F4F54">
              <w:t xml:space="preserve">Urapungan; McArthur </w:t>
            </w:r>
          </w:p>
        </w:tc>
        <w:tc>
          <w:tcPr>
            <w:tcW w:w="0" w:type="auto"/>
          </w:tcPr>
          <w:p w14:paraId="400472D9" w14:textId="77777777" w:rsidR="00D27769" w:rsidRPr="009F4F54" w:rsidRDefault="00D27769" w:rsidP="00760658">
            <w:pPr>
              <w:pStyle w:val="TableTextLeft"/>
            </w:pPr>
            <w:r w:rsidRPr="009F4F54">
              <w:t>High</w:t>
            </w:r>
          </w:p>
        </w:tc>
        <w:tc>
          <w:tcPr>
            <w:tcW w:w="0" w:type="auto"/>
          </w:tcPr>
          <w:p w14:paraId="05B6D483" w14:textId="77777777" w:rsidR="00D27769" w:rsidRPr="009F4F54" w:rsidRDefault="00D27769" w:rsidP="00760658">
            <w:pPr>
              <w:pStyle w:val="TableTextLeft"/>
            </w:pPr>
            <w:r w:rsidRPr="009F4F54">
              <w:t>180,000</w:t>
            </w:r>
          </w:p>
        </w:tc>
        <w:tc>
          <w:tcPr>
            <w:tcW w:w="0" w:type="auto"/>
          </w:tcPr>
          <w:p w14:paraId="52036BB9" w14:textId="77777777" w:rsidR="00D27769" w:rsidRPr="009F4F54" w:rsidRDefault="00D27769" w:rsidP="00760658">
            <w:pPr>
              <w:pStyle w:val="TableTextLeft"/>
            </w:pPr>
            <w:r w:rsidRPr="009F4F54">
              <w:t>Large</w:t>
            </w:r>
            <w:r>
              <w:t>*</w:t>
            </w:r>
          </w:p>
        </w:tc>
        <w:tc>
          <w:tcPr>
            <w:tcW w:w="0" w:type="auto"/>
          </w:tcPr>
          <w:p w14:paraId="684872A5" w14:textId="77777777" w:rsidR="00D27769" w:rsidRPr="009F4F54" w:rsidRDefault="00D27769" w:rsidP="00760658">
            <w:pPr>
              <w:pStyle w:val="TableTextLeft"/>
            </w:pPr>
            <w:r w:rsidRPr="009F4F54">
              <w:t>High</w:t>
            </w:r>
            <w:r>
              <w:t xml:space="preserve">: </w:t>
            </w:r>
            <w:r w:rsidRPr="009F4F54">
              <w:t>contingent resources booked</w:t>
            </w:r>
          </w:p>
        </w:tc>
        <w:tc>
          <w:tcPr>
            <w:tcW w:w="0" w:type="auto"/>
          </w:tcPr>
          <w:p w14:paraId="3E6306FF" w14:textId="77777777" w:rsidR="00D27769" w:rsidRPr="009F4F54" w:rsidRDefault="00D27769" w:rsidP="00760658">
            <w:pPr>
              <w:pStyle w:val="TableTextLeft"/>
            </w:pPr>
            <w:r w:rsidRPr="009F4F54">
              <w:t>High</w:t>
            </w:r>
          </w:p>
        </w:tc>
      </w:tr>
      <w:tr w:rsidR="00D27769" w:rsidRPr="009F4F54" w14:paraId="6D2EE074"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tcPr>
          <w:p w14:paraId="22F75775" w14:textId="77777777" w:rsidR="00D27769" w:rsidRPr="009F4F54" w:rsidRDefault="00D27769" w:rsidP="00760658">
            <w:pPr>
              <w:pStyle w:val="TableTextLeft"/>
            </w:pPr>
            <w:r w:rsidRPr="009F4F54">
              <w:t>Otway Basin</w:t>
            </w:r>
            <w:r>
              <w:t xml:space="preserve"> (onshore)</w:t>
            </w:r>
          </w:p>
        </w:tc>
        <w:tc>
          <w:tcPr>
            <w:tcW w:w="0" w:type="auto"/>
          </w:tcPr>
          <w:p w14:paraId="05E2F973" w14:textId="77777777" w:rsidR="00D27769" w:rsidRPr="009F4F54" w:rsidRDefault="00D27769" w:rsidP="00760658">
            <w:pPr>
              <w:pStyle w:val="TableTextLeft"/>
            </w:pPr>
            <w:r w:rsidRPr="009F4F54">
              <w:t>Jurassic–Cenozoic</w:t>
            </w:r>
          </w:p>
        </w:tc>
        <w:tc>
          <w:tcPr>
            <w:tcW w:w="0" w:type="auto"/>
          </w:tcPr>
          <w:p w14:paraId="6F88715D" w14:textId="77777777" w:rsidR="00D27769" w:rsidRPr="009F4F54" w:rsidRDefault="00D27769" w:rsidP="00760658">
            <w:pPr>
              <w:pStyle w:val="TableTextLeft"/>
            </w:pPr>
            <w:r w:rsidRPr="009F4F54">
              <w:t>Austral 1 and 2</w:t>
            </w:r>
          </w:p>
        </w:tc>
        <w:tc>
          <w:tcPr>
            <w:tcW w:w="0" w:type="auto"/>
          </w:tcPr>
          <w:p w14:paraId="6071ECA7" w14:textId="77777777" w:rsidR="00D27769" w:rsidRPr="009F4F54" w:rsidRDefault="00D27769" w:rsidP="00760658">
            <w:pPr>
              <w:pStyle w:val="TableTextLeft"/>
            </w:pPr>
            <w:r w:rsidRPr="009F4F54">
              <w:t>Moderate–high</w:t>
            </w:r>
          </w:p>
        </w:tc>
        <w:tc>
          <w:tcPr>
            <w:tcW w:w="0" w:type="auto"/>
          </w:tcPr>
          <w:p w14:paraId="0D90A3DA" w14:textId="77777777" w:rsidR="00D27769" w:rsidRPr="009F4F54" w:rsidRDefault="00D27769" w:rsidP="00760658">
            <w:pPr>
              <w:pStyle w:val="TableTextLeft"/>
            </w:pPr>
            <w:r w:rsidRPr="009F4F54">
              <w:t>26,000</w:t>
            </w:r>
          </w:p>
        </w:tc>
        <w:tc>
          <w:tcPr>
            <w:tcW w:w="0" w:type="auto"/>
          </w:tcPr>
          <w:p w14:paraId="00EAAC3B" w14:textId="77777777" w:rsidR="00D27769" w:rsidRPr="009F4F54" w:rsidRDefault="00D27769" w:rsidP="00760658">
            <w:pPr>
              <w:pStyle w:val="TableTextLeft"/>
            </w:pPr>
            <w:r>
              <w:t>Medium**</w:t>
            </w:r>
          </w:p>
        </w:tc>
        <w:tc>
          <w:tcPr>
            <w:tcW w:w="0" w:type="auto"/>
          </w:tcPr>
          <w:p w14:paraId="45DDF23B" w14:textId="77777777" w:rsidR="00D27769" w:rsidRPr="009F4F54" w:rsidRDefault="00D27769" w:rsidP="00760658">
            <w:pPr>
              <w:pStyle w:val="TableTextLeft"/>
            </w:pPr>
            <w:r w:rsidRPr="009F4F54">
              <w:t>High</w:t>
            </w:r>
          </w:p>
        </w:tc>
        <w:tc>
          <w:tcPr>
            <w:tcW w:w="0" w:type="auto"/>
          </w:tcPr>
          <w:p w14:paraId="6EA28E02" w14:textId="77777777" w:rsidR="00D27769" w:rsidRPr="009F4F54" w:rsidRDefault="00D27769" w:rsidP="00760658">
            <w:pPr>
              <w:pStyle w:val="TableTextLeft"/>
            </w:pPr>
            <w:r w:rsidRPr="009F4F54">
              <w:t>Moderate–high</w:t>
            </w:r>
          </w:p>
        </w:tc>
      </w:tr>
    </w:tbl>
    <w:p w14:paraId="3A65BA67" w14:textId="77777777" w:rsidR="00D27769" w:rsidRDefault="00D27769" w:rsidP="00174635">
      <w:pPr>
        <w:pStyle w:val="BodyText"/>
      </w:pPr>
      <w:bookmarkStart w:id="112" w:name="_Ref487819297"/>
      <w:bookmarkStart w:id="113" w:name="_Ref487818890"/>
    </w:p>
    <w:p w14:paraId="6BACC96C" w14:textId="77777777" w:rsidR="00D27769" w:rsidRDefault="00D27769" w:rsidP="00174635">
      <w:pPr>
        <w:pStyle w:val="BodyText"/>
      </w:pPr>
      <w:r>
        <w:br w:type="page"/>
      </w:r>
    </w:p>
    <w:p w14:paraId="5EB8236D" w14:textId="75BE6708" w:rsidR="00D27769" w:rsidRPr="00AB6721" w:rsidRDefault="00D27769" w:rsidP="00924E2B">
      <w:pPr>
        <w:pStyle w:val="Caption"/>
      </w:pPr>
      <w:bookmarkStart w:id="114" w:name="_Ref493770569"/>
      <w:bookmarkStart w:id="115" w:name="_Toc517101460"/>
      <w:r w:rsidRPr="00AB6721">
        <w:t xml:space="preserve">Table </w:t>
      </w:r>
      <w:fldSimple w:instr=" STYLEREF 1 \s ">
        <w:r w:rsidR="004A16F5">
          <w:rPr>
            <w:noProof/>
          </w:rPr>
          <w:t>5</w:t>
        </w:r>
      </w:fldSimple>
      <w:r w:rsidRPr="00AB6721">
        <w:noBreakHyphen/>
      </w:r>
      <w:fldSimple w:instr=" SEQ Table \* ARABIC \s 1 ">
        <w:r w:rsidR="004A16F5">
          <w:rPr>
            <w:noProof/>
          </w:rPr>
          <w:t>6</w:t>
        </w:r>
      </w:fldSimple>
      <w:bookmarkEnd w:id="112"/>
      <w:bookmarkEnd w:id="114"/>
      <w:r w:rsidRPr="00AB6721">
        <w:t>: Summary of</w:t>
      </w:r>
      <w:r w:rsidR="00551FA4">
        <w:t xml:space="preserve"> onshore</w:t>
      </w:r>
      <w:r w:rsidRPr="00AB6721">
        <w:t xml:space="preserve"> basin confidence rankings</w:t>
      </w:r>
      <w:bookmarkEnd w:id="113"/>
      <w:r w:rsidRPr="00AB6721">
        <w:t xml:space="preserve"> based on data density and overall exploration status.</w:t>
      </w:r>
      <w:bookmarkEnd w:id="115"/>
    </w:p>
    <w:tbl>
      <w:tblPr>
        <w:tblStyle w:val="TableBAHeaderRow"/>
        <w:tblW w:w="5000" w:type="pct"/>
        <w:tblLook w:val="04A0" w:firstRow="1" w:lastRow="0" w:firstColumn="1" w:lastColumn="0" w:noHBand="0" w:noVBand="1"/>
      </w:tblPr>
      <w:tblGrid>
        <w:gridCol w:w="1790"/>
        <w:gridCol w:w="910"/>
        <w:gridCol w:w="1591"/>
        <w:gridCol w:w="2252"/>
        <w:gridCol w:w="1283"/>
        <w:gridCol w:w="2277"/>
        <w:gridCol w:w="2414"/>
        <w:gridCol w:w="1487"/>
      </w:tblGrid>
      <w:tr w:rsidR="00D27769" w:rsidRPr="002915B9" w14:paraId="09686FA7" w14:textId="77777777" w:rsidTr="008454B0">
        <w:trPr>
          <w:cnfStyle w:val="100000000000" w:firstRow="1" w:lastRow="0" w:firstColumn="0" w:lastColumn="0" w:oddVBand="0" w:evenVBand="0" w:oddHBand="0" w:evenHBand="0" w:firstRowFirstColumn="0" w:firstRowLastColumn="0" w:lastRowFirstColumn="0" w:lastRowLastColumn="0"/>
        </w:trPr>
        <w:tc>
          <w:tcPr>
            <w:tcW w:w="639" w:type="pct"/>
          </w:tcPr>
          <w:p w14:paraId="5933FBB7" w14:textId="77777777" w:rsidR="00D27769" w:rsidRPr="00E6347C" w:rsidRDefault="00D27769" w:rsidP="00760658">
            <w:pPr>
              <w:pStyle w:val="TableTextLeft"/>
            </w:pPr>
            <w:r w:rsidRPr="00E6347C">
              <w:t>Basin</w:t>
            </w:r>
          </w:p>
        </w:tc>
        <w:tc>
          <w:tcPr>
            <w:tcW w:w="325" w:type="pct"/>
          </w:tcPr>
          <w:p w14:paraId="3A4C83A2" w14:textId="77777777" w:rsidR="00D27769" w:rsidRPr="00E6347C" w:rsidRDefault="00D27769" w:rsidP="00760658">
            <w:pPr>
              <w:pStyle w:val="TableTextLeft"/>
            </w:pPr>
            <w:r>
              <w:t>Area (km</w:t>
            </w:r>
            <w:r w:rsidRPr="00255345">
              <w:rPr>
                <w:rStyle w:val="Superscript"/>
              </w:rPr>
              <w:t>2</w:t>
            </w:r>
            <w:r>
              <w:t>)</w:t>
            </w:r>
          </w:p>
        </w:tc>
        <w:tc>
          <w:tcPr>
            <w:tcW w:w="568" w:type="pct"/>
          </w:tcPr>
          <w:p w14:paraId="2462A3C3" w14:textId="77777777" w:rsidR="00D27769" w:rsidRPr="00E6347C" w:rsidRDefault="00D27769" w:rsidP="00760658">
            <w:pPr>
              <w:pStyle w:val="TableTextLeft"/>
            </w:pPr>
            <w:r>
              <w:t xml:space="preserve">No of </w:t>
            </w:r>
            <w:r w:rsidRPr="00E6347C">
              <w:t>petroleum wells</w:t>
            </w:r>
          </w:p>
        </w:tc>
        <w:tc>
          <w:tcPr>
            <w:tcW w:w="804" w:type="pct"/>
          </w:tcPr>
          <w:p w14:paraId="7731355F" w14:textId="77777777" w:rsidR="00D27769" w:rsidRPr="00E6347C" w:rsidRDefault="00D27769" w:rsidP="00760658">
            <w:pPr>
              <w:pStyle w:val="TableTextLeft"/>
            </w:pPr>
            <w:r>
              <w:t>Approx. n</w:t>
            </w:r>
            <w:r w:rsidRPr="00E6347C">
              <w:t xml:space="preserve">o of </w:t>
            </w:r>
            <w:r>
              <w:t xml:space="preserve">shale/ tight gas wells </w:t>
            </w:r>
          </w:p>
        </w:tc>
        <w:tc>
          <w:tcPr>
            <w:tcW w:w="458" w:type="pct"/>
          </w:tcPr>
          <w:p w14:paraId="35D96CEE" w14:textId="77777777" w:rsidR="00D27769" w:rsidRPr="00E6347C" w:rsidRDefault="00D27769" w:rsidP="00760658">
            <w:pPr>
              <w:pStyle w:val="TableTextLeft"/>
            </w:pPr>
            <w:r w:rsidRPr="00E6347C">
              <w:t>Seismic line (km)</w:t>
            </w:r>
          </w:p>
        </w:tc>
        <w:tc>
          <w:tcPr>
            <w:tcW w:w="813" w:type="pct"/>
          </w:tcPr>
          <w:p w14:paraId="7134C432" w14:textId="77777777" w:rsidR="00D27769" w:rsidRPr="00E6347C" w:rsidRDefault="00D27769" w:rsidP="00760658">
            <w:pPr>
              <w:pStyle w:val="TableTextLeft"/>
            </w:pPr>
            <w:r>
              <w:t>Exploration status - conventional</w:t>
            </w:r>
          </w:p>
        </w:tc>
        <w:tc>
          <w:tcPr>
            <w:tcW w:w="862" w:type="pct"/>
          </w:tcPr>
          <w:p w14:paraId="105794EC" w14:textId="77777777" w:rsidR="00D27769" w:rsidRPr="00E6347C" w:rsidRDefault="00D27769" w:rsidP="00760658">
            <w:pPr>
              <w:pStyle w:val="TableTextLeft"/>
            </w:pPr>
            <w:r>
              <w:t>Exploration status –shale/tight gas</w:t>
            </w:r>
          </w:p>
        </w:tc>
        <w:tc>
          <w:tcPr>
            <w:tcW w:w="531" w:type="pct"/>
          </w:tcPr>
          <w:p w14:paraId="0AF8E4A6" w14:textId="77777777" w:rsidR="00D27769" w:rsidRPr="00E6347C" w:rsidRDefault="00D27769" w:rsidP="00760658">
            <w:pPr>
              <w:pStyle w:val="TableTextLeft"/>
            </w:pPr>
            <w:r w:rsidRPr="00E6347C">
              <w:t>Confidence</w:t>
            </w:r>
            <w:r>
              <w:t xml:space="preserve"> in geological knowledge</w:t>
            </w:r>
          </w:p>
        </w:tc>
      </w:tr>
      <w:tr w:rsidR="00D27769" w:rsidRPr="002915B9" w14:paraId="4C769F40" w14:textId="77777777" w:rsidTr="008454B0">
        <w:trPr>
          <w:cnfStyle w:val="000000100000" w:firstRow="0" w:lastRow="0" w:firstColumn="0" w:lastColumn="0" w:oddVBand="0" w:evenVBand="0" w:oddHBand="1" w:evenHBand="0" w:firstRowFirstColumn="0" w:firstRowLastColumn="0" w:lastRowFirstColumn="0" w:lastRowLastColumn="0"/>
        </w:trPr>
        <w:tc>
          <w:tcPr>
            <w:tcW w:w="639" w:type="pct"/>
          </w:tcPr>
          <w:p w14:paraId="069007C1" w14:textId="77777777" w:rsidR="00D27769" w:rsidRPr="00EA3AC5" w:rsidRDefault="00D27769" w:rsidP="00760658">
            <w:pPr>
              <w:pStyle w:val="TableTextLeft"/>
            </w:pPr>
            <w:r w:rsidRPr="00EA3AC5">
              <w:t>Amadeus Basin</w:t>
            </w:r>
          </w:p>
        </w:tc>
        <w:tc>
          <w:tcPr>
            <w:tcW w:w="325" w:type="pct"/>
          </w:tcPr>
          <w:p w14:paraId="5E861F6C" w14:textId="77777777" w:rsidR="00D27769" w:rsidRPr="00EA3AC5" w:rsidRDefault="00D27769" w:rsidP="00760658">
            <w:pPr>
              <w:pStyle w:val="TableTextLeft"/>
            </w:pPr>
            <w:r>
              <w:t>180,</w:t>
            </w:r>
            <w:r w:rsidRPr="006361EB">
              <w:t>000</w:t>
            </w:r>
          </w:p>
        </w:tc>
        <w:tc>
          <w:tcPr>
            <w:tcW w:w="568" w:type="pct"/>
          </w:tcPr>
          <w:p w14:paraId="5A7067CC" w14:textId="77777777" w:rsidR="00D27769" w:rsidRPr="00EA3AC5" w:rsidRDefault="00D27769" w:rsidP="00760658">
            <w:pPr>
              <w:pStyle w:val="TableTextLeft"/>
            </w:pPr>
            <w:r>
              <w:t>~40</w:t>
            </w:r>
          </w:p>
        </w:tc>
        <w:tc>
          <w:tcPr>
            <w:tcW w:w="804" w:type="pct"/>
          </w:tcPr>
          <w:p w14:paraId="254AD6BA" w14:textId="77777777" w:rsidR="00D27769" w:rsidRPr="00EA3AC5" w:rsidRDefault="00D27769" w:rsidP="00760658">
            <w:pPr>
              <w:pStyle w:val="TableTextLeft"/>
            </w:pPr>
            <w:r>
              <w:t>Unknown</w:t>
            </w:r>
          </w:p>
        </w:tc>
        <w:tc>
          <w:tcPr>
            <w:tcW w:w="458" w:type="pct"/>
          </w:tcPr>
          <w:p w14:paraId="431C5A56" w14:textId="77777777" w:rsidR="00D27769" w:rsidRPr="00EA3AC5" w:rsidRDefault="00D27769" w:rsidP="00760658">
            <w:pPr>
              <w:pStyle w:val="TableTextLeft"/>
            </w:pPr>
            <w:r>
              <w:t>12,986 </w:t>
            </w:r>
          </w:p>
        </w:tc>
        <w:tc>
          <w:tcPr>
            <w:tcW w:w="813" w:type="pct"/>
          </w:tcPr>
          <w:p w14:paraId="31C27AFF" w14:textId="77777777" w:rsidR="00D27769" w:rsidRDefault="00D27769" w:rsidP="00760658">
            <w:pPr>
              <w:pStyle w:val="TableTextLeft"/>
            </w:pPr>
            <w:r w:rsidRPr="00BF4EB4">
              <w:t>Producing/ mature</w:t>
            </w:r>
          </w:p>
        </w:tc>
        <w:tc>
          <w:tcPr>
            <w:tcW w:w="862" w:type="pct"/>
          </w:tcPr>
          <w:p w14:paraId="0CF555BE" w14:textId="77777777" w:rsidR="00D27769" w:rsidRDefault="00D27769" w:rsidP="00760658">
            <w:pPr>
              <w:pStyle w:val="TableTextLeft"/>
            </w:pPr>
            <w:r w:rsidRPr="00EE086C">
              <w:t>Under-explored</w:t>
            </w:r>
          </w:p>
        </w:tc>
        <w:tc>
          <w:tcPr>
            <w:tcW w:w="531" w:type="pct"/>
          </w:tcPr>
          <w:p w14:paraId="3AE709FA" w14:textId="77777777" w:rsidR="00D27769" w:rsidRPr="00EA3AC5" w:rsidRDefault="00D27769" w:rsidP="00760658">
            <w:pPr>
              <w:pStyle w:val="TableTextLeft"/>
            </w:pPr>
            <w:r w:rsidRPr="00EA3AC5">
              <w:t>Moderate</w:t>
            </w:r>
          </w:p>
        </w:tc>
      </w:tr>
      <w:tr w:rsidR="00D27769" w:rsidRPr="002915B9" w14:paraId="2953F494" w14:textId="77777777" w:rsidTr="008454B0">
        <w:trPr>
          <w:cnfStyle w:val="000000010000" w:firstRow="0" w:lastRow="0" w:firstColumn="0" w:lastColumn="0" w:oddVBand="0" w:evenVBand="0" w:oddHBand="0" w:evenHBand="1" w:firstRowFirstColumn="0" w:firstRowLastColumn="0" w:lastRowFirstColumn="0" w:lastRowLastColumn="0"/>
        </w:trPr>
        <w:tc>
          <w:tcPr>
            <w:tcW w:w="639" w:type="pct"/>
          </w:tcPr>
          <w:p w14:paraId="7DC83582" w14:textId="77777777" w:rsidR="00D27769" w:rsidRPr="00EA3AC5" w:rsidRDefault="00D27769" w:rsidP="00760658">
            <w:pPr>
              <w:pStyle w:val="TableTextLeft"/>
            </w:pPr>
            <w:r w:rsidRPr="00EA3AC5">
              <w:t>Bowen Basin</w:t>
            </w:r>
          </w:p>
        </w:tc>
        <w:tc>
          <w:tcPr>
            <w:tcW w:w="325" w:type="pct"/>
          </w:tcPr>
          <w:p w14:paraId="04B9C593" w14:textId="77777777" w:rsidR="00D27769" w:rsidRPr="00EA3AC5" w:rsidRDefault="00D27769" w:rsidP="00760658">
            <w:pPr>
              <w:pStyle w:val="TableTextLeft"/>
            </w:pPr>
            <w:r>
              <w:t>154,000</w:t>
            </w:r>
          </w:p>
        </w:tc>
        <w:tc>
          <w:tcPr>
            <w:tcW w:w="568" w:type="pct"/>
          </w:tcPr>
          <w:p w14:paraId="65DD49EE" w14:textId="77777777" w:rsidR="00D27769" w:rsidRPr="00EA3AC5" w:rsidRDefault="00D27769" w:rsidP="00760658">
            <w:pPr>
              <w:pStyle w:val="TableTextLeft"/>
            </w:pPr>
            <w:r>
              <w:t>&gt;300</w:t>
            </w:r>
          </w:p>
        </w:tc>
        <w:tc>
          <w:tcPr>
            <w:tcW w:w="804" w:type="pct"/>
          </w:tcPr>
          <w:p w14:paraId="756A0BC5" w14:textId="77777777" w:rsidR="00D27769" w:rsidRPr="00EA3AC5" w:rsidRDefault="00D27769" w:rsidP="00760658">
            <w:pPr>
              <w:pStyle w:val="TableTextLeft"/>
            </w:pPr>
            <w:r>
              <w:t>&gt;6</w:t>
            </w:r>
          </w:p>
        </w:tc>
        <w:tc>
          <w:tcPr>
            <w:tcW w:w="458" w:type="pct"/>
          </w:tcPr>
          <w:p w14:paraId="00527C62" w14:textId="77777777" w:rsidR="00D27769" w:rsidRPr="00EA3AC5" w:rsidRDefault="00D27769" w:rsidP="00760658">
            <w:pPr>
              <w:pStyle w:val="TableTextLeft"/>
            </w:pPr>
            <w:r>
              <w:t>57,035</w:t>
            </w:r>
          </w:p>
        </w:tc>
        <w:tc>
          <w:tcPr>
            <w:tcW w:w="813" w:type="pct"/>
          </w:tcPr>
          <w:p w14:paraId="777A59CB" w14:textId="77777777" w:rsidR="00D27769" w:rsidRDefault="00D27769" w:rsidP="00760658">
            <w:pPr>
              <w:pStyle w:val="TableTextLeft"/>
            </w:pPr>
            <w:r w:rsidRPr="00BF4EB4">
              <w:t>Producing/ mature</w:t>
            </w:r>
          </w:p>
        </w:tc>
        <w:tc>
          <w:tcPr>
            <w:tcW w:w="862" w:type="pct"/>
          </w:tcPr>
          <w:p w14:paraId="2BD3C8AB" w14:textId="77777777" w:rsidR="00D27769" w:rsidRDefault="00D27769" w:rsidP="00760658">
            <w:pPr>
              <w:pStyle w:val="TableTextLeft"/>
            </w:pPr>
            <w:r>
              <w:t xml:space="preserve">Preliminary exploration/ </w:t>
            </w:r>
            <w:r w:rsidRPr="00EE086C">
              <w:t>under-explored</w:t>
            </w:r>
          </w:p>
        </w:tc>
        <w:tc>
          <w:tcPr>
            <w:tcW w:w="531" w:type="pct"/>
          </w:tcPr>
          <w:p w14:paraId="76C61D03" w14:textId="77777777" w:rsidR="00D27769" w:rsidRPr="00EA3AC5" w:rsidRDefault="00D27769" w:rsidP="00760658">
            <w:pPr>
              <w:pStyle w:val="TableTextLeft"/>
            </w:pPr>
            <w:r>
              <w:t>Moderate</w:t>
            </w:r>
          </w:p>
        </w:tc>
      </w:tr>
      <w:tr w:rsidR="00D27769" w:rsidRPr="002915B9" w14:paraId="0EF6C855" w14:textId="77777777" w:rsidTr="008454B0">
        <w:trPr>
          <w:cnfStyle w:val="000000100000" w:firstRow="0" w:lastRow="0" w:firstColumn="0" w:lastColumn="0" w:oddVBand="0" w:evenVBand="0" w:oddHBand="1" w:evenHBand="0" w:firstRowFirstColumn="0" w:firstRowLastColumn="0" w:lastRowFirstColumn="0" w:lastRowLastColumn="0"/>
        </w:trPr>
        <w:tc>
          <w:tcPr>
            <w:tcW w:w="639" w:type="pct"/>
          </w:tcPr>
          <w:p w14:paraId="14DA883E" w14:textId="77777777" w:rsidR="00D27769" w:rsidRPr="00EA3AC5" w:rsidRDefault="00D27769" w:rsidP="00760658">
            <w:pPr>
              <w:pStyle w:val="TableTextLeft"/>
            </w:pPr>
            <w:r w:rsidRPr="00EA3AC5">
              <w:t>Clarence-Moreton Basin</w:t>
            </w:r>
          </w:p>
        </w:tc>
        <w:tc>
          <w:tcPr>
            <w:tcW w:w="325" w:type="pct"/>
          </w:tcPr>
          <w:p w14:paraId="1EA96806" w14:textId="77777777" w:rsidR="00D27769" w:rsidRPr="00EA3AC5" w:rsidRDefault="00D27769" w:rsidP="00760658">
            <w:pPr>
              <w:pStyle w:val="TableTextLeft"/>
            </w:pPr>
            <w:r>
              <w:t>38,000</w:t>
            </w:r>
          </w:p>
        </w:tc>
        <w:tc>
          <w:tcPr>
            <w:tcW w:w="568" w:type="pct"/>
          </w:tcPr>
          <w:p w14:paraId="64087C2E" w14:textId="77777777" w:rsidR="00D27769" w:rsidRPr="00EA3AC5" w:rsidRDefault="00D27769" w:rsidP="00760658">
            <w:pPr>
              <w:pStyle w:val="TableTextLeft"/>
            </w:pPr>
            <w:r>
              <w:t>~50</w:t>
            </w:r>
          </w:p>
        </w:tc>
        <w:tc>
          <w:tcPr>
            <w:tcW w:w="804" w:type="pct"/>
          </w:tcPr>
          <w:p w14:paraId="3490CDEC" w14:textId="77777777" w:rsidR="00D27769" w:rsidRPr="00EA3AC5" w:rsidRDefault="00D27769" w:rsidP="00760658">
            <w:pPr>
              <w:pStyle w:val="TableTextLeft"/>
            </w:pPr>
            <w:r>
              <w:t>1</w:t>
            </w:r>
          </w:p>
        </w:tc>
        <w:tc>
          <w:tcPr>
            <w:tcW w:w="458" w:type="pct"/>
          </w:tcPr>
          <w:p w14:paraId="3238AF13" w14:textId="77777777" w:rsidR="00D27769" w:rsidRPr="00EA3AC5" w:rsidRDefault="00D27769" w:rsidP="00760658">
            <w:pPr>
              <w:pStyle w:val="TableTextLeft"/>
            </w:pPr>
            <w:r>
              <w:t>2,909</w:t>
            </w:r>
          </w:p>
        </w:tc>
        <w:tc>
          <w:tcPr>
            <w:tcW w:w="813" w:type="pct"/>
          </w:tcPr>
          <w:p w14:paraId="43A14BA9" w14:textId="77777777" w:rsidR="00D27769" w:rsidRDefault="00D27769" w:rsidP="00760658">
            <w:pPr>
              <w:pStyle w:val="TableTextLeft"/>
            </w:pPr>
            <w:r>
              <w:t>Exploration/ appraisal</w:t>
            </w:r>
          </w:p>
        </w:tc>
        <w:tc>
          <w:tcPr>
            <w:tcW w:w="862" w:type="pct"/>
          </w:tcPr>
          <w:p w14:paraId="1DE0717B" w14:textId="77777777" w:rsidR="00D27769" w:rsidRDefault="00D27769" w:rsidP="00760658">
            <w:pPr>
              <w:pStyle w:val="TableTextLeft"/>
            </w:pPr>
            <w:r>
              <w:t>U</w:t>
            </w:r>
            <w:r w:rsidRPr="00EE086C">
              <w:t>nder-explored</w:t>
            </w:r>
          </w:p>
        </w:tc>
        <w:tc>
          <w:tcPr>
            <w:tcW w:w="531" w:type="pct"/>
          </w:tcPr>
          <w:p w14:paraId="466E426A" w14:textId="77777777" w:rsidR="00D27769" w:rsidRPr="00EA3AC5" w:rsidRDefault="00D27769" w:rsidP="00760658">
            <w:pPr>
              <w:pStyle w:val="TableTextLeft"/>
            </w:pPr>
            <w:r>
              <w:t>Low–m</w:t>
            </w:r>
            <w:r w:rsidRPr="00EA3AC5">
              <w:t>oderate</w:t>
            </w:r>
          </w:p>
        </w:tc>
      </w:tr>
      <w:tr w:rsidR="00D27769" w:rsidRPr="002915B9" w14:paraId="071DBF9B" w14:textId="77777777" w:rsidTr="008454B0">
        <w:trPr>
          <w:cnfStyle w:val="000000010000" w:firstRow="0" w:lastRow="0" w:firstColumn="0" w:lastColumn="0" w:oddVBand="0" w:evenVBand="0" w:oddHBand="0" w:evenHBand="1" w:firstRowFirstColumn="0" w:firstRowLastColumn="0" w:lastRowFirstColumn="0" w:lastRowLastColumn="0"/>
        </w:trPr>
        <w:tc>
          <w:tcPr>
            <w:tcW w:w="639" w:type="pct"/>
          </w:tcPr>
          <w:p w14:paraId="2C7026F8" w14:textId="77777777" w:rsidR="00D27769" w:rsidRPr="00EA3AC5" w:rsidRDefault="00D27769" w:rsidP="00760658">
            <w:pPr>
              <w:pStyle w:val="TableTextLeft"/>
            </w:pPr>
            <w:r w:rsidRPr="00EA3AC5">
              <w:t>Cooper Basin</w:t>
            </w:r>
          </w:p>
        </w:tc>
        <w:tc>
          <w:tcPr>
            <w:tcW w:w="325" w:type="pct"/>
          </w:tcPr>
          <w:p w14:paraId="6593B383" w14:textId="77777777" w:rsidR="00D27769" w:rsidRPr="00EA3AC5" w:rsidRDefault="00D27769" w:rsidP="00760658">
            <w:pPr>
              <w:pStyle w:val="TableTextLeft"/>
            </w:pPr>
            <w:r>
              <w:t>127,</w:t>
            </w:r>
            <w:r w:rsidRPr="00AD7F0C">
              <w:t>000</w:t>
            </w:r>
          </w:p>
        </w:tc>
        <w:tc>
          <w:tcPr>
            <w:tcW w:w="568" w:type="pct"/>
          </w:tcPr>
          <w:p w14:paraId="6E5A8400" w14:textId="77777777" w:rsidR="00D27769" w:rsidRPr="00EA3AC5" w:rsidRDefault="00D27769" w:rsidP="00760658">
            <w:pPr>
              <w:pStyle w:val="TableTextLeft"/>
            </w:pPr>
            <w:r>
              <w:t>&gt;3,000</w:t>
            </w:r>
          </w:p>
        </w:tc>
        <w:tc>
          <w:tcPr>
            <w:tcW w:w="804" w:type="pct"/>
          </w:tcPr>
          <w:p w14:paraId="2186E4EB" w14:textId="77777777" w:rsidR="00D27769" w:rsidRPr="00EA3AC5" w:rsidRDefault="00D27769" w:rsidP="00760658">
            <w:pPr>
              <w:pStyle w:val="TableTextLeft"/>
            </w:pPr>
            <w:r>
              <w:t>&gt;40</w:t>
            </w:r>
          </w:p>
        </w:tc>
        <w:tc>
          <w:tcPr>
            <w:tcW w:w="458" w:type="pct"/>
          </w:tcPr>
          <w:p w14:paraId="4F08DB05" w14:textId="77777777" w:rsidR="00D27769" w:rsidRPr="00EA3AC5" w:rsidRDefault="00D27769" w:rsidP="00760658">
            <w:pPr>
              <w:pStyle w:val="TableTextLeft"/>
            </w:pPr>
            <w:r>
              <w:t>&gt;81,</w:t>
            </w:r>
            <w:r w:rsidRPr="00AD7F0C">
              <w:t>000 </w:t>
            </w:r>
          </w:p>
        </w:tc>
        <w:tc>
          <w:tcPr>
            <w:tcW w:w="813" w:type="pct"/>
          </w:tcPr>
          <w:p w14:paraId="21C72BE1" w14:textId="77777777" w:rsidR="00D27769" w:rsidRDefault="00D27769" w:rsidP="00760658">
            <w:pPr>
              <w:pStyle w:val="TableTextLeft"/>
            </w:pPr>
            <w:r w:rsidRPr="00BF4EB4">
              <w:t>Producing/ mature</w:t>
            </w:r>
          </w:p>
        </w:tc>
        <w:tc>
          <w:tcPr>
            <w:tcW w:w="862" w:type="pct"/>
          </w:tcPr>
          <w:p w14:paraId="70EB2124" w14:textId="77777777" w:rsidR="00D27769" w:rsidRDefault="00D27769" w:rsidP="00760658">
            <w:pPr>
              <w:pStyle w:val="TableTextLeft"/>
            </w:pPr>
            <w:r>
              <w:t>Advanced exploration/ appraisal</w:t>
            </w:r>
          </w:p>
        </w:tc>
        <w:tc>
          <w:tcPr>
            <w:tcW w:w="531" w:type="pct"/>
          </w:tcPr>
          <w:p w14:paraId="07634A15" w14:textId="77777777" w:rsidR="00D27769" w:rsidRPr="00EA3AC5" w:rsidRDefault="00D27769" w:rsidP="00760658">
            <w:pPr>
              <w:pStyle w:val="TableTextLeft"/>
            </w:pPr>
            <w:r w:rsidRPr="00EA3AC5">
              <w:t>High</w:t>
            </w:r>
          </w:p>
        </w:tc>
      </w:tr>
      <w:tr w:rsidR="00D27769" w:rsidRPr="002915B9" w14:paraId="2194CCF6" w14:textId="77777777" w:rsidTr="008454B0">
        <w:trPr>
          <w:cnfStyle w:val="000000100000" w:firstRow="0" w:lastRow="0" w:firstColumn="0" w:lastColumn="0" w:oddVBand="0" w:evenVBand="0" w:oddHBand="1" w:evenHBand="0" w:firstRowFirstColumn="0" w:firstRowLastColumn="0" w:lastRowFirstColumn="0" w:lastRowLastColumn="0"/>
        </w:trPr>
        <w:tc>
          <w:tcPr>
            <w:tcW w:w="639" w:type="pct"/>
          </w:tcPr>
          <w:p w14:paraId="1B4C44B9" w14:textId="77777777" w:rsidR="00D27769" w:rsidRPr="00EA3AC5" w:rsidRDefault="00D27769" w:rsidP="00760658">
            <w:pPr>
              <w:pStyle w:val="TableTextLeft"/>
            </w:pPr>
            <w:r w:rsidRPr="00EA3AC5">
              <w:t>Georgina Basin</w:t>
            </w:r>
          </w:p>
        </w:tc>
        <w:tc>
          <w:tcPr>
            <w:tcW w:w="325" w:type="pct"/>
          </w:tcPr>
          <w:p w14:paraId="57F53583" w14:textId="77777777" w:rsidR="00D27769" w:rsidRPr="00EA3AC5" w:rsidRDefault="00D27769" w:rsidP="00760658">
            <w:pPr>
              <w:pStyle w:val="TableTextLeft"/>
            </w:pPr>
            <w:r w:rsidRPr="0020031B">
              <w:t>3</w:t>
            </w:r>
            <w:r>
              <w:t>54,</w:t>
            </w:r>
            <w:r w:rsidRPr="0020031B">
              <w:t>000</w:t>
            </w:r>
            <w:r>
              <w:t xml:space="preserve"> </w:t>
            </w:r>
          </w:p>
        </w:tc>
        <w:tc>
          <w:tcPr>
            <w:tcW w:w="568" w:type="pct"/>
          </w:tcPr>
          <w:p w14:paraId="7512C74A" w14:textId="77777777" w:rsidR="00D27769" w:rsidRPr="00EA3AC5" w:rsidRDefault="00D27769" w:rsidP="00760658">
            <w:pPr>
              <w:pStyle w:val="TableTextLeft"/>
            </w:pPr>
            <w:r>
              <w:t>&gt;70</w:t>
            </w:r>
          </w:p>
        </w:tc>
        <w:tc>
          <w:tcPr>
            <w:tcW w:w="804" w:type="pct"/>
          </w:tcPr>
          <w:p w14:paraId="6C7466E1" w14:textId="77777777" w:rsidR="00D27769" w:rsidRPr="00EA3AC5" w:rsidRDefault="00D27769" w:rsidP="00760658">
            <w:pPr>
              <w:pStyle w:val="TableTextLeft"/>
            </w:pPr>
            <w:r>
              <w:t>&gt;22</w:t>
            </w:r>
          </w:p>
        </w:tc>
        <w:tc>
          <w:tcPr>
            <w:tcW w:w="458" w:type="pct"/>
          </w:tcPr>
          <w:p w14:paraId="489BAF76" w14:textId="77777777" w:rsidR="00D27769" w:rsidRPr="00EA3AC5" w:rsidRDefault="00D27769" w:rsidP="00760658">
            <w:pPr>
              <w:pStyle w:val="TableTextLeft"/>
            </w:pPr>
            <w:r>
              <w:t>11,767</w:t>
            </w:r>
          </w:p>
        </w:tc>
        <w:tc>
          <w:tcPr>
            <w:tcW w:w="813" w:type="pct"/>
          </w:tcPr>
          <w:p w14:paraId="17A72719" w14:textId="0C948344" w:rsidR="00D27769" w:rsidRDefault="00A65094" w:rsidP="00760658">
            <w:pPr>
              <w:pStyle w:val="TableTextLeft"/>
            </w:pPr>
            <w:r>
              <w:t>Exploration/ appraisal</w:t>
            </w:r>
          </w:p>
        </w:tc>
        <w:tc>
          <w:tcPr>
            <w:tcW w:w="862" w:type="pct"/>
          </w:tcPr>
          <w:p w14:paraId="0293ACC6" w14:textId="77777777" w:rsidR="00D27769" w:rsidRDefault="00D27769" w:rsidP="00760658">
            <w:pPr>
              <w:pStyle w:val="TableTextLeft"/>
            </w:pPr>
            <w:r>
              <w:t xml:space="preserve">Preliminary exploration/ </w:t>
            </w:r>
            <w:r w:rsidRPr="00EE086C">
              <w:t>under-explored</w:t>
            </w:r>
          </w:p>
        </w:tc>
        <w:tc>
          <w:tcPr>
            <w:tcW w:w="531" w:type="pct"/>
          </w:tcPr>
          <w:p w14:paraId="7657CE5D" w14:textId="77777777" w:rsidR="00D27769" w:rsidRPr="00EA3AC5" w:rsidRDefault="00D27769" w:rsidP="00760658">
            <w:pPr>
              <w:pStyle w:val="TableTextLeft"/>
            </w:pPr>
            <w:r>
              <w:t>Low–m</w:t>
            </w:r>
            <w:r w:rsidRPr="00EA3AC5">
              <w:t>oderate</w:t>
            </w:r>
          </w:p>
        </w:tc>
      </w:tr>
      <w:tr w:rsidR="00D27769" w:rsidRPr="002915B9" w14:paraId="63D42F8F" w14:textId="77777777" w:rsidTr="008454B0">
        <w:trPr>
          <w:cnfStyle w:val="000000010000" w:firstRow="0" w:lastRow="0" w:firstColumn="0" w:lastColumn="0" w:oddVBand="0" w:evenVBand="0" w:oddHBand="0" w:evenHBand="1" w:firstRowFirstColumn="0" w:firstRowLastColumn="0" w:lastRowFirstColumn="0" w:lastRowLastColumn="0"/>
        </w:trPr>
        <w:tc>
          <w:tcPr>
            <w:tcW w:w="639" w:type="pct"/>
          </w:tcPr>
          <w:p w14:paraId="6487B77B" w14:textId="77777777" w:rsidR="00D27769" w:rsidRPr="00EA3AC5" w:rsidRDefault="00D27769" w:rsidP="00760658">
            <w:pPr>
              <w:pStyle w:val="TableTextLeft"/>
            </w:pPr>
            <w:r w:rsidRPr="00EA3AC5">
              <w:t>Gippsland Basin</w:t>
            </w:r>
            <w:r>
              <w:t xml:space="preserve"> (Onshore)</w:t>
            </w:r>
          </w:p>
        </w:tc>
        <w:tc>
          <w:tcPr>
            <w:tcW w:w="325" w:type="pct"/>
          </w:tcPr>
          <w:p w14:paraId="4596D9C7" w14:textId="77777777" w:rsidR="00D27769" w:rsidRPr="00EA3AC5" w:rsidRDefault="00D27769" w:rsidP="00760658">
            <w:pPr>
              <w:pStyle w:val="TableTextLeft"/>
            </w:pPr>
            <w:r w:rsidRPr="008511FF">
              <w:t>1</w:t>
            </w:r>
            <w:r>
              <w:t>1</w:t>
            </w:r>
            <w:r w:rsidRPr="008511FF">
              <w:t>,</w:t>
            </w:r>
            <w:r>
              <w:t>5</w:t>
            </w:r>
            <w:r w:rsidRPr="008511FF">
              <w:t>00</w:t>
            </w:r>
          </w:p>
        </w:tc>
        <w:tc>
          <w:tcPr>
            <w:tcW w:w="568" w:type="pct"/>
          </w:tcPr>
          <w:p w14:paraId="472D76F1" w14:textId="77777777" w:rsidR="00D27769" w:rsidRPr="00EA3AC5" w:rsidRDefault="00D27769" w:rsidP="00760658">
            <w:pPr>
              <w:pStyle w:val="TableTextLeft"/>
            </w:pPr>
            <w:r>
              <w:t>198</w:t>
            </w:r>
          </w:p>
        </w:tc>
        <w:tc>
          <w:tcPr>
            <w:tcW w:w="804" w:type="pct"/>
          </w:tcPr>
          <w:p w14:paraId="3638D89D" w14:textId="77777777" w:rsidR="00D27769" w:rsidRPr="00EA3AC5" w:rsidRDefault="00D27769" w:rsidP="00760658">
            <w:pPr>
              <w:pStyle w:val="TableTextLeft"/>
            </w:pPr>
            <w:r>
              <w:t>&gt;2</w:t>
            </w:r>
          </w:p>
        </w:tc>
        <w:tc>
          <w:tcPr>
            <w:tcW w:w="458" w:type="pct"/>
          </w:tcPr>
          <w:p w14:paraId="3DDAC970" w14:textId="77777777" w:rsidR="00D27769" w:rsidRPr="00EA3AC5" w:rsidRDefault="00D27769" w:rsidP="00760658">
            <w:pPr>
              <w:pStyle w:val="TableTextLeft"/>
            </w:pPr>
            <w:r>
              <w:t>3,620</w:t>
            </w:r>
          </w:p>
        </w:tc>
        <w:tc>
          <w:tcPr>
            <w:tcW w:w="813" w:type="pct"/>
          </w:tcPr>
          <w:p w14:paraId="0D6EB5B1" w14:textId="77777777" w:rsidR="00D27769" w:rsidRDefault="00D27769" w:rsidP="00760658">
            <w:pPr>
              <w:pStyle w:val="TableTextLeft"/>
            </w:pPr>
            <w:r w:rsidRPr="00BF4EB4">
              <w:t>Producing/ mature</w:t>
            </w:r>
          </w:p>
        </w:tc>
        <w:tc>
          <w:tcPr>
            <w:tcW w:w="862" w:type="pct"/>
          </w:tcPr>
          <w:p w14:paraId="6B3CFF45" w14:textId="387C9062" w:rsidR="00D27769" w:rsidRPr="00EA3AC5" w:rsidRDefault="00D27769" w:rsidP="00760658">
            <w:pPr>
              <w:pStyle w:val="TableTextLeft"/>
            </w:pPr>
            <w:r>
              <w:t>Appraisal</w:t>
            </w:r>
          </w:p>
        </w:tc>
        <w:tc>
          <w:tcPr>
            <w:tcW w:w="531" w:type="pct"/>
          </w:tcPr>
          <w:p w14:paraId="1E19EE35" w14:textId="77777777" w:rsidR="00D27769" w:rsidRPr="00EA3AC5" w:rsidRDefault="00D27769" w:rsidP="00760658">
            <w:pPr>
              <w:pStyle w:val="TableTextLeft"/>
            </w:pPr>
            <w:r w:rsidRPr="00EA3AC5">
              <w:t>High</w:t>
            </w:r>
          </w:p>
        </w:tc>
      </w:tr>
      <w:tr w:rsidR="00D27769" w:rsidRPr="002915B9" w14:paraId="22877627" w14:textId="77777777" w:rsidTr="008454B0">
        <w:trPr>
          <w:cnfStyle w:val="000000100000" w:firstRow="0" w:lastRow="0" w:firstColumn="0" w:lastColumn="0" w:oddVBand="0" w:evenVBand="0" w:oddHBand="1" w:evenHBand="0" w:firstRowFirstColumn="0" w:firstRowLastColumn="0" w:lastRowFirstColumn="0" w:lastRowLastColumn="0"/>
        </w:trPr>
        <w:tc>
          <w:tcPr>
            <w:tcW w:w="639" w:type="pct"/>
          </w:tcPr>
          <w:p w14:paraId="5E3165A7" w14:textId="77777777" w:rsidR="00D27769" w:rsidRPr="00EA3AC5" w:rsidRDefault="00D27769" w:rsidP="00760658">
            <w:pPr>
              <w:pStyle w:val="TableTextLeft"/>
            </w:pPr>
            <w:r w:rsidRPr="00EA3AC5">
              <w:t>Isa Superbasin</w:t>
            </w:r>
          </w:p>
        </w:tc>
        <w:tc>
          <w:tcPr>
            <w:tcW w:w="325" w:type="pct"/>
          </w:tcPr>
          <w:p w14:paraId="2815964E" w14:textId="77777777" w:rsidR="00D27769" w:rsidRPr="00EA3AC5" w:rsidRDefault="00D27769" w:rsidP="00760658">
            <w:pPr>
              <w:pStyle w:val="TableTextLeft"/>
            </w:pPr>
            <w:r>
              <w:t>56,000</w:t>
            </w:r>
          </w:p>
        </w:tc>
        <w:tc>
          <w:tcPr>
            <w:tcW w:w="568" w:type="pct"/>
          </w:tcPr>
          <w:p w14:paraId="5F33F19F" w14:textId="77777777" w:rsidR="00D27769" w:rsidRPr="00EA3AC5" w:rsidRDefault="00D27769" w:rsidP="00760658">
            <w:pPr>
              <w:pStyle w:val="TableTextLeft"/>
            </w:pPr>
            <w:r>
              <w:t>~13</w:t>
            </w:r>
          </w:p>
        </w:tc>
        <w:tc>
          <w:tcPr>
            <w:tcW w:w="804" w:type="pct"/>
          </w:tcPr>
          <w:p w14:paraId="66C93EF2" w14:textId="77777777" w:rsidR="00D27769" w:rsidRPr="00EA3AC5" w:rsidRDefault="00D27769" w:rsidP="00760658">
            <w:pPr>
              <w:pStyle w:val="TableTextLeft"/>
            </w:pPr>
            <w:r>
              <w:t>4</w:t>
            </w:r>
          </w:p>
        </w:tc>
        <w:tc>
          <w:tcPr>
            <w:tcW w:w="458" w:type="pct"/>
          </w:tcPr>
          <w:p w14:paraId="5180B01E" w14:textId="77777777" w:rsidR="00D27769" w:rsidRPr="00EA3AC5" w:rsidRDefault="00D27769" w:rsidP="00760658">
            <w:pPr>
              <w:pStyle w:val="TableTextLeft"/>
            </w:pPr>
            <w:r>
              <w:t>6,869</w:t>
            </w:r>
          </w:p>
        </w:tc>
        <w:tc>
          <w:tcPr>
            <w:tcW w:w="813" w:type="pct"/>
          </w:tcPr>
          <w:p w14:paraId="50F13F72" w14:textId="77777777" w:rsidR="00D27769" w:rsidRPr="00EA3AC5" w:rsidRDefault="00D27769" w:rsidP="00760658">
            <w:pPr>
              <w:pStyle w:val="TableTextLeft"/>
            </w:pPr>
            <w:r>
              <w:t>Under-explored</w:t>
            </w:r>
          </w:p>
        </w:tc>
        <w:tc>
          <w:tcPr>
            <w:tcW w:w="862" w:type="pct"/>
          </w:tcPr>
          <w:p w14:paraId="521BDC5E" w14:textId="77777777" w:rsidR="00D27769" w:rsidRDefault="00D27769" w:rsidP="00760658">
            <w:pPr>
              <w:pStyle w:val="TableTextLeft"/>
            </w:pPr>
            <w:r w:rsidRPr="00D06095">
              <w:t>Appraisal/</w:t>
            </w:r>
            <w:r>
              <w:t xml:space="preserve"> </w:t>
            </w:r>
            <w:r w:rsidRPr="00EE086C">
              <w:t>under-explored</w:t>
            </w:r>
          </w:p>
        </w:tc>
        <w:tc>
          <w:tcPr>
            <w:tcW w:w="531" w:type="pct"/>
          </w:tcPr>
          <w:p w14:paraId="11E1E7D4" w14:textId="77777777" w:rsidR="00D27769" w:rsidRPr="00EA3AC5" w:rsidRDefault="00D27769" w:rsidP="00760658">
            <w:pPr>
              <w:pStyle w:val="TableTextLeft"/>
            </w:pPr>
            <w:r w:rsidRPr="00EA3AC5">
              <w:t>Low</w:t>
            </w:r>
            <w:r>
              <w:t>–</w:t>
            </w:r>
            <w:r w:rsidRPr="00EA3AC5">
              <w:t xml:space="preserve"> moderate</w:t>
            </w:r>
          </w:p>
        </w:tc>
      </w:tr>
      <w:tr w:rsidR="00D27769" w:rsidRPr="002915B9" w14:paraId="41009B94" w14:textId="77777777" w:rsidTr="008454B0">
        <w:trPr>
          <w:cnfStyle w:val="000000010000" w:firstRow="0" w:lastRow="0" w:firstColumn="0" w:lastColumn="0" w:oddVBand="0" w:evenVBand="0" w:oddHBand="0" w:evenHBand="1" w:firstRowFirstColumn="0" w:firstRowLastColumn="0" w:lastRowFirstColumn="0" w:lastRowLastColumn="0"/>
        </w:trPr>
        <w:tc>
          <w:tcPr>
            <w:tcW w:w="639" w:type="pct"/>
          </w:tcPr>
          <w:p w14:paraId="41CC6A3E" w14:textId="77777777" w:rsidR="00D27769" w:rsidRPr="00EA3AC5" w:rsidRDefault="00D27769" w:rsidP="00760658">
            <w:pPr>
              <w:pStyle w:val="TableTextLeft"/>
            </w:pPr>
            <w:r w:rsidRPr="00EA3AC5">
              <w:t>McArthur Basin</w:t>
            </w:r>
          </w:p>
        </w:tc>
        <w:tc>
          <w:tcPr>
            <w:tcW w:w="325" w:type="pct"/>
          </w:tcPr>
          <w:p w14:paraId="5A14AF94" w14:textId="77777777" w:rsidR="00D27769" w:rsidRPr="00EA3AC5" w:rsidRDefault="00D27769" w:rsidP="00760658">
            <w:pPr>
              <w:pStyle w:val="TableTextLeft"/>
            </w:pPr>
            <w:r>
              <w:t>285,</w:t>
            </w:r>
            <w:r w:rsidRPr="00833252">
              <w:t>000</w:t>
            </w:r>
          </w:p>
        </w:tc>
        <w:tc>
          <w:tcPr>
            <w:tcW w:w="568" w:type="pct"/>
          </w:tcPr>
          <w:p w14:paraId="66A09F8C" w14:textId="77777777" w:rsidR="00D27769" w:rsidRPr="00EA3AC5" w:rsidRDefault="00D27769" w:rsidP="00760658">
            <w:pPr>
              <w:pStyle w:val="TableTextLeft"/>
            </w:pPr>
            <w:r>
              <w:t>~</w:t>
            </w:r>
            <w:r w:rsidRPr="009676C2">
              <w:t>35</w:t>
            </w:r>
          </w:p>
        </w:tc>
        <w:tc>
          <w:tcPr>
            <w:tcW w:w="804" w:type="pct"/>
          </w:tcPr>
          <w:p w14:paraId="3B15B572" w14:textId="77777777" w:rsidR="00D27769" w:rsidRPr="00EA3AC5" w:rsidRDefault="00D27769" w:rsidP="00760658">
            <w:pPr>
              <w:pStyle w:val="TableTextLeft"/>
            </w:pPr>
            <w:r>
              <w:t>&gt;33</w:t>
            </w:r>
          </w:p>
        </w:tc>
        <w:tc>
          <w:tcPr>
            <w:tcW w:w="458" w:type="pct"/>
          </w:tcPr>
          <w:p w14:paraId="4ADEAC5B" w14:textId="77777777" w:rsidR="00D27769" w:rsidRPr="00EA3AC5" w:rsidRDefault="00D27769" w:rsidP="00760658">
            <w:pPr>
              <w:pStyle w:val="TableTextLeft"/>
            </w:pPr>
            <w:r w:rsidRPr="00B50B85">
              <w:t>7</w:t>
            </w:r>
            <w:r>
              <w:t>,</w:t>
            </w:r>
            <w:r w:rsidRPr="00B50B85">
              <w:t>82</w:t>
            </w:r>
            <w:r>
              <w:t>3</w:t>
            </w:r>
          </w:p>
        </w:tc>
        <w:tc>
          <w:tcPr>
            <w:tcW w:w="813" w:type="pct"/>
          </w:tcPr>
          <w:p w14:paraId="5B870602" w14:textId="77777777" w:rsidR="00D27769" w:rsidRPr="00EA3AC5" w:rsidRDefault="00D27769" w:rsidP="00760658">
            <w:pPr>
              <w:pStyle w:val="TableTextLeft"/>
            </w:pPr>
            <w:r>
              <w:t>Under-explored</w:t>
            </w:r>
          </w:p>
        </w:tc>
        <w:tc>
          <w:tcPr>
            <w:tcW w:w="862" w:type="pct"/>
          </w:tcPr>
          <w:p w14:paraId="65FE6A98" w14:textId="1DBBE0C9" w:rsidR="00D27769" w:rsidRDefault="00D27769" w:rsidP="00760658">
            <w:pPr>
              <w:pStyle w:val="TableTextLeft"/>
            </w:pPr>
            <w:r w:rsidRPr="00D06095">
              <w:t>Appraisal</w:t>
            </w:r>
          </w:p>
        </w:tc>
        <w:tc>
          <w:tcPr>
            <w:tcW w:w="531" w:type="pct"/>
          </w:tcPr>
          <w:p w14:paraId="6C4C2A53" w14:textId="77777777" w:rsidR="00D27769" w:rsidRPr="00EA3AC5" w:rsidRDefault="00D27769" w:rsidP="00760658">
            <w:pPr>
              <w:pStyle w:val="TableTextLeft"/>
            </w:pPr>
            <w:r w:rsidRPr="00EA3AC5">
              <w:t>Moderate</w:t>
            </w:r>
          </w:p>
        </w:tc>
      </w:tr>
      <w:tr w:rsidR="00D27769" w:rsidRPr="002915B9" w14:paraId="09DE8863" w14:textId="77777777" w:rsidTr="008454B0">
        <w:trPr>
          <w:cnfStyle w:val="000000100000" w:firstRow="0" w:lastRow="0" w:firstColumn="0" w:lastColumn="0" w:oddVBand="0" w:evenVBand="0" w:oddHBand="1" w:evenHBand="0" w:firstRowFirstColumn="0" w:firstRowLastColumn="0" w:lastRowFirstColumn="0" w:lastRowLastColumn="0"/>
        </w:trPr>
        <w:tc>
          <w:tcPr>
            <w:tcW w:w="639" w:type="pct"/>
          </w:tcPr>
          <w:p w14:paraId="4F5D461F" w14:textId="77777777" w:rsidR="00D27769" w:rsidRPr="00EA3AC5" w:rsidRDefault="00D27769" w:rsidP="00760658">
            <w:pPr>
              <w:pStyle w:val="TableTextLeft"/>
            </w:pPr>
            <w:r w:rsidRPr="00EA3AC5">
              <w:t>Otway Basin</w:t>
            </w:r>
            <w:r>
              <w:t xml:space="preserve"> (Onshore)</w:t>
            </w:r>
          </w:p>
        </w:tc>
        <w:tc>
          <w:tcPr>
            <w:tcW w:w="325" w:type="pct"/>
          </w:tcPr>
          <w:p w14:paraId="4857E66F" w14:textId="77777777" w:rsidR="00D27769" w:rsidRDefault="00D27769" w:rsidP="00760658">
            <w:pPr>
              <w:pStyle w:val="TableTextLeft"/>
            </w:pPr>
            <w:r>
              <w:t>26,500</w:t>
            </w:r>
          </w:p>
        </w:tc>
        <w:tc>
          <w:tcPr>
            <w:tcW w:w="568" w:type="pct"/>
          </w:tcPr>
          <w:p w14:paraId="6F2FFBA0" w14:textId="77777777" w:rsidR="00D27769" w:rsidRPr="00EA3AC5" w:rsidRDefault="00D27769" w:rsidP="00760658">
            <w:pPr>
              <w:pStyle w:val="TableTextLeft"/>
            </w:pPr>
            <w:r>
              <w:t>~270</w:t>
            </w:r>
          </w:p>
        </w:tc>
        <w:tc>
          <w:tcPr>
            <w:tcW w:w="804" w:type="pct"/>
          </w:tcPr>
          <w:p w14:paraId="1ED51805" w14:textId="77777777" w:rsidR="00D27769" w:rsidRPr="00EA3AC5" w:rsidRDefault="00D27769" w:rsidP="00760658">
            <w:pPr>
              <w:pStyle w:val="TableTextLeft"/>
            </w:pPr>
            <w:r>
              <w:t>4</w:t>
            </w:r>
          </w:p>
        </w:tc>
        <w:tc>
          <w:tcPr>
            <w:tcW w:w="458" w:type="pct"/>
          </w:tcPr>
          <w:p w14:paraId="70074B0F" w14:textId="77777777" w:rsidR="00D27769" w:rsidRPr="00EA3AC5" w:rsidRDefault="00D27769" w:rsidP="00760658">
            <w:pPr>
              <w:pStyle w:val="TableTextLeft"/>
            </w:pPr>
            <w:r>
              <w:t>30,000</w:t>
            </w:r>
          </w:p>
        </w:tc>
        <w:tc>
          <w:tcPr>
            <w:tcW w:w="813" w:type="pct"/>
          </w:tcPr>
          <w:p w14:paraId="62D77715" w14:textId="77777777" w:rsidR="00D27769" w:rsidRPr="00EA3AC5" w:rsidRDefault="00D27769" w:rsidP="00760658">
            <w:pPr>
              <w:pStyle w:val="TableTextLeft"/>
            </w:pPr>
            <w:r>
              <w:t>Producing/ mature</w:t>
            </w:r>
          </w:p>
        </w:tc>
        <w:tc>
          <w:tcPr>
            <w:tcW w:w="862" w:type="pct"/>
          </w:tcPr>
          <w:p w14:paraId="7F004B66" w14:textId="77777777" w:rsidR="00D27769" w:rsidRPr="00EA3AC5" w:rsidRDefault="00D27769" w:rsidP="00760658">
            <w:pPr>
              <w:pStyle w:val="TableTextLeft"/>
            </w:pPr>
            <w:r>
              <w:t xml:space="preserve">Exploration/ </w:t>
            </w:r>
            <w:r w:rsidRPr="00EE086C">
              <w:t>under-explored</w:t>
            </w:r>
          </w:p>
        </w:tc>
        <w:tc>
          <w:tcPr>
            <w:tcW w:w="531" w:type="pct"/>
          </w:tcPr>
          <w:p w14:paraId="4959820A" w14:textId="77777777" w:rsidR="00D27769" w:rsidRDefault="00D27769" w:rsidP="00760658">
            <w:pPr>
              <w:pStyle w:val="TableTextLeft"/>
            </w:pPr>
            <w:r w:rsidRPr="00EA3AC5">
              <w:t>High</w:t>
            </w:r>
          </w:p>
        </w:tc>
      </w:tr>
    </w:tbl>
    <w:p w14:paraId="3922EDC5" w14:textId="77777777" w:rsidR="00D27769" w:rsidRDefault="00D27769" w:rsidP="00174635">
      <w:pPr>
        <w:pStyle w:val="BodyText"/>
        <w:sectPr w:rsidR="00D27769" w:rsidSect="005E0FA1">
          <w:headerReference w:type="even" r:id="rId66"/>
          <w:headerReference w:type="default" r:id="rId67"/>
          <w:headerReference w:type="first" r:id="rId68"/>
          <w:pgSz w:w="16840" w:h="11907" w:orient="landscape" w:code="9"/>
          <w:pgMar w:top="1418" w:right="1418" w:bottom="1418" w:left="1418" w:header="510" w:footer="624" w:gutter="0"/>
          <w:cols w:space="720"/>
          <w:docGrid w:linePitch="326"/>
        </w:sectPr>
      </w:pPr>
    </w:p>
    <w:p w14:paraId="0C087410" w14:textId="39816D34" w:rsidR="00D27769" w:rsidRPr="00C13F18" w:rsidRDefault="00D27769" w:rsidP="00174635">
      <w:pPr>
        <w:pStyle w:val="BodyText"/>
      </w:pPr>
      <w:r w:rsidRPr="00C13F18">
        <w:fldChar w:fldCharType="begin"/>
      </w:r>
      <w:r w:rsidRPr="00C13F18">
        <w:instrText xml:space="preserve"> REF _Ref487817285 \h  \* MERGEFORMAT </w:instrText>
      </w:r>
      <w:r w:rsidRPr="00C13F18">
        <w:fldChar w:fldCharType="separate"/>
      </w:r>
      <w:r w:rsidR="004A16F5" w:rsidRPr="00AB6721">
        <w:t xml:space="preserve">Figure </w:t>
      </w:r>
      <w:r w:rsidR="004A16F5">
        <w:t>5</w:t>
      </w:r>
      <w:r w:rsidR="004A16F5">
        <w:noBreakHyphen/>
        <w:t>6</w:t>
      </w:r>
      <w:r w:rsidRPr="00C13F18">
        <w:fldChar w:fldCharType="end"/>
      </w:r>
      <w:r w:rsidRPr="00C13F18">
        <w:t xml:space="preserve"> provides a visual summary of the relative shale and/or tight gas prospectivity of the basins compared with the confidence we have of the current knowledge of the basins. From this assessment: </w:t>
      </w:r>
    </w:p>
    <w:p w14:paraId="3B5946F4" w14:textId="77777777" w:rsidR="00D27769" w:rsidRPr="00C13F18" w:rsidRDefault="00D27769" w:rsidP="00E8799B">
      <w:pPr>
        <w:pStyle w:val="ListBullet"/>
      </w:pPr>
      <w:r>
        <w:t>The Cooper Basin</w:t>
      </w:r>
      <w:r w:rsidRPr="00C13F18">
        <w:t xml:space="preserve"> is ranked</w:t>
      </w:r>
      <w:r w:rsidRPr="008F723D">
        <w:rPr>
          <w:rStyle w:val="BodyTextChar"/>
        </w:rPr>
        <w:t xml:space="preserve"> high </w:t>
      </w:r>
      <w:r w:rsidRPr="00C13F18">
        <w:t xml:space="preserve">in terms of both prospectivity and confidence, reflecting the extensive exploration for shale and tight gas resources already undertaken in this basin. </w:t>
      </w:r>
    </w:p>
    <w:p w14:paraId="6B03E0DF" w14:textId="77777777" w:rsidR="00D27769" w:rsidRPr="00C13F18" w:rsidRDefault="00D27769" w:rsidP="00E8799B">
      <w:pPr>
        <w:pStyle w:val="ListBullet"/>
      </w:pPr>
      <w:r w:rsidRPr="00C13F18">
        <w:t xml:space="preserve">The McArthur, Bowen and Amadeus basins prospectivity ranks as high, based on the quality of known and potential source rocks, while confidence is only a moderate reflecting the basins’ more limited exploration history. </w:t>
      </w:r>
    </w:p>
    <w:p w14:paraId="0ED6A9E0" w14:textId="77777777" w:rsidR="00D27769" w:rsidRPr="00C13F18" w:rsidRDefault="00D27769" w:rsidP="00E8799B">
      <w:pPr>
        <w:pStyle w:val="ListBullet"/>
      </w:pPr>
      <w:r w:rsidRPr="00C13F18">
        <w:t>The Otway Basin ranks as moderate–high prospectivity and high confidence</w:t>
      </w:r>
      <w:r>
        <w:t xml:space="preserve"> due to data density and </w:t>
      </w:r>
      <w:r w:rsidRPr="00C13F18">
        <w:t>quality.</w:t>
      </w:r>
    </w:p>
    <w:p w14:paraId="5C3FA833" w14:textId="77777777" w:rsidR="00D27769" w:rsidRPr="00C13F18" w:rsidRDefault="00D27769" w:rsidP="00E8799B">
      <w:pPr>
        <w:pStyle w:val="ListBullet"/>
      </w:pPr>
      <w:r w:rsidRPr="00C13F18">
        <w:t>The Isa Superbasin prospectivity ranks as moderate–high due to the booked contingent resour</w:t>
      </w:r>
      <w:r>
        <w:t>ces, however confidence is low–</w:t>
      </w:r>
      <w:r w:rsidRPr="00C13F18">
        <w:t>moderate due reflecting the spar</w:t>
      </w:r>
      <w:r>
        <w:t>s</w:t>
      </w:r>
      <w:r w:rsidRPr="00C13F18">
        <w:t xml:space="preserve">e data distribution and very limited exploration history. </w:t>
      </w:r>
    </w:p>
    <w:p w14:paraId="01A01152" w14:textId="3F693CB5" w:rsidR="003A2E9A" w:rsidRPr="00922E6C" w:rsidRDefault="003A2E9A" w:rsidP="003A2E9A">
      <w:pPr>
        <w:pStyle w:val="ListBullet"/>
      </w:pPr>
      <w:r w:rsidRPr="00922E6C">
        <w:t xml:space="preserve">The Gippsland Basin is ranked </w:t>
      </w:r>
      <w:r w:rsidRPr="00922E6C">
        <w:rPr>
          <w:rStyle w:val="Italic"/>
          <w:i w:val="0"/>
        </w:rPr>
        <w:t xml:space="preserve">moderate </w:t>
      </w:r>
      <w:r w:rsidRPr="00922E6C">
        <w:t xml:space="preserve">for prospectivity </w:t>
      </w:r>
      <w:r>
        <w:t>reflecting</w:t>
      </w:r>
      <w:r w:rsidRPr="00922E6C">
        <w:t xml:space="preserve"> the relatively small area of potential unconventional gas resources which may reasonably be developed within a 10 year timeframe, however confidence is </w:t>
      </w:r>
      <w:r w:rsidRPr="00922E6C">
        <w:rPr>
          <w:rStyle w:val="Italic"/>
          <w:i w:val="0"/>
        </w:rPr>
        <w:t>high</w:t>
      </w:r>
      <w:r w:rsidRPr="00922E6C">
        <w:t xml:space="preserve"> due to data density and quality.</w:t>
      </w:r>
    </w:p>
    <w:p w14:paraId="74C51D39" w14:textId="77777777" w:rsidR="003A2E9A" w:rsidRPr="00922E6C" w:rsidRDefault="003A2E9A" w:rsidP="003A2E9A">
      <w:pPr>
        <w:pStyle w:val="ListBullet"/>
      </w:pPr>
      <w:r w:rsidRPr="00922E6C">
        <w:t xml:space="preserve">The Georgina Basin is ranked as </w:t>
      </w:r>
      <w:r w:rsidRPr="00922E6C">
        <w:rPr>
          <w:rStyle w:val="Italic"/>
          <w:i w:val="0"/>
        </w:rPr>
        <w:t xml:space="preserve">moderate </w:t>
      </w:r>
      <w:r w:rsidRPr="00922E6C">
        <w:t xml:space="preserve">in terms of prospectivity, reflecting the relatively poor results of recent exploration, with a </w:t>
      </w:r>
      <w:r w:rsidRPr="00922E6C">
        <w:rPr>
          <w:rStyle w:val="Italic"/>
          <w:i w:val="0"/>
        </w:rPr>
        <w:t>low–moderate</w:t>
      </w:r>
      <w:r w:rsidRPr="00922E6C">
        <w:t xml:space="preserve"> confidence reflecting sparse data distribution.</w:t>
      </w:r>
    </w:p>
    <w:p w14:paraId="48FF1AE1" w14:textId="77777777" w:rsidR="003A2E9A" w:rsidRPr="00922E6C" w:rsidRDefault="003A2E9A" w:rsidP="003A2E9A">
      <w:pPr>
        <w:pStyle w:val="ListBullet"/>
      </w:pPr>
      <w:r w:rsidRPr="00922E6C">
        <w:t xml:space="preserve">The Clarence-Moreton Basin is ranked as </w:t>
      </w:r>
      <w:r w:rsidRPr="00922E6C">
        <w:rPr>
          <w:rStyle w:val="Italic"/>
          <w:i w:val="0"/>
        </w:rPr>
        <w:t>low–moderate</w:t>
      </w:r>
      <w:r w:rsidRPr="00922E6C">
        <w:t xml:space="preserve"> for both prospectivity and confidence, reflecting the relatively small prospective area, early stage of exploration and limited data.</w:t>
      </w:r>
    </w:p>
    <w:p w14:paraId="14122D8F" w14:textId="77777777" w:rsidR="00D27769" w:rsidRPr="00C13F18" w:rsidRDefault="00D27769" w:rsidP="00174635">
      <w:pPr>
        <w:pStyle w:val="BodyText"/>
      </w:pPr>
      <w:r w:rsidRPr="00C13F18">
        <w:t>These rankings could be improved with more data collection to increase the knowledge of the basin, and by conducting further studies as described in the basin recommendations list.</w:t>
      </w:r>
    </w:p>
    <w:p w14:paraId="186A8BE3" w14:textId="77777777" w:rsidR="00D27769" w:rsidRPr="00763F1F" w:rsidRDefault="00D27769" w:rsidP="00174635">
      <w:pPr>
        <w:pStyle w:val="FiguresImagesCentred"/>
      </w:pPr>
      <w:r w:rsidRPr="00C13F18">
        <w:rPr>
          <w:noProof/>
        </w:rPr>
        <w:drawing>
          <wp:inline distT="0" distB="0" distL="0" distR="0" wp14:anchorId="09AA0558" wp14:editId="5A9BC30E">
            <wp:extent cx="5134708" cy="3842114"/>
            <wp:effectExtent l="0" t="0" r="8890" b="635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50387" cy="3853846"/>
                    </a:xfrm>
                    <a:prstGeom prst="rect">
                      <a:avLst/>
                    </a:prstGeom>
                    <a:noFill/>
                    <a:ln>
                      <a:noFill/>
                    </a:ln>
                  </pic:spPr>
                </pic:pic>
              </a:graphicData>
            </a:graphic>
          </wp:inline>
        </w:drawing>
      </w:r>
    </w:p>
    <w:p w14:paraId="4A853B23" w14:textId="77777777" w:rsidR="00D27769" w:rsidRPr="00AB6721" w:rsidRDefault="00D27769" w:rsidP="00174635">
      <w:pPr>
        <w:pStyle w:val="Caption"/>
      </w:pPr>
      <w:bookmarkStart w:id="116" w:name="_Ref487817285"/>
      <w:bookmarkStart w:id="117" w:name="_Toc517101451"/>
      <w:r w:rsidRPr="00AB6721">
        <w:t xml:space="preserve">Figure </w:t>
      </w:r>
      <w:fldSimple w:instr=" STYLEREF 1 \s ">
        <w:r w:rsidR="004A16F5">
          <w:rPr>
            <w:noProof/>
          </w:rPr>
          <w:t>5</w:t>
        </w:r>
      </w:fldSimple>
      <w:r>
        <w:noBreakHyphen/>
      </w:r>
      <w:fldSimple w:instr=" SEQ Figure \* ARABIC \s 1 ">
        <w:r w:rsidR="004A16F5">
          <w:rPr>
            <w:noProof/>
          </w:rPr>
          <w:t>6</w:t>
        </w:r>
      </w:fldSimple>
      <w:bookmarkEnd w:id="116"/>
      <w:r w:rsidRPr="00AB6721">
        <w:t xml:space="preserve"> Shale/ tight gas prospectivity-confidence matrix for </w:t>
      </w:r>
      <w:r>
        <w:t>shortlist</w:t>
      </w:r>
      <w:r w:rsidRPr="00AB6721">
        <w:t>ed basins.</w:t>
      </w:r>
      <w:bookmarkEnd w:id="117"/>
    </w:p>
    <w:p w14:paraId="743A85FA" w14:textId="77777777" w:rsidR="00D27769" w:rsidRPr="00E8799B" w:rsidRDefault="00D27769" w:rsidP="00D27769">
      <w:pPr>
        <w:pStyle w:val="Heading4"/>
      </w:pPr>
      <w:r w:rsidRPr="00E8799B">
        <w:t xml:space="preserve">Prioritisation based on market </w:t>
      </w:r>
      <w:r>
        <w:t xml:space="preserve">infrastructure </w:t>
      </w:r>
      <w:r w:rsidRPr="00E8799B">
        <w:t>access</w:t>
      </w:r>
    </w:p>
    <w:p w14:paraId="0432C6FA" w14:textId="77777777" w:rsidR="00D27769" w:rsidRDefault="00D27769" w:rsidP="00174635">
      <w:pPr>
        <w:pStyle w:val="BodyText"/>
      </w:pPr>
      <w:r>
        <w:t>The factors considered in assessing access to infrastructure and markets were:</w:t>
      </w:r>
    </w:p>
    <w:p w14:paraId="2B0821BD" w14:textId="2B63B6D8" w:rsidR="00D27769" w:rsidRDefault="00D27769" w:rsidP="00E8799B">
      <w:pPr>
        <w:pStyle w:val="ListBullet"/>
      </w:pPr>
      <w:r>
        <w:t>Proximity to the east coast</w:t>
      </w:r>
      <w:r w:rsidR="005F6F81">
        <w:t xml:space="preserve"> </w:t>
      </w:r>
      <w:r>
        <w:t>gas market via pipelines</w:t>
      </w:r>
    </w:p>
    <w:p w14:paraId="72031CFC" w14:textId="77777777" w:rsidR="00D27769" w:rsidRDefault="00D27769" w:rsidP="00E8799B">
      <w:pPr>
        <w:pStyle w:val="ListBullet"/>
      </w:pPr>
      <w:r>
        <w:t>Additional infrastructure requirements</w:t>
      </w:r>
    </w:p>
    <w:p w14:paraId="7C7BDAC4" w14:textId="77777777" w:rsidR="00D27769" w:rsidRPr="00260AAD" w:rsidRDefault="00D27769" w:rsidP="00E8799B">
      <w:pPr>
        <w:pStyle w:val="ListBullet"/>
      </w:pPr>
      <w:r w:rsidRPr="00260AAD">
        <w:t>Processing/ storage facilities</w:t>
      </w:r>
    </w:p>
    <w:p w14:paraId="36848EB5" w14:textId="77777777" w:rsidR="00D27769" w:rsidRPr="00260AAD" w:rsidRDefault="00D27769" w:rsidP="00E8799B">
      <w:pPr>
        <w:pStyle w:val="ListBullet"/>
      </w:pPr>
      <w:r w:rsidRPr="00260AAD">
        <w:t>Road and rail access</w:t>
      </w:r>
    </w:p>
    <w:p w14:paraId="16639930" w14:textId="77777777" w:rsidR="00D27769" w:rsidRPr="00260AAD" w:rsidRDefault="00D27769" w:rsidP="00E8799B">
      <w:pPr>
        <w:pStyle w:val="ListBullet"/>
      </w:pPr>
      <w:r w:rsidRPr="00260AAD">
        <w:t>Townships</w:t>
      </w:r>
    </w:p>
    <w:p w14:paraId="05F87B57" w14:textId="2A86A6EC" w:rsidR="00D27769" w:rsidRDefault="00D27769" w:rsidP="00174635">
      <w:pPr>
        <w:pStyle w:val="BodyText"/>
      </w:pPr>
      <w:r>
        <w:t xml:space="preserve">The results of the assessment are shown in </w:t>
      </w:r>
      <w:r>
        <w:fldChar w:fldCharType="begin"/>
      </w:r>
      <w:r>
        <w:instrText xml:space="preserve"> REF _Ref493764422 \h </w:instrText>
      </w:r>
      <w:r>
        <w:fldChar w:fldCharType="separate"/>
      </w:r>
      <w:r w:rsidR="004A16F5" w:rsidRPr="00AB6721">
        <w:t xml:space="preserve">Table </w:t>
      </w:r>
      <w:r w:rsidR="004A16F5">
        <w:rPr>
          <w:noProof/>
        </w:rPr>
        <w:t>5</w:t>
      </w:r>
      <w:r w:rsidR="004A16F5" w:rsidRPr="00AB6721">
        <w:noBreakHyphen/>
      </w:r>
      <w:r w:rsidR="004A16F5">
        <w:rPr>
          <w:noProof/>
        </w:rPr>
        <w:t>7</w:t>
      </w:r>
      <w:r>
        <w:fldChar w:fldCharType="end"/>
      </w:r>
      <w:r>
        <w:t xml:space="preserve"> and </w:t>
      </w:r>
      <w:r>
        <w:fldChar w:fldCharType="begin"/>
      </w:r>
      <w:r>
        <w:instrText xml:space="preserve"> REF _Ref493764390 \h </w:instrText>
      </w:r>
      <w:r>
        <w:fldChar w:fldCharType="separate"/>
      </w:r>
      <w:r w:rsidR="004A16F5" w:rsidRPr="00AB6721">
        <w:t xml:space="preserve">Figure </w:t>
      </w:r>
      <w:r w:rsidR="004A16F5">
        <w:rPr>
          <w:noProof/>
        </w:rPr>
        <w:t>5</w:t>
      </w:r>
      <w:r w:rsidR="004A16F5">
        <w:noBreakHyphen/>
      </w:r>
      <w:r w:rsidR="004A16F5">
        <w:rPr>
          <w:noProof/>
        </w:rPr>
        <w:t>7</w:t>
      </w:r>
      <w:r>
        <w:fldChar w:fldCharType="end"/>
      </w:r>
      <w:r>
        <w:t>.</w:t>
      </w:r>
    </w:p>
    <w:p w14:paraId="28A07539" w14:textId="676EF501" w:rsidR="00D27769" w:rsidRDefault="00D27769" w:rsidP="00174635">
      <w:pPr>
        <w:pStyle w:val="BodyText"/>
      </w:pPr>
      <w:r>
        <w:t xml:space="preserve">In assessing proximity to the </w:t>
      </w:r>
      <w:r w:rsidR="00432D5D">
        <w:t>East Coast Gas Market</w:t>
      </w:r>
      <w:r w:rsidR="00432D5D" w:rsidRPr="00F7701F">
        <w:t xml:space="preserve"> </w:t>
      </w:r>
      <w:r>
        <w:t xml:space="preserve">infrastructure, those basins already producing gas directly into the </w:t>
      </w:r>
      <w:r w:rsidR="00432D5D">
        <w:t>East Coast Gas Market</w:t>
      </w:r>
      <w:r w:rsidR="00432D5D" w:rsidRPr="00F7701F">
        <w:t xml:space="preserve"> </w:t>
      </w:r>
      <w:r>
        <w:t>were ranked highest.</w:t>
      </w:r>
      <w:r w:rsidRPr="005A2D41">
        <w:t xml:space="preserve"> </w:t>
      </w:r>
      <w:r>
        <w:t xml:space="preserve">A pipeline linking northern and </w:t>
      </w:r>
      <w:r w:rsidR="00432D5D">
        <w:t>East Coast gas markets</w:t>
      </w:r>
      <w:r>
        <w:t>, scheduled to open by the end of 2018 (Jemena, 2017), will allow gas to be supplied from northern Australian basins to the east coast. However, the pipeline has limited capacity</w:t>
      </w:r>
      <w:r w:rsidR="00A65094">
        <w:t xml:space="preserve"> (90 TJ/day)</w:t>
      </w:r>
      <w:r>
        <w:t xml:space="preserve">, and large distances will mean high transport costs. </w:t>
      </w:r>
    </w:p>
    <w:p w14:paraId="2EBDE386" w14:textId="48B34625" w:rsidR="00D27769" w:rsidRPr="00260AAD" w:rsidRDefault="00D27769" w:rsidP="00174635">
      <w:pPr>
        <w:pStyle w:val="BodyText"/>
      </w:pPr>
      <w:r w:rsidRPr="00260AAD">
        <w:t xml:space="preserve">Most </w:t>
      </w:r>
      <w:r>
        <w:t xml:space="preserve">of the priority </w:t>
      </w:r>
      <w:r w:rsidRPr="00260AAD">
        <w:t xml:space="preserve">basins contain </w:t>
      </w:r>
      <w:r>
        <w:t xml:space="preserve">gas </w:t>
      </w:r>
      <w:r w:rsidRPr="00260AAD">
        <w:t>pipelines</w:t>
      </w:r>
      <w:r>
        <w:t>, with five of the basins containing processing and storage facilities (</w:t>
      </w:r>
      <w:r>
        <w:fldChar w:fldCharType="begin"/>
      </w:r>
      <w:r>
        <w:instrText xml:space="preserve"> REF _Ref493764422 \h </w:instrText>
      </w:r>
      <w:r>
        <w:fldChar w:fldCharType="separate"/>
      </w:r>
      <w:r w:rsidR="004A16F5" w:rsidRPr="00AB6721">
        <w:t xml:space="preserve">Table </w:t>
      </w:r>
      <w:r w:rsidR="004A16F5">
        <w:rPr>
          <w:noProof/>
        </w:rPr>
        <w:t>5</w:t>
      </w:r>
      <w:r w:rsidR="004A16F5" w:rsidRPr="00AB6721">
        <w:noBreakHyphen/>
      </w:r>
      <w:r w:rsidR="004A16F5">
        <w:rPr>
          <w:noProof/>
        </w:rPr>
        <w:t>7</w:t>
      </w:r>
      <w:r>
        <w:fldChar w:fldCharType="end"/>
      </w:r>
      <w:r w:rsidR="005E1B62">
        <w:t>)</w:t>
      </w:r>
      <w:r w:rsidR="00271D18">
        <w:t>.</w:t>
      </w:r>
      <w:r w:rsidR="005E1B62">
        <w:t xml:space="preserve"> </w:t>
      </w:r>
      <w:r>
        <w:t xml:space="preserve">However, a key </w:t>
      </w:r>
      <w:r w:rsidRPr="00260AAD">
        <w:t xml:space="preserve">issue </w:t>
      </w:r>
      <w:r>
        <w:t xml:space="preserve">is the </w:t>
      </w:r>
      <w:r w:rsidRPr="00260AAD">
        <w:t>distance from pipeline</w:t>
      </w:r>
      <w:r>
        <w:t>s</w:t>
      </w:r>
      <w:r w:rsidRPr="00260AAD">
        <w:t xml:space="preserve"> to potentially prospective area</w:t>
      </w:r>
      <w:r>
        <w:t>s</w:t>
      </w:r>
      <w:r w:rsidRPr="00260AAD">
        <w:t>.</w:t>
      </w:r>
      <w:r>
        <w:t xml:space="preserve"> </w:t>
      </w:r>
      <w:r w:rsidRPr="00260AAD">
        <w:t xml:space="preserve">Some basins </w:t>
      </w:r>
      <w:r>
        <w:t xml:space="preserve">will </w:t>
      </w:r>
      <w:r w:rsidRPr="00260AAD">
        <w:t>require only minor additional infrastructure. Other basins</w:t>
      </w:r>
      <w:r>
        <w:t>, especially those</w:t>
      </w:r>
      <w:r w:rsidRPr="00260AAD">
        <w:t xml:space="preserve"> located in northern Australia</w:t>
      </w:r>
      <w:r>
        <w:t>,</w:t>
      </w:r>
      <w:r w:rsidRPr="00260AAD">
        <w:t xml:space="preserve"> would require construction of significant additional infrastructure to bring gas to market. Development of plays in the McArthur Basin, southern Georgina Basin and Isa Super</w:t>
      </w:r>
      <w:r>
        <w:t>basin</w:t>
      </w:r>
      <w:r w:rsidRPr="00260AAD">
        <w:t>, would all require construction of additional pipeline</w:t>
      </w:r>
      <w:r>
        <w:t>s</w:t>
      </w:r>
      <w:r w:rsidRPr="00260AAD">
        <w:t>.</w:t>
      </w:r>
    </w:p>
    <w:p w14:paraId="45CE6106" w14:textId="77777777" w:rsidR="00D27769" w:rsidRDefault="00D27769" w:rsidP="00174635">
      <w:pPr>
        <w:pStyle w:val="BodyText"/>
      </w:pPr>
      <w:r>
        <w:t xml:space="preserve">The ranking applied to basins regarding access to infrastructure is qualitative and is </w:t>
      </w:r>
      <w:r w:rsidRPr="009B4A57">
        <w:t>based on the level of knowledge and ava</w:t>
      </w:r>
      <w:r>
        <w:t>ilable data for the given basin. Ranking categories are:</w:t>
      </w:r>
    </w:p>
    <w:p w14:paraId="196CF8C0" w14:textId="77777777" w:rsidR="00D27769" w:rsidRDefault="00D27769" w:rsidP="00E8799B">
      <w:pPr>
        <w:pStyle w:val="ListBullet"/>
      </w:pPr>
      <w:r w:rsidRPr="00C02FF0">
        <w:rPr>
          <w:rStyle w:val="Bold"/>
        </w:rPr>
        <w:t>Minor:</w:t>
      </w:r>
      <w:r w:rsidRPr="00C30F1D">
        <w:t xml:space="preserve"> </w:t>
      </w:r>
      <w:r w:rsidRPr="00260AAD">
        <w:t>Only minor additional infrastructure required, depending on development location.</w:t>
      </w:r>
      <w:r>
        <w:t xml:space="preserve"> Well serviced and moderately to well developed. </w:t>
      </w:r>
    </w:p>
    <w:p w14:paraId="048FA1DD" w14:textId="77777777" w:rsidR="00D27769" w:rsidRDefault="00D27769" w:rsidP="00E8799B">
      <w:pPr>
        <w:pStyle w:val="ListBullet"/>
      </w:pPr>
      <w:r w:rsidRPr="00C02FF0">
        <w:rPr>
          <w:rStyle w:val="Bold"/>
        </w:rPr>
        <w:t>Moderate:</w:t>
      </w:r>
      <w:r w:rsidRPr="00C30F1D">
        <w:t xml:space="preserve"> </w:t>
      </w:r>
      <w:r w:rsidRPr="00260AAD">
        <w:t>Moderate additional</w:t>
      </w:r>
      <w:r>
        <w:t xml:space="preserve"> pipeline infrastructure required i</w:t>
      </w:r>
      <w:r w:rsidRPr="00260AAD">
        <w:t xml:space="preserve">f development occurs away from existing </w:t>
      </w:r>
      <w:r>
        <w:t>developments. Variable levels of service and development.</w:t>
      </w:r>
    </w:p>
    <w:p w14:paraId="15415309" w14:textId="77777777" w:rsidR="00D27769" w:rsidRPr="007D7913" w:rsidRDefault="00D27769" w:rsidP="00E8799B">
      <w:pPr>
        <w:pStyle w:val="ListBullet"/>
      </w:pPr>
      <w:r w:rsidRPr="00C02FF0">
        <w:rPr>
          <w:rStyle w:val="Bold"/>
        </w:rPr>
        <w:t>Major:</w:t>
      </w:r>
      <w:r w:rsidRPr="00C30F1D">
        <w:rPr>
          <w:rStyle w:val="BodyTextChar"/>
        </w:rPr>
        <w:t xml:space="preserve"> </w:t>
      </w:r>
      <w:r w:rsidRPr="00260AAD">
        <w:t>Major additional infrastructure required to connect existing pipelines to most prospective areas for shale/ tight gas</w:t>
      </w:r>
      <w:r>
        <w:t>. Only poorly to moderately serviced or undeveloped.</w:t>
      </w:r>
    </w:p>
    <w:p w14:paraId="061B3925" w14:textId="5E786D00" w:rsidR="00D27769" w:rsidRDefault="00D27769" w:rsidP="00174635">
      <w:pPr>
        <w:pStyle w:val="BodyText"/>
      </w:pPr>
      <w:r>
        <w:fldChar w:fldCharType="begin"/>
      </w:r>
      <w:r>
        <w:instrText xml:space="preserve"> REF _Ref493764390 \h </w:instrText>
      </w:r>
      <w:r>
        <w:fldChar w:fldCharType="separate"/>
      </w:r>
      <w:r w:rsidR="004A16F5" w:rsidRPr="00AB6721">
        <w:t xml:space="preserve">Figure </w:t>
      </w:r>
      <w:r w:rsidR="004A16F5">
        <w:rPr>
          <w:noProof/>
        </w:rPr>
        <w:t>5</w:t>
      </w:r>
      <w:r w:rsidR="004A16F5">
        <w:noBreakHyphen/>
      </w:r>
      <w:r w:rsidR="004A16F5">
        <w:rPr>
          <w:noProof/>
        </w:rPr>
        <w:t>7</w:t>
      </w:r>
      <w:r>
        <w:fldChar w:fldCharType="end"/>
      </w:r>
      <w:r w:rsidRPr="009B4A57">
        <w:t xml:space="preserve"> provides a visual summary of the relative </w:t>
      </w:r>
      <w:r>
        <w:t xml:space="preserve">shale and/or tight gas </w:t>
      </w:r>
      <w:r w:rsidRPr="009B4A57">
        <w:t xml:space="preserve">prospectivity of the basins compared with </w:t>
      </w:r>
      <w:r>
        <w:t>access to infrastructure.</w:t>
      </w:r>
      <w:r w:rsidRPr="007019B6">
        <w:t xml:space="preserve"> </w:t>
      </w:r>
      <w:r w:rsidRPr="00E6347C">
        <w:t>From this assessment</w:t>
      </w:r>
      <w:r>
        <w:t>:</w:t>
      </w:r>
    </w:p>
    <w:p w14:paraId="5D6BEEBF" w14:textId="43A07728" w:rsidR="00D27769" w:rsidRDefault="00D27769" w:rsidP="00E8799B">
      <w:pPr>
        <w:pStyle w:val="ListBullet"/>
      </w:pPr>
      <w:r>
        <w:t xml:space="preserve">The Cooper, Bowen, Otway and Gippsland basins all have significant existing infrastructure in place connecting them with the </w:t>
      </w:r>
      <w:r w:rsidR="00063CD9">
        <w:t>East Coast Gas Market</w:t>
      </w:r>
      <w:r>
        <w:t xml:space="preserve">, including pipelines and gas processing facilities. All regionals are well serviced in terms of road and rail, with proximity to at least moderately well-developed townships. </w:t>
      </w:r>
    </w:p>
    <w:p w14:paraId="10B2F8F8" w14:textId="1958CE37" w:rsidR="00D27769" w:rsidRPr="003075C7" w:rsidRDefault="00D27769" w:rsidP="00E8799B">
      <w:pPr>
        <w:pStyle w:val="ListBullet"/>
      </w:pPr>
      <w:r>
        <w:t xml:space="preserve">The Amadeus and McArthur basins contains existing pipeline infrastructure, but development of any unconventional plays away from the producing fields would require significant further investment. Both basins are also located much further from the </w:t>
      </w:r>
      <w:r w:rsidR="00063CD9">
        <w:t>East Coast Gas Market</w:t>
      </w:r>
      <w:r>
        <w:t>.</w:t>
      </w:r>
    </w:p>
    <w:p w14:paraId="3D0604EE" w14:textId="22ACBF84" w:rsidR="00D27769" w:rsidRDefault="00D27769" w:rsidP="00E8799B">
      <w:pPr>
        <w:pStyle w:val="ListBullet"/>
      </w:pPr>
      <w:r>
        <w:t xml:space="preserve">Development of shale and/or tight gas plays in the Clarence-Moreton Basin would require additional infrastructure development as the prospective area is over 100 km from the existing </w:t>
      </w:r>
      <w:r w:rsidR="00432D5D">
        <w:t>East Coast Gas Market</w:t>
      </w:r>
      <w:r w:rsidR="00432D5D" w:rsidRPr="00F7701F">
        <w:t xml:space="preserve"> </w:t>
      </w:r>
      <w:r>
        <w:t xml:space="preserve">pipeline network. </w:t>
      </w:r>
    </w:p>
    <w:p w14:paraId="2AF7F933" w14:textId="1EA51238" w:rsidR="00D27769" w:rsidRDefault="00D27769" w:rsidP="00E8799B">
      <w:pPr>
        <w:pStyle w:val="ListBullet"/>
      </w:pPr>
      <w:r>
        <w:t xml:space="preserve">Development of shale and/or tight gas plays in the Georgina Basin and Isa Superbasin would require major additional infrastructure development. There are currently no gas processing facilities and the prospective areas lie over 200 km from existing pipeline infrastructure. </w:t>
      </w:r>
      <w:r w:rsidR="00BD6662">
        <w:t>In addition, both areas are o</w:t>
      </w:r>
      <w:r w:rsidR="00BD6662" w:rsidRPr="003A32E0">
        <w:t>nly poorly to moderately</w:t>
      </w:r>
      <w:r w:rsidR="00BD6662">
        <w:t xml:space="preserve"> well</w:t>
      </w:r>
      <w:r w:rsidR="00BD6662" w:rsidRPr="003A32E0">
        <w:t xml:space="preserve"> service</w:t>
      </w:r>
      <w:r w:rsidR="00BD6662">
        <w:t>d</w:t>
      </w:r>
      <w:r w:rsidR="00BD6662" w:rsidRPr="003A32E0">
        <w:t xml:space="preserve"> </w:t>
      </w:r>
      <w:r w:rsidR="00BD6662">
        <w:t>by road and rail, and are sparsely populated with few townships.</w:t>
      </w:r>
    </w:p>
    <w:p w14:paraId="061FF219" w14:textId="77777777" w:rsidR="00D27769" w:rsidRPr="009B4A57" w:rsidRDefault="00D27769" w:rsidP="00174635">
      <w:pPr>
        <w:pStyle w:val="BodyText"/>
      </w:pPr>
      <w:r w:rsidRPr="00E6347C">
        <w:t xml:space="preserve">These rankings </w:t>
      </w:r>
      <w:r>
        <w:t>are intended as a guide to compare the access to market infrastructure at a whole of basin scale and should not be applied to any individual play. To determine additional infrastructure at play, lead or prospect level, significant additional analysis would be required.</w:t>
      </w:r>
    </w:p>
    <w:p w14:paraId="12975106" w14:textId="77777777" w:rsidR="00D27769" w:rsidRPr="00AB6721" w:rsidRDefault="00D27769" w:rsidP="00174635">
      <w:pPr>
        <w:pStyle w:val="FiguresImagesCentred"/>
      </w:pPr>
      <w:r w:rsidRPr="00AB6721">
        <w:rPr>
          <w:noProof/>
        </w:rPr>
        <w:drawing>
          <wp:inline distT="0" distB="0" distL="0" distR="0" wp14:anchorId="2496D1DF" wp14:editId="4B2525A5">
            <wp:extent cx="5738842" cy="4105835"/>
            <wp:effectExtent l="0" t="0" r="0" b="952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69">
                      <a:extLst>
                        <a:ext uri="{28A0092B-C50C-407E-A947-70E740481C1C}">
                          <a14:useLocalDpi xmlns:a14="http://schemas.microsoft.com/office/drawing/2010/main" val="0"/>
                        </a:ext>
                      </a:extLst>
                    </a:blip>
                    <a:srcRect b="4184"/>
                    <a:stretch/>
                  </pic:blipFill>
                  <pic:spPr bwMode="auto">
                    <a:xfrm>
                      <a:off x="0" y="0"/>
                      <a:ext cx="5753100" cy="4116036"/>
                    </a:xfrm>
                    <a:prstGeom prst="rect">
                      <a:avLst/>
                    </a:prstGeom>
                    <a:noFill/>
                    <a:ln>
                      <a:noFill/>
                    </a:ln>
                    <a:extLst>
                      <a:ext uri="{53640926-AAD7-44D8-BBD7-CCE9431645EC}">
                        <a14:shadowObscured xmlns:a14="http://schemas.microsoft.com/office/drawing/2010/main"/>
                      </a:ext>
                    </a:extLst>
                  </pic:spPr>
                </pic:pic>
              </a:graphicData>
            </a:graphic>
          </wp:inline>
        </w:drawing>
      </w:r>
    </w:p>
    <w:p w14:paraId="520BFF89" w14:textId="51CDC414" w:rsidR="00D27769" w:rsidRPr="00AB6721" w:rsidRDefault="00D27769" w:rsidP="00174635">
      <w:pPr>
        <w:pStyle w:val="Caption"/>
      </w:pPr>
      <w:bookmarkStart w:id="118" w:name="_Ref493764390"/>
      <w:bookmarkStart w:id="119" w:name="_Toc517101452"/>
      <w:r w:rsidRPr="00AB6721">
        <w:t xml:space="preserve">Figure </w:t>
      </w:r>
      <w:fldSimple w:instr=" STYLEREF 1 \s ">
        <w:r w:rsidR="004A16F5">
          <w:rPr>
            <w:noProof/>
          </w:rPr>
          <w:t>5</w:t>
        </w:r>
      </w:fldSimple>
      <w:r>
        <w:noBreakHyphen/>
      </w:r>
      <w:fldSimple w:instr=" SEQ Figure \* ARABIC \s 1 ">
        <w:r w:rsidR="004A16F5">
          <w:rPr>
            <w:noProof/>
          </w:rPr>
          <w:t>7</w:t>
        </w:r>
      </w:fldSimple>
      <w:bookmarkEnd w:id="118"/>
      <w:r w:rsidRPr="00AB6721">
        <w:t xml:space="preserve">: Shale/ tight gas prospectivity-infrastructure matrix for </w:t>
      </w:r>
      <w:r>
        <w:t>shortlist</w:t>
      </w:r>
      <w:r w:rsidRPr="00AB6721">
        <w:t>ed basins.</w:t>
      </w:r>
      <w:r w:rsidR="007735D0">
        <w:t xml:space="preserve"> Red: basin located closer to the Northern Territory Gas Market. Purple: basin in proximity to the East Coast Gas Market.</w:t>
      </w:r>
      <w:bookmarkEnd w:id="119"/>
    </w:p>
    <w:p w14:paraId="315718FE" w14:textId="77777777" w:rsidR="00D27769" w:rsidRDefault="00D27769" w:rsidP="00174635">
      <w:pPr>
        <w:pStyle w:val="BodyText"/>
        <w:sectPr w:rsidR="00D27769" w:rsidSect="00555380">
          <w:headerReference w:type="even" r:id="rId70"/>
          <w:headerReference w:type="default" r:id="rId71"/>
          <w:headerReference w:type="first" r:id="rId72"/>
          <w:pgSz w:w="11907" w:h="16840" w:code="9"/>
          <w:pgMar w:top="1418" w:right="1134" w:bottom="1418" w:left="1134" w:header="510" w:footer="624" w:gutter="0"/>
          <w:cols w:space="720"/>
          <w:docGrid w:linePitch="326"/>
        </w:sectPr>
      </w:pPr>
      <w:r>
        <w:br w:type="page"/>
      </w:r>
    </w:p>
    <w:p w14:paraId="7566832A" w14:textId="77777777" w:rsidR="00D27769" w:rsidRPr="00AB6721" w:rsidRDefault="00D27769" w:rsidP="00924E2B">
      <w:pPr>
        <w:pStyle w:val="Caption"/>
      </w:pPr>
      <w:bookmarkStart w:id="120" w:name="_Ref493764422"/>
      <w:bookmarkStart w:id="121" w:name="_Toc517101461"/>
      <w:r w:rsidRPr="00AB6721">
        <w:t xml:space="preserve">Table </w:t>
      </w:r>
      <w:fldSimple w:instr=" STYLEREF 1 \s ">
        <w:r w:rsidR="004A16F5">
          <w:rPr>
            <w:noProof/>
          </w:rPr>
          <w:t>5</w:t>
        </w:r>
      </w:fldSimple>
      <w:r w:rsidRPr="00AB6721">
        <w:noBreakHyphen/>
      </w:r>
      <w:fldSimple w:instr=" SEQ Table \* ARABIC \s 1 ">
        <w:r w:rsidR="004A16F5">
          <w:rPr>
            <w:noProof/>
          </w:rPr>
          <w:t>7</w:t>
        </w:r>
      </w:fldSimple>
      <w:bookmarkEnd w:id="120"/>
      <w:r w:rsidRPr="00AB6721">
        <w:t xml:space="preserve"> Summary of market access and infrastructure.</w:t>
      </w:r>
      <w:bookmarkEnd w:id="121"/>
    </w:p>
    <w:tbl>
      <w:tblPr>
        <w:tblStyle w:val="TableBAHeaderRow"/>
        <w:tblW w:w="4990" w:type="pct"/>
        <w:tblLook w:val="04A0" w:firstRow="1" w:lastRow="0" w:firstColumn="1" w:lastColumn="0" w:noHBand="0" w:noVBand="1"/>
      </w:tblPr>
      <w:tblGrid>
        <w:gridCol w:w="1180"/>
        <w:gridCol w:w="1376"/>
        <w:gridCol w:w="3011"/>
        <w:gridCol w:w="1607"/>
        <w:gridCol w:w="1656"/>
        <w:gridCol w:w="1656"/>
        <w:gridCol w:w="1657"/>
        <w:gridCol w:w="1833"/>
      </w:tblGrid>
      <w:tr w:rsidR="00D27769" w14:paraId="60074191" w14:textId="77777777" w:rsidTr="000731D9">
        <w:trPr>
          <w:cnfStyle w:val="100000000000" w:firstRow="1" w:lastRow="0" w:firstColumn="0" w:lastColumn="0" w:oddVBand="0" w:evenVBand="0" w:oddHBand="0" w:evenHBand="0" w:firstRowFirstColumn="0" w:firstRowLastColumn="0" w:lastRowFirstColumn="0" w:lastRowLastColumn="0"/>
        </w:trPr>
        <w:tc>
          <w:tcPr>
            <w:tcW w:w="457" w:type="pct"/>
          </w:tcPr>
          <w:p w14:paraId="78C2D99E" w14:textId="77777777" w:rsidR="00D27769" w:rsidRPr="008454B0" w:rsidRDefault="00D27769" w:rsidP="00760658">
            <w:pPr>
              <w:pStyle w:val="BodyText"/>
              <w:rPr>
                <w:color w:val="FFFFFF" w:themeColor="background1"/>
              </w:rPr>
            </w:pPr>
            <w:r w:rsidRPr="008454B0">
              <w:rPr>
                <w:color w:val="FFFFFF" w:themeColor="background1"/>
              </w:rPr>
              <w:t>     </w:t>
            </w:r>
          </w:p>
        </w:tc>
        <w:tc>
          <w:tcPr>
            <w:tcW w:w="527" w:type="pct"/>
          </w:tcPr>
          <w:p w14:paraId="662369DF" w14:textId="77777777" w:rsidR="00D27769" w:rsidRPr="008454B0" w:rsidRDefault="00D27769" w:rsidP="00760658">
            <w:pPr>
              <w:pStyle w:val="BodyText"/>
              <w:rPr>
                <w:color w:val="FFFFFF" w:themeColor="background1"/>
              </w:rPr>
            </w:pPr>
            <w:r w:rsidRPr="008454B0">
              <w:rPr>
                <w:color w:val="FFFFFF" w:themeColor="background1"/>
              </w:rPr>
              <w:t>          </w:t>
            </w:r>
          </w:p>
        </w:tc>
        <w:tc>
          <w:tcPr>
            <w:tcW w:w="1112" w:type="pct"/>
          </w:tcPr>
          <w:p w14:paraId="77A18A5E" w14:textId="77777777" w:rsidR="00D27769" w:rsidRPr="008454B0" w:rsidRDefault="00D27769" w:rsidP="00760658">
            <w:pPr>
              <w:pStyle w:val="BodyText"/>
              <w:rPr>
                <w:color w:val="FFFFFF" w:themeColor="background1"/>
              </w:rPr>
            </w:pPr>
            <w:r w:rsidRPr="008454B0">
              <w:rPr>
                <w:color w:val="FFFFFF" w:themeColor="background1"/>
              </w:rPr>
              <w:t>        </w:t>
            </w:r>
          </w:p>
        </w:tc>
        <w:tc>
          <w:tcPr>
            <w:tcW w:w="444" w:type="pct"/>
          </w:tcPr>
          <w:p w14:paraId="0B4629BE" w14:textId="77777777" w:rsidR="00D27769" w:rsidRPr="008454B0" w:rsidRDefault="00D27769" w:rsidP="00760658">
            <w:pPr>
              <w:pStyle w:val="BodyText"/>
              <w:rPr>
                <w:color w:val="FFFFFF" w:themeColor="background1"/>
              </w:rPr>
            </w:pPr>
            <w:r w:rsidRPr="008454B0">
              <w:rPr>
                <w:color w:val="FFFFFF" w:themeColor="background1"/>
              </w:rPr>
              <w:t>                                 </w:t>
            </w:r>
          </w:p>
        </w:tc>
        <w:tc>
          <w:tcPr>
            <w:tcW w:w="627" w:type="pct"/>
          </w:tcPr>
          <w:p w14:paraId="1DBC1F97" w14:textId="77777777" w:rsidR="00D27769" w:rsidRPr="008454B0" w:rsidRDefault="00D27769" w:rsidP="00760658">
            <w:pPr>
              <w:pStyle w:val="BodyText"/>
              <w:rPr>
                <w:color w:val="FFFFFF" w:themeColor="background1"/>
              </w:rPr>
            </w:pPr>
            <w:r w:rsidRPr="008454B0">
              <w:rPr>
                <w:color w:val="FFFFFF" w:themeColor="background1"/>
              </w:rPr>
              <w:t>                     </w:t>
            </w:r>
          </w:p>
        </w:tc>
        <w:tc>
          <w:tcPr>
            <w:tcW w:w="627" w:type="pct"/>
          </w:tcPr>
          <w:p w14:paraId="551494DC" w14:textId="77777777" w:rsidR="00D27769" w:rsidRPr="008454B0" w:rsidRDefault="00D27769" w:rsidP="00760658">
            <w:pPr>
              <w:pStyle w:val="BodyText"/>
              <w:rPr>
                <w:color w:val="FFFFFF" w:themeColor="background1"/>
              </w:rPr>
            </w:pPr>
            <w:r w:rsidRPr="008454B0">
              <w:rPr>
                <w:color w:val="FFFFFF" w:themeColor="background1"/>
              </w:rPr>
              <w:t>                    </w:t>
            </w:r>
          </w:p>
        </w:tc>
        <w:tc>
          <w:tcPr>
            <w:tcW w:w="627" w:type="pct"/>
          </w:tcPr>
          <w:p w14:paraId="119F8DD2" w14:textId="77777777" w:rsidR="00D27769" w:rsidRPr="008454B0" w:rsidRDefault="00D27769" w:rsidP="00760658">
            <w:pPr>
              <w:pStyle w:val="BodyText"/>
              <w:rPr>
                <w:color w:val="FFFFFF" w:themeColor="background1"/>
              </w:rPr>
            </w:pPr>
            <w:r w:rsidRPr="008454B0">
              <w:rPr>
                <w:color w:val="FFFFFF" w:themeColor="background1"/>
              </w:rPr>
              <w:t>         </w:t>
            </w:r>
          </w:p>
        </w:tc>
        <w:tc>
          <w:tcPr>
            <w:tcW w:w="577" w:type="pct"/>
          </w:tcPr>
          <w:p w14:paraId="31107939" w14:textId="77777777" w:rsidR="00D27769" w:rsidRPr="008454B0" w:rsidRDefault="00D27769" w:rsidP="00760658">
            <w:pPr>
              <w:pStyle w:val="BodyText"/>
              <w:rPr>
                <w:color w:val="FFFFFF" w:themeColor="background1"/>
              </w:rPr>
            </w:pPr>
            <w:r w:rsidRPr="008454B0">
              <w:rPr>
                <w:color w:val="FFFFFF" w:themeColor="background1"/>
              </w:rPr>
              <w:t>                                      </w:t>
            </w:r>
          </w:p>
        </w:tc>
      </w:tr>
      <w:tr w:rsidR="00D27769" w14:paraId="4A2495E7" w14:textId="77777777" w:rsidTr="000731D9">
        <w:trPr>
          <w:cnfStyle w:val="000000100000" w:firstRow="0" w:lastRow="0" w:firstColumn="0" w:lastColumn="0" w:oddVBand="0" w:evenVBand="0" w:oddHBand="1" w:evenHBand="0" w:firstRowFirstColumn="0" w:firstRowLastColumn="0" w:lastRowFirstColumn="0" w:lastRowLastColumn="0"/>
          <w:trHeight w:val="714"/>
        </w:trPr>
        <w:tc>
          <w:tcPr>
            <w:tcW w:w="457" w:type="pct"/>
          </w:tcPr>
          <w:p w14:paraId="116B4AEB" w14:textId="77777777" w:rsidR="00D27769" w:rsidRPr="00A67D5E" w:rsidRDefault="00D27769" w:rsidP="00760658">
            <w:pPr>
              <w:pStyle w:val="TableTextLeft"/>
            </w:pPr>
            <w:r w:rsidRPr="00A67D5E">
              <w:t>Amadeus Basin</w:t>
            </w:r>
          </w:p>
        </w:tc>
        <w:tc>
          <w:tcPr>
            <w:tcW w:w="527" w:type="pct"/>
          </w:tcPr>
          <w:p w14:paraId="5C25DAC8" w14:textId="583BF009" w:rsidR="00D27769" w:rsidRPr="00C02FF0" w:rsidRDefault="000731D9" w:rsidP="00760658">
            <w:pPr>
              <w:pStyle w:val="TableTextLeft"/>
            </w:pPr>
            <w:r>
              <w:t>Northern Territory</w:t>
            </w:r>
          </w:p>
        </w:tc>
        <w:tc>
          <w:tcPr>
            <w:tcW w:w="1112" w:type="pct"/>
          </w:tcPr>
          <w:p w14:paraId="33471A73" w14:textId="77777777" w:rsidR="00D27769" w:rsidRPr="0094324C" w:rsidRDefault="00D27769" w:rsidP="00760658">
            <w:pPr>
              <w:pStyle w:val="TableTextLeft"/>
            </w:pPr>
            <w:r>
              <w:t>Amadeus Gas (Amadeus Basin to Darwin); Palm Valley to Alice Springs Pipeline</w:t>
            </w:r>
          </w:p>
        </w:tc>
        <w:tc>
          <w:tcPr>
            <w:tcW w:w="444" w:type="pct"/>
          </w:tcPr>
          <w:p w14:paraId="49CE87EA" w14:textId="77777777" w:rsidR="00D27769" w:rsidRPr="00192DB7" w:rsidRDefault="00D27769" w:rsidP="00760658">
            <w:pPr>
              <w:pStyle w:val="TableTextLeft"/>
            </w:pPr>
            <w:r>
              <w:t>0–200</w:t>
            </w:r>
          </w:p>
        </w:tc>
        <w:tc>
          <w:tcPr>
            <w:tcW w:w="627" w:type="pct"/>
          </w:tcPr>
          <w:p w14:paraId="1341098E" w14:textId="77777777" w:rsidR="00D27769" w:rsidRDefault="00D27769" w:rsidP="00760658">
            <w:pPr>
              <w:pStyle w:val="TableTextLeft"/>
            </w:pPr>
            <w:r>
              <w:t>Mereenie; Palm Valley</w:t>
            </w:r>
          </w:p>
        </w:tc>
        <w:tc>
          <w:tcPr>
            <w:tcW w:w="627" w:type="pct"/>
          </w:tcPr>
          <w:p w14:paraId="4118557E" w14:textId="77777777" w:rsidR="00D27769" w:rsidRDefault="00D27769" w:rsidP="00760658">
            <w:pPr>
              <w:pStyle w:val="TableTextLeft"/>
            </w:pPr>
            <w:r w:rsidRPr="00581915">
              <w:t>Poorly to moderately well serviced</w:t>
            </w:r>
          </w:p>
        </w:tc>
        <w:tc>
          <w:tcPr>
            <w:tcW w:w="627" w:type="pct"/>
          </w:tcPr>
          <w:p w14:paraId="5D94927F" w14:textId="77777777" w:rsidR="00D27769" w:rsidRDefault="00D27769" w:rsidP="00760658">
            <w:pPr>
              <w:pStyle w:val="TableTextLeft"/>
            </w:pPr>
            <w:r>
              <w:t>Limited development</w:t>
            </w:r>
          </w:p>
        </w:tc>
        <w:tc>
          <w:tcPr>
            <w:tcW w:w="577" w:type="pct"/>
          </w:tcPr>
          <w:p w14:paraId="27C4F62B" w14:textId="77777777" w:rsidR="00D27769" w:rsidRPr="00C02FF0" w:rsidRDefault="00D27769" w:rsidP="00760658">
            <w:pPr>
              <w:pStyle w:val="TableTextLeft"/>
            </w:pPr>
            <w:r w:rsidRPr="00C02FF0">
              <w:t xml:space="preserve">Moderate </w:t>
            </w:r>
          </w:p>
        </w:tc>
      </w:tr>
      <w:tr w:rsidR="00D27769" w14:paraId="0E52CFCA" w14:textId="77777777" w:rsidTr="000731D9">
        <w:trPr>
          <w:cnfStyle w:val="000000010000" w:firstRow="0" w:lastRow="0" w:firstColumn="0" w:lastColumn="0" w:oddVBand="0" w:evenVBand="0" w:oddHBand="0" w:evenHBand="1" w:firstRowFirstColumn="0" w:firstRowLastColumn="0" w:lastRowFirstColumn="0" w:lastRowLastColumn="0"/>
        </w:trPr>
        <w:tc>
          <w:tcPr>
            <w:tcW w:w="457" w:type="pct"/>
          </w:tcPr>
          <w:p w14:paraId="7897A74A" w14:textId="77777777" w:rsidR="00D27769" w:rsidRPr="00A67D5E" w:rsidRDefault="00D27769" w:rsidP="00760658">
            <w:pPr>
              <w:pStyle w:val="TableTextLeft"/>
            </w:pPr>
            <w:r w:rsidRPr="00A67D5E">
              <w:t>Bowen Basin</w:t>
            </w:r>
          </w:p>
        </w:tc>
        <w:tc>
          <w:tcPr>
            <w:tcW w:w="527" w:type="pct"/>
          </w:tcPr>
          <w:p w14:paraId="6CF9C30F" w14:textId="0E74753F" w:rsidR="00D27769" w:rsidRPr="00C02FF0" w:rsidRDefault="000731D9" w:rsidP="00760658">
            <w:pPr>
              <w:pStyle w:val="TableTextLeft"/>
            </w:pPr>
            <w:r>
              <w:t>East Coast</w:t>
            </w:r>
          </w:p>
        </w:tc>
        <w:tc>
          <w:tcPr>
            <w:tcW w:w="1112" w:type="pct"/>
          </w:tcPr>
          <w:p w14:paraId="44BCF5FC" w14:textId="77777777" w:rsidR="00D27769" w:rsidRDefault="00D27769" w:rsidP="00760658">
            <w:pPr>
              <w:pStyle w:val="TableTextLeft"/>
            </w:pPr>
            <w:r>
              <w:t>Southwest Queensland Pipeline; Queensland Gas Pipeline; Roma to Brisbane Pipeline</w:t>
            </w:r>
          </w:p>
        </w:tc>
        <w:tc>
          <w:tcPr>
            <w:tcW w:w="444" w:type="pct"/>
          </w:tcPr>
          <w:p w14:paraId="20358ECE" w14:textId="77777777" w:rsidR="00D27769" w:rsidRPr="00192DB7" w:rsidRDefault="00D27769" w:rsidP="00760658">
            <w:pPr>
              <w:pStyle w:val="TableTextLeft"/>
            </w:pPr>
            <w:r>
              <w:t>&lt;100</w:t>
            </w:r>
          </w:p>
        </w:tc>
        <w:tc>
          <w:tcPr>
            <w:tcW w:w="627" w:type="pct"/>
          </w:tcPr>
          <w:p w14:paraId="41B42889" w14:textId="77777777" w:rsidR="00D27769" w:rsidRPr="00CE7021" w:rsidRDefault="00D27769" w:rsidP="00760658">
            <w:pPr>
              <w:pStyle w:val="TableTextLeft"/>
            </w:pPr>
            <w:r w:rsidRPr="00CE7021">
              <w:rPr>
                <w:rFonts w:eastAsiaTheme="minorEastAsia"/>
              </w:rPr>
              <w:t>Rolleston; Central; Wallumbilla; Kincora; Silver Springs</w:t>
            </w:r>
          </w:p>
          <w:p w14:paraId="3783F659" w14:textId="77777777" w:rsidR="00D27769" w:rsidRDefault="00D27769" w:rsidP="00760658">
            <w:pPr>
              <w:pStyle w:val="TableTextLeft"/>
            </w:pPr>
          </w:p>
        </w:tc>
        <w:tc>
          <w:tcPr>
            <w:tcW w:w="627" w:type="pct"/>
          </w:tcPr>
          <w:p w14:paraId="5C8E815B" w14:textId="77777777" w:rsidR="00D27769" w:rsidRDefault="00D27769" w:rsidP="00760658">
            <w:pPr>
              <w:pStyle w:val="TableTextLeft"/>
            </w:pPr>
            <w:r>
              <w:t>Well serviced</w:t>
            </w:r>
          </w:p>
        </w:tc>
        <w:tc>
          <w:tcPr>
            <w:tcW w:w="627" w:type="pct"/>
          </w:tcPr>
          <w:p w14:paraId="620575C5" w14:textId="77777777" w:rsidR="00D27769" w:rsidRDefault="00D27769" w:rsidP="00760658">
            <w:pPr>
              <w:pStyle w:val="TableTextLeft"/>
            </w:pPr>
            <w:r>
              <w:t>Developed</w:t>
            </w:r>
          </w:p>
        </w:tc>
        <w:tc>
          <w:tcPr>
            <w:tcW w:w="577" w:type="pct"/>
          </w:tcPr>
          <w:p w14:paraId="0683EE1F" w14:textId="77777777" w:rsidR="00D27769" w:rsidRPr="00C02FF0" w:rsidRDefault="00D27769" w:rsidP="00760658">
            <w:pPr>
              <w:pStyle w:val="TableTextLeft"/>
            </w:pPr>
            <w:r w:rsidRPr="00C02FF0">
              <w:t xml:space="preserve">Minor </w:t>
            </w:r>
          </w:p>
        </w:tc>
      </w:tr>
      <w:tr w:rsidR="000731D9" w14:paraId="5231AD9E" w14:textId="77777777" w:rsidTr="000731D9">
        <w:trPr>
          <w:cnfStyle w:val="000000100000" w:firstRow="0" w:lastRow="0" w:firstColumn="0" w:lastColumn="0" w:oddVBand="0" w:evenVBand="0" w:oddHBand="1" w:evenHBand="0" w:firstRowFirstColumn="0" w:firstRowLastColumn="0" w:lastRowFirstColumn="0" w:lastRowLastColumn="0"/>
        </w:trPr>
        <w:tc>
          <w:tcPr>
            <w:tcW w:w="457" w:type="pct"/>
          </w:tcPr>
          <w:p w14:paraId="19FA3886" w14:textId="77777777" w:rsidR="000731D9" w:rsidRPr="00A67D5E" w:rsidRDefault="000731D9" w:rsidP="00760658">
            <w:pPr>
              <w:pStyle w:val="TableTextLeft"/>
            </w:pPr>
            <w:r w:rsidRPr="00A67D5E">
              <w:t>Clarence-Moreton Basin</w:t>
            </w:r>
          </w:p>
        </w:tc>
        <w:tc>
          <w:tcPr>
            <w:tcW w:w="527" w:type="pct"/>
          </w:tcPr>
          <w:p w14:paraId="2F5732BD" w14:textId="24C29B8D" w:rsidR="000731D9" w:rsidRPr="00C02FF0" w:rsidRDefault="000731D9" w:rsidP="00760658">
            <w:pPr>
              <w:pStyle w:val="TableTextLeft"/>
            </w:pPr>
            <w:r w:rsidRPr="002C6066">
              <w:t>East Coast</w:t>
            </w:r>
          </w:p>
        </w:tc>
        <w:tc>
          <w:tcPr>
            <w:tcW w:w="1112" w:type="pct"/>
          </w:tcPr>
          <w:p w14:paraId="3F425021" w14:textId="77777777" w:rsidR="000731D9" w:rsidRDefault="000731D9" w:rsidP="00760658">
            <w:pPr>
              <w:pStyle w:val="TableTextLeft"/>
            </w:pPr>
            <w:r>
              <w:t>Roma to Brisbane Pipeline</w:t>
            </w:r>
          </w:p>
        </w:tc>
        <w:tc>
          <w:tcPr>
            <w:tcW w:w="444" w:type="pct"/>
          </w:tcPr>
          <w:p w14:paraId="6E08E929" w14:textId="77777777" w:rsidR="000731D9" w:rsidRPr="00192DB7" w:rsidRDefault="000731D9" w:rsidP="00760658">
            <w:pPr>
              <w:pStyle w:val="TableTextLeft"/>
            </w:pPr>
            <w:r>
              <w:t>100–200</w:t>
            </w:r>
          </w:p>
        </w:tc>
        <w:tc>
          <w:tcPr>
            <w:tcW w:w="627" w:type="pct"/>
          </w:tcPr>
          <w:p w14:paraId="66E5CEAA" w14:textId="77777777" w:rsidR="000731D9" w:rsidRDefault="000731D9" w:rsidP="00760658">
            <w:pPr>
              <w:pStyle w:val="TableTextLeft"/>
            </w:pPr>
            <w:r>
              <w:t>None</w:t>
            </w:r>
          </w:p>
        </w:tc>
        <w:tc>
          <w:tcPr>
            <w:tcW w:w="627" w:type="pct"/>
          </w:tcPr>
          <w:p w14:paraId="19364ADE" w14:textId="77777777" w:rsidR="000731D9" w:rsidRDefault="000731D9" w:rsidP="00760658">
            <w:pPr>
              <w:pStyle w:val="TableTextLeft"/>
            </w:pPr>
            <w:r>
              <w:t>Well serviced</w:t>
            </w:r>
          </w:p>
        </w:tc>
        <w:tc>
          <w:tcPr>
            <w:tcW w:w="627" w:type="pct"/>
          </w:tcPr>
          <w:p w14:paraId="52E2EAD5" w14:textId="77777777" w:rsidR="000731D9" w:rsidRDefault="000731D9" w:rsidP="00760658">
            <w:pPr>
              <w:pStyle w:val="TableTextLeft"/>
            </w:pPr>
            <w:r>
              <w:t>Well developed</w:t>
            </w:r>
          </w:p>
        </w:tc>
        <w:tc>
          <w:tcPr>
            <w:tcW w:w="577" w:type="pct"/>
          </w:tcPr>
          <w:p w14:paraId="6657D275" w14:textId="77777777" w:rsidR="000731D9" w:rsidRPr="00C02FF0" w:rsidRDefault="000731D9" w:rsidP="00760658">
            <w:pPr>
              <w:pStyle w:val="TableTextLeft"/>
            </w:pPr>
            <w:r w:rsidRPr="00C02FF0">
              <w:t>Moderate-minor</w:t>
            </w:r>
          </w:p>
        </w:tc>
      </w:tr>
      <w:tr w:rsidR="000731D9" w14:paraId="72144FB9" w14:textId="77777777" w:rsidTr="000731D9">
        <w:trPr>
          <w:cnfStyle w:val="000000010000" w:firstRow="0" w:lastRow="0" w:firstColumn="0" w:lastColumn="0" w:oddVBand="0" w:evenVBand="0" w:oddHBand="0" w:evenHBand="1" w:firstRowFirstColumn="0" w:firstRowLastColumn="0" w:lastRowFirstColumn="0" w:lastRowLastColumn="0"/>
        </w:trPr>
        <w:tc>
          <w:tcPr>
            <w:tcW w:w="457" w:type="pct"/>
          </w:tcPr>
          <w:p w14:paraId="56DE5B71" w14:textId="77777777" w:rsidR="000731D9" w:rsidRPr="00A67D5E" w:rsidRDefault="000731D9" w:rsidP="00760658">
            <w:pPr>
              <w:pStyle w:val="TableTextLeft"/>
            </w:pPr>
            <w:r w:rsidRPr="00A67D5E">
              <w:t>Cooper Basin</w:t>
            </w:r>
          </w:p>
        </w:tc>
        <w:tc>
          <w:tcPr>
            <w:tcW w:w="527" w:type="pct"/>
          </w:tcPr>
          <w:p w14:paraId="2B66DE1C" w14:textId="58D62366" w:rsidR="000731D9" w:rsidRPr="00C02FF0" w:rsidRDefault="000731D9" w:rsidP="00760658">
            <w:pPr>
              <w:pStyle w:val="TableTextLeft"/>
            </w:pPr>
            <w:r w:rsidRPr="002C6066">
              <w:t>East Coast</w:t>
            </w:r>
          </w:p>
        </w:tc>
        <w:tc>
          <w:tcPr>
            <w:tcW w:w="1112" w:type="pct"/>
          </w:tcPr>
          <w:p w14:paraId="2463ACC5" w14:textId="77777777" w:rsidR="000731D9" w:rsidRPr="005C7241" w:rsidRDefault="000731D9" w:rsidP="00760658">
            <w:pPr>
              <w:pStyle w:val="TableTextLeft"/>
            </w:pPr>
            <w:r>
              <w:t xml:space="preserve">Moomba to Adelaide Pipeline; Moomba to Sydney Pipeline; </w:t>
            </w:r>
            <w:r w:rsidRPr="005C7241">
              <w:t xml:space="preserve">Carpentaria Pipeline </w:t>
            </w:r>
          </w:p>
        </w:tc>
        <w:tc>
          <w:tcPr>
            <w:tcW w:w="444" w:type="pct"/>
          </w:tcPr>
          <w:p w14:paraId="1EE7B7D1" w14:textId="77777777" w:rsidR="000731D9" w:rsidRPr="00C90669" w:rsidRDefault="000731D9" w:rsidP="00760658">
            <w:pPr>
              <w:pStyle w:val="TableTextLeft"/>
            </w:pPr>
            <w:r w:rsidRPr="00C90669">
              <w:t>&lt;100</w:t>
            </w:r>
          </w:p>
        </w:tc>
        <w:tc>
          <w:tcPr>
            <w:tcW w:w="627" w:type="pct"/>
          </w:tcPr>
          <w:p w14:paraId="3A8393E2" w14:textId="77777777" w:rsidR="000731D9" w:rsidRDefault="000731D9" w:rsidP="00760658">
            <w:pPr>
              <w:pStyle w:val="TableTextLeft"/>
            </w:pPr>
            <w:r>
              <w:t xml:space="preserve">Moomba; </w:t>
            </w:r>
            <w:r w:rsidRPr="00FE7F64">
              <w:t>Ballera</w:t>
            </w:r>
          </w:p>
        </w:tc>
        <w:tc>
          <w:tcPr>
            <w:tcW w:w="627" w:type="pct"/>
          </w:tcPr>
          <w:p w14:paraId="64CD1F77" w14:textId="77777777" w:rsidR="000731D9" w:rsidRDefault="000731D9" w:rsidP="00760658">
            <w:pPr>
              <w:pStyle w:val="TableTextLeft"/>
            </w:pPr>
            <w:r>
              <w:t xml:space="preserve">Moderately </w:t>
            </w:r>
            <w:r w:rsidRPr="005D7230">
              <w:t>well serviced</w:t>
            </w:r>
          </w:p>
        </w:tc>
        <w:tc>
          <w:tcPr>
            <w:tcW w:w="627" w:type="pct"/>
          </w:tcPr>
          <w:p w14:paraId="2C3CF452" w14:textId="77777777" w:rsidR="000731D9" w:rsidRDefault="000731D9" w:rsidP="00760658">
            <w:pPr>
              <w:pStyle w:val="TableTextLeft"/>
            </w:pPr>
            <w:r>
              <w:t>Limited development</w:t>
            </w:r>
          </w:p>
        </w:tc>
        <w:tc>
          <w:tcPr>
            <w:tcW w:w="577" w:type="pct"/>
          </w:tcPr>
          <w:p w14:paraId="3975AA55" w14:textId="77777777" w:rsidR="000731D9" w:rsidRPr="00C02FF0" w:rsidRDefault="000731D9" w:rsidP="00760658">
            <w:pPr>
              <w:pStyle w:val="TableTextLeft"/>
            </w:pPr>
            <w:r w:rsidRPr="00C02FF0">
              <w:t xml:space="preserve">Minor </w:t>
            </w:r>
          </w:p>
        </w:tc>
      </w:tr>
      <w:tr w:rsidR="00D27769" w14:paraId="7B52D9AE" w14:textId="77777777" w:rsidTr="000731D9">
        <w:trPr>
          <w:cnfStyle w:val="000000100000" w:firstRow="0" w:lastRow="0" w:firstColumn="0" w:lastColumn="0" w:oddVBand="0" w:evenVBand="0" w:oddHBand="1" w:evenHBand="0" w:firstRowFirstColumn="0" w:firstRowLastColumn="0" w:lastRowFirstColumn="0" w:lastRowLastColumn="0"/>
        </w:trPr>
        <w:tc>
          <w:tcPr>
            <w:tcW w:w="457" w:type="pct"/>
          </w:tcPr>
          <w:p w14:paraId="10436C0A" w14:textId="77777777" w:rsidR="00D27769" w:rsidRPr="00A67D5E" w:rsidRDefault="00D27769" w:rsidP="00760658">
            <w:pPr>
              <w:pStyle w:val="TableTextLeft"/>
            </w:pPr>
            <w:r w:rsidRPr="00A67D5E">
              <w:t>Georgina Basin</w:t>
            </w:r>
          </w:p>
        </w:tc>
        <w:tc>
          <w:tcPr>
            <w:tcW w:w="527" w:type="pct"/>
          </w:tcPr>
          <w:p w14:paraId="05946A78" w14:textId="2A18DC38" w:rsidR="00D27769" w:rsidRPr="00C02FF0" w:rsidRDefault="000731D9" w:rsidP="00760658">
            <w:pPr>
              <w:pStyle w:val="TableTextLeft"/>
            </w:pPr>
            <w:r>
              <w:t>Northern Territory</w:t>
            </w:r>
          </w:p>
        </w:tc>
        <w:tc>
          <w:tcPr>
            <w:tcW w:w="1112" w:type="pct"/>
          </w:tcPr>
          <w:p w14:paraId="29C51EDD" w14:textId="77777777" w:rsidR="00D27769" w:rsidRDefault="00D27769" w:rsidP="00760658">
            <w:pPr>
              <w:pStyle w:val="TableTextLeft"/>
            </w:pPr>
            <w:r>
              <w:t xml:space="preserve">Amadeus Gas Pipeline (Amadeus Basin to Darwin); Northern Gas Pipeline (under construction) </w:t>
            </w:r>
          </w:p>
        </w:tc>
        <w:tc>
          <w:tcPr>
            <w:tcW w:w="444" w:type="pct"/>
          </w:tcPr>
          <w:p w14:paraId="0A3DD0A4" w14:textId="77777777" w:rsidR="00D27769" w:rsidRPr="00C90669" w:rsidRDefault="00D27769" w:rsidP="00760658">
            <w:pPr>
              <w:pStyle w:val="TableTextLeft"/>
            </w:pPr>
            <w:r w:rsidRPr="00C90669">
              <w:t>&gt;200</w:t>
            </w:r>
          </w:p>
        </w:tc>
        <w:tc>
          <w:tcPr>
            <w:tcW w:w="627" w:type="pct"/>
          </w:tcPr>
          <w:p w14:paraId="0079DA94" w14:textId="77777777" w:rsidR="00D27769" w:rsidRDefault="00D27769" w:rsidP="00760658">
            <w:pPr>
              <w:pStyle w:val="TableTextLeft"/>
            </w:pPr>
            <w:r>
              <w:t>None</w:t>
            </w:r>
          </w:p>
        </w:tc>
        <w:tc>
          <w:tcPr>
            <w:tcW w:w="627" w:type="pct"/>
          </w:tcPr>
          <w:p w14:paraId="5DC31FAE" w14:textId="77777777" w:rsidR="00D27769" w:rsidRDefault="00D27769" w:rsidP="00760658">
            <w:pPr>
              <w:pStyle w:val="TableTextLeft"/>
            </w:pPr>
            <w:r w:rsidRPr="00581915">
              <w:t>Poorly to moderately well serviced</w:t>
            </w:r>
          </w:p>
        </w:tc>
        <w:tc>
          <w:tcPr>
            <w:tcW w:w="627" w:type="pct"/>
          </w:tcPr>
          <w:p w14:paraId="21A32DBB" w14:textId="77777777" w:rsidR="00D27769" w:rsidRDefault="00D27769" w:rsidP="00760658">
            <w:pPr>
              <w:pStyle w:val="TableTextLeft"/>
            </w:pPr>
            <w:r>
              <w:t>Undeveloped</w:t>
            </w:r>
          </w:p>
        </w:tc>
        <w:tc>
          <w:tcPr>
            <w:tcW w:w="577" w:type="pct"/>
          </w:tcPr>
          <w:p w14:paraId="0C1E23DF" w14:textId="77777777" w:rsidR="00D27769" w:rsidRPr="00C02FF0" w:rsidRDefault="00D27769" w:rsidP="00760658">
            <w:pPr>
              <w:pStyle w:val="TableTextLeft"/>
            </w:pPr>
            <w:r w:rsidRPr="00C02FF0">
              <w:t xml:space="preserve">Major </w:t>
            </w:r>
          </w:p>
        </w:tc>
      </w:tr>
      <w:tr w:rsidR="00D27769" w14:paraId="04C2AC45" w14:textId="77777777" w:rsidTr="000731D9">
        <w:trPr>
          <w:cnfStyle w:val="000000010000" w:firstRow="0" w:lastRow="0" w:firstColumn="0" w:lastColumn="0" w:oddVBand="0" w:evenVBand="0" w:oddHBand="0" w:evenHBand="1" w:firstRowFirstColumn="0" w:firstRowLastColumn="0" w:lastRowFirstColumn="0" w:lastRowLastColumn="0"/>
        </w:trPr>
        <w:tc>
          <w:tcPr>
            <w:tcW w:w="457" w:type="pct"/>
          </w:tcPr>
          <w:p w14:paraId="3475E6D7" w14:textId="77777777" w:rsidR="00D27769" w:rsidRPr="00A67D5E" w:rsidRDefault="00D27769" w:rsidP="00760658">
            <w:pPr>
              <w:pStyle w:val="TableTextLeft"/>
            </w:pPr>
            <w:r w:rsidRPr="00A67D5E">
              <w:t>Gippsland Basin</w:t>
            </w:r>
          </w:p>
        </w:tc>
        <w:tc>
          <w:tcPr>
            <w:tcW w:w="527" w:type="pct"/>
          </w:tcPr>
          <w:p w14:paraId="2A259EE6" w14:textId="16C513DB" w:rsidR="00D27769" w:rsidRPr="00C02FF0" w:rsidRDefault="000731D9" w:rsidP="00760658">
            <w:pPr>
              <w:pStyle w:val="TableTextLeft"/>
            </w:pPr>
            <w:r>
              <w:t>East Coast</w:t>
            </w:r>
          </w:p>
        </w:tc>
        <w:tc>
          <w:tcPr>
            <w:tcW w:w="1112" w:type="pct"/>
          </w:tcPr>
          <w:p w14:paraId="004D9A67" w14:textId="77777777" w:rsidR="00D27769" w:rsidRDefault="00D27769" w:rsidP="00760658">
            <w:pPr>
              <w:pStyle w:val="TableTextLeft"/>
            </w:pPr>
            <w:r>
              <w:t>Victorian Transmission System (GasNet); South Gippsland Pipeline; Tasmania Gas Pipeline</w:t>
            </w:r>
          </w:p>
        </w:tc>
        <w:tc>
          <w:tcPr>
            <w:tcW w:w="444" w:type="pct"/>
          </w:tcPr>
          <w:p w14:paraId="3C29016A" w14:textId="77777777" w:rsidR="00D27769" w:rsidRPr="00C90669" w:rsidRDefault="00D27769" w:rsidP="00760658">
            <w:pPr>
              <w:pStyle w:val="TableTextLeft"/>
            </w:pPr>
            <w:r w:rsidRPr="00C90669">
              <w:t>&lt;100</w:t>
            </w:r>
          </w:p>
        </w:tc>
        <w:tc>
          <w:tcPr>
            <w:tcW w:w="627" w:type="pct"/>
          </w:tcPr>
          <w:p w14:paraId="0C28087E" w14:textId="77777777" w:rsidR="00D27769" w:rsidRDefault="00D27769" w:rsidP="00760658">
            <w:pPr>
              <w:pStyle w:val="TableTextLeft"/>
            </w:pPr>
            <w:r>
              <w:t>Longford; Long Island; Patricia/Baleen</w:t>
            </w:r>
          </w:p>
        </w:tc>
        <w:tc>
          <w:tcPr>
            <w:tcW w:w="627" w:type="pct"/>
          </w:tcPr>
          <w:p w14:paraId="76DA887C" w14:textId="77777777" w:rsidR="00D27769" w:rsidRDefault="00D27769" w:rsidP="00760658">
            <w:pPr>
              <w:pStyle w:val="TableTextLeft"/>
            </w:pPr>
            <w:r>
              <w:t>Well serviced</w:t>
            </w:r>
          </w:p>
        </w:tc>
        <w:tc>
          <w:tcPr>
            <w:tcW w:w="627" w:type="pct"/>
          </w:tcPr>
          <w:p w14:paraId="38B2FE86" w14:textId="77777777" w:rsidR="00D27769" w:rsidRDefault="00D27769" w:rsidP="00760658">
            <w:pPr>
              <w:pStyle w:val="TableTextLeft"/>
            </w:pPr>
            <w:r>
              <w:t>Well developed</w:t>
            </w:r>
          </w:p>
        </w:tc>
        <w:tc>
          <w:tcPr>
            <w:tcW w:w="577" w:type="pct"/>
          </w:tcPr>
          <w:p w14:paraId="45DB2FB9" w14:textId="77777777" w:rsidR="00D27769" w:rsidRPr="00C02FF0" w:rsidRDefault="00D27769" w:rsidP="00760658">
            <w:pPr>
              <w:pStyle w:val="TableTextLeft"/>
            </w:pPr>
            <w:r w:rsidRPr="00C02FF0">
              <w:t xml:space="preserve">Minor </w:t>
            </w:r>
          </w:p>
        </w:tc>
      </w:tr>
      <w:tr w:rsidR="00D27769" w14:paraId="0B87D3FF" w14:textId="77777777" w:rsidTr="000731D9">
        <w:trPr>
          <w:cnfStyle w:val="000000100000" w:firstRow="0" w:lastRow="0" w:firstColumn="0" w:lastColumn="0" w:oddVBand="0" w:evenVBand="0" w:oddHBand="1" w:evenHBand="0" w:firstRowFirstColumn="0" w:firstRowLastColumn="0" w:lastRowFirstColumn="0" w:lastRowLastColumn="0"/>
        </w:trPr>
        <w:tc>
          <w:tcPr>
            <w:tcW w:w="457" w:type="pct"/>
          </w:tcPr>
          <w:p w14:paraId="3B57814C" w14:textId="77777777" w:rsidR="00D27769" w:rsidRPr="00A67D5E" w:rsidRDefault="00D27769" w:rsidP="00760658">
            <w:pPr>
              <w:pStyle w:val="TableTextLeft"/>
            </w:pPr>
            <w:r w:rsidRPr="00A67D5E">
              <w:t>Isa Superbasin</w:t>
            </w:r>
          </w:p>
        </w:tc>
        <w:tc>
          <w:tcPr>
            <w:tcW w:w="527" w:type="pct"/>
          </w:tcPr>
          <w:p w14:paraId="27081D39" w14:textId="2197854A" w:rsidR="00D27769" w:rsidRPr="00C02FF0" w:rsidRDefault="000731D9" w:rsidP="00760658">
            <w:pPr>
              <w:pStyle w:val="TableTextLeft"/>
            </w:pPr>
            <w:r>
              <w:t>Northern Territory</w:t>
            </w:r>
          </w:p>
        </w:tc>
        <w:tc>
          <w:tcPr>
            <w:tcW w:w="1112" w:type="pct"/>
          </w:tcPr>
          <w:p w14:paraId="7D55DAA9" w14:textId="77777777" w:rsidR="00D27769" w:rsidRDefault="00D27769" w:rsidP="00760658">
            <w:pPr>
              <w:pStyle w:val="TableTextLeft"/>
            </w:pPr>
            <w:r>
              <w:t>Carpentaria Pipeline</w:t>
            </w:r>
          </w:p>
        </w:tc>
        <w:tc>
          <w:tcPr>
            <w:tcW w:w="444" w:type="pct"/>
          </w:tcPr>
          <w:p w14:paraId="61B2861F" w14:textId="77777777" w:rsidR="00D27769" w:rsidRPr="00C90669" w:rsidRDefault="00D27769" w:rsidP="00760658">
            <w:pPr>
              <w:pStyle w:val="TableTextLeft"/>
            </w:pPr>
            <w:r w:rsidRPr="00C90669">
              <w:t>&gt;200km</w:t>
            </w:r>
          </w:p>
        </w:tc>
        <w:tc>
          <w:tcPr>
            <w:tcW w:w="627" w:type="pct"/>
          </w:tcPr>
          <w:p w14:paraId="18D02F5A" w14:textId="77777777" w:rsidR="00D27769" w:rsidRDefault="00D27769" w:rsidP="00760658">
            <w:pPr>
              <w:pStyle w:val="TableTextLeft"/>
            </w:pPr>
            <w:r>
              <w:t>None</w:t>
            </w:r>
          </w:p>
        </w:tc>
        <w:tc>
          <w:tcPr>
            <w:tcW w:w="627" w:type="pct"/>
          </w:tcPr>
          <w:p w14:paraId="05B54C3E" w14:textId="77777777" w:rsidR="00D27769" w:rsidRDefault="00D27769" w:rsidP="00760658">
            <w:pPr>
              <w:pStyle w:val="TableTextLeft"/>
            </w:pPr>
            <w:r>
              <w:t>Poorly serviced</w:t>
            </w:r>
          </w:p>
        </w:tc>
        <w:tc>
          <w:tcPr>
            <w:tcW w:w="627" w:type="pct"/>
          </w:tcPr>
          <w:p w14:paraId="173A9103" w14:textId="77777777" w:rsidR="00D27769" w:rsidRDefault="00D27769" w:rsidP="00760658">
            <w:pPr>
              <w:pStyle w:val="TableTextLeft"/>
            </w:pPr>
            <w:r>
              <w:t>Undeveloped</w:t>
            </w:r>
          </w:p>
        </w:tc>
        <w:tc>
          <w:tcPr>
            <w:tcW w:w="577" w:type="pct"/>
          </w:tcPr>
          <w:p w14:paraId="3CD9D331" w14:textId="77777777" w:rsidR="00D27769" w:rsidRPr="00C02FF0" w:rsidRDefault="00D27769" w:rsidP="00760658">
            <w:pPr>
              <w:pStyle w:val="TableTextLeft"/>
            </w:pPr>
            <w:r w:rsidRPr="00C02FF0">
              <w:t>Major</w:t>
            </w:r>
          </w:p>
        </w:tc>
      </w:tr>
      <w:tr w:rsidR="00D27769" w14:paraId="11F9B770" w14:textId="77777777" w:rsidTr="000731D9">
        <w:trPr>
          <w:cnfStyle w:val="000000010000" w:firstRow="0" w:lastRow="0" w:firstColumn="0" w:lastColumn="0" w:oddVBand="0" w:evenVBand="0" w:oddHBand="0" w:evenHBand="1" w:firstRowFirstColumn="0" w:firstRowLastColumn="0" w:lastRowFirstColumn="0" w:lastRowLastColumn="0"/>
        </w:trPr>
        <w:tc>
          <w:tcPr>
            <w:tcW w:w="457" w:type="pct"/>
          </w:tcPr>
          <w:p w14:paraId="74DCA544" w14:textId="77777777" w:rsidR="00D27769" w:rsidRPr="00A67D5E" w:rsidRDefault="00D27769" w:rsidP="00760658">
            <w:pPr>
              <w:pStyle w:val="TableTextLeft"/>
            </w:pPr>
            <w:r w:rsidRPr="00A67D5E">
              <w:t>McArthur Basin</w:t>
            </w:r>
          </w:p>
        </w:tc>
        <w:tc>
          <w:tcPr>
            <w:tcW w:w="527" w:type="pct"/>
          </w:tcPr>
          <w:p w14:paraId="4FBD146B" w14:textId="4CE11B5C" w:rsidR="00D27769" w:rsidRPr="00C02FF0" w:rsidRDefault="000731D9" w:rsidP="00760658">
            <w:pPr>
              <w:pStyle w:val="TableTextLeft"/>
            </w:pPr>
            <w:r>
              <w:t>Northern Territory</w:t>
            </w:r>
          </w:p>
        </w:tc>
        <w:tc>
          <w:tcPr>
            <w:tcW w:w="1112" w:type="pct"/>
          </w:tcPr>
          <w:p w14:paraId="23C52A4F" w14:textId="77777777" w:rsidR="00D27769" w:rsidRDefault="00D27769" w:rsidP="00760658">
            <w:pPr>
              <w:pStyle w:val="TableTextLeft"/>
            </w:pPr>
            <w:r>
              <w:t>Daly Waters to McArthur River Pipeline; Amadeus Gas Pipeline</w:t>
            </w:r>
          </w:p>
        </w:tc>
        <w:tc>
          <w:tcPr>
            <w:tcW w:w="444" w:type="pct"/>
          </w:tcPr>
          <w:p w14:paraId="5DF4DF94" w14:textId="77777777" w:rsidR="00D27769" w:rsidRPr="00C90669" w:rsidRDefault="00D27769" w:rsidP="00760658">
            <w:pPr>
              <w:pStyle w:val="TableTextLeft"/>
            </w:pPr>
            <w:r w:rsidRPr="00C90669">
              <w:t>0–200km</w:t>
            </w:r>
          </w:p>
        </w:tc>
        <w:tc>
          <w:tcPr>
            <w:tcW w:w="627" w:type="pct"/>
          </w:tcPr>
          <w:p w14:paraId="16322A87" w14:textId="77777777" w:rsidR="00D27769" w:rsidRDefault="00D27769" w:rsidP="00760658">
            <w:pPr>
              <w:pStyle w:val="TableTextLeft"/>
            </w:pPr>
            <w:r>
              <w:t>None</w:t>
            </w:r>
          </w:p>
        </w:tc>
        <w:tc>
          <w:tcPr>
            <w:tcW w:w="627" w:type="pct"/>
          </w:tcPr>
          <w:p w14:paraId="1D9636E4" w14:textId="77777777" w:rsidR="00D27769" w:rsidRDefault="00D27769" w:rsidP="00760658">
            <w:pPr>
              <w:pStyle w:val="TableTextLeft"/>
            </w:pPr>
            <w:r w:rsidRPr="00581915">
              <w:t>Poorly to moderately well serviced</w:t>
            </w:r>
          </w:p>
        </w:tc>
        <w:tc>
          <w:tcPr>
            <w:tcW w:w="627" w:type="pct"/>
          </w:tcPr>
          <w:p w14:paraId="26C484FF" w14:textId="77777777" w:rsidR="00D27769" w:rsidRDefault="00D27769" w:rsidP="00760658">
            <w:pPr>
              <w:pStyle w:val="TableTextLeft"/>
            </w:pPr>
            <w:r>
              <w:t>Undeveloped</w:t>
            </w:r>
          </w:p>
        </w:tc>
        <w:tc>
          <w:tcPr>
            <w:tcW w:w="577" w:type="pct"/>
          </w:tcPr>
          <w:p w14:paraId="5C2EFF01" w14:textId="77777777" w:rsidR="00D27769" w:rsidRPr="00C02FF0" w:rsidRDefault="00D27769" w:rsidP="00760658">
            <w:pPr>
              <w:pStyle w:val="TableTextLeft"/>
            </w:pPr>
            <w:r w:rsidRPr="00C02FF0">
              <w:t xml:space="preserve">Moderate–major </w:t>
            </w:r>
          </w:p>
        </w:tc>
      </w:tr>
      <w:tr w:rsidR="00D27769" w14:paraId="7DF78D80" w14:textId="77777777" w:rsidTr="000731D9">
        <w:trPr>
          <w:cnfStyle w:val="000000100000" w:firstRow="0" w:lastRow="0" w:firstColumn="0" w:lastColumn="0" w:oddVBand="0" w:evenVBand="0" w:oddHBand="1" w:evenHBand="0" w:firstRowFirstColumn="0" w:firstRowLastColumn="0" w:lastRowFirstColumn="0" w:lastRowLastColumn="0"/>
        </w:trPr>
        <w:tc>
          <w:tcPr>
            <w:tcW w:w="457" w:type="pct"/>
          </w:tcPr>
          <w:p w14:paraId="33FEF0A5" w14:textId="77777777" w:rsidR="00D27769" w:rsidRPr="00A67D5E" w:rsidRDefault="00D27769" w:rsidP="00760658">
            <w:pPr>
              <w:pStyle w:val="TableTextLeft"/>
            </w:pPr>
            <w:r w:rsidRPr="00A67D5E">
              <w:t>Otway Basin</w:t>
            </w:r>
          </w:p>
        </w:tc>
        <w:tc>
          <w:tcPr>
            <w:tcW w:w="527" w:type="pct"/>
          </w:tcPr>
          <w:p w14:paraId="5662C32E" w14:textId="72E36A17" w:rsidR="00D27769" w:rsidRPr="00C02FF0" w:rsidRDefault="000731D9" w:rsidP="00760658">
            <w:pPr>
              <w:pStyle w:val="TableTextLeft"/>
            </w:pPr>
            <w:r>
              <w:t>East Coast</w:t>
            </w:r>
          </w:p>
        </w:tc>
        <w:tc>
          <w:tcPr>
            <w:tcW w:w="1112" w:type="pct"/>
          </w:tcPr>
          <w:p w14:paraId="25E6A25D" w14:textId="77777777" w:rsidR="00D27769" w:rsidRDefault="00D27769" w:rsidP="00760658">
            <w:pPr>
              <w:pStyle w:val="TableTextLeft"/>
            </w:pPr>
            <w:r>
              <w:t>SEA Gas Pipeline (Port Campbell to Adelaide)</w:t>
            </w:r>
          </w:p>
        </w:tc>
        <w:tc>
          <w:tcPr>
            <w:tcW w:w="444" w:type="pct"/>
          </w:tcPr>
          <w:p w14:paraId="1BEF9DC8" w14:textId="77777777" w:rsidR="00D27769" w:rsidRPr="00C90669" w:rsidRDefault="00D27769" w:rsidP="00760658">
            <w:pPr>
              <w:pStyle w:val="TableTextLeft"/>
            </w:pPr>
            <w:r w:rsidRPr="00C90669">
              <w:t>&lt;100</w:t>
            </w:r>
          </w:p>
        </w:tc>
        <w:tc>
          <w:tcPr>
            <w:tcW w:w="627" w:type="pct"/>
          </w:tcPr>
          <w:p w14:paraId="5284CCE2" w14:textId="6F754356" w:rsidR="00D27769" w:rsidRDefault="00D27769" w:rsidP="00760658">
            <w:pPr>
              <w:pStyle w:val="TableTextLeft"/>
            </w:pPr>
            <w:r>
              <w:t>Katnook; Otway; Heytesbury; Io</w:t>
            </w:r>
            <w:r w:rsidR="00AF2707">
              <w:t>na</w:t>
            </w:r>
            <w:r>
              <w:t>; Minerva</w:t>
            </w:r>
          </w:p>
        </w:tc>
        <w:tc>
          <w:tcPr>
            <w:tcW w:w="627" w:type="pct"/>
          </w:tcPr>
          <w:p w14:paraId="4BB4E207" w14:textId="77777777" w:rsidR="00D27769" w:rsidRDefault="00D27769" w:rsidP="00760658">
            <w:pPr>
              <w:pStyle w:val="TableTextLeft"/>
            </w:pPr>
            <w:r>
              <w:t>Well serviced</w:t>
            </w:r>
          </w:p>
        </w:tc>
        <w:tc>
          <w:tcPr>
            <w:tcW w:w="627" w:type="pct"/>
          </w:tcPr>
          <w:p w14:paraId="754FFDE8" w14:textId="77777777" w:rsidR="00D27769" w:rsidRDefault="00D27769" w:rsidP="00760658">
            <w:pPr>
              <w:pStyle w:val="TableTextLeft"/>
            </w:pPr>
            <w:r>
              <w:t>Well developed</w:t>
            </w:r>
          </w:p>
        </w:tc>
        <w:tc>
          <w:tcPr>
            <w:tcW w:w="577" w:type="pct"/>
          </w:tcPr>
          <w:p w14:paraId="18CCA58B" w14:textId="77777777" w:rsidR="00D27769" w:rsidRPr="00C02FF0" w:rsidRDefault="00D27769" w:rsidP="00760658">
            <w:pPr>
              <w:pStyle w:val="TableTextLeft"/>
            </w:pPr>
            <w:r w:rsidRPr="00C02FF0">
              <w:t>Minor</w:t>
            </w:r>
          </w:p>
        </w:tc>
      </w:tr>
    </w:tbl>
    <w:p w14:paraId="1CFC56B2" w14:textId="77777777" w:rsidR="00D27769" w:rsidRPr="00FE7F64" w:rsidRDefault="00D27769" w:rsidP="00174635">
      <w:pPr>
        <w:pStyle w:val="BodyText"/>
        <w:sectPr w:rsidR="00D27769" w:rsidRPr="00FE7F64" w:rsidSect="005E0FA1">
          <w:pgSz w:w="16840" w:h="11907" w:orient="landscape" w:code="9"/>
          <w:pgMar w:top="1418" w:right="1418" w:bottom="1418" w:left="1418" w:header="510" w:footer="624" w:gutter="0"/>
          <w:cols w:space="720"/>
          <w:docGrid w:linePitch="326"/>
        </w:sectPr>
      </w:pPr>
    </w:p>
    <w:p w14:paraId="1796B36C" w14:textId="77777777" w:rsidR="00D27769" w:rsidRPr="00E8799B" w:rsidRDefault="00D27769" w:rsidP="00D27769">
      <w:pPr>
        <w:pStyle w:val="Heading4"/>
      </w:pPr>
      <w:r w:rsidRPr="00E8799B">
        <w:t>Prioritisation based on regulatory environment</w:t>
      </w:r>
    </w:p>
    <w:p w14:paraId="0B6DF806" w14:textId="3CA84311" w:rsidR="00D27769" w:rsidRDefault="00D27769" w:rsidP="00174635">
      <w:pPr>
        <w:pStyle w:val="BodyText"/>
      </w:pPr>
      <w:r w:rsidRPr="00B8117F">
        <w:t xml:space="preserve">Policy decisions made by governments and regulators affect the level and diversity of supply in the </w:t>
      </w:r>
      <w:r w:rsidR="00432D5D">
        <w:t>East Coast Gas Market</w:t>
      </w:r>
      <w:r w:rsidRPr="00B8117F">
        <w:t>.</w:t>
      </w:r>
      <w:r>
        <w:t xml:space="preserve"> All Australian states and territories have stringent regulatory frameworks in place to manage impacts of petroleum exploration and production. </w:t>
      </w:r>
    </w:p>
    <w:p w14:paraId="14D0C417" w14:textId="11935E69" w:rsidR="00D27769" w:rsidRPr="003F6AB9" w:rsidRDefault="00D27769" w:rsidP="00174635">
      <w:pPr>
        <w:pStyle w:val="BodyText"/>
      </w:pPr>
      <w:r w:rsidRPr="003F6AB9">
        <w:t>There are moratoria and other regulatory restrictions in New South Wales, Victoria and Tasmania preventing or impeding onshore gas exploration and development</w:t>
      </w:r>
      <w:r w:rsidR="001750A9">
        <w:t>.</w:t>
      </w:r>
      <w:r w:rsidR="001750A9" w:rsidRPr="001750A9">
        <w:t xml:space="preserve"> In the Northern Territory, a moratorium is in place while consideration is being given to the recommendations on an inquiry into hydraulic fracturing.</w:t>
      </w:r>
      <w:r>
        <w:t xml:space="preserve"> Only South Australia and Queensland have no current restrictions for exploration and development. Details of these differing regulatory environments by state and territory discussed in the basin audits and are summarised below in </w:t>
      </w:r>
      <w:r>
        <w:fldChar w:fldCharType="begin"/>
      </w:r>
      <w:r>
        <w:instrText xml:space="preserve"> REF _Ref489267923 \h </w:instrText>
      </w:r>
      <w:r>
        <w:fldChar w:fldCharType="separate"/>
      </w:r>
      <w:r w:rsidR="004A16F5" w:rsidRPr="00AB6721">
        <w:t xml:space="preserve">Table </w:t>
      </w:r>
      <w:r w:rsidR="004A16F5">
        <w:rPr>
          <w:noProof/>
        </w:rPr>
        <w:t>5</w:t>
      </w:r>
      <w:r w:rsidR="004A16F5" w:rsidRPr="00AB6721">
        <w:noBreakHyphen/>
      </w:r>
      <w:r w:rsidR="004A16F5">
        <w:rPr>
          <w:noProof/>
        </w:rPr>
        <w:t>8</w:t>
      </w:r>
      <w:r>
        <w:fldChar w:fldCharType="end"/>
      </w:r>
      <w:r>
        <w:t>.</w:t>
      </w:r>
    </w:p>
    <w:p w14:paraId="27FF6BE4" w14:textId="10FE29B3" w:rsidR="00D27769" w:rsidRPr="00AB6721" w:rsidRDefault="00D27769" w:rsidP="00924E2B">
      <w:pPr>
        <w:pStyle w:val="Caption"/>
      </w:pPr>
      <w:bookmarkStart w:id="122" w:name="_Ref489267923"/>
      <w:bookmarkStart w:id="123" w:name="_Toc517101462"/>
      <w:r w:rsidRPr="00AB6721">
        <w:t xml:space="preserve">Table </w:t>
      </w:r>
      <w:fldSimple w:instr=" STYLEREF 1 \s ">
        <w:r w:rsidR="004A16F5">
          <w:rPr>
            <w:noProof/>
          </w:rPr>
          <w:t>5</w:t>
        </w:r>
      </w:fldSimple>
      <w:r w:rsidRPr="00AB6721">
        <w:noBreakHyphen/>
      </w:r>
      <w:fldSimple w:instr=" SEQ Table \* ARABIC \s 1 ">
        <w:r w:rsidR="004A16F5">
          <w:rPr>
            <w:noProof/>
          </w:rPr>
          <w:t>8</w:t>
        </w:r>
      </w:fldSimple>
      <w:bookmarkEnd w:id="122"/>
      <w:r w:rsidRPr="00AB6721">
        <w:t xml:space="preserve"> Summary of moratoria and other regulatory restrictions preventing or impeding onshore </w:t>
      </w:r>
      <w:r>
        <w:t xml:space="preserve">shale and/or </w:t>
      </w:r>
      <w:r w:rsidRPr="00AB6721">
        <w:t xml:space="preserve">gas exploration and development by states connected to the </w:t>
      </w:r>
      <w:r w:rsidR="00063CD9">
        <w:t xml:space="preserve">East Coast </w:t>
      </w:r>
      <w:r w:rsidRPr="00AB6721">
        <w:t xml:space="preserve">and </w:t>
      </w:r>
      <w:r>
        <w:t>N</w:t>
      </w:r>
      <w:r w:rsidRPr="00AB6721">
        <w:t>orthern</w:t>
      </w:r>
      <w:r>
        <w:t xml:space="preserve"> Territory </w:t>
      </w:r>
      <w:r w:rsidRPr="00AB6721">
        <w:t>gas markets.</w:t>
      </w:r>
      <w:bookmarkEnd w:id="123"/>
    </w:p>
    <w:tbl>
      <w:tblPr>
        <w:tblStyle w:val="TableBAHeaderRow"/>
        <w:tblW w:w="5000" w:type="pct"/>
        <w:tblLook w:val="04A0" w:firstRow="1" w:lastRow="0" w:firstColumn="1" w:lastColumn="0" w:noHBand="0" w:noVBand="1"/>
      </w:tblPr>
      <w:tblGrid>
        <w:gridCol w:w="1352"/>
        <w:gridCol w:w="3219"/>
        <w:gridCol w:w="2685"/>
        <w:gridCol w:w="2383"/>
      </w:tblGrid>
      <w:tr w:rsidR="00D27769" w14:paraId="36C587A6" w14:textId="77777777" w:rsidTr="007623D9">
        <w:trPr>
          <w:cnfStyle w:val="100000000000" w:firstRow="1" w:lastRow="0" w:firstColumn="0" w:lastColumn="0" w:oddVBand="0" w:evenVBand="0" w:oddHBand="0" w:evenHBand="0" w:firstRowFirstColumn="0" w:firstRowLastColumn="0" w:lastRowFirstColumn="0" w:lastRowLastColumn="0"/>
        </w:trPr>
        <w:tc>
          <w:tcPr>
            <w:tcW w:w="701" w:type="pct"/>
          </w:tcPr>
          <w:p w14:paraId="0CDAD2E3" w14:textId="77777777" w:rsidR="00D27769" w:rsidRPr="008454B0" w:rsidRDefault="00D27769" w:rsidP="00760658">
            <w:pPr>
              <w:pStyle w:val="BodyText"/>
              <w:rPr>
                <w:color w:val="FFFFFF" w:themeColor="background1"/>
              </w:rPr>
            </w:pPr>
            <w:r w:rsidRPr="008454B0">
              <w:rPr>
                <w:color w:val="FFFFFF" w:themeColor="background1"/>
              </w:rPr>
              <w:t>               </w:t>
            </w:r>
          </w:p>
        </w:tc>
        <w:tc>
          <w:tcPr>
            <w:tcW w:w="1670" w:type="pct"/>
          </w:tcPr>
          <w:p w14:paraId="41D905C3" w14:textId="77777777" w:rsidR="00D27769" w:rsidRPr="008454B0" w:rsidRDefault="00D27769" w:rsidP="00760658">
            <w:pPr>
              <w:pStyle w:val="BodyText"/>
              <w:rPr>
                <w:color w:val="FFFFFF" w:themeColor="background1"/>
              </w:rPr>
            </w:pPr>
            <w:r w:rsidRPr="008454B0">
              <w:rPr>
                <w:color w:val="FFFFFF" w:themeColor="background1"/>
              </w:rPr>
              <w:t>                                           </w:t>
            </w:r>
          </w:p>
        </w:tc>
        <w:tc>
          <w:tcPr>
            <w:tcW w:w="1393" w:type="pct"/>
          </w:tcPr>
          <w:p w14:paraId="3DBEE5A1" w14:textId="77777777" w:rsidR="00D27769" w:rsidRPr="008454B0" w:rsidRDefault="00D27769" w:rsidP="00760658">
            <w:pPr>
              <w:pStyle w:val="BodyText"/>
              <w:rPr>
                <w:color w:val="FFFFFF" w:themeColor="background1"/>
              </w:rPr>
            </w:pPr>
            <w:r w:rsidRPr="008454B0">
              <w:rPr>
                <w:color w:val="FFFFFF" w:themeColor="background1"/>
              </w:rPr>
              <w:t>         </w:t>
            </w:r>
          </w:p>
        </w:tc>
        <w:tc>
          <w:tcPr>
            <w:tcW w:w="1236" w:type="pct"/>
          </w:tcPr>
          <w:p w14:paraId="5F7C1885" w14:textId="77777777" w:rsidR="00D27769" w:rsidRPr="008454B0" w:rsidRDefault="00D27769" w:rsidP="00760658">
            <w:pPr>
              <w:pStyle w:val="BodyText"/>
              <w:rPr>
                <w:color w:val="FFFFFF" w:themeColor="background1"/>
              </w:rPr>
            </w:pPr>
            <w:r w:rsidRPr="008454B0">
              <w:rPr>
                <w:color w:val="FFFFFF" w:themeColor="background1"/>
              </w:rPr>
              <w:t>          </w:t>
            </w:r>
          </w:p>
        </w:tc>
      </w:tr>
      <w:tr w:rsidR="00D27769" w14:paraId="27731CC2" w14:textId="77777777" w:rsidTr="007623D9">
        <w:trPr>
          <w:cnfStyle w:val="000000100000" w:firstRow="0" w:lastRow="0" w:firstColumn="0" w:lastColumn="0" w:oddVBand="0" w:evenVBand="0" w:oddHBand="1" w:evenHBand="0" w:firstRowFirstColumn="0" w:firstRowLastColumn="0" w:lastRowFirstColumn="0" w:lastRowLastColumn="0"/>
        </w:trPr>
        <w:tc>
          <w:tcPr>
            <w:tcW w:w="701" w:type="pct"/>
          </w:tcPr>
          <w:p w14:paraId="52F1C345" w14:textId="77777777" w:rsidR="00D27769" w:rsidRDefault="00D27769" w:rsidP="005E0FA1">
            <w:pPr>
              <w:pStyle w:val="TableText"/>
            </w:pPr>
            <w:r>
              <w:t>NT</w:t>
            </w:r>
          </w:p>
        </w:tc>
        <w:tc>
          <w:tcPr>
            <w:tcW w:w="1670" w:type="pct"/>
          </w:tcPr>
          <w:p w14:paraId="1FDD1159" w14:textId="7D5ED63D" w:rsidR="00D27769" w:rsidRDefault="00D27769" w:rsidP="005E0FA1">
            <w:pPr>
              <w:pStyle w:val="TableText"/>
            </w:pPr>
            <w:r>
              <w:t xml:space="preserve">Temporary moratorium on </w:t>
            </w:r>
            <w:r w:rsidRPr="005613DF">
              <w:t>hydraulic fracturing</w:t>
            </w:r>
            <w:r w:rsidR="00C94EE9">
              <w:t xml:space="preserve"> lifted for 51% of the NT in April 2018</w:t>
            </w:r>
          </w:p>
        </w:tc>
        <w:tc>
          <w:tcPr>
            <w:tcW w:w="1393" w:type="pct"/>
          </w:tcPr>
          <w:p w14:paraId="7EEF50A8" w14:textId="7E186838" w:rsidR="00D27769" w:rsidRDefault="00C94EE9" w:rsidP="005E0FA1">
            <w:pPr>
              <w:pStyle w:val="TableText"/>
            </w:pPr>
            <w:r>
              <w:t>April 2018</w:t>
            </w:r>
          </w:p>
        </w:tc>
        <w:tc>
          <w:tcPr>
            <w:tcW w:w="1236" w:type="pct"/>
          </w:tcPr>
          <w:p w14:paraId="3DF62841" w14:textId="096331DF" w:rsidR="00D27769" w:rsidRPr="001B1318" w:rsidRDefault="00FE6BB2" w:rsidP="00C6378C">
            <w:pPr>
              <w:pStyle w:val="TableText"/>
            </w:pPr>
            <w:r w:rsidRPr="000E4EFC">
              <w:t>Scientific Inquiry into Hydraulic Fracturing in the Northern Territory</w:t>
            </w:r>
            <w:r>
              <w:t xml:space="preserve"> (</w:t>
            </w:r>
            <w:r w:rsidR="00C6378C" w:rsidRPr="003E2015">
              <w:t>201</w:t>
            </w:r>
            <w:r w:rsidR="00C6378C">
              <w:t>8</w:t>
            </w:r>
            <w:r>
              <w:t>)</w:t>
            </w:r>
          </w:p>
        </w:tc>
      </w:tr>
      <w:tr w:rsidR="00D27769" w14:paraId="147FDAD7" w14:textId="77777777" w:rsidTr="007623D9">
        <w:trPr>
          <w:cnfStyle w:val="000000010000" w:firstRow="0" w:lastRow="0" w:firstColumn="0" w:lastColumn="0" w:oddVBand="0" w:evenVBand="0" w:oddHBand="0" w:evenHBand="1" w:firstRowFirstColumn="0" w:firstRowLastColumn="0" w:lastRowFirstColumn="0" w:lastRowLastColumn="0"/>
        </w:trPr>
        <w:tc>
          <w:tcPr>
            <w:tcW w:w="701" w:type="pct"/>
          </w:tcPr>
          <w:p w14:paraId="0622FB79" w14:textId="77777777" w:rsidR="00D27769" w:rsidRDefault="00D27769" w:rsidP="005E0FA1">
            <w:pPr>
              <w:pStyle w:val="TableText"/>
            </w:pPr>
            <w:r>
              <w:t>NSW</w:t>
            </w:r>
          </w:p>
        </w:tc>
        <w:tc>
          <w:tcPr>
            <w:tcW w:w="1670" w:type="pct"/>
          </w:tcPr>
          <w:p w14:paraId="0715FEE4" w14:textId="77777777" w:rsidR="00D27769" w:rsidRDefault="00D27769" w:rsidP="005E0FA1">
            <w:pPr>
              <w:pStyle w:val="TableText"/>
            </w:pPr>
            <w:r>
              <w:t xml:space="preserve">Restrictions of </w:t>
            </w:r>
            <w:r w:rsidRPr="005613DF">
              <w:t>hydraulic fracturing</w:t>
            </w:r>
            <w:r>
              <w:t xml:space="preserve"> activity</w:t>
            </w:r>
          </w:p>
        </w:tc>
        <w:tc>
          <w:tcPr>
            <w:tcW w:w="1393" w:type="pct"/>
          </w:tcPr>
          <w:p w14:paraId="71E03190" w14:textId="77777777" w:rsidR="00D27769" w:rsidRDefault="00D27769" w:rsidP="005E0FA1">
            <w:pPr>
              <w:pStyle w:val="TableText"/>
            </w:pPr>
            <w:r>
              <w:t>On-going</w:t>
            </w:r>
          </w:p>
        </w:tc>
        <w:tc>
          <w:tcPr>
            <w:tcW w:w="1236" w:type="pct"/>
          </w:tcPr>
          <w:p w14:paraId="40DA5F1E" w14:textId="2385C139" w:rsidR="00D27769" w:rsidRPr="001B1318" w:rsidRDefault="00D27769" w:rsidP="005E0FA1">
            <w:pPr>
              <w:pStyle w:val="TableText"/>
            </w:pPr>
            <w:r>
              <w:t>NSW Government (</w:t>
            </w:r>
            <w:r w:rsidRPr="00061593">
              <w:t>2012</w:t>
            </w:r>
            <w:r w:rsidR="002462CA">
              <w:t>a, b</w:t>
            </w:r>
            <w:r>
              <w:t>)</w:t>
            </w:r>
          </w:p>
        </w:tc>
      </w:tr>
      <w:tr w:rsidR="00D27769" w14:paraId="2FC40C2D" w14:textId="77777777" w:rsidTr="007623D9">
        <w:trPr>
          <w:cnfStyle w:val="000000100000" w:firstRow="0" w:lastRow="0" w:firstColumn="0" w:lastColumn="0" w:oddVBand="0" w:evenVBand="0" w:oddHBand="1" w:evenHBand="0" w:firstRowFirstColumn="0" w:firstRowLastColumn="0" w:lastRowFirstColumn="0" w:lastRowLastColumn="0"/>
        </w:trPr>
        <w:tc>
          <w:tcPr>
            <w:tcW w:w="701" w:type="pct"/>
          </w:tcPr>
          <w:p w14:paraId="07FB34E3" w14:textId="77777777" w:rsidR="00D27769" w:rsidRDefault="00D27769" w:rsidP="005E0FA1">
            <w:pPr>
              <w:pStyle w:val="TableText"/>
            </w:pPr>
            <w:r>
              <w:t>QLD</w:t>
            </w:r>
          </w:p>
        </w:tc>
        <w:tc>
          <w:tcPr>
            <w:tcW w:w="1670" w:type="pct"/>
          </w:tcPr>
          <w:p w14:paraId="4B28A694" w14:textId="77777777" w:rsidR="00D27769" w:rsidRDefault="00D27769" w:rsidP="005E0FA1">
            <w:pPr>
              <w:pStyle w:val="TableText"/>
            </w:pPr>
            <w:r>
              <w:t>No restrictions</w:t>
            </w:r>
          </w:p>
        </w:tc>
        <w:tc>
          <w:tcPr>
            <w:tcW w:w="1393" w:type="pct"/>
          </w:tcPr>
          <w:p w14:paraId="718B6BDB" w14:textId="77777777" w:rsidR="00D27769" w:rsidRDefault="00D27769" w:rsidP="005E0FA1">
            <w:pPr>
              <w:pStyle w:val="TableText"/>
            </w:pPr>
          </w:p>
        </w:tc>
        <w:tc>
          <w:tcPr>
            <w:tcW w:w="1236" w:type="pct"/>
          </w:tcPr>
          <w:p w14:paraId="0CB5A693" w14:textId="77777777" w:rsidR="00D27769" w:rsidRPr="001B1318" w:rsidRDefault="00D27769" w:rsidP="005E0FA1">
            <w:pPr>
              <w:pStyle w:val="TableText"/>
            </w:pPr>
          </w:p>
        </w:tc>
      </w:tr>
      <w:tr w:rsidR="00D27769" w14:paraId="27DEE931" w14:textId="77777777" w:rsidTr="007623D9">
        <w:trPr>
          <w:cnfStyle w:val="000000010000" w:firstRow="0" w:lastRow="0" w:firstColumn="0" w:lastColumn="0" w:oddVBand="0" w:evenVBand="0" w:oddHBand="0" w:evenHBand="1" w:firstRowFirstColumn="0" w:firstRowLastColumn="0" w:lastRowFirstColumn="0" w:lastRowLastColumn="0"/>
        </w:trPr>
        <w:tc>
          <w:tcPr>
            <w:tcW w:w="701" w:type="pct"/>
          </w:tcPr>
          <w:p w14:paraId="0F13EBB9" w14:textId="77777777" w:rsidR="00D27769" w:rsidRDefault="00D27769" w:rsidP="005E0FA1">
            <w:pPr>
              <w:pStyle w:val="TableText"/>
            </w:pPr>
            <w:r>
              <w:t>SA</w:t>
            </w:r>
          </w:p>
        </w:tc>
        <w:tc>
          <w:tcPr>
            <w:tcW w:w="1670" w:type="pct"/>
          </w:tcPr>
          <w:p w14:paraId="0A46D5BA" w14:textId="3D7CDF59" w:rsidR="00D27769" w:rsidRDefault="00AC01A1" w:rsidP="005E0FA1">
            <w:pPr>
              <w:pStyle w:val="TableText"/>
            </w:pPr>
            <w:r>
              <w:t>10 Year Moratorium on hydraulic fracturing in south-east SA</w:t>
            </w:r>
          </w:p>
        </w:tc>
        <w:tc>
          <w:tcPr>
            <w:tcW w:w="1393" w:type="pct"/>
          </w:tcPr>
          <w:p w14:paraId="5A81F8EA" w14:textId="1A5001AD" w:rsidR="00D27769" w:rsidRDefault="00AC01A1" w:rsidP="005E0FA1">
            <w:pPr>
              <w:pStyle w:val="TableText"/>
            </w:pPr>
            <w:r>
              <w:t>Until 2028</w:t>
            </w:r>
          </w:p>
        </w:tc>
        <w:tc>
          <w:tcPr>
            <w:tcW w:w="1236" w:type="pct"/>
          </w:tcPr>
          <w:p w14:paraId="473719A0" w14:textId="77777777" w:rsidR="00D27769" w:rsidRPr="001B1318" w:rsidRDefault="00D27769" w:rsidP="005E0FA1">
            <w:pPr>
              <w:pStyle w:val="TableText"/>
            </w:pPr>
            <w:r>
              <w:t>DPCSA (2017b)</w:t>
            </w:r>
          </w:p>
        </w:tc>
      </w:tr>
      <w:tr w:rsidR="00D27769" w14:paraId="61E3CE64" w14:textId="77777777" w:rsidTr="007623D9">
        <w:trPr>
          <w:cnfStyle w:val="000000100000" w:firstRow="0" w:lastRow="0" w:firstColumn="0" w:lastColumn="0" w:oddVBand="0" w:evenVBand="0" w:oddHBand="1" w:evenHBand="0" w:firstRowFirstColumn="0" w:firstRowLastColumn="0" w:lastRowFirstColumn="0" w:lastRowLastColumn="0"/>
        </w:trPr>
        <w:tc>
          <w:tcPr>
            <w:tcW w:w="701" w:type="pct"/>
          </w:tcPr>
          <w:p w14:paraId="2DA4BD04" w14:textId="77777777" w:rsidR="00D27769" w:rsidRDefault="00D27769" w:rsidP="005E0FA1">
            <w:pPr>
              <w:pStyle w:val="TableText"/>
            </w:pPr>
            <w:r>
              <w:t>TAS</w:t>
            </w:r>
          </w:p>
        </w:tc>
        <w:tc>
          <w:tcPr>
            <w:tcW w:w="1670" w:type="pct"/>
          </w:tcPr>
          <w:p w14:paraId="23F40F7B" w14:textId="77777777" w:rsidR="00D27769" w:rsidRDefault="00D27769" w:rsidP="005E0FA1">
            <w:pPr>
              <w:pStyle w:val="TableText"/>
            </w:pPr>
            <w:r>
              <w:t>Moratorium on hydraulic</w:t>
            </w:r>
            <w:r w:rsidRPr="003F6AB9">
              <w:t xml:space="preserve"> frac</w:t>
            </w:r>
            <w:r>
              <w:t>turing</w:t>
            </w:r>
          </w:p>
        </w:tc>
        <w:tc>
          <w:tcPr>
            <w:tcW w:w="1393" w:type="pct"/>
          </w:tcPr>
          <w:p w14:paraId="6502B108" w14:textId="77777777" w:rsidR="00D27769" w:rsidRDefault="00D27769" w:rsidP="005E0FA1">
            <w:pPr>
              <w:pStyle w:val="TableText"/>
            </w:pPr>
            <w:r>
              <w:t>Until 2020</w:t>
            </w:r>
          </w:p>
        </w:tc>
        <w:tc>
          <w:tcPr>
            <w:tcW w:w="1236" w:type="pct"/>
          </w:tcPr>
          <w:p w14:paraId="334E6775" w14:textId="77777777" w:rsidR="00D27769" w:rsidRPr="001B1318" w:rsidRDefault="00D27769" w:rsidP="005E0FA1">
            <w:pPr>
              <w:pStyle w:val="TableText"/>
            </w:pPr>
            <w:r w:rsidRPr="001B1318">
              <w:t>Tasmanian Government (2015)</w:t>
            </w:r>
          </w:p>
        </w:tc>
      </w:tr>
      <w:tr w:rsidR="00D27769" w14:paraId="15BBC20F" w14:textId="77777777" w:rsidTr="007623D9">
        <w:trPr>
          <w:cnfStyle w:val="000000010000" w:firstRow="0" w:lastRow="0" w:firstColumn="0" w:lastColumn="0" w:oddVBand="0" w:evenVBand="0" w:oddHBand="0" w:evenHBand="1" w:firstRowFirstColumn="0" w:firstRowLastColumn="0" w:lastRowFirstColumn="0" w:lastRowLastColumn="0"/>
        </w:trPr>
        <w:tc>
          <w:tcPr>
            <w:tcW w:w="701" w:type="pct"/>
          </w:tcPr>
          <w:p w14:paraId="7B71B8D4" w14:textId="77777777" w:rsidR="00D27769" w:rsidRDefault="00D27769" w:rsidP="005E0FA1">
            <w:pPr>
              <w:pStyle w:val="TableText"/>
            </w:pPr>
            <w:r>
              <w:t>VIC</w:t>
            </w:r>
          </w:p>
        </w:tc>
        <w:tc>
          <w:tcPr>
            <w:tcW w:w="1670" w:type="pct"/>
          </w:tcPr>
          <w:p w14:paraId="54CC8970" w14:textId="77777777" w:rsidR="00D27769" w:rsidRDefault="00D27769" w:rsidP="005E0FA1">
            <w:pPr>
              <w:pStyle w:val="TableText"/>
            </w:pPr>
            <w:r>
              <w:t xml:space="preserve">Permanent ban on </w:t>
            </w:r>
            <w:r w:rsidRPr="005613DF">
              <w:t>hydraulic fracturing</w:t>
            </w:r>
          </w:p>
        </w:tc>
        <w:tc>
          <w:tcPr>
            <w:tcW w:w="1393" w:type="pct"/>
          </w:tcPr>
          <w:p w14:paraId="45C1613C" w14:textId="77777777" w:rsidR="00D27769" w:rsidRDefault="00D27769" w:rsidP="005E0FA1">
            <w:pPr>
              <w:pStyle w:val="TableText"/>
            </w:pPr>
            <w:r>
              <w:t>On-going</w:t>
            </w:r>
          </w:p>
        </w:tc>
        <w:tc>
          <w:tcPr>
            <w:tcW w:w="1236" w:type="pct"/>
          </w:tcPr>
          <w:p w14:paraId="26BC0294" w14:textId="77777777" w:rsidR="00D27769" w:rsidRPr="001B1318" w:rsidRDefault="00D27769" w:rsidP="005E0FA1">
            <w:pPr>
              <w:pStyle w:val="TableText"/>
            </w:pPr>
            <w:r w:rsidRPr="00487C1E">
              <w:t>Victorian Legislative Council: Environment and Planning Committee</w:t>
            </w:r>
            <w:r>
              <w:t xml:space="preserve"> (</w:t>
            </w:r>
            <w:r w:rsidRPr="00487C1E">
              <w:t>2015</w:t>
            </w:r>
            <w:r>
              <w:t xml:space="preserve">); </w:t>
            </w:r>
            <w:r w:rsidRPr="001B1318">
              <w:t>Victorian Government (2017)</w:t>
            </w:r>
          </w:p>
        </w:tc>
      </w:tr>
    </w:tbl>
    <w:p w14:paraId="5F106834" w14:textId="77777777" w:rsidR="00D27769" w:rsidRPr="00E8799B" w:rsidRDefault="00D27769" w:rsidP="00D27769">
      <w:pPr>
        <w:pStyle w:val="Heading3"/>
      </w:pPr>
      <w:bookmarkStart w:id="124" w:name="_Toc493853052"/>
      <w:bookmarkStart w:id="125" w:name="_Toc493853053"/>
      <w:bookmarkStart w:id="126" w:name="_Toc493853054"/>
      <w:bookmarkStart w:id="127" w:name="_Toc493853055"/>
      <w:bookmarkStart w:id="128" w:name="_Toc493853056"/>
      <w:bookmarkStart w:id="129" w:name="_Toc493853057"/>
      <w:bookmarkStart w:id="130" w:name="_Toc493853058"/>
      <w:bookmarkStart w:id="131" w:name="_Toc493853059"/>
      <w:bookmarkStart w:id="132" w:name="_Toc493853060"/>
      <w:bookmarkStart w:id="133" w:name="_Toc488838458"/>
      <w:bookmarkStart w:id="134" w:name="_Toc494277020"/>
      <w:bookmarkStart w:id="135" w:name="_Toc517101431"/>
      <w:bookmarkEnd w:id="124"/>
      <w:bookmarkEnd w:id="125"/>
      <w:bookmarkEnd w:id="126"/>
      <w:bookmarkEnd w:id="127"/>
      <w:bookmarkEnd w:id="128"/>
      <w:bookmarkEnd w:id="129"/>
      <w:bookmarkEnd w:id="130"/>
      <w:bookmarkEnd w:id="131"/>
      <w:bookmarkEnd w:id="132"/>
      <w:r w:rsidRPr="00E8799B">
        <w:t xml:space="preserve">Groundwater, surface water, </w:t>
      </w:r>
      <w:bookmarkEnd w:id="133"/>
      <w:r w:rsidRPr="00E8799B">
        <w:t>environmental and social considerations</w:t>
      </w:r>
      <w:bookmarkEnd w:id="134"/>
      <w:bookmarkEnd w:id="135"/>
    </w:p>
    <w:p w14:paraId="137A79EC" w14:textId="77777777" w:rsidR="00D27769" w:rsidRPr="001921A0" w:rsidRDefault="00D27769" w:rsidP="00C32947">
      <w:pPr>
        <w:pStyle w:val="BodyText"/>
      </w:pPr>
      <w:r>
        <w:t xml:space="preserve">The purpose of this section is to present a brief summary of the groundwater, surface water, environmental and social considerations to assist in the basin selection for assessment in Stage 2. It is not to rank the basins, which would require subjective values to be placed on items (National parks, for example) that have a diverse range of values attached to them across the community. </w:t>
      </w:r>
    </w:p>
    <w:p w14:paraId="5CA3FCD8" w14:textId="77777777" w:rsidR="00D27769" w:rsidRPr="00E8799B" w:rsidRDefault="00D27769" w:rsidP="00D27769">
      <w:pPr>
        <w:pStyle w:val="Heading4"/>
      </w:pPr>
      <w:r w:rsidRPr="00E8799B">
        <w:t>National-scale data summary</w:t>
      </w:r>
    </w:p>
    <w:p w14:paraId="1A27C775" w14:textId="4FE48D20" w:rsidR="00D27769" w:rsidRPr="00D874FD" w:rsidRDefault="00D27769" w:rsidP="00C32947">
      <w:pPr>
        <w:pStyle w:val="BodyText"/>
      </w:pPr>
      <w:r>
        <w:fldChar w:fldCharType="begin"/>
      </w:r>
      <w:r>
        <w:instrText xml:space="preserve"> REF _Ref493775234 \h </w:instrText>
      </w:r>
      <w:r>
        <w:fldChar w:fldCharType="separate"/>
      </w:r>
      <w:r w:rsidR="004A16F5" w:rsidRPr="00AB6721">
        <w:t xml:space="preserve">Table </w:t>
      </w:r>
      <w:r w:rsidR="004A16F5">
        <w:rPr>
          <w:noProof/>
        </w:rPr>
        <w:t>5</w:t>
      </w:r>
      <w:r w:rsidR="004A16F5" w:rsidRPr="00AB6721">
        <w:noBreakHyphen/>
      </w:r>
      <w:r w:rsidR="004A16F5">
        <w:rPr>
          <w:noProof/>
        </w:rPr>
        <w:t>9</w:t>
      </w:r>
      <w:r>
        <w:fldChar w:fldCharType="end"/>
      </w:r>
      <w:r>
        <w:t xml:space="preserve"> </w:t>
      </w:r>
      <w:r w:rsidRPr="00B35F88">
        <w:t>presents the summary of the national-scale groundwater, surface water, environmental and social considerations</w:t>
      </w:r>
      <w:r>
        <w:t xml:space="preserve"> as described in Section </w:t>
      </w:r>
      <w:r w:rsidR="008E5932">
        <w:t>5</w:t>
      </w:r>
      <w:r>
        <w:t>.2.4 and the following syntheses are provided:</w:t>
      </w:r>
      <w:r w:rsidRPr="00B35F88">
        <w:t xml:space="preserve"> </w:t>
      </w:r>
    </w:p>
    <w:p w14:paraId="031B96F2" w14:textId="4E4DED3F" w:rsidR="00D27769" w:rsidRPr="00DC211E" w:rsidRDefault="00D27769" w:rsidP="00C32947">
      <w:pPr>
        <w:pStyle w:val="ListBullet"/>
      </w:pPr>
      <w:r w:rsidRPr="00B92847">
        <w:t xml:space="preserve">All basins </w:t>
      </w:r>
      <w:r>
        <w:t>assessed contain</w:t>
      </w:r>
      <w:r w:rsidRPr="00B92847">
        <w:t xml:space="preserve">, to greater or lesser degrees, aquifers capable of supplying </w:t>
      </w:r>
      <w:r>
        <w:t xml:space="preserve">varied quality of </w:t>
      </w:r>
      <w:r w:rsidRPr="00B92847">
        <w:t>groundwater, with principal aquifer productivity rang</w:t>
      </w:r>
      <w:r>
        <w:t>ing from low-moderate (Clarence-</w:t>
      </w:r>
      <w:r w:rsidRPr="00B92847">
        <w:t>Moreton</w:t>
      </w:r>
      <w:r>
        <w:t xml:space="preserve"> Basin</w:t>
      </w:r>
      <w:r w:rsidRPr="00B92847">
        <w:t>) to highly productive (most other basins</w:t>
      </w:r>
      <w:r w:rsidR="005E1B62">
        <w:t>)</w:t>
      </w:r>
      <w:r w:rsidR="00271D18">
        <w:t>.</w:t>
      </w:r>
      <w:r w:rsidR="005E1B62">
        <w:t xml:space="preserve"> </w:t>
      </w:r>
      <w:r w:rsidRPr="00B92847">
        <w:t xml:space="preserve">Local and regional variations to this will exist and will require further investigations at </w:t>
      </w:r>
      <w:r w:rsidR="008E5932">
        <w:t>later stages of basin analysis.</w:t>
      </w:r>
    </w:p>
    <w:p w14:paraId="547A614F" w14:textId="1E935F4F" w:rsidR="00D27769" w:rsidRDefault="00D27769" w:rsidP="00C32947">
      <w:pPr>
        <w:pStyle w:val="ListBullet"/>
      </w:pPr>
      <w:r w:rsidRPr="00B92847">
        <w:t>All basins contained groundwater dependant ecosystems. The Otway and Amadeus basins have the smallest area (1</w:t>
      </w:r>
      <w:r>
        <w:t>,</w:t>
      </w:r>
      <w:r w:rsidRPr="00B92847">
        <w:t>500</w:t>
      </w:r>
      <w:r w:rsidRPr="00D2125A">
        <w:t xml:space="preserve"> </w:t>
      </w:r>
      <w:r w:rsidRPr="00B92847">
        <w:t>km</w:t>
      </w:r>
      <w:r w:rsidRPr="00C30F1D">
        <w:rPr>
          <w:rStyle w:val="Superscript"/>
        </w:rPr>
        <w:t>2</w:t>
      </w:r>
      <w:r>
        <w:t xml:space="preserve"> </w:t>
      </w:r>
      <w:r w:rsidRPr="00B92847">
        <w:t>and 1</w:t>
      </w:r>
      <w:r>
        <w:t>,</w:t>
      </w:r>
      <w:r w:rsidRPr="00B92847">
        <w:t>600km</w:t>
      </w:r>
      <w:r w:rsidRPr="00C30F1D">
        <w:rPr>
          <w:rStyle w:val="Superscript"/>
        </w:rPr>
        <w:t>2</w:t>
      </w:r>
      <w:r w:rsidRPr="00B92847">
        <w:t xml:space="preserve"> respectively)</w:t>
      </w:r>
      <w:r>
        <w:t xml:space="preserve">, </w:t>
      </w:r>
      <w:r w:rsidRPr="00B92847">
        <w:t>the M</w:t>
      </w:r>
      <w:r>
        <w:t>oun</w:t>
      </w:r>
      <w:r w:rsidRPr="00B92847">
        <w:t>t Isa Province and Bowen Basin have the greatest (38,000 km</w:t>
      </w:r>
      <w:r w:rsidRPr="00C30F1D">
        <w:rPr>
          <w:rStyle w:val="Superscript"/>
        </w:rPr>
        <w:t>2</w:t>
      </w:r>
      <w:r w:rsidRPr="00B92847">
        <w:t xml:space="preserve"> and 26,000km</w:t>
      </w:r>
      <w:r w:rsidRPr="00C30F1D">
        <w:rPr>
          <w:rStyle w:val="Superscript"/>
        </w:rPr>
        <w:t>2</w:t>
      </w:r>
      <w:r w:rsidRPr="00B92847">
        <w:t xml:space="preserve"> respectively</w:t>
      </w:r>
      <w:r w:rsidR="005E1B62">
        <w:t>)</w:t>
      </w:r>
      <w:r w:rsidR="00271D18">
        <w:t>.</w:t>
      </w:r>
      <w:r w:rsidR="005E1B62">
        <w:t xml:space="preserve"> </w:t>
      </w:r>
      <w:r w:rsidRPr="00B92847">
        <w:t>Wetlands were also present in all basins, ranging from 5</w:t>
      </w:r>
      <w:r>
        <w:t>0 km</w:t>
      </w:r>
      <w:r w:rsidRPr="00C30F1D">
        <w:rPr>
          <w:rStyle w:val="Superscript"/>
        </w:rPr>
        <w:t xml:space="preserve">2 </w:t>
      </w:r>
      <w:r w:rsidRPr="00B92847">
        <w:t>in the Amadeus Basin to 16,20</w:t>
      </w:r>
      <w:r>
        <w:t>0 km</w:t>
      </w:r>
      <w:r w:rsidRPr="00C30F1D">
        <w:rPr>
          <w:rStyle w:val="Superscript"/>
        </w:rPr>
        <w:t xml:space="preserve">2 </w:t>
      </w:r>
      <w:r w:rsidRPr="00B92847">
        <w:t>in the Cooper Basin.</w:t>
      </w:r>
    </w:p>
    <w:p w14:paraId="75F3F1A9" w14:textId="4A72FAFD" w:rsidR="00D27769" w:rsidRDefault="00D27769" w:rsidP="00C32947">
      <w:pPr>
        <w:pStyle w:val="ListBullet"/>
      </w:pPr>
      <w:r w:rsidRPr="00B92847">
        <w:t>Protected areas (such as national parks and reserves) and land subject to Native Title and Indigenous Protected Areas w</w:t>
      </w:r>
      <w:r>
        <w:t>ere</w:t>
      </w:r>
      <w:r w:rsidRPr="00B92847">
        <w:t xml:space="preserve"> present in all basins; however the area covered varied considerably.</w:t>
      </w:r>
      <w:r>
        <w:t xml:space="preserve"> </w:t>
      </w:r>
      <w:r w:rsidRPr="00B92847">
        <w:t xml:space="preserve">Protected </w:t>
      </w:r>
      <w:r>
        <w:t>A</w:t>
      </w:r>
      <w:r w:rsidRPr="00B92847">
        <w:t xml:space="preserve">reas were </w:t>
      </w:r>
      <w:r>
        <w:t>largest</w:t>
      </w:r>
      <w:r w:rsidRPr="00B92847">
        <w:t xml:space="preserve"> in the McArthur and Cooper basin</w:t>
      </w:r>
      <w:r>
        <w:t>s</w:t>
      </w:r>
      <w:r w:rsidRPr="00B92847">
        <w:t xml:space="preserve"> (19,600 </w:t>
      </w:r>
      <w:r>
        <w:t>km</w:t>
      </w:r>
      <w:r w:rsidRPr="00C30F1D">
        <w:rPr>
          <w:rStyle w:val="Superscript"/>
        </w:rPr>
        <w:t>2</w:t>
      </w:r>
      <w:r w:rsidRPr="00B92847">
        <w:t xml:space="preserve"> and 15,40</w:t>
      </w:r>
      <w:r>
        <w:t>0 km</w:t>
      </w:r>
      <w:r w:rsidRPr="00C30F1D">
        <w:rPr>
          <w:rStyle w:val="Superscript"/>
        </w:rPr>
        <w:t>2</w:t>
      </w:r>
      <w:r w:rsidRPr="00B92847">
        <w:t xml:space="preserve"> respectively) and lowest in the Gippsland and Clarence-Moreton </w:t>
      </w:r>
      <w:r>
        <w:t xml:space="preserve">basins </w:t>
      </w:r>
      <w:r w:rsidRPr="00B92847">
        <w:t>(</w:t>
      </w:r>
      <w:r>
        <w:t>1,</w:t>
      </w:r>
      <w:r w:rsidRPr="00B92847">
        <w:t xml:space="preserve">200 </w:t>
      </w:r>
      <w:r>
        <w:t>km</w:t>
      </w:r>
      <w:r w:rsidRPr="00C30F1D">
        <w:rPr>
          <w:rStyle w:val="Superscript"/>
        </w:rPr>
        <w:t>2</w:t>
      </w:r>
      <w:r w:rsidRPr="00B92847">
        <w:t xml:space="preserve"> and 3</w:t>
      </w:r>
      <w:r>
        <w:t>,</w:t>
      </w:r>
      <w:r w:rsidRPr="00B92847">
        <w:t>60</w:t>
      </w:r>
      <w:r>
        <w:t>0 km</w:t>
      </w:r>
      <w:r w:rsidRPr="00C30F1D">
        <w:rPr>
          <w:rStyle w:val="Superscript"/>
        </w:rPr>
        <w:t>2</w:t>
      </w:r>
      <w:r w:rsidRPr="00B92847">
        <w:t xml:space="preserve"> respectively</w:t>
      </w:r>
      <w:r w:rsidR="005E1B62">
        <w:t>)</w:t>
      </w:r>
      <w:r w:rsidR="00271D18">
        <w:t>.</w:t>
      </w:r>
      <w:r w:rsidR="005E1B62">
        <w:t xml:space="preserve"> </w:t>
      </w:r>
      <w:r w:rsidRPr="00B92847">
        <w:t>With regards to Native Title and Indigenous Protected Areas</w:t>
      </w:r>
      <w:r>
        <w:t>,</w:t>
      </w:r>
      <w:r w:rsidRPr="00B92847">
        <w:t xml:space="preserve"> the Otway and Clarence-Moreton </w:t>
      </w:r>
      <w:r>
        <w:t>b</w:t>
      </w:r>
      <w:r w:rsidRPr="00B92847">
        <w:t xml:space="preserve">asins </w:t>
      </w:r>
      <w:r>
        <w:t>have</w:t>
      </w:r>
      <w:r w:rsidRPr="00B92847">
        <w:t xml:space="preserve"> the least (1</w:t>
      </w:r>
      <w:r>
        <w:t>,</w:t>
      </w:r>
      <w:r w:rsidRPr="00B92847">
        <w:t>40</w:t>
      </w:r>
      <w:r>
        <w:t>0 km</w:t>
      </w:r>
      <w:r w:rsidRPr="00C30F1D">
        <w:rPr>
          <w:rStyle w:val="Superscript"/>
        </w:rPr>
        <w:t>2</w:t>
      </w:r>
      <w:r>
        <w:rPr>
          <w:rStyle w:val="Superscript"/>
        </w:rPr>
        <w:t xml:space="preserve"> </w:t>
      </w:r>
      <w:r w:rsidRPr="00B92847">
        <w:t>and 2</w:t>
      </w:r>
      <w:r>
        <w:t>,</w:t>
      </w:r>
      <w:r w:rsidRPr="00B92847">
        <w:t>00</w:t>
      </w:r>
      <w:r>
        <w:t>0 km</w:t>
      </w:r>
      <w:r w:rsidRPr="00C30F1D">
        <w:rPr>
          <w:rStyle w:val="Superscript"/>
        </w:rPr>
        <w:t xml:space="preserve">2 </w:t>
      </w:r>
      <w:r w:rsidRPr="00B92847">
        <w:t>respectively)</w:t>
      </w:r>
      <w:r>
        <w:t>,</w:t>
      </w:r>
      <w:r w:rsidRPr="00B92847">
        <w:t xml:space="preserve"> whilst the McArthur</w:t>
      </w:r>
      <w:r>
        <w:t xml:space="preserve"> Basin</w:t>
      </w:r>
      <w:r w:rsidRPr="00B92847">
        <w:t xml:space="preserve"> and M</w:t>
      </w:r>
      <w:r>
        <w:t>oun</w:t>
      </w:r>
      <w:r w:rsidRPr="00B92847">
        <w:t>t Isa Province ha</w:t>
      </w:r>
      <w:r>
        <w:t>ve</w:t>
      </w:r>
      <w:r w:rsidRPr="00B92847">
        <w:t xml:space="preserve"> the greatest area (135,800 </w:t>
      </w:r>
      <w:r>
        <w:t>km</w:t>
      </w:r>
      <w:r w:rsidRPr="00C30F1D">
        <w:rPr>
          <w:rStyle w:val="Superscript"/>
        </w:rPr>
        <w:t>2</w:t>
      </w:r>
      <w:r>
        <w:rPr>
          <w:rStyle w:val="Superscript"/>
        </w:rPr>
        <w:t xml:space="preserve"> </w:t>
      </w:r>
      <w:r w:rsidRPr="00B92847">
        <w:t>and 116,40</w:t>
      </w:r>
      <w:r>
        <w:t>0 km</w:t>
      </w:r>
      <w:r w:rsidRPr="00C30F1D">
        <w:rPr>
          <w:rStyle w:val="Superscript"/>
        </w:rPr>
        <w:t xml:space="preserve">2 </w:t>
      </w:r>
      <w:r w:rsidRPr="00B92847">
        <w:t>respectively</w:t>
      </w:r>
      <w:r w:rsidR="005E1B62">
        <w:t>)</w:t>
      </w:r>
      <w:r w:rsidR="005A3B36">
        <w:t>.</w:t>
      </w:r>
    </w:p>
    <w:p w14:paraId="2A8AC8B2" w14:textId="47B9C45D" w:rsidR="00D27769" w:rsidRPr="005F5246" w:rsidRDefault="00D27769" w:rsidP="00C32947">
      <w:pPr>
        <w:pStyle w:val="ListBullet"/>
      </w:pPr>
      <w:r w:rsidRPr="005F5246">
        <w:t>Population within basins is highly variable. The lowest population was the Cooper Basin (population 400)</w:t>
      </w:r>
      <w:r>
        <w:t xml:space="preserve"> and</w:t>
      </w:r>
      <w:r w:rsidRPr="005F5246">
        <w:t xml:space="preserve"> the highest was </w:t>
      </w:r>
      <w:r>
        <w:t xml:space="preserve">the </w:t>
      </w:r>
      <w:r w:rsidRPr="005F5246">
        <w:t xml:space="preserve">Clarence-Moreton </w:t>
      </w:r>
      <w:r>
        <w:t xml:space="preserve">Basin </w:t>
      </w:r>
      <w:r w:rsidRPr="005F5246">
        <w:t>(population 1,000,400</w:t>
      </w:r>
      <w:r w:rsidR="005E1B62">
        <w:t>)</w:t>
      </w:r>
      <w:r w:rsidR="00271D18">
        <w:t>.</w:t>
      </w:r>
      <w:r w:rsidR="005E1B62">
        <w:t xml:space="preserve"> </w:t>
      </w:r>
      <w:r w:rsidRPr="005F5246">
        <w:t>The number of registered groundwater bores in each basin is generally related to population, with the top three most populous basins also showing the greatest number of registered bores.</w:t>
      </w:r>
    </w:p>
    <w:p w14:paraId="29422883" w14:textId="3CAF0245" w:rsidR="00D27769" w:rsidRDefault="00D27769" w:rsidP="00C32947">
      <w:pPr>
        <w:pStyle w:val="ListBullet"/>
      </w:pPr>
      <w:r>
        <w:t>The predominant land use for all basins was grazing (either native vegetation or modified pastures</w:t>
      </w:r>
      <w:r w:rsidR="005E1B62">
        <w:t>)</w:t>
      </w:r>
      <w:r w:rsidR="00271D18">
        <w:t>.</w:t>
      </w:r>
      <w:r w:rsidR="005E1B62">
        <w:t xml:space="preserve"> </w:t>
      </w:r>
      <w:r>
        <w:t xml:space="preserve">The exception is the Amadeus Basin, where Protected Areas are the largest single land use. </w:t>
      </w:r>
    </w:p>
    <w:p w14:paraId="066EDF80" w14:textId="77777777" w:rsidR="00D27769" w:rsidRDefault="00D27769" w:rsidP="00174635">
      <w:pPr>
        <w:pStyle w:val="BodyText"/>
        <w:sectPr w:rsidR="00D27769" w:rsidSect="005E0FA1">
          <w:pgSz w:w="11907" w:h="16840" w:code="9"/>
          <w:pgMar w:top="1134" w:right="1134" w:bottom="1134" w:left="1134" w:header="510" w:footer="624" w:gutter="0"/>
          <w:cols w:space="720"/>
          <w:docGrid w:linePitch="326"/>
        </w:sectPr>
      </w:pPr>
    </w:p>
    <w:p w14:paraId="6680D5EA" w14:textId="1F0777E1" w:rsidR="00D27769" w:rsidRPr="00AB6721" w:rsidRDefault="00D27769" w:rsidP="00924E2B">
      <w:pPr>
        <w:pStyle w:val="Caption"/>
      </w:pPr>
      <w:bookmarkStart w:id="136" w:name="_Ref493775234"/>
      <w:bookmarkStart w:id="137" w:name="_Toc517101463"/>
      <w:r w:rsidRPr="00AB6721">
        <w:t xml:space="preserve">Table </w:t>
      </w:r>
      <w:fldSimple w:instr=" STYLEREF 1 \s ">
        <w:r w:rsidR="004A16F5">
          <w:rPr>
            <w:noProof/>
          </w:rPr>
          <w:t>5</w:t>
        </w:r>
      </w:fldSimple>
      <w:r w:rsidRPr="00AB6721">
        <w:noBreakHyphen/>
      </w:r>
      <w:fldSimple w:instr=" SEQ Table \* ARABIC \s 1 ">
        <w:r w:rsidR="004A16F5">
          <w:rPr>
            <w:noProof/>
          </w:rPr>
          <w:t>9</w:t>
        </w:r>
      </w:fldSimple>
      <w:bookmarkEnd w:id="136"/>
      <w:r w:rsidR="005B4F3D">
        <w:t xml:space="preserve"> Summary t</w:t>
      </w:r>
      <w:r w:rsidRPr="00AB6721">
        <w:t xml:space="preserve">able of the key characteristics on groundwater and surface water resources, and environmental and social factors. Further details are found in the relevant </w:t>
      </w:r>
      <w:r>
        <w:t>section of A</w:t>
      </w:r>
      <w:r w:rsidRPr="00AB6721">
        <w:t xml:space="preserve">ppendix </w:t>
      </w:r>
      <w:r>
        <w:t xml:space="preserve">C </w:t>
      </w:r>
      <w:r w:rsidRPr="00AB6721">
        <w:t>for each basin.</w:t>
      </w:r>
      <w:bookmarkEnd w:id="137"/>
      <w:r w:rsidRPr="00AB6721">
        <w:t xml:space="preserve"> </w:t>
      </w:r>
      <w:r w:rsidRPr="00AB6721">
        <w:tab/>
      </w:r>
    </w:p>
    <w:tbl>
      <w:tblPr>
        <w:tblStyle w:val="TableBAHeaderRow"/>
        <w:tblpPr w:leftFromText="180" w:rightFromText="180" w:vertAnchor="text" w:horzAnchor="margin" w:tblpY="190"/>
        <w:tblW w:w="21603" w:type="dxa"/>
        <w:tblInd w:w="0" w:type="dxa"/>
        <w:tblLayout w:type="fixed"/>
        <w:tblLook w:val="04A0" w:firstRow="1" w:lastRow="0" w:firstColumn="1" w:lastColumn="0" w:noHBand="0" w:noVBand="1"/>
      </w:tblPr>
      <w:tblGrid>
        <w:gridCol w:w="1900"/>
        <w:gridCol w:w="1276"/>
        <w:gridCol w:w="1134"/>
        <w:gridCol w:w="2268"/>
        <w:gridCol w:w="2410"/>
        <w:gridCol w:w="1701"/>
        <w:gridCol w:w="2551"/>
        <w:gridCol w:w="1276"/>
        <w:gridCol w:w="1701"/>
        <w:gridCol w:w="1984"/>
        <w:gridCol w:w="3402"/>
      </w:tblGrid>
      <w:tr w:rsidR="00D27769" w:rsidRPr="002915B9" w14:paraId="20DD565F" w14:textId="77777777" w:rsidTr="005E0FA1">
        <w:trPr>
          <w:cnfStyle w:val="100000000000" w:firstRow="1" w:lastRow="0" w:firstColumn="0" w:lastColumn="0" w:oddVBand="0" w:evenVBand="0" w:oddHBand="0" w:evenHBand="0" w:firstRowFirstColumn="0" w:firstRowLastColumn="0" w:lastRowFirstColumn="0" w:lastRowLastColumn="0"/>
          <w:trHeight w:val="334"/>
        </w:trPr>
        <w:tc>
          <w:tcPr>
            <w:tcW w:w="1900" w:type="dxa"/>
            <w:vMerge w:val="restart"/>
          </w:tcPr>
          <w:p w14:paraId="779B567C" w14:textId="77777777" w:rsidR="00D27769" w:rsidRDefault="00D27769" w:rsidP="00760658">
            <w:pPr>
              <w:pStyle w:val="TableTextLeft"/>
              <w:jc w:val="center"/>
              <w:rPr>
                <w:color w:val="FFFFFF" w:themeColor="background1"/>
              </w:rPr>
            </w:pPr>
            <w:r w:rsidRPr="00EB4F95">
              <w:rPr>
                <w:color w:val="FFFFFF" w:themeColor="background1"/>
              </w:rPr>
              <w:t>     </w:t>
            </w:r>
          </w:p>
          <w:p w14:paraId="1D51C324" w14:textId="77777777" w:rsidR="00D27769" w:rsidRDefault="00D27769" w:rsidP="00760658">
            <w:pPr>
              <w:pStyle w:val="TableTextLeft"/>
              <w:jc w:val="center"/>
              <w:rPr>
                <w:color w:val="FFFFFF" w:themeColor="background1"/>
              </w:rPr>
            </w:pPr>
          </w:p>
          <w:p w14:paraId="64B80BBA" w14:textId="77777777" w:rsidR="00D27769" w:rsidRPr="00EB4F95" w:rsidRDefault="00D27769" w:rsidP="00760658">
            <w:pPr>
              <w:pStyle w:val="TableTextLeft"/>
              <w:jc w:val="center"/>
              <w:rPr>
                <w:color w:val="FFFFFF" w:themeColor="background1"/>
              </w:rPr>
            </w:pPr>
            <w:r>
              <w:rPr>
                <w:color w:val="FFFFFF" w:themeColor="background1"/>
              </w:rPr>
              <w:t>                                    </w:t>
            </w:r>
          </w:p>
        </w:tc>
        <w:tc>
          <w:tcPr>
            <w:tcW w:w="7088" w:type="dxa"/>
            <w:gridSpan w:val="4"/>
          </w:tcPr>
          <w:p w14:paraId="03A6BBA3" w14:textId="77777777" w:rsidR="00D27769" w:rsidRPr="00EB4F95" w:rsidRDefault="00D27769" w:rsidP="00760658">
            <w:pPr>
              <w:pStyle w:val="TableTextLeft"/>
              <w:jc w:val="center"/>
              <w:rPr>
                <w:color w:val="FFFFFF" w:themeColor="background1"/>
              </w:rPr>
            </w:pPr>
            <w:r w:rsidRPr="00EB4F95">
              <w:rPr>
                <w:color w:val="FFFFFF" w:themeColor="background1"/>
              </w:rPr>
              <w:t>                              </w:t>
            </w:r>
          </w:p>
        </w:tc>
        <w:tc>
          <w:tcPr>
            <w:tcW w:w="5528" w:type="dxa"/>
            <w:gridSpan w:val="3"/>
          </w:tcPr>
          <w:p w14:paraId="2E790042" w14:textId="77777777" w:rsidR="00D27769" w:rsidRPr="00EB4F95" w:rsidRDefault="00D27769" w:rsidP="00760658">
            <w:pPr>
              <w:pStyle w:val="TableTextLeft"/>
              <w:jc w:val="center"/>
              <w:rPr>
                <w:color w:val="FFFFFF" w:themeColor="background1"/>
              </w:rPr>
            </w:pPr>
            <w:r w:rsidRPr="00EB4F95">
              <w:rPr>
                <w:color w:val="FFFFFF" w:themeColor="background1"/>
              </w:rPr>
              <w:t>             </w:t>
            </w:r>
          </w:p>
        </w:tc>
        <w:tc>
          <w:tcPr>
            <w:tcW w:w="7087" w:type="dxa"/>
            <w:gridSpan w:val="3"/>
          </w:tcPr>
          <w:p w14:paraId="730BA59C" w14:textId="77777777" w:rsidR="00D27769" w:rsidRPr="00EB4F95" w:rsidRDefault="00D27769" w:rsidP="00760658">
            <w:pPr>
              <w:pStyle w:val="TableTextLeft"/>
              <w:jc w:val="center"/>
              <w:rPr>
                <w:color w:val="FFFFFF" w:themeColor="background1"/>
              </w:rPr>
            </w:pPr>
            <w:r w:rsidRPr="00EB4F95">
              <w:rPr>
                <w:color w:val="FFFFFF" w:themeColor="background1"/>
              </w:rPr>
              <w:t>      </w:t>
            </w:r>
          </w:p>
        </w:tc>
      </w:tr>
      <w:tr w:rsidR="00D27769" w:rsidRPr="002F7ACC" w14:paraId="21EB1A41" w14:textId="77777777" w:rsidTr="005E0FA1">
        <w:trPr>
          <w:cnfStyle w:val="000000100000" w:firstRow="0" w:lastRow="0" w:firstColumn="0" w:lastColumn="0" w:oddVBand="0" w:evenVBand="0" w:oddHBand="1" w:evenHBand="0" w:firstRowFirstColumn="0" w:firstRowLastColumn="0" w:lastRowFirstColumn="0" w:lastRowLastColumn="0"/>
        </w:trPr>
        <w:tc>
          <w:tcPr>
            <w:tcW w:w="1900" w:type="dxa"/>
            <w:vMerge/>
          </w:tcPr>
          <w:p w14:paraId="6647485C" w14:textId="77777777" w:rsidR="00D27769" w:rsidRPr="00A2507E" w:rsidRDefault="00D27769" w:rsidP="00760658">
            <w:pPr>
              <w:pStyle w:val="TableTextLeft"/>
              <w:jc w:val="center"/>
              <w:rPr>
                <w:rStyle w:val="Emphasis"/>
                <w:szCs w:val="18"/>
              </w:rPr>
            </w:pPr>
          </w:p>
        </w:tc>
        <w:tc>
          <w:tcPr>
            <w:tcW w:w="1276" w:type="dxa"/>
          </w:tcPr>
          <w:p w14:paraId="57AFE70F" w14:textId="77777777" w:rsidR="00D27769" w:rsidRPr="002F7ACC" w:rsidRDefault="00D27769" w:rsidP="00760658">
            <w:pPr>
              <w:pStyle w:val="TableTextCentred0"/>
              <w:rPr>
                <w:rStyle w:val="Emphasis"/>
                <w:szCs w:val="18"/>
              </w:rPr>
            </w:pPr>
            <w:r w:rsidRPr="002F7ACC">
              <w:rPr>
                <w:rStyle w:val="Emphasis"/>
                <w:szCs w:val="18"/>
              </w:rPr>
              <w:t>No. Bores/ Density (bores/km</w:t>
            </w:r>
            <w:r w:rsidRPr="00C30F1D">
              <w:rPr>
                <w:rStyle w:val="Superscript"/>
              </w:rPr>
              <w:t>2</w:t>
            </w:r>
            <w:r w:rsidRPr="002F7ACC">
              <w:rPr>
                <w:rStyle w:val="Emphasis"/>
                <w:szCs w:val="18"/>
              </w:rPr>
              <w:t>)</w:t>
            </w:r>
          </w:p>
        </w:tc>
        <w:tc>
          <w:tcPr>
            <w:tcW w:w="1134" w:type="dxa"/>
          </w:tcPr>
          <w:p w14:paraId="12400B09" w14:textId="77777777" w:rsidR="00D27769" w:rsidRPr="002F7ACC" w:rsidRDefault="00D27769" w:rsidP="00760658">
            <w:pPr>
              <w:pStyle w:val="TableTextCentred0"/>
              <w:rPr>
                <w:rStyle w:val="Emphasis"/>
                <w:szCs w:val="18"/>
              </w:rPr>
            </w:pPr>
            <w:r w:rsidRPr="002F7ACC">
              <w:rPr>
                <w:rStyle w:val="Emphasis"/>
                <w:szCs w:val="18"/>
              </w:rPr>
              <w:t>Bore Depth m</w:t>
            </w:r>
          </w:p>
          <w:p w14:paraId="3DF410EA" w14:textId="77777777" w:rsidR="00D27769" w:rsidRPr="002F7ACC" w:rsidRDefault="00D27769" w:rsidP="00760658">
            <w:pPr>
              <w:pStyle w:val="TableTextCentred0"/>
              <w:rPr>
                <w:rStyle w:val="Emphasis"/>
                <w:szCs w:val="18"/>
              </w:rPr>
            </w:pPr>
            <w:r w:rsidRPr="002F7ACC">
              <w:rPr>
                <w:rStyle w:val="Emphasis"/>
                <w:szCs w:val="18"/>
              </w:rPr>
              <w:t>(mean)</w:t>
            </w:r>
          </w:p>
        </w:tc>
        <w:tc>
          <w:tcPr>
            <w:tcW w:w="2268" w:type="dxa"/>
          </w:tcPr>
          <w:p w14:paraId="5739C722" w14:textId="77777777" w:rsidR="00D27769" w:rsidRPr="00F4747A" w:rsidRDefault="00D27769" w:rsidP="00760658">
            <w:pPr>
              <w:pStyle w:val="TableTextCentred0"/>
              <w:rPr>
                <w:rStyle w:val="Emphasis"/>
                <w:szCs w:val="18"/>
              </w:rPr>
            </w:pPr>
            <w:r w:rsidRPr="00F4747A">
              <w:rPr>
                <w:rStyle w:val="Emphasis"/>
                <w:szCs w:val="18"/>
              </w:rPr>
              <w:t>Pr</w:t>
            </w:r>
            <w:r>
              <w:rPr>
                <w:rStyle w:val="Emphasis"/>
                <w:szCs w:val="18"/>
              </w:rPr>
              <w:t>incipal</w:t>
            </w:r>
            <w:r w:rsidRPr="00F4747A">
              <w:rPr>
                <w:rStyle w:val="Emphasis"/>
                <w:szCs w:val="18"/>
              </w:rPr>
              <w:t xml:space="preserve"> </w:t>
            </w:r>
          </w:p>
          <w:p w14:paraId="5E99534B" w14:textId="77777777" w:rsidR="00D27769" w:rsidRPr="00F4747A" w:rsidRDefault="00D27769" w:rsidP="00760658">
            <w:pPr>
              <w:pStyle w:val="TableTextCentred0"/>
              <w:rPr>
                <w:rStyle w:val="Emphasis"/>
                <w:szCs w:val="18"/>
              </w:rPr>
            </w:pPr>
            <w:r w:rsidRPr="00F4747A">
              <w:rPr>
                <w:rStyle w:val="Emphasis"/>
                <w:szCs w:val="18"/>
              </w:rPr>
              <w:t xml:space="preserve">Aquifer Productivity (1) </w:t>
            </w:r>
          </w:p>
        </w:tc>
        <w:tc>
          <w:tcPr>
            <w:tcW w:w="2410" w:type="dxa"/>
          </w:tcPr>
          <w:p w14:paraId="3B1D4C52" w14:textId="77777777" w:rsidR="00D27769" w:rsidRPr="00F4747A" w:rsidRDefault="00D27769" w:rsidP="00760658">
            <w:pPr>
              <w:pStyle w:val="TableTextCentred0"/>
              <w:rPr>
                <w:rStyle w:val="Emphasis"/>
                <w:szCs w:val="18"/>
              </w:rPr>
            </w:pPr>
            <w:r w:rsidRPr="00F4747A">
              <w:rPr>
                <w:rStyle w:val="Emphasis"/>
                <w:szCs w:val="18"/>
              </w:rPr>
              <w:t xml:space="preserve">Groundwater Salinity range (TDS mg/L)(2) </w:t>
            </w:r>
          </w:p>
        </w:tc>
        <w:tc>
          <w:tcPr>
            <w:tcW w:w="1701" w:type="dxa"/>
          </w:tcPr>
          <w:p w14:paraId="6E05CB17" w14:textId="77777777" w:rsidR="00D27769" w:rsidRPr="00F4747A" w:rsidRDefault="00D27769" w:rsidP="00760658">
            <w:pPr>
              <w:pStyle w:val="TableTextCentred0"/>
              <w:rPr>
                <w:rStyle w:val="Emphasis"/>
                <w:szCs w:val="18"/>
              </w:rPr>
            </w:pPr>
            <w:r w:rsidRPr="00F4747A">
              <w:rPr>
                <w:rStyle w:val="Emphasis"/>
                <w:szCs w:val="18"/>
              </w:rPr>
              <w:t>GDE (area km</w:t>
            </w:r>
            <w:r w:rsidRPr="00C30F1D">
              <w:rPr>
                <w:rStyle w:val="Superscript"/>
              </w:rPr>
              <w:t>2</w:t>
            </w:r>
            <w:r w:rsidRPr="00F4747A">
              <w:rPr>
                <w:rStyle w:val="Emphasis"/>
                <w:szCs w:val="18"/>
              </w:rPr>
              <w:t>)*</w:t>
            </w:r>
          </w:p>
        </w:tc>
        <w:tc>
          <w:tcPr>
            <w:tcW w:w="2551" w:type="dxa"/>
          </w:tcPr>
          <w:p w14:paraId="6F4D215F" w14:textId="77777777" w:rsidR="00D27769" w:rsidRPr="00F4747A" w:rsidRDefault="00D27769" w:rsidP="00760658">
            <w:pPr>
              <w:pStyle w:val="TableTextCentred0"/>
              <w:rPr>
                <w:rStyle w:val="Emphasis"/>
                <w:szCs w:val="18"/>
              </w:rPr>
            </w:pPr>
            <w:r w:rsidRPr="00F4747A">
              <w:rPr>
                <w:rStyle w:val="Emphasis"/>
                <w:szCs w:val="18"/>
              </w:rPr>
              <w:t>Protected Areas</w:t>
            </w:r>
          </w:p>
          <w:p w14:paraId="7D0628A1" w14:textId="77777777" w:rsidR="00D27769" w:rsidRPr="00F4747A" w:rsidRDefault="00D27769" w:rsidP="00760658">
            <w:pPr>
              <w:pStyle w:val="TableTextCentred0"/>
              <w:rPr>
                <w:rStyle w:val="Emphasis"/>
                <w:szCs w:val="18"/>
              </w:rPr>
            </w:pPr>
            <w:r w:rsidRPr="00F4747A">
              <w:rPr>
                <w:rStyle w:val="Emphasis"/>
                <w:szCs w:val="18"/>
              </w:rPr>
              <w:t>(area km</w:t>
            </w:r>
            <w:r w:rsidRPr="00C30F1D">
              <w:rPr>
                <w:rStyle w:val="Superscript"/>
              </w:rPr>
              <w:t>2</w:t>
            </w:r>
            <w:r w:rsidRPr="00F4747A">
              <w:rPr>
                <w:rStyle w:val="Emphasis"/>
                <w:szCs w:val="18"/>
              </w:rPr>
              <w:t>)*</w:t>
            </w:r>
          </w:p>
        </w:tc>
        <w:tc>
          <w:tcPr>
            <w:tcW w:w="1276" w:type="dxa"/>
          </w:tcPr>
          <w:p w14:paraId="705190B6" w14:textId="77777777" w:rsidR="00D27769" w:rsidRPr="00F4747A" w:rsidRDefault="00D27769" w:rsidP="00760658">
            <w:pPr>
              <w:pStyle w:val="TableTextCentred0"/>
              <w:rPr>
                <w:rStyle w:val="Emphasis"/>
                <w:szCs w:val="18"/>
              </w:rPr>
            </w:pPr>
            <w:r w:rsidRPr="00F4747A">
              <w:rPr>
                <w:rStyle w:val="Emphasis"/>
                <w:szCs w:val="18"/>
              </w:rPr>
              <w:t>Wetlands</w:t>
            </w:r>
          </w:p>
          <w:p w14:paraId="04298970" w14:textId="77777777" w:rsidR="00D27769" w:rsidRPr="00F4747A" w:rsidRDefault="00D27769" w:rsidP="00760658">
            <w:pPr>
              <w:pStyle w:val="TableTextCentred0"/>
              <w:rPr>
                <w:rStyle w:val="Emphasis"/>
                <w:szCs w:val="18"/>
              </w:rPr>
            </w:pPr>
            <w:r w:rsidRPr="00F4747A">
              <w:rPr>
                <w:rStyle w:val="Emphasis"/>
                <w:szCs w:val="18"/>
              </w:rPr>
              <w:t>(area km</w:t>
            </w:r>
            <w:r w:rsidRPr="00C30F1D">
              <w:rPr>
                <w:rStyle w:val="Superscript"/>
              </w:rPr>
              <w:t>2</w:t>
            </w:r>
            <w:r w:rsidRPr="00F4747A">
              <w:rPr>
                <w:rStyle w:val="Emphasis"/>
                <w:szCs w:val="18"/>
              </w:rPr>
              <w:t>)*</w:t>
            </w:r>
          </w:p>
        </w:tc>
        <w:tc>
          <w:tcPr>
            <w:tcW w:w="1701" w:type="dxa"/>
          </w:tcPr>
          <w:p w14:paraId="488A2FC8" w14:textId="77777777" w:rsidR="00D27769" w:rsidRPr="00F4747A" w:rsidRDefault="00D27769" w:rsidP="00760658">
            <w:pPr>
              <w:pStyle w:val="TableTextCentred0"/>
              <w:rPr>
                <w:rStyle w:val="Emphasis"/>
                <w:szCs w:val="18"/>
              </w:rPr>
            </w:pPr>
            <w:r w:rsidRPr="00F4747A">
              <w:rPr>
                <w:rStyle w:val="Emphasis"/>
                <w:szCs w:val="18"/>
              </w:rPr>
              <w:t>Population*</w:t>
            </w:r>
          </w:p>
        </w:tc>
        <w:tc>
          <w:tcPr>
            <w:tcW w:w="1984" w:type="dxa"/>
          </w:tcPr>
          <w:p w14:paraId="7857D7EE" w14:textId="77777777" w:rsidR="00D27769" w:rsidRPr="00F4747A" w:rsidRDefault="00D27769" w:rsidP="00760658">
            <w:pPr>
              <w:pStyle w:val="TableTextCentred0"/>
              <w:rPr>
                <w:rStyle w:val="Emphasis"/>
                <w:szCs w:val="18"/>
              </w:rPr>
            </w:pPr>
            <w:r w:rsidRPr="00F4747A">
              <w:rPr>
                <w:rStyle w:val="Emphasis"/>
                <w:szCs w:val="18"/>
              </w:rPr>
              <w:t>Native Title</w:t>
            </w:r>
            <w:r>
              <w:rPr>
                <w:rStyle w:val="Emphasis"/>
                <w:szCs w:val="18"/>
              </w:rPr>
              <w:t xml:space="preserve"> </w:t>
            </w:r>
            <w:r w:rsidRPr="00F4747A">
              <w:rPr>
                <w:rStyle w:val="Emphasis"/>
                <w:szCs w:val="18"/>
              </w:rPr>
              <w:t>/</w:t>
            </w:r>
            <w:r>
              <w:rPr>
                <w:rStyle w:val="Emphasis"/>
                <w:szCs w:val="18"/>
              </w:rPr>
              <w:t xml:space="preserve"> </w:t>
            </w:r>
            <w:r w:rsidRPr="00F4747A">
              <w:rPr>
                <w:rStyle w:val="Emphasis"/>
                <w:szCs w:val="18"/>
              </w:rPr>
              <w:t xml:space="preserve">Indigenous Protected areas </w:t>
            </w:r>
            <w:r>
              <w:rPr>
                <w:rStyle w:val="Emphasis"/>
                <w:szCs w:val="18"/>
              </w:rPr>
              <w:br/>
            </w:r>
            <w:r w:rsidRPr="00F4747A">
              <w:rPr>
                <w:rStyle w:val="Emphasis"/>
                <w:szCs w:val="18"/>
              </w:rPr>
              <w:t>(area km</w:t>
            </w:r>
            <w:r w:rsidRPr="00C30F1D">
              <w:rPr>
                <w:rStyle w:val="Superscript"/>
              </w:rPr>
              <w:t>2</w:t>
            </w:r>
            <w:r w:rsidRPr="00F4747A">
              <w:rPr>
                <w:rStyle w:val="Emphasis"/>
                <w:szCs w:val="18"/>
              </w:rPr>
              <w:t>)*</w:t>
            </w:r>
          </w:p>
        </w:tc>
        <w:tc>
          <w:tcPr>
            <w:tcW w:w="3402" w:type="dxa"/>
          </w:tcPr>
          <w:p w14:paraId="5D03C237" w14:textId="77777777" w:rsidR="00D27769" w:rsidRPr="00F4747A" w:rsidRDefault="00D27769" w:rsidP="00760658">
            <w:pPr>
              <w:pStyle w:val="TableTextCentred0"/>
              <w:rPr>
                <w:rStyle w:val="Emphasis"/>
              </w:rPr>
            </w:pPr>
            <w:r w:rsidRPr="00F4747A">
              <w:rPr>
                <w:rStyle w:val="Emphasis"/>
              </w:rPr>
              <w:t>Land Use</w:t>
            </w:r>
          </w:p>
          <w:p w14:paraId="743EA273" w14:textId="77777777" w:rsidR="00D27769" w:rsidRPr="00F4747A" w:rsidRDefault="00D27769" w:rsidP="00760658">
            <w:pPr>
              <w:pStyle w:val="TableTextCentred0"/>
              <w:rPr>
                <w:rStyle w:val="Emphasis"/>
              </w:rPr>
            </w:pPr>
            <w:r w:rsidRPr="00F4747A">
              <w:rPr>
                <w:rStyle w:val="Emphasis"/>
              </w:rPr>
              <w:t>Top 3 (by area)</w:t>
            </w:r>
          </w:p>
        </w:tc>
      </w:tr>
      <w:tr w:rsidR="00D27769" w:rsidRPr="002F7ACC" w14:paraId="6DBCDF72" w14:textId="77777777" w:rsidTr="005E0FA1">
        <w:trPr>
          <w:cnfStyle w:val="000000010000" w:firstRow="0" w:lastRow="0" w:firstColumn="0" w:lastColumn="0" w:oddVBand="0" w:evenVBand="0" w:oddHBand="0" w:evenHBand="1" w:firstRowFirstColumn="0" w:firstRowLastColumn="0" w:lastRowFirstColumn="0" w:lastRowLastColumn="0"/>
          <w:trHeight w:val="977"/>
        </w:trPr>
        <w:tc>
          <w:tcPr>
            <w:tcW w:w="1900" w:type="dxa"/>
          </w:tcPr>
          <w:p w14:paraId="535AE87C" w14:textId="77777777" w:rsidR="00D27769" w:rsidRPr="00BC022A" w:rsidRDefault="00D27769" w:rsidP="00C32947">
            <w:pPr>
              <w:pStyle w:val="TableTextCentred0"/>
            </w:pPr>
            <w:r w:rsidRPr="00BC022A">
              <w:t>Amadeus Basin</w:t>
            </w:r>
          </w:p>
        </w:tc>
        <w:tc>
          <w:tcPr>
            <w:tcW w:w="1276" w:type="dxa"/>
          </w:tcPr>
          <w:p w14:paraId="6195B1B7" w14:textId="77777777" w:rsidR="00D27769" w:rsidRPr="00370D85" w:rsidRDefault="00D27769" w:rsidP="00C32947">
            <w:pPr>
              <w:pStyle w:val="TableTextCentred0"/>
            </w:pPr>
            <w:r>
              <w:t>3,</w:t>
            </w:r>
            <w:r w:rsidRPr="00370D85">
              <w:t>712</w:t>
            </w:r>
            <w:r w:rsidRPr="00370D85">
              <w:br/>
              <w:t>(0.02)</w:t>
            </w:r>
          </w:p>
        </w:tc>
        <w:tc>
          <w:tcPr>
            <w:tcW w:w="1134" w:type="dxa"/>
          </w:tcPr>
          <w:p w14:paraId="46CF9D0F" w14:textId="77777777" w:rsidR="00D27769" w:rsidRPr="00370D85" w:rsidRDefault="00D27769" w:rsidP="00C32947">
            <w:pPr>
              <w:pStyle w:val="TableTextCentred0"/>
            </w:pPr>
            <w:r w:rsidRPr="00370D85">
              <w:t>83</w:t>
            </w:r>
          </w:p>
        </w:tc>
        <w:tc>
          <w:tcPr>
            <w:tcW w:w="2268" w:type="dxa"/>
          </w:tcPr>
          <w:p w14:paraId="25C931A7" w14:textId="77777777" w:rsidR="00D27769" w:rsidRPr="00370D85" w:rsidRDefault="00D27769" w:rsidP="00C32947">
            <w:pPr>
              <w:pStyle w:val="TableTextCentred0"/>
            </w:pPr>
            <w:r w:rsidRPr="00370D85">
              <w:t>Variable: Low to Highly Productive</w:t>
            </w:r>
          </w:p>
        </w:tc>
        <w:tc>
          <w:tcPr>
            <w:tcW w:w="2410" w:type="dxa"/>
          </w:tcPr>
          <w:p w14:paraId="3282880B" w14:textId="77777777" w:rsidR="00D27769" w:rsidRPr="00370D85" w:rsidRDefault="00D27769" w:rsidP="00C32947">
            <w:pPr>
              <w:pStyle w:val="TableTextCentred0"/>
            </w:pPr>
            <w:r>
              <w:t>500–4,</w:t>
            </w:r>
            <w:r w:rsidRPr="00370D85">
              <w:t>000</w:t>
            </w:r>
          </w:p>
        </w:tc>
        <w:tc>
          <w:tcPr>
            <w:tcW w:w="1701" w:type="dxa"/>
          </w:tcPr>
          <w:p w14:paraId="54A9E68F" w14:textId="77777777" w:rsidR="00D27769" w:rsidRPr="00BC022A" w:rsidRDefault="00D27769" w:rsidP="00C32947">
            <w:pPr>
              <w:jc w:val="center"/>
              <w:rPr>
                <w:color w:val="auto"/>
                <w:szCs w:val="18"/>
              </w:rPr>
            </w:pPr>
            <w:r w:rsidRPr="00BC022A">
              <w:rPr>
                <w:color w:val="auto"/>
                <w:szCs w:val="18"/>
              </w:rPr>
              <w:t>1</w:t>
            </w:r>
            <w:r>
              <w:rPr>
                <w:color w:val="auto"/>
                <w:szCs w:val="18"/>
              </w:rPr>
              <w:t>,</w:t>
            </w:r>
            <w:r w:rsidRPr="00BC022A">
              <w:rPr>
                <w:color w:val="auto"/>
                <w:szCs w:val="18"/>
              </w:rPr>
              <w:t>600</w:t>
            </w:r>
          </w:p>
        </w:tc>
        <w:tc>
          <w:tcPr>
            <w:tcW w:w="2551" w:type="dxa"/>
          </w:tcPr>
          <w:p w14:paraId="14FEF09E" w14:textId="77777777" w:rsidR="00D27769" w:rsidRPr="00BC022A" w:rsidRDefault="00D27769" w:rsidP="00C32947">
            <w:pPr>
              <w:jc w:val="center"/>
              <w:rPr>
                <w:color w:val="auto"/>
                <w:szCs w:val="18"/>
              </w:rPr>
            </w:pPr>
            <w:r>
              <w:rPr>
                <w:color w:val="auto"/>
                <w:szCs w:val="18"/>
              </w:rPr>
              <w:t>5,</w:t>
            </w:r>
            <w:r w:rsidRPr="00BC022A">
              <w:rPr>
                <w:color w:val="auto"/>
                <w:szCs w:val="18"/>
              </w:rPr>
              <w:t>100</w:t>
            </w:r>
          </w:p>
        </w:tc>
        <w:tc>
          <w:tcPr>
            <w:tcW w:w="1276" w:type="dxa"/>
          </w:tcPr>
          <w:p w14:paraId="136189C2" w14:textId="77777777" w:rsidR="00D27769" w:rsidRPr="00BC022A" w:rsidRDefault="00D27769" w:rsidP="00C32947">
            <w:pPr>
              <w:jc w:val="center"/>
              <w:rPr>
                <w:color w:val="auto"/>
                <w:szCs w:val="18"/>
              </w:rPr>
            </w:pPr>
            <w:r w:rsidRPr="00BC022A">
              <w:rPr>
                <w:color w:val="auto"/>
                <w:szCs w:val="18"/>
              </w:rPr>
              <w:t>50</w:t>
            </w:r>
          </w:p>
        </w:tc>
        <w:tc>
          <w:tcPr>
            <w:tcW w:w="1701" w:type="dxa"/>
          </w:tcPr>
          <w:p w14:paraId="1FEE9F56" w14:textId="77777777" w:rsidR="00D27769" w:rsidRPr="00BC022A" w:rsidRDefault="00D27769" w:rsidP="00C32947">
            <w:pPr>
              <w:jc w:val="center"/>
              <w:rPr>
                <w:color w:val="auto"/>
                <w:szCs w:val="18"/>
              </w:rPr>
            </w:pPr>
            <w:r>
              <w:rPr>
                <w:color w:val="auto"/>
                <w:szCs w:val="18"/>
              </w:rPr>
              <w:t>8,</w:t>
            </w:r>
            <w:r w:rsidRPr="00BC022A">
              <w:rPr>
                <w:color w:val="auto"/>
                <w:szCs w:val="18"/>
              </w:rPr>
              <w:t>200</w:t>
            </w:r>
          </w:p>
        </w:tc>
        <w:tc>
          <w:tcPr>
            <w:tcW w:w="1984" w:type="dxa"/>
          </w:tcPr>
          <w:p w14:paraId="20636123" w14:textId="77777777" w:rsidR="00D27769" w:rsidRPr="00BC022A" w:rsidRDefault="00D27769" w:rsidP="00C32947">
            <w:pPr>
              <w:jc w:val="center"/>
              <w:rPr>
                <w:color w:val="auto"/>
                <w:szCs w:val="18"/>
              </w:rPr>
            </w:pPr>
            <w:r w:rsidRPr="00BC022A">
              <w:rPr>
                <w:color w:val="auto"/>
                <w:szCs w:val="18"/>
              </w:rPr>
              <w:t>53,800</w:t>
            </w:r>
          </w:p>
        </w:tc>
        <w:tc>
          <w:tcPr>
            <w:tcW w:w="3402" w:type="dxa"/>
          </w:tcPr>
          <w:p w14:paraId="1F924CB7" w14:textId="77777777" w:rsidR="00D27769" w:rsidRPr="00F4747A" w:rsidRDefault="00D27769" w:rsidP="009C1B98">
            <w:pPr>
              <w:pStyle w:val="TableTextLeft"/>
              <w:numPr>
                <w:ilvl w:val="0"/>
                <w:numId w:val="23"/>
              </w:numPr>
            </w:pPr>
            <w:r w:rsidRPr="00F4747A">
              <w:t>Protected areas</w:t>
            </w:r>
          </w:p>
          <w:p w14:paraId="4A95C985" w14:textId="77777777" w:rsidR="00D27769" w:rsidRPr="00F4747A" w:rsidRDefault="00D27769" w:rsidP="009C1B98">
            <w:pPr>
              <w:pStyle w:val="TableTextLeft"/>
              <w:numPr>
                <w:ilvl w:val="0"/>
                <w:numId w:val="23"/>
              </w:numPr>
            </w:pPr>
            <w:r w:rsidRPr="00F4747A">
              <w:t>Grazing native vegetation</w:t>
            </w:r>
          </w:p>
          <w:p w14:paraId="6F60C044" w14:textId="77777777" w:rsidR="00D27769" w:rsidRPr="00F4747A" w:rsidRDefault="00D27769" w:rsidP="009C1B98">
            <w:pPr>
              <w:pStyle w:val="TableTextLeft"/>
              <w:numPr>
                <w:ilvl w:val="0"/>
                <w:numId w:val="23"/>
              </w:numPr>
            </w:pPr>
            <w:r w:rsidRPr="00F4747A">
              <w:t>Nature conservation</w:t>
            </w:r>
          </w:p>
        </w:tc>
      </w:tr>
      <w:tr w:rsidR="00D27769" w:rsidRPr="002F7ACC" w14:paraId="3DC64EDA" w14:textId="77777777" w:rsidTr="005E0FA1">
        <w:trPr>
          <w:cnfStyle w:val="000000100000" w:firstRow="0" w:lastRow="0" w:firstColumn="0" w:lastColumn="0" w:oddVBand="0" w:evenVBand="0" w:oddHBand="1" w:evenHBand="0" w:firstRowFirstColumn="0" w:firstRowLastColumn="0" w:lastRowFirstColumn="0" w:lastRowLastColumn="0"/>
          <w:trHeight w:val="512"/>
        </w:trPr>
        <w:tc>
          <w:tcPr>
            <w:tcW w:w="1900" w:type="dxa"/>
          </w:tcPr>
          <w:p w14:paraId="01D50417" w14:textId="77777777" w:rsidR="00D27769" w:rsidRPr="00BC022A" w:rsidRDefault="00D27769" w:rsidP="00C32947">
            <w:pPr>
              <w:pStyle w:val="TableTextCentred0"/>
            </w:pPr>
            <w:r w:rsidRPr="00BC022A">
              <w:t>Bowen Basin</w:t>
            </w:r>
          </w:p>
          <w:p w14:paraId="640A9A94" w14:textId="77777777" w:rsidR="00D27769" w:rsidRPr="00BC022A" w:rsidRDefault="00D27769" w:rsidP="00C32947">
            <w:pPr>
              <w:pStyle w:val="TableTextCentred0"/>
            </w:pPr>
          </w:p>
        </w:tc>
        <w:tc>
          <w:tcPr>
            <w:tcW w:w="1276" w:type="dxa"/>
          </w:tcPr>
          <w:p w14:paraId="05D910C4" w14:textId="77777777" w:rsidR="00D27769" w:rsidRPr="00370D85" w:rsidRDefault="00D27769" w:rsidP="00C32947">
            <w:pPr>
              <w:pStyle w:val="TableTextCentred0"/>
            </w:pPr>
            <w:r w:rsidRPr="00370D85">
              <w:t>14,769</w:t>
            </w:r>
            <w:r w:rsidRPr="00370D85">
              <w:br/>
              <w:t>(0.10)</w:t>
            </w:r>
          </w:p>
        </w:tc>
        <w:tc>
          <w:tcPr>
            <w:tcW w:w="1134" w:type="dxa"/>
          </w:tcPr>
          <w:p w14:paraId="7364D005" w14:textId="77777777" w:rsidR="00D27769" w:rsidRPr="00370D85" w:rsidRDefault="00D27769" w:rsidP="00C32947">
            <w:pPr>
              <w:pStyle w:val="TableTextCentred0"/>
            </w:pPr>
            <w:r w:rsidRPr="00370D85">
              <w:t>148</w:t>
            </w:r>
          </w:p>
        </w:tc>
        <w:tc>
          <w:tcPr>
            <w:tcW w:w="2268" w:type="dxa"/>
          </w:tcPr>
          <w:p w14:paraId="7D8D3F15" w14:textId="77777777" w:rsidR="00D27769" w:rsidRPr="00370D85" w:rsidRDefault="00D27769" w:rsidP="00C32947">
            <w:pPr>
              <w:pStyle w:val="TableTextCentred0"/>
            </w:pPr>
            <w:r w:rsidRPr="00370D85">
              <w:t>Highly Productive (south)</w:t>
            </w:r>
          </w:p>
          <w:p w14:paraId="2EB9FECB" w14:textId="77777777" w:rsidR="00D27769" w:rsidRPr="00370D85" w:rsidRDefault="00D27769" w:rsidP="00C32947">
            <w:pPr>
              <w:pStyle w:val="TableTextCentred0"/>
            </w:pPr>
            <w:r w:rsidRPr="00370D85">
              <w:t>Low-moderate Productivity (north)</w:t>
            </w:r>
          </w:p>
        </w:tc>
        <w:tc>
          <w:tcPr>
            <w:tcW w:w="2410" w:type="dxa"/>
          </w:tcPr>
          <w:p w14:paraId="30707675" w14:textId="77777777" w:rsidR="00D27769" w:rsidRPr="00370D85" w:rsidRDefault="00D27769" w:rsidP="00C32947">
            <w:pPr>
              <w:pStyle w:val="TableTextCentred0"/>
            </w:pPr>
            <w:r>
              <w:t>500–2,</w:t>
            </w:r>
            <w:r w:rsidRPr="00370D85">
              <w:t>000+</w:t>
            </w:r>
          </w:p>
        </w:tc>
        <w:tc>
          <w:tcPr>
            <w:tcW w:w="1701" w:type="dxa"/>
          </w:tcPr>
          <w:p w14:paraId="657D2FA2" w14:textId="77777777" w:rsidR="00D27769" w:rsidRPr="00BC022A" w:rsidRDefault="00D27769" w:rsidP="00C32947">
            <w:pPr>
              <w:jc w:val="center"/>
              <w:rPr>
                <w:color w:val="auto"/>
                <w:szCs w:val="18"/>
              </w:rPr>
            </w:pPr>
            <w:r w:rsidRPr="00BC022A">
              <w:rPr>
                <w:color w:val="auto"/>
                <w:szCs w:val="18"/>
              </w:rPr>
              <w:t>26,000</w:t>
            </w:r>
          </w:p>
        </w:tc>
        <w:tc>
          <w:tcPr>
            <w:tcW w:w="2551" w:type="dxa"/>
          </w:tcPr>
          <w:p w14:paraId="0E993E7C" w14:textId="77777777" w:rsidR="00D27769" w:rsidRPr="00BC022A" w:rsidRDefault="00D27769" w:rsidP="00C32947">
            <w:pPr>
              <w:jc w:val="center"/>
              <w:rPr>
                <w:color w:val="auto"/>
                <w:szCs w:val="18"/>
              </w:rPr>
            </w:pPr>
            <w:r>
              <w:rPr>
                <w:color w:val="auto"/>
                <w:szCs w:val="18"/>
              </w:rPr>
              <w:t>6,</w:t>
            </w:r>
            <w:r w:rsidRPr="00BC022A">
              <w:rPr>
                <w:color w:val="auto"/>
                <w:szCs w:val="18"/>
              </w:rPr>
              <w:t>000</w:t>
            </w:r>
          </w:p>
        </w:tc>
        <w:tc>
          <w:tcPr>
            <w:tcW w:w="1276" w:type="dxa"/>
          </w:tcPr>
          <w:p w14:paraId="27FECC5A" w14:textId="77777777" w:rsidR="00D27769" w:rsidRPr="00BC022A" w:rsidRDefault="00D27769" w:rsidP="00C32947">
            <w:pPr>
              <w:jc w:val="center"/>
              <w:rPr>
                <w:color w:val="auto"/>
                <w:szCs w:val="18"/>
              </w:rPr>
            </w:pPr>
            <w:r w:rsidRPr="00BC022A">
              <w:rPr>
                <w:color w:val="auto"/>
                <w:szCs w:val="18"/>
              </w:rPr>
              <w:t>700</w:t>
            </w:r>
          </w:p>
        </w:tc>
        <w:tc>
          <w:tcPr>
            <w:tcW w:w="1701" w:type="dxa"/>
          </w:tcPr>
          <w:p w14:paraId="74F26019" w14:textId="77777777" w:rsidR="00D27769" w:rsidRPr="00BC022A" w:rsidRDefault="00D27769" w:rsidP="00C32947">
            <w:pPr>
              <w:jc w:val="center"/>
              <w:rPr>
                <w:color w:val="auto"/>
                <w:szCs w:val="18"/>
              </w:rPr>
            </w:pPr>
            <w:r w:rsidRPr="00BC022A">
              <w:rPr>
                <w:color w:val="auto"/>
                <w:szCs w:val="18"/>
              </w:rPr>
              <w:t>80,900</w:t>
            </w:r>
          </w:p>
        </w:tc>
        <w:tc>
          <w:tcPr>
            <w:tcW w:w="1984" w:type="dxa"/>
          </w:tcPr>
          <w:p w14:paraId="115DA342" w14:textId="77777777" w:rsidR="00D27769" w:rsidRPr="00BC022A" w:rsidRDefault="00D27769" w:rsidP="00C32947">
            <w:pPr>
              <w:jc w:val="center"/>
              <w:rPr>
                <w:color w:val="auto"/>
                <w:szCs w:val="18"/>
              </w:rPr>
            </w:pPr>
            <w:r w:rsidRPr="00BC022A">
              <w:rPr>
                <w:color w:val="auto"/>
                <w:szCs w:val="18"/>
              </w:rPr>
              <w:t>11,100</w:t>
            </w:r>
          </w:p>
        </w:tc>
        <w:tc>
          <w:tcPr>
            <w:tcW w:w="3402" w:type="dxa"/>
          </w:tcPr>
          <w:p w14:paraId="504CDE56" w14:textId="77777777" w:rsidR="00D27769" w:rsidRPr="00F4747A" w:rsidRDefault="00D27769" w:rsidP="009C1B98">
            <w:pPr>
              <w:pStyle w:val="TableTextLeft"/>
              <w:numPr>
                <w:ilvl w:val="0"/>
                <w:numId w:val="24"/>
              </w:numPr>
            </w:pPr>
            <w:r w:rsidRPr="00F4747A">
              <w:t>Grazing native vegetation</w:t>
            </w:r>
          </w:p>
          <w:p w14:paraId="2FFA6E66" w14:textId="77777777" w:rsidR="00D27769" w:rsidRPr="00F4747A" w:rsidRDefault="00D27769" w:rsidP="009C1B98">
            <w:pPr>
              <w:pStyle w:val="TableTextLeft"/>
              <w:numPr>
                <w:ilvl w:val="0"/>
                <w:numId w:val="24"/>
              </w:numPr>
            </w:pPr>
            <w:r w:rsidRPr="00F4747A">
              <w:t>Dryland cropping</w:t>
            </w:r>
          </w:p>
          <w:p w14:paraId="3569FAC6" w14:textId="77777777" w:rsidR="00D27769" w:rsidRPr="00F4747A" w:rsidRDefault="00D27769" w:rsidP="009C1B98">
            <w:pPr>
              <w:pStyle w:val="TableTextLeft"/>
              <w:numPr>
                <w:ilvl w:val="0"/>
                <w:numId w:val="24"/>
              </w:numPr>
            </w:pPr>
            <w:r w:rsidRPr="00F4747A">
              <w:t>Production forestry</w:t>
            </w:r>
          </w:p>
        </w:tc>
      </w:tr>
      <w:tr w:rsidR="00D27769" w:rsidRPr="002F7ACC" w14:paraId="35EA739A" w14:textId="77777777" w:rsidTr="005E0FA1">
        <w:trPr>
          <w:cnfStyle w:val="000000010000" w:firstRow="0" w:lastRow="0" w:firstColumn="0" w:lastColumn="0" w:oddVBand="0" w:evenVBand="0" w:oddHBand="0" w:evenHBand="1" w:firstRowFirstColumn="0" w:firstRowLastColumn="0" w:lastRowFirstColumn="0" w:lastRowLastColumn="0"/>
        </w:trPr>
        <w:tc>
          <w:tcPr>
            <w:tcW w:w="1900" w:type="dxa"/>
          </w:tcPr>
          <w:p w14:paraId="7BCBE1A0" w14:textId="77777777" w:rsidR="00D27769" w:rsidRPr="00BC022A" w:rsidRDefault="00D27769" w:rsidP="00C32947">
            <w:pPr>
              <w:pStyle w:val="TableTextCentred0"/>
            </w:pPr>
            <w:r w:rsidRPr="00BC022A">
              <w:t>Clarence-Moreton Basin</w:t>
            </w:r>
          </w:p>
          <w:p w14:paraId="579BAE8F" w14:textId="77777777" w:rsidR="00D27769" w:rsidRPr="00BC022A" w:rsidRDefault="00D27769" w:rsidP="00C32947">
            <w:pPr>
              <w:pStyle w:val="TableTextCentred0"/>
            </w:pPr>
          </w:p>
        </w:tc>
        <w:tc>
          <w:tcPr>
            <w:tcW w:w="1276" w:type="dxa"/>
          </w:tcPr>
          <w:p w14:paraId="0A849252" w14:textId="77777777" w:rsidR="00D27769" w:rsidRPr="00370D85" w:rsidRDefault="00D27769" w:rsidP="00C32947">
            <w:pPr>
              <w:pStyle w:val="TableTextCentred0"/>
            </w:pPr>
            <w:r w:rsidRPr="00370D85">
              <w:t>36,480</w:t>
            </w:r>
            <w:r w:rsidRPr="00370D85">
              <w:br/>
              <w:t>(0.95)</w:t>
            </w:r>
          </w:p>
        </w:tc>
        <w:tc>
          <w:tcPr>
            <w:tcW w:w="1134" w:type="dxa"/>
          </w:tcPr>
          <w:p w14:paraId="1AEE1C9F" w14:textId="77777777" w:rsidR="00D27769" w:rsidRPr="00370D85" w:rsidRDefault="00D27769" w:rsidP="00C32947">
            <w:pPr>
              <w:pStyle w:val="TableTextCentred0"/>
            </w:pPr>
            <w:r w:rsidRPr="00370D85">
              <w:t>49</w:t>
            </w:r>
          </w:p>
        </w:tc>
        <w:tc>
          <w:tcPr>
            <w:tcW w:w="2268" w:type="dxa"/>
          </w:tcPr>
          <w:p w14:paraId="3BCCC885" w14:textId="77777777" w:rsidR="00D27769" w:rsidRPr="00370D85" w:rsidRDefault="00D27769" w:rsidP="00C32947">
            <w:pPr>
              <w:pStyle w:val="TableTextCentred0"/>
            </w:pPr>
            <w:r w:rsidRPr="00370D85">
              <w:t>Low-Moderate Productivity</w:t>
            </w:r>
          </w:p>
        </w:tc>
        <w:tc>
          <w:tcPr>
            <w:tcW w:w="2410" w:type="dxa"/>
          </w:tcPr>
          <w:p w14:paraId="3A35581B" w14:textId="77777777" w:rsidR="00D27769" w:rsidRPr="00370D85" w:rsidRDefault="00D27769" w:rsidP="00C32947">
            <w:pPr>
              <w:pStyle w:val="TableTextCentred0"/>
            </w:pPr>
            <w:r w:rsidRPr="00370D85">
              <w:t>40–24,300</w:t>
            </w:r>
          </w:p>
        </w:tc>
        <w:tc>
          <w:tcPr>
            <w:tcW w:w="1701" w:type="dxa"/>
          </w:tcPr>
          <w:p w14:paraId="2B81C9B8" w14:textId="77777777" w:rsidR="00D27769" w:rsidRPr="00BC022A" w:rsidRDefault="00D27769" w:rsidP="00C32947">
            <w:pPr>
              <w:pStyle w:val="TableTextCentred0"/>
            </w:pPr>
            <w:r>
              <w:t>2,</w:t>
            </w:r>
            <w:r w:rsidRPr="00BC022A">
              <w:t>700</w:t>
            </w:r>
          </w:p>
        </w:tc>
        <w:tc>
          <w:tcPr>
            <w:tcW w:w="2551" w:type="dxa"/>
          </w:tcPr>
          <w:p w14:paraId="2D245D61" w14:textId="77777777" w:rsidR="00D27769" w:rsidRPr="00BC022A" w:rsidRDefault="00D27769" w:rsidP="00C32947">
            <w:pPr>
              <w:pStyle w:val="TableTextCentred0"/>
            </w:pPr>
            <w:r>
              <w:t>3,</w:t>
            </w:r>
            <w:r w:rsidRPr="00BC022A">
              <w:t>600</w:t>
            </w:r>
          </w:p>
        </w:tc>
        <w:tc>
          <w:tcPr>
            <w:tcW w:w="1276" w:type="dxa"/>
          </w:tcPr>
          <w:p w14:paraId="671F1B4B" w14:textId="77777777" w:rsidR="00D27769" w:rsidRPr="00BC022A" w:rsidRDefault="00D27769" w:rsidP="00C32947">
            <w:pPr>
              <w:pStyle w:val="TableTextCentred0"/>
            </w:pPr>
            <w:r w:rsidRPr="00BC022A">
              <w:t>300</w:t>
            </w:r>
          </w:p>
        </w:tc>
        <w:tc>
          <w:tcPr>
            <w:tcW w:w="1701" w:type="dxa"/>
          </w:tcPr>
          <w:p w14:paraId="2F66E9E8" w14:textId="77777777" w:rsidR="00D27769" w:rsidRPr="00BC022A" w:rsidRDefault="00D27769" w:rsidP="00C32947">
            <w:pPr>
              <w:pStyle w:val="TableTextCentred0"/>
            </w:pPr>
            <w:r w:rsidRPr="00BC022A">
              <w:t>1,000,400</w:t>
            </w:r>
          </w:p>
        </w:tc>
        <w:tc>
          <w:tcPr>
            <w:tcW w:w="1984" w:type="dxa"/>
          </w:tcPr>
          <w:p w14:paraId="1A284512" w14:textId="77777777" w:rsidR="00D27769" w:rsidRPr="00BC022A" w:rsidRDefault="00D27769" w:rsidP="00C32947">
            <w:pPr>
              <w:pStyle w:val="TableTextCentred0"/>
            </w:pPr>
            <w:r w:rsidRPr="00BC022A">
              <w:t>2</w:t>
            </w:r>
            <w:r>
              <w:t>,</w:t>
            </w:r>
            <w:r w:rsidRPr="00BC022A">
              <w:t>000</w:t>
            </w:r>
          </w:p>
        </w:tc>
        <w:tc>
          <w:tcPr>
            <w:tcW w:w="3402" w:type="dxa"/>
          </w:tcPr>
          <w:p w14:paraId="15EE8A93" w14:textId="77777777" w:rsidR="00D27769" w:rsidRPr="00F4747A" w:rsidRDefault="00D27769" w:rsidP="009C1B98">
            <w:pPr>
              <w:pStyle w:val="TableTextLeft"/>
              <w:numPr>
                <w:ilvl w:val="0"/>
                <w:numId w:val="25"/>
              </w:numPr>
            </w:pPr>
            <w:r w:rsidRPr="00F4747A">
              <w:t>Grazing native vegetation</w:t>
            </w:r>
          </w:p>
          <w:p w14:paraId="7B46E45E" w14:textId="77777777" w:rsidR="00D27769" w:rsidRPr="00F4747A" w:rsidRDefault="00D27769" w:rsidP="009C1B98">
            <w:pPr>
              <w:pStyle w:val="TableTextLeft"/>
              <w:numPr>
                <w:ilvl w:val="0"/>
                <w:numId w:val="25"/>
              </w:numPr>
            </w:pPr>
            <w:r w:rsidRPr="00F4747A">
              <w:t>Grazing modified pastures</w:t>
            </w:r>
          </w:p>
          <w:p w14:paraId="69B3E87A" w14:textId="77777777" w:rsidR="00D27769" w:rsidRPr="00F4747A" w:rsidRDefault="00D27769" w:rsidP="009C1B98">
            <w:pPr>
              <w:pStyle w:val="TableTextLeft"/>
              <w:numPr>
                <w:ilvl w:val="0"/>
                <w:numId w:val="25"/>
              </w:numPr>
            </w:pPr>
            <w:r w:rsidRPr="00F4747A">
              <w:t>Dryland cropping</w:t>
            </w:r>
          </w:p>
        </w:tc>
      </w:tr>
      <w:tr w:rsidR="00D27769" w:rsidRPr="002F7ACC" w14:paraId="35F38A5E" w14:textId="77777777" w:rsidTr="005E0FA1">
        <w:trPr>
          <w:cnfStyle w:val="000000100000" w:firstRow="0" w:lastRow="0" w:firstColumn="0" w:lastColumn="0" w:oddVBand="0" w:evenVBand="0" w:oddHBand="1" w:evenHBand="0" w:firstRowFirstColumn="0" w:firstRowLastColumn="0" w:lastRowFirstColumn="0" w:lastRowLastColumn="0"/>
        </w:trPr>
        <w:tc>
          <w:tcPr>
            <w:tcW w:w="1900" w:type="dxa"/>
          </w:tcPr>
          <w:p w14:paraId="7E61A845" w14:textId="77777777" w:rsidR="00D27769" w:rsidRPr="00BC022A" w:rsidRDefault="00D27769" w:rsidP="00C32947">
            <w:pPr>
              <w:pStyle w:val="TableTextCentred0"/>
            </w:pPr>
            <w:r w:rsidRPr="00BC022A">
              <w:t>Cooper Basin</w:t>
            </w:r>
          </w:p>
          <w:p w14:paraId="03814A4B" w14:textId="77777777" w:rsidR="00D27769" w:rsidRPr="00BC022A" w:rsidRDefault="00D27769" w:rsidP="00C32947">
            <w:pPr>
              <w:pStyle w:val="TableTextCentred0"/>
            </w:pPr>
          </w:p>
        </w:tc>
        <w:tc>
          <w:tcPr>
            <w:tcW w:w="1276" w:type="dxa"/>
          </w:tcPr>
          <w:p w14:paraId="120BD007" w14:textId="77777777" w:rsidR="00D27769" w:rsidRPr="00370D85" w:rsidRDefault="00D27769" w:rsidP="00C32947">
            <w:pPr>
              <w:pStyle w:val="TableTextCentred0"/>
            </w:pPr>
            <w:r>
              <w:t>4,</w:t>
            </w:r>
            <w:r w:rsidRPr="00370D85">
              <w:t>066</w:t>
            </w:r>
            <w:r w:rsidRPr="00370D85">
              <w:br/>
              <w:t>(0.03)</w:t>
            </w:r>
          </w:p>
        </w:tc>
        <w:tc>
          <w:tcPr>
            <w:tcW w:w="1134" w:type="dxa"/>
          </w:tcPr>
          <w:p w14:paraId="6A385988" w14:textId="77777777" w:rsidR="00D27769" w:rsidRPr="00370D85" w:rsidRDefault="00D27769" w:rsidP="00C32947">
            <w:pPr>
              <w:pStyle w:val="TableTextCentred0"/>
            </w:pPr>
            <w:r w:rsidRPr="00370D85">
              <w:t>1,505</w:t>
            </w:r>
          </w:p>
        </w:tc>
        <w:tc>
          <w:tcPr>
            <w:tcW w:w="2268" w:type="dxa"/>
          </w:tcPr>
          <w:p w14:paraId="0ECFB111" w14:textId="77777777" w:rsidR="00D27769" w:rsidRPr="00370D85" w:rsidRDefault="00D27769" w:rsidP="00C32947">
            <w:pPr>
              <w:pStyle w:val="TableTextCentred0"/>
            </w:pPr>
            <w:r w:rsidRPr="00370D85">
              <w:t>Highly Productive</w:t>
            </w:r>
          </w:p>
        </w:tc>
        <w:tc>
          <w:tcPr>
            <w:tcW w:w="2410" w:type="dxa"/>
          </w:tcPr>
          <w:p w14:paraId="50C899EA" w14:textId="77777777" w:rsidR="00D27769" w:rsidRPr="00370D85" w:rsidRDefault="00D27769" w:rsidP="00C32947">
            <w:pPr>
              <w:pStyle w:val="TableTextCentred0"/>
            </w:pPr>
            <w:r w:rsidRPr="00370D85">
              <w:t>900–18,000</w:t>
            </w:r>
          </w:p>
        </w:tc>
        <w:tc>
          <w:tcPr>
            <w:tcW w:w="1701" w:type="dxa"/>
          </w:tcPr>
          <w:p w14:paraId="3AC57D73" w14:textId="77777777" w:rsidR="00D27769" w:rsidRPr="00BC022A" w:rsidRDefault="00D27769" w:rsidP="00C32947">
            <w:pPr>
              <w:pStyle w:val="TableTextCentred0"/>
            </w:pPr>
            <w:r w:rsidRPr="00BC022A">
              <w:t>13,800</w:t>
            </w:r>
          </w:p>
        </w:tc>
        <w:tc>
          <w:tcPr>
            <w:tcW w:w="2551" w:type="dxa"/>
          </w:tcPr>
          <w:p w14:paraId="456A7DA4" w14:textId="77777777" w:rsidR="00D27769" w:rsidRPr="00BC022A" w:rsidRDefault="00D27769" w:rsidP="00C32947">
            <w:pPr>
              <w:pStyle w:val="TableTextCentred0"/>
            </w:pPr>
            <w:r w:rsidRPr="00BC022A">
              <w:t>15,400</w:t>
            </w:r>
          </w:p>
        </w:tc>
        <w:tc>
          <w:tcPr>
            <w:tcW w:w="1276" w:type="dxa"/>
          </w:tcPr>
          <w:p w14:paraId="2162E6C1" w14:textId="77777777" w:rsidR="00D27769" w:rsidRPr="00BC022A" w:rsidRDefault="00D27769" w:rsidP="00C32947">
            <w:pPr>
              <w:pStyle w:val="TableTextCentred0"/>
            </w:pPr>
            <w:r w:rsidRPr="00BC022A">
              <w:t>16,200</w:t>
            </w:r>
          </w:p>
        </w:tc>
        <w:tc>
          <w:tcPr>
            <w:tcW w:w="1701" w:type="dxa"/>
          </w:tcPr>
          <w:p w14:paraId="6A3B3C59" w14:textId="77777777" w:rsidR="00D27769" w:rsidRPr="00BC022A" w:rsidRDefault="00D27769" w:rsidP="00C32947">
            <w:pPr>
              <w:pStyle w:val="TableTextCentred0"/>
            </w:pPr>
            <w:r w:rsidRPr="00BC022A">
              <w:t>400</w:t>
            </w:r>
          </w:p>
        </w:tc>
        <w:tc>
          <w:tcPr>
            <w:tcW w:w="1984" w:type="dxa"/>
          </w:tcPr>
          <w:p w14:paraId="7D87120C" w14:textId="77777777" w:rsidR="00D27769" w:rsidRPr="00BC022A" w:rsidRDefault="00D27769" w:rsidP="00C32947">
            <w:pPr>
              <w:pStyle w:val="TableTextCentred0"/>
            </w:pPr>
            <w:r w:rsidRPr="00BC022A">
              <w:t>61,600</w:t>
            </w:r>
          </w:p>
        </w:tc>
        <w:tc>
          <w:tcPr>
            <w:tcW w:w="3402" w:type="dxa"/>
          </w:tcPr>
          <w:p w14:paraId="41CC4FE5" w14:textId="77777777" w:rsidR="00D27769" w:rsidRPr="00F4747A" w:rsidRDefault="00D27769" w:rsidP="009C1B98">
            <w:pPr>
              <w:pStyle w:val="TableTextLeft"/>
              <w:numPr>
                <w:ilvl w:val="0"/>
                <w:numId w:val="26"/>
              </w:numPr>
            </w:pPr>
            <w:r w:rsidRPr="00F4747A">
              <w:t>Grazing native vegetation</w:t>
            </w:r>
          </w:p>
          <w:p w14:paraId="5621CF7E" w14:textId="77777777" w:rsidR="00D27769" w:rsidRPr="00F4747A" w:rsidRDefault="00D27769" w:rsidP="009C1B98">
            <w:pPr>
              <w:pStyle w:val="TableTextLeft"/>
              <w:numPr>
                <w:ilvl w:val="0"/>
                <w:numId w:val="26"/>
              </w:numPr>
            </w:pPr>
            <w:r w:rsidRPr="00F4747A">
              <w:t>Nature conservation</w:t>
            </w:r>
          </w:p>
          <w:p w14:paraId="6A2203AA" w14:textId="77777777" w:rsidR="00D27769" w:rsidRPr="00F4747A" w:rsidRDefault="00D27769" w:rsidP="009C1B98">
            <w:pPr>
              <w:pStyle w:val="TableTextLeft"/>
              <w:numPr>
                <w:ilvl w:val="0"/>
                <w:numId w:val="26"/>
              </w:numPr>
            </w:pPr>
            <w:r w:rsidRPr="00F4747A">
              <w:t>Mining and waste</w:t>
            </w:r>
          </w:p>
        </w:tc>
      </w:tr>
      <w:tr w:rsidR="00D27769" w:rsidRPr="002F7ACC" w14:paraId="24CEB3F1" w14:textId="77777777" w:rsidTr="005E0FA1">
        <w:trPr>
          <w:cnfStyle w:val="000000010000" w:firstRow="0" w:lastRow="0" w:firstColumn="0" w:lastColumn="0" w:oddVBand="0" w:evenVBand="0" w:oddHBand="0" w:evenHBand="1" w:firstRowFirstColumn="0" w:firstRowLastColumn="0" w:lastRowFirstColumn="0" w:lastRowLastColumn="0"/>
        </w:trPr>
        <w:tc>
          <w:tcPr>
            <w:tcW w:w="1900" w:type="dxa"/>
          </w:tcPr>
          <w:p w14:paraId="5B100A6B" w14:textId="77777777" w:rsidR="00D27769" w:rsidRPr="00BC022A" w:rsidRDefault="00D27769" w:rsidP="00C32947">
            <w:pPr>
              <w:pStyle w:val="TableTextCentred0"/>
            </w:pPr>
            <w:r w:rsidRPr="00BC022A">
              <w:t>Georgina Basin</w:t>
            </w:r>
          </w:p>
          <w:p w14:paraId="116C95A6" w14:textId="77777777" w:rsidR="00D27769" w:rsidRPr="00BC022A" w:rsidRDefault="00D27769" w:rsidP="00C32947">
            <w:pPr>
              <w:pStyle w:val="TableTextCentred0"/>
            </w:pPr>
          </w:p>
        </w:tc>
        <w:tc>
          <w:tcPr>
            <w:tcW w:w="1276" w:type="dxa"/>
          </w:tcPr>
          <w:p w14:paraId="0DB5AE91" w14:textId="77777777" w:rsidR="00D27769" w:rsidRPr="00370D85" w:rsidRDefault="00D27769" w:rsidP="00C32947">
            <w:pPr>
              <w:pStyle w:val="TableTextCentred0"/>
            </w:pPr>
            <w:r w:rsidRPr="00370D85">
              <w:t>5</w:t>
            </w:r>
            <w:r>
              <w:t>,</w:t>
            </w:r>
            <w:r w:rsidRPr="00370D85">
              <w:t>797</w:t>
            </w:r>
          </w:p>
          <w:p w14:paraId="0DF69911" w14:textId="77777777" w:rsidR="00D27769" w:rsidRPr="00370D85" w:rsidRDefault="00D27769" w:rsidP="00C32947">
            <w:pPr>
              <w:pStyle w:val="TableTextCentred0"/>
            </w:pPr>
            <w:r w:rsidRPr="00370D85">
              <w:t>(0.02)</w:t>
            </w:r>
          </w:p>
        </w:tc>
        <w:tc>
          <w:tcPr>
            <w:tcW w:w="1134" w:type="dxa"/>
          </w:tcPr>
          <w:p w14:paraId="485AD0FB" w14:textId="77777777" w:rsidR="00D27769" w:rsidRPr="00370D85" w:rsidRDefault="00D27769" w:rsidP="00C32947">
            <w:pPr>
              <w:pStyle w:val="TableTextCentred0"/>
            </w:pPr>
            <w:r w:rsidRPr="00370D85">
              <w:t>91</w:t>
            </w:r>
          </w:p>
        </w:tc>
        <w:tc>
          <w:tcPr>
            <w:tcW w:w="2268" w:type="dxa"/>
          </w:tcPr>
          <w:p w14:paraId="5F1002AD" w14:textId="77777777" w:rsidR="00D27769" w:rsidRPr="00370D85" w:rsidRDefault="00D27769" w:rsidP="00C32947">
            <w:pPr>
              <w:pStyle w:val="TableTextCentred0"/>
            </w:pPr>
            <w:r w:rsidRPr="00370D85">
              <w:t>Highly Productive</w:t>
            </w:r>
          </w:p>
        </w:tc>
        <w:tc>
          <w:tcPr>
            <w:tcW w:w="2410" w:type="dxa"/>
          </w:tcPr>
          <w:p w14:paraId="04438A5B" w14:textId="77777777" w:rsidR="00D27769" w:rsidRPr="00370D85" w:rsidRDefault="00D27769" w:rsidP="00C32947">
            <w:pPr>
              <w:pStyle w:val="TableTextCentred0"/>
            </w:pPr>
            <w:r w:rsidRPr="00370D85">
              <w:t>390–5,000+</w:t>
            </w:r>
          </w:p>
        </w:tc>
        <w:tc>
          <w:tcPr>
            <w:tcW w:w="1701" w:type="dxa"/>
          </w:tcPr>
          <w:p w14:paraId="2E1F80ED" w14:textId="77777777" w:rsidR="00D27769" w:rsidRPr="00BC022A" w:rsidRDefault="00D27769" w:rsidP="00C32947">
            <w:pPr>
              <w:jc w:val="center"/>
              <w:rPr>
                <w:color w:val="auto"/>
                <w:szCs w:val="18"/>
              </w:rPr>
            </w:pPr>
            <w:r>
              <w:rPr>
                <w:color w:val="auto"/>
                <w:szCs w:val="18"/>
              </w:rPr>
              <w:t>7,</w:t>
            </w:r>
            <w:r w:rsidRPr="00BC022A">
              <w:rPr>
                <w:color w:val="auto"/>
                <w:szCs w:val="18"/>
              </w:rPr>
              <w:t>700</w:t>
            </w:r>
          </w:p>
        </w:tc>
        <w:tc>
          <w:tcPr>
            <w:tcW w:w="2551" w:type="dxa"/>
          </w:tcPr>
          <w:p w14:paraId="09A1E2F6" w14:textId="77777777" w:rsidR="00D27769" w:rsidRPr="00BC022A" w:rsidRDefault="00D27769" w:rsidP="00C32947">
            <w:pPr>
              <w:jc w:val="center"/>
              <w:rPr>
                <w:color w:val="auto"/>
                <w:szCs w:val="18"/>
              </w:rPr>
            </w:pPr>
            <w:r>
              <w:rPr>
                <w:color w:val="auto"/>
                <w:szCs w:val="18"/>
              </w:rPr>
              <w:t>9,</w:t>
            </w:r>
            <w:r w:rsidRPr="00BC022A">
              <w:rPr>
                <w:color w:val="auto"/>
                <w:szCs w:val="18"/>
              </w:rPr>
              <w:t>700</w:t>
            </w:r>
          </w:p>
        </w:tc>
        <w:tc>
          <w:tcPr>
            <w:tcW w:w="1276" w:type="dxa"/>
          </w:tcPr>
          <w:p w14:paraId="228CA932" w14:textId="77777777" w:rsidR="00D27769" w:rsidRPr="00BC022A" w:rsidRDefault="00D27769" w:rsidP="00C32947">
            <w:pPr>
              <w:jc w:val="center"/>
              <w:rPr>
                <w:color w:val="auto"/>
                <w:szCs w:val="18"/>
              </w:rPr>
            </w:pPr>
            <w:r>
              <w:rPr>
                <w:color w:val="auto"/>
                <w:szCs w:val="18"/>
              </w:rPr>
              <w:t>6,</w:t>
            </w:r>
            <w:r w:rsidRPr="00BC022A">
              <w:rPr>
                <w:color w:val="auto"/>
                <w:szCs w:val="18"/>
              </w:rPr>
              <w:t>500</w:t>
            </w:r>
          </w:p>
        </w:tc>
        <w:tc>
          <w:tcPr>
            <w:tcW w:w="1701" w:type="dxa"/>
          </w:tcPr>
          <w:p w14:paraId="0943B4FD" w14:textId="77777777" w:rsidR="00D27769" w:rsidRPr="00BC022A" w:rsidRDefault="00D27769" w:rsidP="00C32947">
            <w:pPr>
              <w:jc w:val="center"/>
              <w:rPr>
                <w:color w:val="auto"/>
                <w:szCs w:val="18"/>
              </w:rPr>
            </w:pPr>
            <w:r>
              <w:rPr>
                <w:color w:val="auto"/>
                <w:szCs w:val="18"/>
              </w:rPr>
              <w:t>3,</w:t>
            </w:r>
            <w:r w:rsidRPr="00BC022A">
              <w:rPr>
                <w:color w:val="auto"/>
                <w:szCs w:val="18"/>
              </w:rPr>
              <w:t>700</w:t>
            </w:r>
          </w:p>
        </w:tc>
        <w:tc>
          <w:tcPr>
            <w:tcW w:w="1984" w:type="dxa"/>
          </w:tcPr>
          <w:p w14:paraId="05830EE0" w14:textId="77777777" w:rsidR="00D27769" w:rsidRPr="00BC022A" w:rsidRDefault="00D27769" w:rsidP="00C32947">
            <w:pPr>
              <w:jc w:val="center"/>
              <w:rPr>
                <w:color w:val="auto"/>
                <w:szCs w:val="18"/>
              </w:rPr>
            </w:pPr>
            <w:r w:rsidRPr="00BC022A">
              <w:rPr>
                <w:color w:val="auto"/>
                <w:szCs w:val="18"/>
              </w:rPr>
              <w:t>188,200</w:t>
            </w:r>
          </w:p>
        </w:tc>
        <w:tc>
          <w:tcPr>
            <w:tcW w:w="3402" w:type="dxa"/>
          </w:tcPr>
          <w:p w14:paraId="0FDE6D5C" w14:textId="77777777" w:rsidR="00D27769" w:rsidRPr="00F4747A" w:rsidRDefault="00D27769" w:rsidP="009C1B98">
            <w:pPr>
              <w:pStyle w:val="TableTextLeft"/>
              <w:numPr>
                <w:ilvl w:val="0"/>
                <w:numId w:val="27"/>
              </w:numPr>
            </w:pPr>
            <w:r w:rsidRPr="00F4747A">
              <w:t>Grazing native vegetation</w:t>
            </w:r>
          </w:p>
          <w:p w14:paraId="63162EEC" w14:textId="77777777" w:rsidR="00D27769" w:rsidRPr="00F4747A" w:rsidRDefault="00D27769" w:rsidP="009C1B98">
            <w:pPr>
              <w:pStyle w:val="TableTextLeft"/>
              <w:numPr>
                <w:ilvl w:val="0"/>
                <w:numId w:val="27"/>
              </w:numPr>
            </w:pPr>
            <w:r w:rsidRPr="00F4747A">
              <w:t>Other Protected areas</w:t>
            </w:r>
          </w:p>
          <w:p w14:paraId="6512FF08" w14:textId="77777777" w:rsidR="00D27769" w:rsidRPr="00F4747A" w:rsidRDefault="00D27769" w:rsidP="009C1B98">
            <w:pPr>
              <w:pStyle w:val="TableTextLeft"/>
              <w:numPr>
                <w:ilvl w:val="0"/>
                <w:numId w:val="27"/>
              </w:numPr>
            </w:pPr>
            <w:r w:rsidRPr="00F4747A">
              <w:t>Minimal use</w:t>
            </w:r>
          </w:p>
        </w:tc>
      </w:tr>
      <w:tr w:rsidR="00D27769" w:rsidRPr="002F7ACC" w14:paraId="43A27F05" w14:textId="77777777" w:rsidTr="005E0FA1">
        <w:trPr>
          <w:cnfStyle w:val="000000100000" w:firstRow="0" w:lastRow="0" w:firstColumn="0" w:lastColumn="0" w:oddVBand="0" w:evenVBand="0" w:oddHBand="1" w:evenHBand="0" w:firstRowFirstColumn="0" w:firstRowLastColumn="0" w:lastRowFirstColumn="0" w:lastRowLastColumn="0"/>
        </w:trPr>
        <w:tc>
          <w:tcPr>
            <w:tcW w:w="1900" w:type="dxa"/>
          </w:tcPr>
          <w:p w14:paraId="28D9FCD1" w14:textId="77777777" w:rsidR="00D27769" w:rsidRPr="00BC022A" w:rsidRDefault="00D27769" w:rsidP="00C32947">
            <w:pPr>
              <w:pStyle w:val="TableTextCentred0"/>
            </w:pPr>
            <w:r w:rsidRPr="00BC022A">
              <w:t>Gippsland Basin (Onshore)</w:t>
            </w:r>
          </w:p>
          <w:p w14:paraId="4DC4B6B7" w14:textId="77777777" w:rsidR="00D27769" w:rsidRPr="00BC022A" w:rsidRDefault="00D27769" w:rsidP="00C32947">
            <w:pPr>
              <w:pStyle w:val="TableTextCentred0"/>
            </w:pPr>
          </w:p>
        </w:tc>
        <w:tc>
          <w:tcPr>
            <w:tcW w:w="1276" w:type="dxa"/>
          </w:tcPr>
          <w:p w14:paraId="0EA26DB0" w14:textId="77777777" w:rsidR="00D27769" w:rsidRPr="00370D85" w:rsidRDefault="00D27769" w:rsidP="00C32947">
            <w:pPr>
              <w:pStyle w:val="TableTextCentred0"/>
            </w:pPr>
            <w:r w:rsidRPr="00370D85">
              <w:t>32,564</w:t>
            </w:r>
            <w:r w:rsidRPr="00370D85">
              <w:br/>
              <w:t>(2.82)</w:t>
            </w:r>
          </w:p>
        </w:tc>
        <w:tc>
          <w:tcPr>
            <w:tcW w:w="1134" w:type="dxa"/>
          </w:tcPr>
          <w:p w14:paraId="0856BF4D" w14:textId="77777777" w:rsidR="00D27769" w:rsidRPr="00370D85" w:rsidRDefault="00D27769" w:rsidP="00C32947">
            <w:pPr>
              <w:pStyle w:val="TableTextCentred0"/>
            </w:pPr>
            <w:r w:rsidRPr="00370D85">
              <w:t>75</w:t>
            </w:r>
          </w:p>
        </w:tc>
        <w:tc>
          <w:tcPr>
            <w:tcW w:w="2268" w:type="dxa"/>
          </w:tcPr>
          <w:p w14:paraId="02F58F98" w14:textId="77777777" w:rsidR="00D27769" w:rsidRPr="00370D85" w:rsidRDefault="00D27769" w:rsidP="00C32947">
            <w:pPr>
              <w:pStyle w:val="TableTextCentred0"/>
            </w:pPr>
            <w:r w:rsidRPr="00370D85">
              <w:t>Highly Productive</w:t>
            </w:r>
          </w:p>
        </w:tc>
        <w:tc>
          <w:tcPr>
            <w:tcW w:w="2410" w:type="dxa"/>
          </w:tcPr>
          <w:p w14:paraId="21926A8D" w14:textId="77777777" w:rsidR="00D27769" w:rsidRPr="00370D85" w:rsidRDefault="00D27769" w:rsidP="00C32947">
            <w:pPr>
              <w:pStyle w:val="TableTextCentred0"/>
            </w:pPr>
            <w:r w:rsidRPr="00370D85">
              <w:t>200–13,000</w:t>
            </w:r>
          </w:p>
        </w:tc>
        <w:tc>
          <w:tcPr>
            <w:tcW w:w="1701" w:type="dxa"/>
          </w:tcPr>
          <w:p w14:paraId="090E5CC6" w14:textId="77777777" w:rsidR="00D27769" w:rsidRPr="00BC022A" w:rsidRDefault="00D27769" w:rsidP="00C32947">
            <w:pPr>
              <w:pStyle w:val="TableTextCentred0"/>
            </w:pPr>
            <w:r>
              <w:t>1,</w:t>
            </w:r>
            <w:r w:rsidRPr="00BC022A">
              <w:t>800</w:t>
            </w:r>
          </w:p>
        </w:tc>
        <w:tc>
          <w:tcPr>
            <w:tcW w:w="2551" w:type="dxa"/>
          </w:tcPr>
          <w:p w14:paraId="0709CF3B" w14:textId="77777777" w:rsidR="00D27769" w:rsidRPr="00BC022A" w:rsidRDefault="00D27769" w:rsidP="00C32947">
            <w:pPr>
              <w:pStyle w:val="TableTextCentred0"/>
            </w:pPr>
            <w:r>
              <w:t>1,</w:t>
            </w:r>
            <w:r w:rsidRPr="00BC022A">
              <w:t>200</w:t>
            </w:r>
          </w:p>
        </w:tc>
        <w:tc>
          <w:tcPr>
            <w:tcW w:w="1276" w:type="dxa"/>
          </w:tcPr>
          <w:p w14:paraId="1E5FBFDC" w14:textId="77777777" w:rsidR="00D27769" w:rsidRPr="00BC022A" w:rsidRDefault="00D27769" w:rsidP="00C32947">
            <w:pPr>
              <w:pStyle w:val="TableTextCentred0"/>
            </w:pPr>
            <w:r>
              <w:t>1,</w:t>
            </w:r>
            <w:r w:rsidRPr="00BC022A">
              <w:t>600</w:t>
            </w:r>
          </w:p>
        </w:tc>
        <w:tc>
          <w:tcPr>
            <w:tcW w:w="1701" w:type="dxa"/>
          </w:tcPr>
          <w:p w14:paraId="5A5021F4" w14:textId="77777777" w:rsidR="00D27769" w:rsidRPr="00BC022A" w:rsidRDefault="00D27769" w:rsidP="00C32947">
            <w:pPr>
              <w:pStyle w:val="TableTextCentred0"/>
            </w:pPr>
            <w:r w:rsidRPr="00BC022A">
              <w:t>396,200</w:t>
            </w:r>
          </w:p>
        </w:tc>
        <w:tc>
          <w:tcPr>
            <w:tcW w:w="1984" w:type="dxa"/>
          </w:tcPr>
          <w:p w14:paraId="4F336EF9" w14:textId="77777777" w:rsidR="00D27769" w:rsidRPr="00BC022A" w:rsidRDefault="00D27769" w:rsidP="00C32947">
            <w:pPr>
              <w:pStyle w:val="TableTextCentred0"/>
            </w:pPr>
            <w:r>
              <w:t>2,</w:t>
            </w:r>
            <w:r w:rsidRPr="00BC022A">
              <w:t>100</w:t>
            </w:r>
          </w:p>
        </w:tc>
        <w:tc>
          <w:tcPr>
            <w:tcW w:w="3402" w:type="dxa"/>
          </w:tcPr>
          <w:p w14:paraId="03351E6D" w14:textId="77777777" w:rsidR="00D27769" w:rsidRPr="00F4747A" w:rsidRDefault="00D27769" w:rsidP="009C1B98">
            <w:pPr>
              <w:pStyle w:val="TableTextLeft"/>
              <w:numPr>
                <w:ilvl w:val="0"/>
                <w:numId w:val="28"/>
              </w:numPr>
            </w:pPr>
            <w:r w:rsidRPr="00F4747A">
              <w:t>Grazing modified pastures</w:t>
            </w:r>
          </w:p>
          <w:p w14:paraId="27DCF884" w14:textId="77777777" w:rsidR="00D27769" w:rsidRPr="00F4747A" w:rsidRDefault="00D27769" w:rsidP="009C1B98">
            <w:pPr>
              <w:pStyle w:val="TableTextLeft"/>
              <w:numPr>
                <w:ilvl w:val="0"/>
                <w:numId w:val="28"/>
              </w:numPr>
            </w:pPr>
            <w:r w:rsidRPr="00F4747A">
              <w:t>Plantation forestry</w:t>
            </w:r>
          </w:p>
          <w:p w14:paraId="6336AD48" w14:textId="77777777" w:rsidR="00D27769" w:rsidRPr="00F4747A" w:rsidRDefault="00D27769" w:rsidP="009C1B98">
            <w:pPr>
              <w:pStyle w:val="TableTextLeft"/>
              <w:numPr>
                <w:ilvl w:val="0"/>
                <w:numId w:val="28"/>
              </w:numPr>
            </w:pPr>
            <w:r w:rsidRPr="00F4747A">
              <w:t>Nature Conservation</w:t>
            </w:r>
          </w:p>
        </w:tc>
      </w:tr>
      <w:tr w:rsidR="00D27769" w:rsidRPr="002F7ACC" w14:paraId="0BCC29EB" w14:textId="77777777" w:rsidTr="005E0FA1">
        <w:trPr>
          <w:cnfStyle w:val="000000010000" w:firstRow="0" w:lastRow="0" w:firstColumn="0" w:lastColumn="0" w:oddVBand="0" w:evenVBand="0" w:oddHBand="0" w:evenHBand="1" w:firstRowFirstColumn="0" w:firstRowLastColumn="0" w:lastRowFirstColumn="0" w:lastRowLastColumn="0"/>
        </w:trPr>
        <w:tc>
          <w:tcPr>
            <w:tcW w:w="1900" w:type="dxa"/>
          </w:tcPr>
          <w:p w14:paraId="4BEFB0D1" w14:textId="77777777" w:rsidR="00D27769" w:rsidRPr="00BC022A" w:rsidRDefault="00D27769" w:rsidP="00C32947">
            <w:pPr>
              <w:pStyle w:val="TableTextCentred0"/>
            </w:pPr>
            <w:r w:rsidRPr="00BC022A">
              <w:t>McArthur Basin</w:t>
            </w:r>
          </w:p>
          <w:p w14:paraId="455F1F23" w14:textId="77777777" w:rsidR="00D27769" w:rsidRPr="00BC022A" w:rsidRDefault="00D27769" w:rsidP="00C32947">
            <w:pPr>
              <w:pStyle w:val="TableTextCentred0"/>
            </w:pPr>
          </w:p>
        </w:tc>
        <w:tc>
          <w:tcPr>
            <w:tcW w:w="1276" w:type="dxa"/>
          </w:tcPr>
          <w:p w14:paraId="6D3A5A0E" w14:textId="77777777" w:rsidR="00D27769" w:rsidRPr="00370D85" w:rsidRDefault="00D27769" w:rsidP="00C32947">
            <w:pPr>
              <w:pStyle w:val="TableTextCentred0"/>
            </w:pPr>
            <w:r>
              <w:t>4,</w:t>
            </w:r>
            <w:r w:rsidRPr="00370D85">
              <w:t>700</w:t>
            </w:r>
          </w:p>
          <w:p w14:paraId="729DAAD7" w14:textId="77777777" w:rsidR="00D27769" w:rsidRPr="00370D85" w:rsidRDefault="00D27769" w:rsidP="00C32947">
            <w:pPr>
              <w:pStyle w:val="TableTextCentred0"/>
            </w:pPr>
            <w:r w:rsidRPr="00370D85">
              <w:t>(0.02)</w:t>
            </w:r>
          </w:p>
        </w:tc>
        <w:tc>
          <w:tcPr>
            <w:tcW w:w="1134" w:type="dxa"/>
          </w:tcPr>
          <w:p w14:paraId="25AFFF8E" w14:textId="77777777" w:rsidR="00D27769" w:rsidRPr="00370D85" w:rsidRDefault="00D27769" w:rsidP="00C32947">
            <w:pPr>
              <w:pStyle w:val="TableTextCentred0"/>
            </w:pPr>
            <w:r w:rsidRPr="00370D85">
              <w:t>63</w:t>
            </w:r>
          </w:p>
        </w:tc>
        <w:tc>
          <w:tcPr>
            <w:tcW w:w="2268" w:type="dxa"/>
          </w:tcPr>
          <w:p w14:paraId="6BEBB164" w14:textId="77777777" w:rsidR="00D27769" w:rsidRPr="00370D85" w:rsidRDefault="00D27769" w:rsidP="00C32947">
            <w:pPr>
              <w:pStyle w:val="TableTextCentred0"/>
            </w:pPr>
            <w:r w:rsidRPr="00370D85">
              <w:t xml:space="preserve">Highly Productive (south); </w:t>
            </w:r>
            <w:r w:rsidRPr="00370D85">
              <w:br/>
              <w:t>Low-moderate Productivity (north)</w:t>
            </w:r>
          </w:p>
        </w:tc>
        <w:tc>
          <w:tcPr>
            <w:tcW w:w="2410" w:type="dxa"/>
          </w:tcPr>
          <w:p w14:paraId="4C013C1E" w14:textId="77777777" w:rsidR="00D27769" w:rsidRPr="00370D85" w:rsidRDefault="00D27769" w:rsidP="00C32947">
            <w:pPr>
              <w:pStyle w:val="TableTextCentred0"/>
            </w:pPr>
            <w:r w:rsidRPr="00370D85">
              <w:t>50–105,000</w:t>
            </w:r>
          </w:p>
        </w:tc>
        <w:tc>
          <w:tcPr>
            <w:tcW w:w="1701" w:type="dxa"/>
          </w:tcPr>
          <w:p w14:paraId="666C2F3A" w14:textId="77777777" w:rsidR="00D27769" w:rsidRPr="00BC022A" w:rsidRDefault="00D27769" w:rsidP="00C32947">
            <w:pPr>
              <w:jc w:val="center"/>
              <w:rPr>
                <w:color w:val="auto"/>
                <w:szCs w:val="18"/>
              </w:rPr>
            </w:pPr>
            <w:r>
              <w:rPr>
                <w:color w:val="auto"/>
                <w:szCs w:val="18"/>
              </w:rPr>
              <w:t>8,</w:t>
            </w:r>
            <w:r w:rsidRPr="00BC022A">
              <w:rPr>
                <w:color w:val="auto"/>
                <w:szCs w:val="18"/>
              </w:rPr>
              <w:t>900</w:t>
            </w:r>
          </w:p>
        </w:tc>
        <w:tc>
          <w:tcPr>
            <w:tcW w:w="2551" w:type="dxa"/>
          </w:tcPr>
          <w:p w14:paraId="5F5CA63A" w14:textId="77777777" w:rsidR="00D27769" w:rsidRPr="00BC022A" w:rsidRDefault="00D27769" w:rsidP="00C32947">
            <w:pPr>
              <w:jc w:val="center"/>
              <w:rPr>
                <w:color w:val="auto"/>
                <w:szCs w:val="18"/>
              </w:rPr>
            </w:pPr>
            <w:r w:rsidRPr="00BC022A">
              <w:rPr>
                <w:color w:val="auto"/>
                <w:szCs w:val="18"/>
              </w:rPr>
              <w:t>19,600</w:t>
            </w:r>
          </w:p>
        </w:tc>
        <w:tc>
          <w:tcPr>
            <w:tcW w:w="1276" w:type="dxa"/>
          </w:tcPr>
          <w:p w14:paraId="0061D6F7" w14:textId="77777777" w:rsidR="00D27769" w:rsidRPr="00BC022A" w:rsidRDefault="00D27769" w:rsidP="00C32947">
            <w:pPr>
              <w:jc w:val="center"/>
              <w:rPr>
                <w:color w:val="auto"/>
                <w:szCs w:val="18"/>
              </w:rPr>
            </w:pPr>
            <w:r>
              <w:rPr>
                <w:color w:val="auto"/>
                <w:szCs w:val="18"/>
              </w:rPr>
              <w:t>5,</w:t>
            </w:r>
            <w:r w:rsidRPr="00BC022A">
              <w:rPr>
                <w:color w:val="auto"/>
                <w:szCs w:val="18"/>
              </w:rPr>
              <w:t>400</w:t>
            </w:r>
          </w:p>
        </w:tc>
        <w:tc>
          <w:tcPr>
            <w:tcW w:w="1701" w:type="dxa"/>
          </w:tcPr>
          <w:p w14:paraId="448077AE" w14:textId="77777777" w:rsidR="00D27769" w:rsidRPr="00BC022A" w:rsidRDefault="00D27769" w:rsidP="00C32947">
            <w:pPr>
              <w:pStyle w:val="TableTextCentred0"/>
            </w:pPr>
            <w:r w:rsidRPr="00BC022A">
              <w:t>29,800</w:t>
            </w:r>
          </w:p>
        </w:tc>
        <w:tc>
          <w:tcPr>
            <w:tcW w:w="1984" w:type="dxa"/>
          </w:tcPr>
          <w:p w14:paraId="0F7C1FAA" w14:textId="77777777" w:rsidR="00D27769" w:rsidRPr="00BC022A" w:rsidRDefault="00D27769" w:rsidP="00C32947">
            <w:pPr>
              <w:jc w:val="center"/>
              <w:rPr>
                <w:color w:val="auto"/>
                <w:szCs w:val="18"/>
              </w:rPr>
            </w:pPr>
            <w:r w:rsidRPr="00BC022A">
              <w:rPr>
                <w:color w:val="auto"/>
                <w:szCs w:val="18"/>
              </w:rPr>
              <w:t>135,800</w:t>
            </w:r>
          </w:p>
        </w:tc>
        <w:tc>
          <w:tcPr>
            <w:tcW w:w="3402" w:type="dxa"/>
          </w:tcPr>
          <w:p w14:paraId="27D76944" w14:textId="77777777" w:rsidR="00D27769" w:rsidRPr="00F4747A" w:rsidRDefault="00D27769" w:rsidP="009C1B98">
            <w:pPr>
              <w:pStyle w:val="TableTextLeft"/>
              <w:numPr>
                <w:ilvl w:val="0"/>
                <w:numId w:val="29"/>
              </w:numPr>
            </w:pPr>
            <w:r w:rsidRPr="00F4747A">
              <w:t>Grazing native vegetation</w:t>
            </w:r>
          </w:p>
          <w:p w14:paraId="0DEE2B80" w14:textId="77777777" w:rsidR="00D27769" w:rsidRPr="00F4747A" w:rsidRDefault="00D27769" w:rsidP="009C1B98">
            <w:pPr>
              <w:pStyle w:val="TableTextLeft"/>
              <w:numPr>
                <w:ilvl w:val="0"/>
                <w:numId w:val="29"/>
              </w:numPr>
            </w:pPr>
            <w:r w:rsidRPr="00F4747A">
              <w:t>Other Protected areas</w:t>
            </w:r>
          </w:p>
          <w:p w14:paraId="05078028" w14:textId="77777777" w:rsidR="00D27769" w:rsidRPr="00F4747A" w:rsidRDefault="00D27769" w:rsidP="009C1B98">
            <w:pPr>
              <w:pStyle w:val="TableTextLeft"/>
              <w:numPr>
                <w:ilvl w:val="0"/>
                <w:numId w:val="29"/>
              </w:numPr>
            </w:pPr>
            <w:r w:rsidRPr="00F4747A">
              <w:t>Nature conservation</w:t>
            </w:r>
          </w:p>
        </w:tc>
      </w:tr>
      <w:tr w:rsidR="00D27769" w:rsidRPr="002F7ACC" w14:paraId="06BCB3A7" w14:textId="77777777" w:rsidTr="005E0FA1">
        <w:trPr>
          <w:cnfStyle w:val="000000100000" w:firstRow="0" w:lastRow="0" w:firstColumn="0" w:lastColumn="0" w:oddVBand="0" w:evenVBand="0" w:oddHBand="1" w:evenHBand="0" w:firstRowFirstColumn="0" w:firstRowLastColumn="0" w:lastRowFirstColumn="0" w:lastRowLastColumn="0"/>
        </w:trPr>
        <w:tc>
          <w:tcPr>
            <w:tcW w:w="1900" w:type="dxa"/>
          </w:tcPr>
          <w:p w14:paraId="3270D65E" w14:textId="2CBF5973" w:rsidR="00D27769" w:rsidRPr="00BC022A" w:rsidRDefault="00D27769" w:rsidP="00C32947">
            <w:pPr>
              <w:pStyle w:val="TableTextCentred0"/>
            </w:pPr>
            <w:r w:rsidRPr="00BC022A">
              <w:t>Mount Isa Province</w:t>
            </w:r>
            <w:r w:rsidR="00317DBC">
              <w:t>, including the Isa Superbasin</w:t>
            </w:r>
          </w:p>
          <w:p w14:paraId="2DDC9E41" w14:textId="77777777" w:rsidR="00D27769" w:rsidRPr="00BC022A" w:rsidRDefault="00D27769" w:rsidP="00C32947">
            <w:pPr>
              <w:pStyle w:val="TableTextCentred0"/>
            </w:pPr>
          </w:p>
        </w:tc>
        <w:tc>
          <w:tcPr>
            <w:tcW w:w="1276" w:type="dxa"/>
          </w:tcPr>
          <w:p w14:paraId="03AFEFBF" w14:textId="77777777" w:rsidR="00D27769" w:rsidRPr="00370D85" w:rsidRDefault="00D27769" w:rsidP="00C32947">
            <w:pPr>
              <w:pStyle w:val="TableTextCentred0"/>
            </w:pPr>
            <w:r>
              <w:t>6,</w:t>
            </w:r>
            <w:r w:rsidRPr="00370D85">
              <w:t>009</w:t>
            </w:r>
          </w:p>
          <w:p w14:paraId="0F8D147B" w14:textId="77777777" w:rsidR="00D27769" w:rsidRPr="00370D85" w:rsidRDefault="00D27769" w:rsidP="00C32947">
            <w:pPr>
              <w:pStyle w:val="TableTextCentred0"/>
            </w:pPr>
            <w:r w:rsidRPr="00370D85">
              <w:t>(0.02)</w:t>
            </w:r>
          </w:p>
        </w:tc>
        <w:tc>
          <w:tcPr>
            <w:tcW w:w="1134" w:type="dxa"/>
          </w:tcPr>
          <w:p w14:paraId="32577EF6" w14:textId="77777777" w:rsidR="00D27769" w:rsidRPr="00370D85" w:rsidRDefault="00D27769" w:rsidP="00C32947">
            <w:pPr>
              <w:pStyle w:val="TableTextCentred0"/>
            </w:pPr>
            <w:r w:rsidRPr="00370D85">
              <w:t>158</w:t>
            </w:r>
          </w:p>
        </w:tc>
        <w:tc>
          <w:tcPr>
            <w:tcW w:w="2268" w:type="dxa"/>
          </w:tcPr>
          <w:p w14:paraId="61AE79C2" w14:textId="77777777" w:rsidR="00D27769" w:rsidRPr="00370D85" w:rsidRDefault="00D27769" w:rsidP="00C32947">
            <w:pPr>
              <w:pStyle w:val="TableTextCentred0"/>
            </w:pPr>
            <w:r w:rsidRPr="00370D85">
              <w:t>Variable: Low – Highly Productive</w:t>
            </w:r>
          </w:p>
        </w:tc>
        <w:tc>
          <w:tcPr>
            <w:tcW w:w="2410" w:type="dxa"/>
          </w:tcPr>
          <w:p w14:paraId="7D81F1DF" w14:textId="77777777" w:rsidR="00D27769" w:rsidRPr="00370D85" w:rsidRDefault="00D27769" w:rsidP="00C32947">
            <w:pPr>
              <w:pStyle w:val="TableTextCentred0"/>
            </w:pPr>
            <w:r>
              <w:t>390–5,</w:t>
            </w:r>
            <w:r w:rsidRPr="00370D85">
              <w:t>000+</w:t>
            </w:r>
          </w:p>
        </w:tc>
        <w:tc>
          <w:tcPr>
            <w:tcW w:w="1701" w:type="dxa"/>
          </w:tcPr>
          <w:p w14:paraId="7D28F583" w14:textId="77777777" w:rsidR="00D27769" w:rsidRPr="00BC022A" w:rsidRDefault="00D27769" w:rsidP="00C32947">
            <w:pPr>
              <w:jc w:val="center"/>
              <w:rPr>
                <w:color w:val="auto"/>
                <w:szCs w:val="18"/>
              </w:rPr>
            </w:pPr>
            <w:r w:rsidRPr="00BC022A">
              <w:rPr>
                <w:color w:val="auto"/>
                <w:szCs w:val="18"/>
              </w:rPr>
              <w:t>38,000</w:t>
            </w:r>
          </w:p>
        </w:tc>
        <w:tc>
          <w:tcPr>
            <w:tcW w:w="2551" w:type="dxa"/>
          </w:tcPr>
          <w:p w14:paraId="275FAC63" w14:textId="77777777" w:rsidR="00D27769" w:rsidRPr="00BC022A" w:rsidRDefault="00D27769" w:rsidP="00C32947">
            <w:pPr>
              <w:jc w:val="center"/>
              <w:rPr>
                <w:color w:val="auto"/>
                <w:szCs w:val="18"/>
              </w:rPr>
            </w:pPr>
            <w:r w:rsidRPr="00BC022A">
              <w:rPr>
                <w:color w:val="auto"/>
                <w:szCs w:val="18"/>
              </w:rPr>
              <w:t>10,000</w:t>
            </w:r>
          </w:p>
        </w:tc>
        <w:tc>
          <w:tcPr>
            <w:tcW w:w="1276" w:type="dxa"/>
          </w:tcPr>
          <w:p w14:paraId="1C6506F1" w14:textId="77777777" w:rsidR="00D27769" w:rsidRPr="00BC022A" w:rsidRDefault="00D27769" w:rsidP="00C32947">
            <w:pPr>
              <w:jc w:val="center"/>
              <w:rPr>
                <w:color w:val="auto"/>
                <w:szCs w:val="18"/>
              </w:rPr>
            </w:pPr>
            <w:r>
              <w:rPr>
                <w:color w:val="auto"/>
                <w:szCs w:val="18"/>
              </w:rPr>
              <w:t>6,</w:t>
            </w:r>
            <w:r w:rsidRPr="00BC022A">
              <w:rPr>
                <w:color w:val="auto"/>
                <w:szCs w:val="18"/>
              </w:rPr>
              <w:t>300</w:t>
            </w:r>
          </w:p>
        </w:tc>
        <w:tc>
          <w:tcPr>
            <w:tcW w:w="1701" w:type="dxa"/>
          </w:tcPr>
          <w:p w14:paraId="6AC80F22" w14:textId="77777777" w:rsidR="00D27769" w:rsidRPr="00BC022A" w:rsidRDefault="00D27769" w:rsidP="00C32947">
            <w:pPr>
              <w:pStyle w:val="TableTextCentred0"/>
            </w:pPr>
            <w:r w:rsidRPr="00BC022A">
              <w:t>25,000</w:t>
            </w:r>
          </w:p>
        </w:tc>
        <w:tc>
          <w:tcPr>
            <w:tcW w:w="1984" w:type="dxa"/>
          </w:tcPr>
          <w:p w14:paraId="17F9856A" w14:textId="77777777" w:rsidR="00D27769" w:rsidRPr="00BC022A" w:rsidRDefault="00D27769" w:rsidP="00C32947">
            <w:pPr>
              <w:jc w:val="center"/>
              <w:rPr>
                <w:color w:val="auto"/>
                <w:szCs w:val="18"/>
              </w:rPr>
            </w:pPr>
            <w:r w:rsidRPr="00BC022A">
              <w:rPr>
                <w:color w:val="auto"/>
                <w:szCs w:val="18"/>
              </w:rPr>
              <w:t>116,400</w:t>
            </w:r>
          </w:p>
        </w:tc>
        <w:tc>
          <w:tcPr>
            <w:tcW w:w="3402" w:type="dxa"/>
          </w:tcPr>
          <w:p w14:paraId="5A7FE2F0" w14:textId="77777777" w:rsidR="00D27769" w:rsidRPr="00F4747A" w:rsidRDefault="00D27769" w:rsidP="009C1B98">
            <w:pPr>
              <w:pStyle w:val="TableTextLeft"/>
              <w:numPr>
                <w:ilvl w:val="0"/>
                <w:numId w:val="30"/>
              </w:numPr>
            </w:pPr>
            <w:r w:rsidRPr="00F4747A">
              <w:t xml:space="preserve">Grazing native vegetation </w:t>
            </w:r>
          </w:p>
          <w:p w14:paraId="7731EA33" w14:textId="77777777" w:rsidR="00D27769" w:rsidRPr="00F4747A" w:rsidRDefault="00D27769" w:rsidP="009C1B98">
            <w:pPr>
              <w:pStyle w:val="TableTextLeft"/>
              <w:numPr>
                <w:ilvl w:val="0"/>
                <w:numId w:val="30"/>
              </w:numPr>
            </w:pPr>
            <w:r w:rsidRPr="00F4747A">
              <w:t>Other Protected areas</w:t>
            </w:r>
          </w:p>
          <w:p w14:paraId="50F29EA3" w14:textId="77777777" w:rsidR="00D27769" w:rsidRPr="00F4747A" w:rsidRDefault="00D27769" w:rsidP="009C1B98">
            <w:pPr>
              <w:pStyle w:val="TableTextLeft"/>
              <w:numPr>
                <w:ilvl w:val="0"/>
                <w:numId w:val="30"/>
              </w:numPr>
            </w:pPr>
            <w:r w:rsidRPr="00F4747A">
              <w:t>Nature Conservation</w:t>
            </w:r>
          </w:p>
        </w:tc>
      </w:tr>
      <w:tr w:rsidR="00D27769" w:rsidRPr="002F7ACC" w14:paraId="25ECB7CC" w14:textId="77777777" w:rsidTr="005E0FA1">
        <w:trPr>
          <w:cnfStyle w:val="000000010000" w:firstRow="0" w:lastRow="0" w:firstColumn="0" w:lastColumn="0" w:oddVBand="0" w:evenVBand="0" w:oddHBand="0" w:evenHBand="1" w:firstRowFirstColumn="0" w:firstRowLastColumn="0" w:lastRowFirstColumn="0" w:lastRowLastColumn="0"/>
        </w:trPr>
        <w:tc>
          <w:tcPr>
            <w:tcW w:w="1900" w:type="dxa"/>
          </w:tcPr>
          <w:p w14:paraId="1044B861" w14:textId="77777777" w:rsidR="00D27769" w:rsidRPr="00BC022A" w:rsidRDefault="00D27769" w:rsidP="00C32947">
            <w:pPr>
              <w:pStyle w:val="TableTextCentred0"/>
            </w:pPr>
            <w:r w:rsidRPr="00BC022A">
              <w:t>Otway Basin (Onshore)</w:t>
            </w:r>
          </w:p>
          <w:p w14:paraId="3762293F" w14:textId="77777777" w:rsidR="00D27769" w:rsidRPr="00BC022A" w:rsidRDefault="00D27769" w:rsidP="00C32947">
            <w:pPr>
              <w:pStyle w:val="TableTextCentred0"/>
            </w:pPr>
          </w:p>
        </w:tc>
        <w:tc>
          <w:tcPr>
            <w:tcW w:w="1276" w:type="dxa"/>
          </w:tcPr>
          <w:p w14:paraId="4BD51EB7" w14:textId="77777777" w:rsidR="00D27769" w:rsidRPr="00370D85" w:rsidRDefault="00D27769" w:rsidP="00C32947">
            <w:pPr>
              <w:pStyle w:val="TableTextCentred0"/>
            </w:pPr>
            <w:r w:rsidRPr="00370D85">
              <w:t>51,458</w:t>
            </w:r>
          </w:p>
          <w:p w14:paraId="4A084199" w14:textId="77777777" w:rsidR="00D27769" w:rsidRPr="00370D85" w:rsidRDefault="00D27769" w:rsidP="00C32947">
            <w:pPr>
              <w:pStyle w:val="TableTextCentred0"/>
            </w:pPr>
            <w:r w:rsidRPr="00370D85">
              <w:t>(1.94)</w:t>
            </w:r>
          </w:p>
        </w:tc>
        <w:tc>
          <w:tcPr>
            <w:tcW w:w="1134" w:type="dxa"/>
          </w:tcPr>
          <w:p w14:paraId="39C972BC" w14:textId="77777777" w:rsidR="00D27769" w:rsidRPr="00370D85" w:rsidRDefault="00D27769" w:rsidP="00C32947">
            <w:pPr>
              <w:pStyle w:val="TableTextCentred0"/>
            </w:pPr>
            <w:r w:rsidRPr="00370D85">
              <w:t>43</w:t>
            </w:r>
          </w:p>
        </w:tc>
        <w:tc>
          <w:tcPr>
            <w:tcW w:w="2268" w:type="dxa"/>
          </w:tcPr>
          <w:p w14:paraId="00435C36" w14:textId="77777777" w:rsidR="00D27769" w:rsidRPr="00370D85" w:rsidRDefault="00D27769" w:rsidP="00C32947">
            <w:pPr>
              <w:pStyle w:val="TableTextCentred0"/>
            </w:pPr>
            <w:r w:rsidRPr="00370D85">
              <w:t>Highly Productive</w:t>
            </w:r>
          </w:p>
        </w:tc>
        <w:tc>
          <w:tcPr>
            <w:tcW w:w="2410" w:type="dxa"/>
          </w:tcPr>
          <w:p w14:paraId="333522CA" w14:textId="77777777" w:rsidR="00D27769" w:rsidRPr="00370D85" w:rsidRDefault="00D27769" w:rsidP="00C32947">
            <w:pPr>
              <w:pStyle w:val="TableTextCentred0"/>
            </w:pPr>
            <w:r w:rsidRPr="00370D85">
              <w:t>500–200,000</w:t>
            </w:r>
          </w:p>
        </w:tc>
        <w:tc>
          <w:tcPr>
            <w:tcW w:w="1701" w:type="dxa"/>
          </w:tcPr>
          <w:p w14:paraId="18846871" w14:textId="77777777" w:rsidR="00D27769" w:rsidRPr="00BC022A" w:rsidRDefault="00D27769" w:rsidP="00C32947">
            <w:pPr>
              <w:jc w:val="center"/>
              <w:rPr>
                <w:color w:val="auto"/>
                <w:szCs w:val="18"/>
              </w:rPr>
            </w:pPr>
            <w:r>
              <w:rPr>
                <w:color w:val="auto"/>
                <w:szCs w:val="18"/>
              </w:rPr>
              <w:t>1,</w:t>
            </w:r>
            <w:r w:rsidRPr="00BC022A">
              <w:rPr>
                <w:color w:val="auto"/>
                <w:szCs w:val="18"/>
              </w:rPr>
              <w:t>500</w:t>
            </w:r>
          </w:p>
        </w:tc>
        <w:tc>
          <w:tcPr>
            <w:tcW w:w="2551" w:type="dxa"/>
          </w:tcPr>
          <w:p w14:paraId="2AA77CBC" w14:textId="77777777" w:rsidR="00D27769" w:rsidRPr="00BC022A" w:rsidRDefault="00D27769" w:rsidP="00C32947">
            <w:pPr>
              <w:jc w:val="center"/>
              <w:rPr>
                <w:color w:val="auto"/>
                <w:szCs w:val="18"/>
              </w:rPr>
            </w:pPr>
            <w:r>
              <w:rPr>
                <w:color w:val="auto"/>
                <w:szCs w:val="18"/>
              </w:rPr>
              <w:t>3,</w:t>
            </w:r>
            <w:r w:rsidRPr="00BC022A">
              <w:rPr>
                <w:color w:val="auto"/>
                <w:szCs w:val="18"/>
              </w:rPr>
              <w:t>900</w:t>
            </w:r>
          </w:p>
        </w:tc>
        <w:tc>
          <w:tcPr>
            <w:tcW w:w="1276" w:type="dxa"/>
          </w:tcPr>
          <w:p w14:paraId="76690F49" w14:textId="77777777" w:rsidR="00D27769" w:rsidRPr="00BC022A" w:rsidRDefault="00D27769" w:rsidP="00C32947">
            <w:pPr>
              <w:jc w:val="center"/>
              <w:rPr>
                <w:color w:val="auto"/>
                <w:szCs w:val="18"/>
              </w:rPr>
            </w:pPr>
            <w:r w:rsidRPr="00BC022A">
              <w:rPr>
                <w:color w:val="auto"/>
                <w:szCs w:val="18"/>
              </w:rPr>
              <w:t>500</w:t>
            </w:r>
          </w:p>
        </w:tc>
        <w:tc>
          <w:tcPr>
            <w:tcW w:w="1701" w:type="dxa"/>
          </w:tcPr>
          <w:p w14:paraId="377C5F4D" w14:textId="77777777" w:rsidR="00D27769" w:rsidRPr="00BC022A" w:rsidRDefault="00D27769" w:rsidP="00C32947">
            <w:pPr>
              <w:jc w:val="center"/>
              <w:rPr>
                <w:color w:val="auto"/>
                <w:szCs w:val="18"/>
              </w:rPr>
            </w:pPr>
            <w:r w:rsidRPr="00BC022A">
              <w:rPr>
                <w:color w:val="auto"/>
                <w:szCs w:val="18"/>
              </w:rPr>
              <w:t>358,400</w:t>
            </w:r>
          </w:p>
        </w:tc>
        <w:tc>
          <w:tcPr>
            <w:tcW w:w="1984" w:type="dxa"/>
          </w:tcPr>
          <w:p w14:paraId="3960E983" w14:textId="77777777" w:rsidR="00D27769" w:rsidRPr="00BC022A" w:rsidRDefault="00D27769" w:rsidP="00C32947">
            <w:pPr>
              <w:jc w:val="center"/>
              <w:rPr>
                <w:color w:val="auto"/>
                <w:szCs w:val="18"/>
              </w:rPr>
            </w:pPr>
            <w:r>
              <w:rPr>
                <w:color w:val="auto"/>
                <w:szCs w:val="18"/>
              </w:rPr>
              <w:t>1,</w:t>
            </w:r>
            <w:r w:rsidRPr="00BC022A">
              <w:rPr>
                <w:color w:val="auto"/>
                <w:szCs w:val="18"/>
              </w:rPr>
              <w:t>400</w:t>
            </w:r>
          </w:p>
        </w:tc>
        <w:tc>
          <w:tcPr>
            <w:tcW w:w="3402" w:type="dxa"/>
          </w:tcPr>
          <w:p w14:paraId="55EB0694" w14:textId="77777777" w:rsidR="00D27769" w:rsidRPr="00F4747A" w:rsidRDefault="00D27769" w:rsidP="009C1B98">
            <w:pPr>
              <w:pStyle w:val="TableTextLeft"/>
              <w:numPr>
                <w:ilvl w:val="0"/>
                <w:numId w:val="31"/>
              </w:numPr>
            </w:pPr>
            <w:r w:rsidRPr="00F4747A">
              <w:t>Grazing modified pastures</w:t>
            </w:r>
          </w:p>
          <w:p w14:paraId="34683A40" w14:textId="77777777" w:rsidR="00D27769" w:rsidRPr="00F4747A" w:rsidRDefault="00D27769" w:rsidP="009C1B98">
            <w:pPr>
              <w:pStyle w:val="TableTextLeft"/>
              <w:numPr>
                <w:ilvl w:val="0"/>
                <w:numId w:val="31"/>
              </w:numPr>
            </w:pPr>
            <w:r w:rsidRPr="00F4747A">
              <w:t>Plantation forestry</w:t>
            </w:r>
          </w:p>
          <w:p w14:paraId="1D8F84F7" w14:textId="77777777" w:rsidR="00D27769" w:rsidRPr="00F4747A" w:rsidRDefault="00D27769" w:rsidP="009C1B98">
            <w:pPr>
              <w:pStyle w:val="TableTextLeft"/>
              <w:numPr>
                <w:ilvl w:val="0"/>
                <w:numId w:val="31"/>
              </w:numPr>
            </w:pPr>
            <w:r w:rsidRPr="00F4747A">
              <w:t>Nature conservation</w:t>
            </w:r>
          </w:p>
        </w:tc>
      </w:tr>
    </w:tbl>
    <w:p w14:paraId="0553CC34" w14:textId="77777777" w:rsidR="00D27769" w:rsidRPr="008935F0" w:rsidRDefault="00D27769" w:rsidP="00174635">
      <w:pPr>
        <w:pStyle w:val="BodyText"/>
      </w:pPr>
    </w:p>
    <w:p w14:paraId="7ACD981E" w14:textId="77777777" w:rsidR="00D27769" w:rsidRPr="002F7ACC" w:rsidRDefault="00D27769" w:rsidP="009C1B98">
      <w:pPr>
        <w:pStyle w:val="ListParagraph"/>
        <w:numPr>
          <w:ilvl w:val="0"/>
          <w:numId w:val="22"/>
        </w:numPr>
        <w:spacing w:after="180"/>
        <w:ind w:left="1080"/>
        <w:rPr>
          <w:sz w:val="18"/>
          <w:szCs w:val="18"/>
        </w:rPr>
      </w:pPr>
      <w:r w:rsidRPr="002F7ACC">
        <w:rPr>
          <w:sz w:val="18"/>
          <w:szCs w:val="18"/>
        </w:rPr>
        <w:t xml:space="preserve">Based on the principal aquifer productivity classification as per Jacobson, G, and Lau JE, (1987), </w:t>
      </w:r>
      <w:r w:rsidRPr="00E364C7">
        <w:rPr>
          <w:i/>
          <w:sz w:val="18"/>
          <w:szCs w:val="18"/>
        </w:rPr>
        <w:t>“Hydrogeology of Australia”</w:t>
      </w:r>
      <w:r w:rsidRPr="002F7ACC">
        <w:rPr>
          <w:sz w:val="18"/>
          <w:szCs w:val="18"/>
        </w:rPr>
        <w:t>. Where clear spatial trends are present, or an approximately even division of classification exists, a range is given.</w:t>
      </w:r>
      <w:r>
        <w:rPr>
          <w:sz w:val="18"/>
          <w:szCs w:val="18"/>
        </w:rPr>
        <w:t xml:space="preserve"> Highly productive – extensive aquifer distribution with most bore yields greater than 5 L/s; Low-moderate productivity – extensive aquifer distribution with most bore yields of 0.5–5 L/s; Low – local aquifer distribution, bore yields less than 0.5 L/s.</w:t>
      </w:r>
    </w:p>
    <w:p w14:paraId="3C519DB3" w14:textId="50D87D1D" w:rsidR="00D27769" w:rsidRPr="002F7ACC" w:rsidRDefault="00D27769" w:rsidP="009C1B98">
      <w:pPr>
        <w:pStyle w:val="ListParagraph"/>
        <w:numPr>
          <w:ilvl w:val="0"/>
          <w:numId w:val="22"/>
        </w:numPr>
        <w:spacing w:after="180"/>
        <w:ind w:left="1080"/>
        <w:rPr>
          <w:sz w:val="18"/>
          <w:szCs w:val="18"/>
        </w:rPr>
      </w:pPr>
      <w:r w:rsidRPr="002F7ACC">
        <w:rPr>
          <w:sz w:val="18"/>
          <w:szCs w:val="18"/>
        </w:rPr>
        <w:t xml:space="preserve">Groundwater salinity level reflects a generalised level within basin, based on data presented in Appendix </w:t>
      </w:r>
      <w:r>
        <w:rPr>
          <w:sz w:val="18"/>
          <w:szCs w:val="18"/>
        </w:rPr>
        <w:t>C</w:t>
      </w:r>
      <w:r w:rsidRPr="002F7ACC">
        <w:rPr>
          <w:sz w:val="18"/>
          <w:szCs w:val="18"/>
        </w:rPr>
        <w:t>. Higher and lower values are expected to be encountered within the basin.</w:t>
      </w:r>
    </w:p>
    <w:p w14:paraId="1F31EA5F" w14:textId="77777777" w:rsidR="00D27769" w:rsidRPr="00E8799B" w:rsidRDefault="00D27769" w:rsidP="00E8799B">
      <w:pPr>
        <w:pStyle w:val="TableTextLeft"/>
      </w:pPr>
      <w:r w:rsidRPr="00E8799B">
        <w:t>* Rounded to nearest 100 (values &gt;1,000) otherwise rounded to nearest 10.</w:t>
      </w:r>
    </w:p>
    <w:p w14:paraId="58F90ED5" w14:textId="77777777" w:rsidR="00D27769" w:rsidRPr="00E8799B" w:rsidRDefault="00D27769" w:rsidP="00E8799B">
      <w:pPr>
        <w:pStyle w:val="TableTextLeft"/>
        <w:sectPr w:rsidR="00D27769" w:rsidRPr="00E8799B" w:rsidSect="005E0FA1">
          <w:pgSz w:w="23814" w:h="16839" w:orient="landscape" w:code="8"/>
          <w:pgMar w:top="1134" w:right="1134" w:bottom="1134" w:left="1134" w:header="510" w:footer="624" w:gutter="0"/>
          <w:cols w:space="720"/>
          <w:docGrid w:linePitch="326"/>
        </w:sectPr>
      </w:pPr>
    </w:p>
    <w:p w14:paraId="65BAF6CA" w14:textId="77777777" w:rsidR="00D27769" w:rsidRPr="00E8799B" w:rsidRDefault="00D27769" w:rsidP="00D27769">
      <w:pPr>
        <w:pStyle w:val="Heading4"/>
      </w:pPr>
      <w:r w:rsidRPr="00E8799B">
        <w:t>Basin summary: groundwater, surface water, environmental and social considerations</w:t>
      </w:r>
    </w:p>
    <w:p w14:paraId="509A956C" w14:textId="77777777" w:rsidR="00D27769" w:rsidRDefault="00D27769" w:rsidP="00C32947">
      <w:pPr>
        <w:pStyle w:val="BodyText"/>
      </w:pPr>
      <w:r>
        <w:t>This section presents a summary of the basin groundwater, surface water, environmental and social factors results of the basin audit, whilst further details are presented in Appendix C.</w:t>
      </w:r>
    </w:p>
    <w:p w14:paraId="55633B9B" w14:textId="77777777" w:rsidR="00D27769" w:rsidRPr="00E8799B" w:rsidRDefault="00D27769" w:rsidP="00D27769">
      <w:pPr>
        <w:pStyle w:val="Heading5"/>
      </w:pPr>
      <w:r w:rsidRPr="00E8799B">
        <w:t>Amadeus Basin</w:t>
      </w:r>
    </w:p>
    <w:p w14:paraId="5AF28E50" w14:textId="0F5F2F77" w:rsidR="00D27769" w:rsidRDefault="00D27769" w:rsidP="00C32947">
      <w:pPr>
        <w:pStyle w:val="BodyText"/>
      </w:pPr>
      <w:r>
        <w:t>The Amadeus Basin is characterised by aquifers of variable productivity, ranging from low to highly productive with over 3,700 registered groundwater bores. The main aquifers are the Mereenie, Pacoota, and Hermannsburg sandstones, Jay Creek Limestone/Shannon Formation and Goyder Formation, and the alluvial and aeolian Cenozoic sediments. Groundwater flow is generally from the edge of the basin towards the centre and from west to east (</w:t>
      </w:r>
      <w:r w:rsidR="00A36561">
        <w:t>Lau and Jacobson, 1991</w:t>
      </w:r>
      <w:r>
        <w:t>).</w:t>
      </w:r>
    </w:p>
    <w:p w14:paraId="264A6735" w14:textId="20F6ECC8" w:rsidR="00D27769" w:rsidRDefault="00D27769" w:rsidP="00C32947">
      <w:pPr>
        <w:pStyle w:val="BodyText"/>
      </w:pPr>
      <w:r>
        <w:t>The largest groundwater user in the Amadeus Basin is the Roe Creek borefield</w:t>
      </w:r>
      <w:r w:rsidR="00144EAD">
        <w:t>,</w:t>
      </w:r>
      <w:r>
        <w:t xml:space="preserve"> which supplies Alice Springs. Production of groundwater is primarily from the Mereenie Sandstone although 20% of total water supply is also sourced from the Pacoota, Shannon and Goyder aquifer (</w:t>
      </w:r>
      <w:r w:rsidR="00AC08DD" w:rsidRPr="00AC08DD">
        <w:t>Power and Water Corporation, 2016; NT DLRM</w:t>
      </w:r>
      <w:r w:rsidR="000E249E">
        <w:t>,</w:t>
      </w:r>
      <w:r w:rsidR="00AC08DD" w:rsidRPr="00AC08DD">
        <w:t xml:space="preserve"> 2016; English et al</w:t>
      </w:r>
      <w:r w:rsidR="000E249E">
        <w:t>., 2012; Lloyd and</w:t>
      </w:r>
      <w:r w:rsidR="00AC08DD" w:rsidRPr="00AC08DD">
        <w:t xml:space="preserve"> Jacobson, 1987</w:t>
      </w:r>
      <w:r w:rsidR="005E1B62">
        <w:t>)</w:t>
      </w:r>
      <w:r w:rsidR="00271D18">
        <w:t>.</w:t>
      </w:r>
      <w:r w:rsidR="005E1B62">
        <w:t xml:space="preserve"> </w:t>
      </w:r>
    </w:p>
    <w:p w14:paraId="0F66356C" w14:textId="3BE674B8" w:rsidR="00D27769" w:rsidRDefault="00D27769" w:rsidP="00C32947">
      <w:pPr>
        <w:pStyle w:val="BodyText"/>
      </w:pPr>
      <w:r>
        <w:t xml:space="preserve">Because of low rainfall, recharge rates are lower than current extraction rates and so groundwater levels in the Roe Creek borefield </w:t>
      </w:r>
      <w:r w:rsidR="00AC08DD" w:rsidRPr="00AC08DD">
        <w:t xml:space="preserve">are currently </w:t>
      </w:r>
      <w:r w:rsidR="000E249E">
        <w:t xml:space="preserve">declining </w:t>
      </w:r>
      <w:r w:rsidR="000E249E" w:rsidRPr="00AC08DD">
        <w:t>by</w:t>
      </w:r>
      <w:r w:rsidR="00AC08DD" w:rsidRPr="00AC08DD">
        <w:t xml:space="preserve"> about one metre every</w:t>
      </w:r>
      <w:r w:rsidR="00144EAD">
        <w:t xml:space="preserve"> year</w:t>
      </w:r>
      <w:r>
        <w:t xml:space="preserve">. However, there are still sufficient groundwater reserves available in the eastern Amadeus Basin to maintain water supplies to Alice Springs for </w:t>
      </w:r>
      <w:r w:rsidR="00AC08DD">
        <w:t xml:space="preserve">hundreds </w:t>
      </w:r>
      <w:r>
        <w:t>of years (</w:t>
      </w:r>
      <w:r w:rsidR="00AC08DD" w:rsidRPr="00AC08DD">
        <w:t>Power and Water Corporation, 2016; NT DLRM</w:t>
      </w:r>
      <w:r w:rsidR="000E249E">
        <w:t>,</w:t>
      </w:r>
      <w:r w:rsidR="00AC08DD" w:rsidRPr="00AC08DD">
        <w:t xml:space="preserve"> 2016</w:t>
      </w:r>
      <w:r w:rsidR="005E1B62">
        <w:t>)</w:t>
      </w:r>
      <w:r w:rsidR="00271D18">
        <w:t>.</w:t>
      </w:r>
      <w:r w:rsidR="005E1B62">
        <w:t xml:space="preserve"> </w:t>
      </w:r>
    </w:p>
    <w:p w14:paraId="5F1C298E" w14:textId="5003B7B6" w:rsidR="00D27769" w:rsidRDefault="00D27769" w:rsidP="00C32947">
      <w:pPr>
        <w:pStyle w:val="BodyText"/>
      </w:pPr>
      <w:r>
        <w:t>Groundwater quality in the eastern Amadeus Basin is relatively fresh (500–1,000 mg/L TDS) near the Roe Creek borefield with higher saline groundwater &gt;4,000 mg/L at depth and to the south and west (</w:t>
      </w:r>
      <w:r w:rsidR="00A36561">
        <w:t>Macqueen and Knott, 1982)</w:t>
      </w:r>
      <w:r>
        <w:t>.</w:t>
      </w:r>
    </w:p>
    <w:p w14:paraId="567304B3" w14:textId="3230E734" w:rsidR="00D27769" w:rsidRPr="001B0848" w:rsidRDefault="00D27769" w:rsidP="00C32947">
      <w:pPr>
        <w:pStyle w:val="BodyText"/>
      </w:pPr>
      <w:r>
        <w:t>Surface water flows across the Amadeus Basin are ephemeral. The major drainage systems in the Amadeus Basin are the Hugh, Finke and Todd rivers, which contain no surface storages</w:t>
      </w:r>
      <w:r w:rsidR="00EC773C">
        <w:t xml:space="preserve"> (BoM</w:t>
      </w:r>
      <w:r w:rsidR="000E249E">
        <w:t>,</w:t>
      </w:r>
      <w:r w:rsidR="00EC773C">
        <w:t xml:space="preserve"> 2014; NT DLRM</w:t>
      </w:r>
      <w:r w:rsidR="000E249E">
        <w:t>,</w:t>
      </w:r>
      <w:r w:rsidR="00EC773C">
        <w:t xml:space="preserve"> 2016</w:t>
      </w:r>
      <w:r w:rsidR="005E1B62">
        <w:t>)</w:t>
      </w:r>
      <w:r w:rsidR="00271D18">
        <w:t>.</w:t>
      </w:r>
      <w:r w:rsidR="005E1B62">
        <w:t xml:space="preserve"> </w:t>
      </w:r>
      <w:r>
        <w:t>Surface water information is limited to river height, primarily on the Todd River and its tributaries with no surface water quality information monitored. The basin supports an estimated 1,600 km</w:t>
      </w:r>
      <w:r w:rsidRPr="007D22CB">
        <w:rPr>
          <w:rStyle w:val="Superscript"/>
        </w:rPr>
        <w:t>2</w:t>
      </w:r>
      <w:r>
        <w:t xml:space="preserve"> of groundwater dependant ecosystems. </w:t>
      </w:r>
    </w:p>
    <w:p w14:paraId="1588383F" w14:textId="77777777" w:rsidR="00D27769" w:rsidRDefault="00D27769" w:rsidP="00C32947">
      <w:pPr>
        <w:pStyle w:val="BodyText"/>
      </w:pPr>
      <w:r>
        <w:t>The Amadeus Basin contains 5,100 km</w:t>
      </w:r>
      <w:r w:rsidRPr="007D22CB">
        <w:rPr>
          <w:rStyle w:val="Superscript"/>
        </w:rPr>
        <w:t>2</w:t>
      </w:r>
      <w:r>
        <w:t xml:space="preserve"> of protected areas, including national parks and 50 km</w:t>
      </w:r>
      <w:r w:rsidRPr="007D22CB">
        <w:rPr>
          <w:rStyle w:val="Superscript"/>
        </w:rPr>
        <w:t>2</w:t>
      </w:r>
      <w:r>
        <w:t xml:space="preserve"> of wetlands of national importance – the largest nationally important wetland by area is the Karinga Creek Palaeodrainage System. National Parks include Finke Gorge, </w:t>
      </w:r>
      <w:r w:rsidRPr="00683310">
        <w:t>Watarrka</w:t>
      </w:r>
      <w:r w:rsidRPr="00644C1C">
        <w:t xml:space="preserve">, </w:t>
      </w:r>
      <w:r w:rsidRPr="00683310">
        <w:t>Tjoritja / West MacDonnell</w:t>
      </w:r>
      <w:r w:rsidRPr="00644C1C">
        <w:t xml:space="preserve">, and </w:t>
      </w:r>
      <w:r w:rsidRPr="00683310">
        <w:t>Uluru</w:t>
      </w:r>
      <w:r>
        <w:t>–</w:t>
      </w:r>
      <w:r w:rsidRPr="00683310">
        <w:t>Kata Tjuta</w:t>
      </w:r>
      <w:r w:rsidRPr="00644C1C">
        <w:t>.</w:t>
      </w:r>
      <w:r>
        <w:t xml:space="preserve"> Most of the region is sparsely populated (basin population 8,200), with significant Aboriginal Protected Areas and areas of Native Title (53,000 km</w:t>
      </w:r>
      <w:r w:rsidRPr="003D30FC">
        <w:rPr>
          <w:rStyle w:val="Superscript"/>
        </w:rPr>
        <w:t>2</w:t>
      </w:r>
      <w:r>
        <w:t xml:space="preserve"> in total); apart from protected areas, the majority of land is used for native vegetation grazing.</w:t>
      </w:r>
    </w:p>
    <w:p w14:paraId="25E28DF9" w14:textId="77777777" w:rsidR="00D27769" w:rsidRDefault="00D27769" w:rsidP="00C32947">
      <w:pPr>
        <w:pStyle w:val="BodyText"/>
      </w:pPr>
      <w:r>
        <w:t>See Appendix C.1 for more details and references on the Amadeus Basin.</w:t>
      </w:r>
    </w:p>
    <w:p w14:paraId="7F6D4F10" w14:textId="77777777" w:rsidR="00D27769" w:rsidRPr="00E8799B" w:rsidRDefault="00D27769" w:rsidP="00D27769">
      <w:pPr>
        <w:pStyle w:val="Heading5"/>
      </w:pPr>
      <w:r w:rsidRPr="00E8799B">
        <w:t>Bowen Basin</w:t>
      </w:r>
    </w:p>
    <w:p w14:paraId="1F7F0F34" w14:textId="4C1C552E" w:rsidR="00D27769" w:rsidRDefault="00D27769" w:rsidP="00C32947">
      <w:pPr>
        <w:pStyle w:val="BodyText"/>
      </w:pPr>
      <w:r>
        <w:t>The Bowen Basin is characterised by aquifers of variable productivity, ranging from low</w:t>
      </w:r>
      <w:r w:rsidR="00C45AF8">
        <w:t>–</w:t>
      </w:r>
      <w:r>
        <w:t xml:space="preserve">moderate productivity in the north, to highly productive in the south and contains over 14,700 registered groundwater bores. The northern half of the Bowen Basin geology is either exposed or covered by a thin veneer of Cenozoic aged units. In contrast, the southern portion of the basin is covered by the Surat Basin, which is in turn overlain, to varying degrees, by Cenozoic alluvial and volcanic cover units. </w:t>
      </w:r>
    </w:p>
    <w:p w14:paraId="6876F111" w14:textId="75FC9F19" w:rsidR="00D27769" w:rsidRDefault="00D27769" w:rsidP="00C32947">
      <w:pPr>
        <w:pStyle w:val="BodyText"/>
      </w:pPr>
      <w:r>
        <w:t>The dominant groundwater resource in the south occurs within aquifers of the Surat Basin, which constitutes part of the Great Artesian Basin. In the north, the Triassic Clematis Group sandstones and Permian coals contain deep aquifers that tend to be exploited where shallower options are not available. Recharge occurs where aquifers outcrop, with flow towards the deeper basin centres. Most groundwater is poor in quality, suited only for stock and some domestic purposes. Groundwater salinity increases from recharge areas (occasionally 250 mg/L or less) towards the south and west to over 2,000 mg/L (Radke et al., 2000</w:t>
      </w:r>
      <w:r w:rsidR="005E1B62">
        <w:t>)</w:t>
      </w:r>
      <w:r w:rsidR="00C45AF8">
        <w:t>.</w:t>
      </w:r>
      <w:r w:rsidR="005E1B62">
        <w:t xml:space="preserve"> </w:t>
      </w:r>
    </w:p>
    <w:p w14:paraId="360AF557" w14:textId="5DDB3611" w:rsidR="00D27769" w:rsidRDefault="00D27769" w:rsidP="00C32947">
      <w:pPr>
        <w:pStyle w:val="BodyText"/>
      </w:pPr>
      <w:r>
        <w:t xml:space="preserve">Groundwater is managed under Queensland legislation, with water plans for the Great Artesian Basin covering the southern portion of the basin; however many Bowen Basin groundwater bores are unmetered, so extraction rates are difficult to estimate. </w:t>
      </w:r>
    </w:p>
    <w:p w14:paraId="5D72CE1D" w14:textId="3DB607E9" w:rsidR="00D27769" w:rsidRDefault="00D27769" w:rsidP="00C32947">
      <w:pPr>
        <w:pStyle w:val="BodyText"/>
      </w:pPr>
      <w:r>
        <w:t>The main river systems over the northern Bowen Basin are tributaries to the Fitzroy River, such as the Nogoa, Comet, Dawson, and Brown rivers. To the south the Condamine–Balonne river system drains into the Murray-Darling Basin, and has extensive floodplains and alluvial aquifers. Salinity is variable in the Fitzroy River, with the lowest values occurring in the headwaters; the upper Condamine River is fresh to brackish. Streamflow increases down catchment in both systems with seasonal and annual variation and there are many surface water storages. The basin supports a range of groundwater dependant ecosystems covering an estimated area of 26,000 km</w:t>
      </w:r>
      <w:r w:rsidRPr="003D30FC">
        <w:rPr>
          <w:rStyle w:val="Superscript"/>
        </w:rPr>
        <w:t>2</w:t>
      </w:r>
      <w:r>
        <w:t>.</w:t>
      </w:r>
    </w:p>
    <w:p w14:paraId="185A21A1" w14:textId="77777777" w:rsidR="00D27769" w:rsidRDefault="00D27769" w:rsidP="00C32947">
      <w:pPr>
        <w:pStyle w:val="BodyText"/>
      </w:pPr>
      <w:r>
        <w:t>Within the Bowen Basin there are approximately 6,000 km</w:t>
      </w:r>
      <w:r w:rsidRPr="003D30FC">
        <w:rPr>
          <w:rStyle w:val="Superscript"/>
        </w:rPr>
        <w:t>2</w:t>
      </w:r>
      <w:r>
        <w:t xml:space="preserve"> of protected areas, including over twenty national parks, as well as 600 km</w:t>
      </w:r>
      <w:r w:rsidRPr="003D30FC">
        <w:rPr>
          <w:rStyle w:val="Superscript"/>
        </w:rPr>
        <w:t>2</w:t>
      </w:r>
      <w:r>
        <w:t xml:space="preserve"> of wetlands of national importance. Population density is variable across the district (total population 80,900) and is concentrated around significant population centres such as Emerald and Roma. Stock grazing on native vegetation, dryland cropping and production forestry are the dominant types of land use. A total of 11,100 km</w:t>
      </w:r>
      <w:r w:rsidRPr="003D30FC">
        <w:rPr>
          <w:rStyle w:val="Superscript"/>
        </w:rPr>
        <w:t>2</w:t>
      </w:r>
      <w:r>
        <w:t xml:space="preserve"> of land is covered by native title or indigenous protected area.</w:t>
      </w:r>
    </w:p>
    <w:p w14:paraId="54C8D0F7" w14:textId="77777777" w:rsidR="00D27769" w:rsidRPr="001921A0" w:rsidRDefault="00D27769" w:rsidP="00C32947">
      <w:pPr>
        <w:pStyle w:val="BodyText"/>
      </w:pPr>
      <w:r>
        <w:t>See Appendix C.2 for more details and references on the Bowen Basin.</w:t>
      </w:r>
    </w:p>
    <w:p w14:paraId="37056567" w14:textId="77777777" w:rsidR="00D27769" w:rsidRPr="00E8799B" w:rsidRDefault="00D27769" w:rsidP="00D27769">
      <w:pPr>
        <w:pStyle w:val="Heading5"/>
      </w:pPr>
      <w:r w:rsidRPr="00E8799B">
        <w:t>Clarence-Moreton Basin</w:t>
      </w:r>
    </w:p>
    <w:p w14:paraId="650FF9CE" w14:textId="3085703D" w:rsidR="00D27769" w:rsidRDefault="00D27769" w:rsidP="002D31FD">
      <w:pPr>
        <w:pStyle w:val="BodyText"/>
      </w:pPr>
      <w:r>
        <w:t>The following section provides a brief summary of groundwater and surface water systems within the Clarence-Moreton Basin region. More detailed information is provided as part of the Bioregional Assessments for the Clarence-Moreton (Rassam et al., 2014) and Maranoa Balonne Condamine Bioregional Assessments (Welsh et al.,</w:t>
      </w:r>
      <w:r w:rsidR="000F3B30">
        <w:t xml:space="preserve"> </w:t>
      </w:r>
      <w:r>
        <w:t>2014</w:t>
      </w:r>
      <w:r w:rsidR="005E1B62">
        <w:t>)</w:t>
      </w:r>
      <w:r w:rsidR="00C45AF8">
        <w:t>.</w:t>
      </w:r>
      <w:r w:rsidR="005E1B62">
        <w:t xml:space="preserve"> </w:t>
      </w:r>
      <w:r>
        <w:t>The following summary draws heavily on the work completed as part of these assessments.</w:t>
      </w:r>
    </w:p>
    <w:p w14:paraId="30EF486D" w14:textId="60221F77" w:rsidR="00D27769" w:rsidRDefault="00D27769" w:rsidP="00C32947">
      <w:pPr>
        <w:pStyle w:val="BodyText"/>
      </w:pPr>
      <w:r>
        <w:t>The Clarence-Moreton Basin is characterised by aquifers of generally low-moderate productivity, and it contains over 36,400 registered groundwater bores (B</w:t>
      </w:r>
      <w:r w:rsidR="00FE21C3">
        <w:t>o</w:t>
      </w:r>
      <w:r>
        <w:t>M</w:t>
      </w:r>
      <w:r w:rsidR="000F3B30">
        <w:t>,</w:t>
      </w:r>
      <w:r>
        <w:t xml:space="preserve"> 2016</w:t>
      </w:r>
      <w:r w:rsidR="005E1B62">
        <w:t>)</w:t>
      </w:r>
      <w:r w:rsidR="00C45AF8">
        <w:t>.</w:t>
      </w:r>
      <w:r w:rsidR="005E1B62">
        <w:t xml:space="preserve"> </w:t>
      </w:r>
      <w:r>
        <w:t>The main groundwater systems are Mesozoic aquifers within the Clarence-Moreton Basin, and aquifers in various Cenozoic alluvial systems (e.g. Condamine Alluvium) and volcanic units (e.g. Main Range Volcanics</w:t>
      </w:r>
      <w:r w:rsidR="005E1B62">
        <w:t>)</w:t>
      </w:r>
      <w:r w:rsidR="00C45AF8">
        <w:t>.</w:t>
      </w:r>
      <w:r w:rsidR="005E1B62">
        <w:t xml:space="preserve"> </w:t>
      </w:r>
    </w:p>
    <w:p w14:paraId="66BA4959" w14:textId="181E0EFF" w:rsidR="00D27769" w:rsidRDefault="00D27769" w:rsidP="00C32947">
      <w:pPr>
        <w:pStyle w:val="BodyText"/>
      </w:pPr>
      <w:r>
        <w:t>Highly variable groundwater salinity values are found in alluvial aquifers (40–18,000 mg/L), and deeper Triassic–Jurassic aquifers in the Walloon Coal Measures, Koukandowie Formation, Gatton Sandstone and the</w:t>
      </w:r>
      <w:r w:rsidRPr="007019B6">
        <w:t xml:space="preserve"> </w:t>
      </w:r>
      <w:r>
        <w:t>Woogaroo Subgroup (300–24,300 mg/L); in contrast with the less variable salinity in the Main Range Volcanics (200–1,900 mg/L) and the upper Jurassic Grafton and Orara formations (360–2,300 mg/L) (OGIA, 2016; Rassam et al.,</w:t>
      </w:r>
      <w:r w:rsidR="005049C5">
        <w:t xml:space="preserve"> </w:t>
      </w:r>
      <w:r>
        <w:t>2014</w:t>
      </w:r>
      <w:r w:rsidR="005E1B62">
        <w:t>)</w:t>
      </w:r>
      <w:r w:rsidR="00C45AF8">
        <w:t>.</w:t>
      </w:r>
      <w:r w:rsidR="005E1B62">
        <w:t xml:space="preserve"> </w:t>
      </w:r>
      <w:r>
        <w:t xml:space="preserve">With the exception of pumping and irrigation stresses, alluvial groundwater flow is topographically driven; while sedimentary rock groundwater flow directions are not well understood, they are presumed to exhibit north-easterly flow. </w:t>
      </w:r>
    </w:p>
    <w:p w14:paraId="139CCDAD" w14:textId="78B6F126" w:rsidR="00D27769" w:rsidDel="009C120B" w:rsidRDefault="00D27769" w:rsidP="00C32947">
      <w:pPr>
        <w:pStyle w:val="BodyText"/>
      </w:pPr>
      <w:r w:rsidDel="009C120B">
        <w:t>The majority of aquifers are managed under Water Sharing Plans and/or Water Resource Plans, with estimated sustainable diversion limits and licensed entitlements provided aquifer by aquifer.</w:t>
      </w:r>
      <w:r>
        <w:t xml:space="preserve"> </w:t>
      </w:r>
    </w:p>
    <w:p w14:paraId="018B205F" w14:textId="1D4E33D8" w:rsidR="00D27769" w:rsidRDefault="00D27769" w:rsidP="00C32947">
      <w:pPr>
        <w:pStyle w:val="BodyText"/>
      </w:pPr>
      <w:r>
        <w:t>The Clarence-Moreton Basin is overlain by several river catchments draining east to the Pacific Ocean near the Queensland–New South Wales border, and the westward flowing Condamine–Culgoa River system draining into the Murray-Darling Basin. The Condamine–Culgoa, Richmond, Logan-Albert and Brisbane River systems have licensed water harvesting. Several active and discontinued river gauges provide streamflow and electrical conductivity measurements. The basin supports approximately 2,700 km</w:t>
      </w:r>
      <w:r w:rsidRPr="003D30FC">
        <w:rPr>
          <w:rStyle w:val="Superscript"/>
        </w:rPr>
        <w:t>2</w:t>
      </w:r>
      <w:r w:rsidRPr="00C30F1D">
        <w:rPr>
          <w:rStyle w:val="Subscript"/>
        </w:rPr>
        <w:t xml:space="preserve"> </w:t>
      </w:r>
      <w:r>
        <w:t>of groundwater dependant ecosystems.</w:t>
      </w:r>
    </w:p>
    <w:p w14:paraId="51658AAB" w14:textId="5431FC4A" w:rsidR="00D27769" w:rsidRPr="0090100D" w:rsidRDefault="00D27769" w:rsidP="00C32947">
      <w:pPr>
        <w:pStyle w:val="BodyText"/>
      </w:pPr>
      <w:r>
        <w:t>The Clarence-Moreton Basin contains 3,600 km</w:t>
      </w:r>
      <w:r w:rsidRPr="003D30FC">
        <w:rPr>
          <w:rStyle w:val="Superscript"/>
        </w:rPr>
        <w:t>2</w:t>
      </w:r>
      <w:r>
        <w:t xml:space="preserve"> of protected areas, including numerous national parks and 300 km</w:t>
      </w:r>
      <w:r w:rsidRPr="003D30FC">
        <w:rPr>
          <w:rStyle w:val="Superscript"/>
        </w:rPr>
        <w:t>2</w:t>
      </w:r>
      <w:r>
        <w:t xml:space="preserve"> of wetlands of national importance and the Ramsar-listed Moreton Bay wetland. Dense human population clusters occur in this area overlapping parts of South-east Queensland (which intersects parts of Brisbane-Ipswich and Toowoomba) and north-eastern New South Wales (e.g. Lismore and Grafton</w:t>
      </w:r>
      <w:r w:rsidR="005E1B62">
        <w:t>)</w:t>
      </w:r>
      <w:r w:rsidR="00C45AF8">
        <w:t>.</w:t>
      </w:r>
      <w:r w:rsidR="005E1B62">
        <w:t xml:space="preserve"> </w:t>
      </w:r>
      <w:r>
        <w:t>Total population for the basin exceeds 1,000,000 and is the most populous basin under consideration. Stock grazing on native and modified land and dryland cropping are the dominant types of land use. A total of 2,000 km</w:t>
      </w:r>
      <w:r w:rsidRPr="003D30FC">
        <w:rPr>
          <w:rStyle w:val="Superscript"/>
        </w:rPr>
        <w:t>2</w:t>
      </w:r>
      <w:r>
        <w:t xml:space="preserve"> of land is covered by native title or indigenous protected area.</w:t>
      </w:r>
    </w:p>
    <w:p w14:paraId="3F8597C4" w14:textId="77777777" w:rsidR="00D27769" w:rsidRDefault="00D27769" w:rsidP="00C32947">
      <w:pPr>
        <w:pStyle w:val="BodyText"/>
      </w:pPr>
      <w:r>
        <w:t>See Appendix C.3 for more details and references on the Clarence-Moreton Basin.</w:t>
      </w:r>
    </w:p>
    <w:p w14:paraId="031C10C0" w14:textId="77777777" w:rsidR="00D27769" w:rsidRPr="00E8799B" w:rsidRDefault="00D27769" w:rsidP="00D27769">
      <w:pPr>
        <w:pStyle w:val="Heading5"/>
      </w:pPr>
      <w:r w:rsidRPr="00E8799B">
        <w:t>Cooper Basin</w:t>
      </w:r>
    </w:p>
    <w:p w14:paraId="66BB415B" w14:textId="15059259" w:rsidR="00D27769" w:rsidRDefault="00D27769" w:rsidP="002D31FD">
      <w:pPr>
        <w:pStyle w:val="BodyText"/>
      </w:pPr>
      <w:r>
        <w:t xml:space="preserve">As part of the Bioregional Assessment Program into coal mining and </w:t>
      </w:r>
      <w:r w:rsidR="00404F8C">
        <w:t>CSG</w:t>
      </w:r>
      <w:r w:rsidR="00A02140">
        <w:t xml:space="preserve"> developments, Smith et al.</w:t>
      </w:r>
      <w:r>
        <w:t xml:space="preserve"> (2015) provided a review into the known hydrology and hydrogeology of the Cooper Basin region; the majority of information presented in this section is derived from this work.</w:t>
      </w:r>
    </w:p>
    <w:p w14:paraId="38C73553" w14:textId="77777777" w:rsidR="00D27769" w:rsidRDefault="00D27769" w:rsidP="00C32947">
      <w:pPr>
        <w:pStyle w:val="BodyText"/>
      </w:pPr>
      <w:r w:rsidRPr="001921A0">
        <w:t xml:space="preserve">Groundwater </w:t>
      </w:r>
      <w:r>
        <w:t>systems occur</w:t>
      </w:r>
      <w:r w:rsidRPr="001921A0">
        <w:t xml:space="preserve"> within the Cooper Basin, along with the overlying Eromanga Basin and Lake Eyre Basin. </w:t>
      </w:r>
      <w:r>
        <w:t xml:space="preserve">Groundwater is predominantly extracted from aquifers in the overlying Eromanga Basin sequence </w:t>
      </w:r>
      <w:r w:rsidRPr="001921A0">
        <w:t>(part of the Great Artesian Basin)</w:t>
      </w:r>
      <w:r>
        <w:t xml:space="preserve">, and to a lesser extent, Lake Eyre Basin aquifers. A limited amount of co-produced groundwater is extracted from petroleum and gas wells within the Cooper Basin sequence. </w:t>
      </w:r>
    </w:p>
    <w:p w14:paraId="4D5585E5" w14:textId="60ECD339" w:rsidR="00D27769" w:rsidRDefault="00D27769" w:rsidP="00C32947">
      <w:pPr>
        <w:pStyle w:val="BodyText"/>
      </w:pPr>
      <w:r>
        <w:t xml:space="preserve">Aquifers in the Eromanga Basin sequence are generally classified as highly productive (Jacobson and Lau, 1987; </w:t>
      </w:r>
      <w:r>
        <w:fldChar w:fldCharType="begin"/>
      </w:r>
      <w:r>
        <w:instrText xml:space="preserve"> REF _Ref493775234 \h </w:instrText>
      </w:r>
      <w:r>
        <w:fldChar w:fldCharType="separate"/>
      </w:r>
      <w:r w:rsidR="004A16F5" w:rsidRPr="00AB6721">
        <w:t xml:space="preserve">Table </w:t>
      </w:r>
      <w:r w:rsidR="004A16F5">
        <w:rPr>
          <w:noProof/>
        </w:rPr>
        <w:t>5</w:t>
      </w:r>
      <w:r w:rsidR="004A16F5" w:rsidRPr="00AB6721">
        <w:noBreakHyphen/>
      </w:r>
      <w:r w:rsidR="004A16F5">
        <w:rPr>
          <w:noProof/>
        </w:rPr>
        <w:t>9</w:t>
      </w:r>
      <w:r>
        <w:fldChar w:fldCharType="end"/>
      </w:r>
      <w:r w:rsidR="005E1B62">
        <w:t>)</w:t>
      </w:r>
      <w:r w:rsidR="00C45AF8">
        <w:t>.</w:t>
      </w:r>
      <w:r w:rsidR="005E1B62">
        <w:t xml:space="preserve"> </w:t>
      </w:r>
      <w:r>
        <w:t>T</w:t>
      </w:r>
      <w:r w:rsidRPr="001921A0">
        <w:t>he confined aquifers</w:t>
      </w:r>
      <w:r>
        <w:t xml:space="preserve"> of the Eromanga Basin sequence are intersected by numerous</w:t>
      </w:r>
      <w:r w:rsidRPr="001921A0">
        <w:t xml:space="preserve"> artesian </w:t>
      </w:r>
      <w:r>
        <w:t xml:space="preserve">and sub-artesian </w:t>
      </w:r>
      <w:r w:rsidRPr="001921A0">
        <w:t>bores</w:t>
      </w:r>
      <w:r>
        <w:t>. Water produced from these bores</w:t>
      </w:r>
      <w:r w:rsidRPr="001921A0">
        <w:t xml:space="preserve"> </w:t>
      </w:r>
      <w:r>
        <w:t>has</w:t>
      </w:r>
      <w:r w:rsidRPr="001921A0">
        <w:t xml:space="preserve"> salinity</w:t>
      </w:r>
      <w:r>
        <w:t xml:space="preserve"> levels suitable </w:t>
      </w:r>
      <w:r w:rsidRPr="001921A0">
        <w:t xml:space="preserve">for stock, domestic and town uses. </w:t>
      </w:r>
      <w:r>
        <w:t>There are over 4</w:t>
      </w:r>
      <w:r w:rsidR="00C45AF8">
        <w:t>,</w:t>
      </w:r>
      <w:r>
        <w:t xml:space="preserve">000 registered groundwater bores in the Cooper Basin footprint. </w:t>
      </w:r>
    </w:p>
    <w:p w14:paraId="64FE8CBD" w14:textId="381385B7" w:rsidR="00D27769" w:rsidRDefault="00D27769" w:rsidP="00C32947">
      <w:pPr>
        <w:pStyle w:val="BodyText"/>
      </w:pPr>
      <w:r>
        <w:t>S</w:t>
      </w:r>
      <w:r w:rsidRPr="001921A0">
        <w:t xml:space="preserve">alinity </w:t>
      </w:r>
      <w:r>
        <w:t>values within aquifers of the</w:t>
      </w:r>
      <w:r w:rsidRPr="001921A0">
        <w:t xml:space="preserve"> Eromanga Basin </w:t>
      </w:r>
      <w:r>
        <w:t>dictate</w:t>
      </w:r>
      <w:r w:rsidRPr="001921A0">
        <w:t xml:space="preserve"> the types of use. Winton</w:t>
      </w:r>
      <w:r w:rsidR="00C45AF8">
        <w:t>–</w:t>
      </w:r>
      <w:r w:rsidRPr="001921A0">
        <w:t xml:space="preserve">Mackunda </w:t>
      </w:r>
      <w:r>
        <w:t>aquifers</w:t>
      </w:r>
      <w:r w:rsidRPr="001921A0">
        <w:t xml:space="preserve"> are used for stock water, while Coorikiana Sandstone </w:t>
      </w:r>
      <w:r>
        <w:t xml:space="preserve">has higher </w:t>
      </w:r>
      <w:r w:rsidRPr="001921A0">
        <w:t xml:space="preserve">salinities and </w:t>
      </w:r>
      <w:r>
        <w:t xml:space="preserve">poor </w:t>
      </w:r>
      <w:r w:rsidRPr="001921A0">
        <w:t>yields</w:t>
      </w:r>
      <w:r>
        <w:t xml:space="preserve"> and is therefore not widely used for groundwater extraction</w:t>
      </w:r>
      <w:r w:rsidRPr="001921A0">
        <w:t xml:space="preserve">. </w:t>
      </w:r>
      <w:r>
        <w:t>Groundwater salinity in the Eromanga Basin is typically less than 6</w:t>
      </w:r>
      <w:r w:rsidR="00C45AF8">
        <w:t>,</w:t>
      </w:r>
      <w:r>
        <w:t>000 mg/L (usually ~ 3,000 mg/L), while underlying Cooper Basin units are more saline, and reaching up to 18,000 mg/L (Smith et al., 2015</w:t>
      </w:r>
      <w:r w:rsidR="005E1B62">
        <w:t>)</w:t>
      </w:r>
      <w:r w:rsidR="005A3B36">
        <w:t>.</w:t>
      </w:r>
      <w:r w:rsidR="005E1B62">
        <w:t xml:space="preserve"> </w:t>
      </w:r>
    </w:p>
    <w:p w14:paraId="146A13BE" w14:textId="42423679" w:rsidR="00D27769" w:rsidRDefault="00D27769" w:rsidP="00C32947">
      <w:pPr>
        <w:pStyle w:val="BodyText"/>
      </w:pPr>
      <w:r w:rsidRPr="001921A0">
        <w:t>Queensland</w:t>
      </w:r>
      <w:r>
        <w:t xml:space="preserve"> legislation</w:t>
      </w:r>
      <w:r w:rsidRPr="001921A0">
        <w:t xml:space="preserve"> requires licenses for </w:t>
      </w:r>
      <w:r>
        <w:t xml:space="preserve">both artesian and connected sub-artesian bores extracting water from </w:t>
      </w:r>
      <w:r w:rsidRPr="001921A0">
        <w:t>the Great Artesian Basin</w:t>
      </w:r>
      <w:r>
        <w:t xml:space="preserve">, </w:t>
      </w:r>
      <w:r w:rsidRPr="001921A0">
        <w:t>while South Australia has a Water Allocation Plan that limits drawdown in the vicinity of springs (such as those found in this western Eromanga Basin area</w:t>
      </w:r>
      <w:r w:rsidR="005E1B62">
        <w:t>)</w:t>
      </w:r>
      <w:r w:rsidR="00C45AF8">
        <w:t>.</w:t>
      </w:r>
      <w:r w:rsidR="005E1B62">
        <w:t xml:space="preserve"> </w:t>
      </w:r>
      <w:r>
        <w:t xml:space="preserve">South Australia also provides a total groundwater extraction allocation to the </w:t>
      </w:r>
      <w:r w:rsidRPr="001921A0">
        <w:t xml:space="preserve">petroleum industry </w:t>
      </w:r>
      <w:r>
        <w:t xml:space="preserve">of </w:t>
      </w:r>
      <w:r w:rsidRPr="001921A0">
        <w:t>60 ML/day</w:t>
      </w:r>
      <w:r>
        <w:t xml:space="preserve"> (Smith et al., 2015)</w:t>
      </w:r>
      <w:r w:rsidRPr="001921A0">
        <w:t>.</w:t>
      </w:r>
    </w:p>
    <w:p w14:paraId="448414C6" w14:textId="78ED811F" w:rsidR="00D27769" w:rsidRDefault="00D27769" w:rsidP="00C32947">
      <w:pPr>
        <w:pStyle w:val="BodyText"/>
      </w:pPr>
      <w:r w:rsidRPr="001921A0">
        <w:t xml:space="preserve">Overlying the Cooper Basin are areas within the Cooper Creek–Bulloo River and Diamantina–Georgina Rivers catchments. </w:t>
      </w:r>
      <w:r>
        <w:t>In t</w:t>
      </w:r>
      <w:r w:rsidRPr="001921A0">
        <w:t>hese arid areas</w:t>
      </w:r>
      <w:r>
        <w:t xml:space="preserve"> </w:t>
      </w:r>
      <w:r w:rsidRPr="001921A0">
        <w:t xml:space="preserve">rivers are ephemeral and anastomosing, </w:t>
      </w:r>
      <w:r>
        <w:t>and</w:t>
      </w:r>
      <w:r w:rsidRPr="001921A0">
        <w:t xml:space="preserve"> floodplains are wide (in excess of 60</w:t>
      </w:r>
      <w:r>
        <w:t xml:space="preserve"> </w:t>
      </w:r>
      <w:r w:rsidRPr="001921A0">
        <w:t>km</w:t>
      </w:r>
      <w:r w:rsidR="005E1B62">
        <w:t xml:space="preserve">) </w:t>
      </w:r>
      <w:r w:rsidRPr="001921A0">
        <w:t>Streamflow is highly variable between years</w:t>
      </w:r>
      <w:r>
        <w:t xml:space="preserve"> and highly seasonal</w:t>
      </w:r>
      <w:r w:rsidRPr="001921A0">
        <w:t>.</w:t>
      </w:r>
      <w:r>
        <w:t xml:space="preserve"> Since there are no perennial watercourses, </w:t>
      </w:r>
      <w:r w:rsidRPr="001921A0">
        <w:t xml:space="preserve">major dams </w:t>
      </w:r>
      <w:r>
        <w:t>and</w:t>
      </w:r>
      <w:r w:rsidRPr="001921A0">
        <w:t xml:space="preserve"> storages, </w:t>
      </w:r>
      <w:r>
        <w:t>there is</w:t>
      </w:r>
      <w:r w:rsidRPr="001921A0">
        <w:t xml:space="preserve"> negligible use of surface water</w:t>
      </w:r>
      <w:r>
        <w:t xml:space="preserve">. </w:t>
      </w:r>
    </w:p>
    <w:p w14:paraId="1A1DC4FA" w14:textId="0130A809" w:rsidR="00D27769" w:rsidRDefault="00D27769" w:rsidP="00C32947">
      <w:pPr>
        <w:pStyle w:val="BodyText"/>
      </w:pPr>
      <w:r>
        <w:t>Surface water s</w:t>
      </w:r>
      <w:r w:rsidRPr="001921A0">
        <w:t xml:space="preserve">alinity </w:t>
      </w:r>
      <w:r>
        <w:t xml:space="preserve">in the Cooper Creek </w:t>
      </w:r>
      <w:r w:rsidRPr="001921A0">
        <w:t>is generally low (EC usually less than 200</w:t>
      </w:r>
      <w:r w:rsidRPr="005D601C">
        <w:t xml:space="preserve"> </w:t>
      </w:r>
      <w:r>
        <w:t>μS/cm</w:t>
      </w:r>
      <w:r w:rsidRPr="001921A0">
        <w:t xml:space="preserve">), but turbidity can be </w:t>
      </w:r>
      <w:r>
        <w:t xml:space="preserve">high </w:t>
      </w:r>
      <w:r w:rsidRPr="001921A0">
        <w:t>at times of mid flow</w:t>
      </w:r>
      <w:r>
        <w:t xml:space="preserve"> (Cockayne et al., 2013; Smith et al., 2015</w:t>
      </w:r>
      <w:r w:rsidR="005E1B62">
        <w:t>)</w:t>
      </w:r>
      <w:r w:rsidR="00C45AF8">
        <w:t>.</w:t>
      </w:r>
      <w:r w:rsidR="005E1B62">
        <w:t xml:space="preserve"> </w:t>
      </w:r>
      <w:r w:rsidRPr="001921A0">
        <w:t>The Queensland Government has reserved 2</w:t>
      </w:r>
      <w:r>
        <w:t>,</w:t>
      </w:r>
      <w:r w:rsidRPr="001921A0">
        <w:t>000 ML of unallocated water in the Cooper Creek catchment; while the Georgina and Diamantina Water Resource Plan 2004 provides a general reserve for the lower Diamantina of 1</w:t>
      </w:r>
      <w:r>
        <w:t>,</w:t>
      </w:r>
      <w:r w:rsidRPr="001921A0">
        <w:t>000 ML as well as an allocation across the entire catchment 1</w:t>
      </w:r>
      <w:r>
        <w:t>,</w:t>
      </w:r>
      <w:r w:rsidRPr="001921A0">
        <w:t>500 ML for projects of state significance.</w:t>
      </w:r>
      <w:r>
        <w:t xml:space="preserve"> The basin supports approximately 13,800 km</w:t>
      </w:r>
      <w:r w:rsidRPr="003D30FC">
        <w:rPr>
          <w:rStyle w:val="Superscript"/>
        </w:rPr>
        <w:t>2</w:t>
      </w:r>
      <w:r w:rsidRPr="00C30F1D">
        <w:rPr>
          <w:rStyle w:val="Subscript"/>
        </w:rPr>
        <w:t xml:space="preserve"> </w:t>
      </w:r>
      <w:r>
        <w:t>of groundwater dependant ecosystems.</w:t>
      </w:r>
    </w:p>
    <w:p w14:paraId="031A6485" w14:textId="42AB2036" w:rsidR="00D27769" w:rsidRDefault="00D27769" w:rsidP="00C32947">
      <w:pPr>
        <w:pStyle w:val="BodyText"/>
      </w:pPr>
      <w:r>
        <w:t>Within the Cooper Basin there are 15,400 km</w:t>
      </w:r>
      <w:r w:rsidRPr="003D30FC">
        <w:rPr>
          <w:rStyle w:val="Superscript"/>
        </w:rPr>
        <w:t>2</w:t>
      </w:r>
      <w:r>
        <w:t xml:space="preserve"> of protected areas, including national parks and 16,200 km</w:t>
      </w:r>
      <w:r w:rsidRPr="003D30FC">
        <w:rPr>
          <w:rStyle w:val="Superscript"/>
        </w:rPr>
        <w:t>2</w:t>
      </w:r>
      <w:r>
        <w:t xml:space="preserve"> of wetlands of national importance. One significant site is the Coongie Lakes, which are wetlands of international significance and listed by the Ramsar Convention. The region is very sparsely populated (total basin population 400), with almost half the area coinciding with Native Title areas (61,600km</w:t>
      </w:r>
      <w:r w:rsidRPr="003D30FC">
        <w:rPr>
          <w:rStyle w:val="Superscript"/>
        </w:rPr>
        <w:t>2</w:t>
      </w:r>
      <w:r w:rsidR="005E1B62">
        <w:t>)</w:t>
      </w:r>
      <w:r w:rsidR="00C45AF8">
        <w:t>.</w:t>
      </w:r>
      <w:r w:rsidR="005E1B62">
        <w:t xml:space="preserve"> </w:t>
      </w:r>
      <w:r>
        <w:t>The main land use is for stock grazing on native vegetation.</w:t>
      </w:r>
    </w:p>
    <w:p w14:paraId="268EF08D" w14:textId="77777777" w:rsidR="00D27769" w:rsidRDefault="00D27769" w:rsidP="00C32947">
      <w:pPr>
        <w:pStyle w:val="BodyText"/>
      </w:pPr>
      <w:r>
        <w:t>See Appendix C.4 for more details and references on the Cooper Basin.</w:t>
      </w:r>
    </w:p>
    <w:p w14:paraId="54AF0779" w14:textId="77777777" w:rsidR="00D27769" w:rsidRPr="00E8799B" w:rsidRDefault="00D27769" w:rsidP="00D27769">
      <w:pPr>
        <w:pStyle w:val="Heading5"/>
      </w:pPr>
      <w:r w:rsidRPr="00E8799B">
        <w:t>Georgina Basin</w:t>
      </w:r>
    </w:p>
    <w:p w14:paraId="59BE8AEA" w14:textId="1A0F2E94" w:rsidR="00D27769" w:rsidRDefault="00D27769" w:rsidP="00C32947">
      <w:pPr>
        <w:pStyle w:val="BodyText"/>
      </w:pPr>
      <w:r w:rsidRPr="008935F0">
        <w:t xml:space="preserve">The primary </w:t>
      </w:r>
      <w:r>
        <w:t>ground</w:t>
      </w:r>
      <w:r w:rsidRPr="008935F0">
        <w:t>water bearing units identified in the Georgina Basin are the widespread</w:t>
      </w:r>
      <w:r>
        <w:t>,</w:t>
      </w:r>
      <w:r w:rsidRPr="008935F0">
        <w:t xml:space="preserve"> </w:t>
      </w:r>
      <w:r>
        <w:t xml:space="preserve">highly productive </w:t>
      </w:r>
      <w:r w:rsidRPr="008935F0">
        <w:t>Paleozoic succession of carbonate formations</w:t>
      </w:r>
      <w:r>
        <w:t xml:space="preserve"> (e.g. Gum Ridge and Anthony Lagoon formations</w:t>
      </w:r>
      <w:r w:rsidR="005E1B62">
        <w:t>)</w:t>
      </w:r>
      <w:r w:rsidR="00C45AF8">
        <w:t>.</w:t>
      </w:r>
      <w:r w:rsidR="005E1B62">
        <w:t xml:space="preserve"> </w:t>
      </w:r>
      <w:r w:rsidRPr="008935F0">
        <w:t xml:space="preserve">Less significant </w:t>
      </w:r>
      <w:r>
        <w:t>groundwater resources</w:t>
      </w:r>
      <w:r w:rsidRPr="008935F0">
        <w:t xml:space="preserve"> are found in fractured rock </w:t>
      </w:r>
      <w:r>
        <w:t xml:space="preserve">(e.g. Beetle Creek Formation) </w:t>
      </w:r>
      <w:r w:rsidRPr="008935F0">
        <w:t xml:space="preserve">and porous rock </w:t>
      </w:r>
      <w:r>
        <w:t xml:space="preserve">(e.g. Steamboat Sandstone) </w:t>
      </w:r>
      <w:r w:rsidRPr="008935F0">
        <w:t>aquifers</w:t>
      </w:r>
      <w:r>
        <w:t xml:space="preserve">. </w:t>
      </w:r>
      <w:r w:rsidRPr="008935F0">
        <w:t xml:space="preserve">Sporadic </w:t>
      </w:r>
      <w:r>
        <w:t>occurrences</w:t>
      </w:r>
      <w:r w:rsidRPr="008935F0">
        <w:t xml:space="preserve"> of Cenozoic age sediments provide regionally significant groundwater</w:t>
      </w:r>
      <w:r>
        <w:t xml:space="preserve"> resources</w:t>
      </w:r>
      <w:r w:rsidRPr="008935F0">
        <w:t xml:space="preserve">. </w:t>
      </w:r>
      <w:r>
        <w:t>Towards the centre of the basin m</w:t>
      </w:r>
      <w:r w:rsidRPr="008935F0">
        <w:t>ajor aquifer units are typically intersected between 100</w:t>
      </w:r>
      <w:r>
        <w:t>–</w:t>
      </w:r>
      <w:r w:rsidRPr="008935F0">
        <w:t>200 m below ground level</w:t>
      </w:r>
      <w:r>
        <w:t>, while towards the basin margin they are</w:t>
      </w:r>
      <w:r w:rsidRPr="008935F0">
        <w:t xml:space="preserve"> at shallower depths. </w:t>
      </w:r>
      <w:r>
        <w:t>The basin has over 5</w:t>
      </w:r>
      <w:r w:rsidR="00C45AF8">
        <w:t>,</w:t>
      </w:r>
      <w:r>
        <w:t>700 registered groundwater bores. The southeastern portion of the basin area contains aquifers within the overlying Eromanga Basin sequence, which forms part of the Great Artesian Basin.</w:t>
      </w:r>
    </w:p>
    <w:p w14:paraId="7DE42AAA" w14:textId="537A9691" w:rsidR="00D27769" w:rsidRDefault="00D27769" w:rsidP="00C32947">
      <w:pPr>
        <w:pStyle w:val="BodyText"/>
      </w:pPr>
      <w:r w:rsidRPr="008935F0">
        <w:t>Groundwater salinity levels are generally low in the Middle Cambrian Limestones and are generally lower than the non-carbonate aquifers, ranging from around from 390 mg/L to</w:t>
      </w:r>
      <w:r>
        <w:t xml:space="preserve"> over</w:t>
      </w:r>
      <w:r w:rsidRPr="008935F0">
        <w:t xml:space="preserve"> 900 mg/L Total Dissolved Solids (TDS</w:t>
      </w:r>
      <w:r w:rsidR="005E1B62">
        <w:t xml:space="preserve">) </w:t>
      </w:r>
      <w:r>
        <w:t>Rare a</w:t>
      </w:r>
      <w:r w:rsidRPr="008935F0">
        <w:t>reas of high salinity</w:t>
      </w:r>
      <w:r>
        <w:t xml:space="preserve"> exceeding</w:t>
      </w:r>
      <w:r w:rsidRPr="008935F0">
        <w:t xml:space="preserve"> 5</w:t>
      </w:r>
      <w:r>
        <w:t>,</w:t>
      </w:r>
      <w:r w:rsidRPr="008935F0">
        <w:t>000 mg/L TDS exist in former evapor</w:t>
      </w:r>
      <w:r>
        <w:t>i</w:t>
      </w:r>
      <w:r w:rsidRPr="008935F0">
        <w:t xml:space="preserve">te beds. Cenozoic aquifers of the Ti-Tree and Western Davenport region typically show groundwater of sufficient quality for irrigation and stock purposes. </w:t>
      </w:r>
      <w:r>
        <w:t xml:space="preserve">Groundwater salinity in the </w:t>
      </w:r>
      <w:r w:rsidRPr="008935F0">
        <w:t xml:space="preserve">major aquifers of the </w:t>
      </w:r>
      <w:r>
        <w:t>Great Artesian Basin</w:t>
      </w:r>
      <w:r w:rsidRPr="008935F0">
        <w:t xml:space="preserve"> in this region </w:t>
      </w:r>
      <w:r>
        <w:t>range</w:t>
      </w:r>
      <w:r w:rsidRPr="008935F0">
        <w:t xml:space="preserve"> between 500</w:t>
      </w:r>
      <w:r>
        <w:t>–</w:t>
      </w:r>
      <w:r w:rsidRPr="008935F0">
        <w:t>1</w:t>
      </w:r>
      <w:r>
        <w:t>,</w:t>
      </w:r>
      <w:r w:rsidRPr="008935F0">
        <w:t>200 mg/L TDS</w:t>
      </w:r>
      <w:r>
        <w:t xml:space="preserve"> (Ransley et al., 2015</w:t>
      </w:r>
      <w:r w:rsidR="005E1B62">
        <w:t>)</w:t>
      </w:r>
      <w:r w:rsidR="00C45AF8">
        <w:t>.</w:t>
      </w:r>
      <w:r w:rsidR="005E1B62">
        <w:t xml:space="preserve"> </w:t>
      </w:r>
    </w:p>
    <w:p w14:paraId="3545BF08" w14:textId="44CA88B9" w:rsidR="00D27769" w:rsidRPr="008935F0" w:rsidRDefault="00D27769" w:rsidP="00C32947">
      <w:pPr>
        <w:pStyle w:val="BodyText"/>
      </w:pPr>
      <w:r w:rsidRPr="008935F0">
        <w:t xml:space="preserve">Within the Georgina Basin groundwater is generally the main water resource for consumptive use including: mining, irrigation and stock and domestic. </w:t>
      </w:r>
    </w:p>
    <w:p w14:paraId="4FBE78BC" w14:textId="194A4D75" w:rsidR="00D27769" w:rsidRPr="008935F0" w:rsidRDefault="00D27769" w:rsidP="00C32947">
      <w:pPr>
        <w:pStyle w:val="BodyText"/>
      </w:pPr>
      <w:r w:rsidRPr="006D7616">
        <w:t xml:space="preserve">Several river catchments overlie the Georgina Basin, </w:t>
      </w:r>
      <w:r>
        <w:t xml:space="preserve">with most </w:t>
      </w:r>
      <w:r w:rsidRPr="006D7616">
        <w:t xml:space="preserve">draining </w:t>
      </w:r>
      <w:r>
        <w:t xml:space="preserve">north </w:t>
      </w:r>
      <w:r w:rsidRPr="006D7616">
        <w:t xml:space="preserve">towards the Gulf of </w:t>
      </w:r>
      <w:r>
        <w:t>Carpentaria, while parts of the Diamantina-Georgina (south to Lake Eyre) and Victoria–Wiso (northwest to Tanami–Timor Sea coast) are also observed</w:t>
      </w:r>
      <w:r w:rsidRPr="006D7616">
        <w:t>. Most of these are ephemeral, with strongly seasonal flow</w:t>
      </w:r>
      <w:r>
        <w:t>. There are two exceptions</w:t>
      </w:r>
      <w:r w:rsidR="00C45AF8">
        <w:t>:</w:t>
      </w:r>
      <w:r>
        <w:t xml:space="preserve"> </w:t>
      </w:r>
      <w:r w:rsidRPr="006D7616">
        <w:t xml:space="preserve">the </w:t>
      </w:r>
      <w:r>
        <w:t xml:space="preserve">perennial </w:t>
      </w:r>
      <w:r w:rsidRPr="006D7616">
        <w:t xml:space="preserve">Gregory and O’Shannassy </w:t>
      </w:r>
      <w:r>
        <w:t>r</w:t>
      </w:r>
      <w:r w:rsidRPr="006D7616">
        <w:t>iver</w:t>
      </w:r>
      <w:r>
        <w:t>s</w:t>
      </w:r>
      <w:r w:rsidRPr="006D7616">
        <w:t>.</w:t>
      </w:r>
      <w:r w:rsidRPr="008935F0">
        <w:t xml:space="preserve"> </w:t>
      </w:r>
      <w:r>
        <w:t xml:space="preserve">There is </w:t>
      </w:r>
      <w:r w:rsidRPr="006D7616">
        <w:t xml:space="preserve">negligible use of surface water in the region, as groundwater is much more dependable. Losing reaches of ephemeral streams recharge the underlying aquifers, while discharge springs and </w:t>
      </w:r>
      <w:r>
        <w:t xml:space="preserve">associated </w:t>
      </w:r>
      <w:r w:rsidRPr="006D7616">
        <w:t xml:space="preserve">groundwater-dependent ecosystems </w:t>
      </w:r>
      <w:r>
        <w:t>(7,700 km</w:t>
      </w:r>
      <w:r w:rsidRPr="00D2125A">
        <w:rPr>
          <w:rStyle w:val="Superscript"/>
        </w:rPr>
        <w:t>2</w:t>
      </w:r>
      <w:r>
        <w:t xml:space="preserve">) </w:t>
      </w:r>
      <w:r w:rsidRPr="006D7616">
        <w:t>has been mapped.</w:t>
      </w:r>
    </w:p>
    <w:p w14:paraId="592AB48A" w14:textId="00A539B3" w:rsidR="00D27769" w:rsidRPr="001921A0" w:rsidRDefault="00945527" w:rsidP="00C32947">
      <w:pPr>
        <w:pStyle w:val="BodyText"/>
      </w:pPr>
      <w:r>
        <w:t>Within the Georgina Basin there are 9,700 km</w:t>
      </w:r>
      <w:r w:rsidRPr="00D2125A">
        <w:rPr>
          <w:rStyle w:val="Superscript"/>
        </w:rPr>
        <w:t>2</w:t>
      </w:r>
      <w:r>
        <w:t xml:space="preserve"> of protected areas, including national parks (Limmen, </w:t>
      </w:r>
      <w:r w:rsidRPr="00411D59">
        <w:t>Boodjamulla (Lawn Hill)</w:t>
      </w:r>
      <w:r>
        <w:t>, L</w:t>
      </w:r>
      <w:r w:rsidRPr="00411D59">
        <w:t>ytwelepenty /Davenport Ranges</w:t>
      </w:r>
      <w:r>
        <w:t xml:space="preserve">, </w:t>
      </w:r>
      <w:r w:rsidRPr="00411D59">
        <w:t>Dulcie Range</w:t>
      </w:r>
      <w:r>
        <w:t xml:space="preserve">, and </w:t>
      </w:r>
      <w:r w:rsidRPr="00411D59">
        <w:t>Camooweal Caves</w:t>
      </w:r>
      <w:r>
        <w:t xml:space="preserve"> National Parks) and 6,500 km</w:t>
      </w:r>
      <w:r w:rsidRPr="00D2125A">
        <w:rPr>
          <w:rStyle w:val="Superscript"/>
        </w:rPr>
        <w:t xml:space="preserve">2 </w:t>
      </w:r>
      <w:r>
        <w:t xml:space="preserve">of wetlands of national importance. </w:t>
      </w:r>
      <w:r w:rsidR="00D27769">
        <w:t>The region is sparsely populated (basin population 3,700), but has about half the area coinciding with Native Title areas (188,200km</w:t>
      </w:r>
      <w:r w:rsidR="00D27769" w:rsidRPr="00D2125A">
        <w:rPr>
          <w:rStyle w:val="Superscript"/>
        </w:rPr>
        <w:t>2</w:t>
      </w:r>
      <w:r w:rsidR="00D27769" w:rsidRPr="00B92847">
        <w:t>)</w:t>
      </w:r>
      <w:r w:rsidR="00D27769">
        <w:t>; the main land use is for grazing stock on native vegetation.</w:t>
      </w:r>
    </w:p>
    <w:p w14:paraId="565CEFB8" w14:textId="77777777" w:rsidR="00D27769" w:rsidRDefault="00D27769" w:rsidP="00C32947">
      <w:pPr>
        <w:pStyle w:val="BodyText"/>
      </w:pPr>
      <w:r>
        <w:t>See Appendix C.5 for more details and references on the onshore Georgina Basin.</w:t>
      </w:r>
    </w:p>
    <w:p w14:paraId="46653AAA" w14:textId="77777777" w:rsidR="00D27769" w:rsidRPr="00E8799B" w:rsidRDefault="00D27769" w:rsidP="00D27769">
      <w:pPr>
        <w:pStyle w:val="Heading5"/>
      </w:pPr>
      <w:r w:rsidRPr="00E8799B">
        <w:t>Gippsland Basin</w:t>
      </w:r>
    </w:p>
    <w:p w14:paraId="348856E9" w14:textId="528A532D" w:rsidR="00D27769" w:rsidRDefault="00D27769" w:rsidP="00C32947">
      <w:pPr>
        <w:pStyle w:val="BodyText"/>
      </w:pPr>
      <w:r w:rsidRPr="003739CA">
        <w:t>Extensive aquifer and aquitard mapping of the Gippsland Basin has been undertaken (GHD, 2012; Sinclair Knight Merz, 2009</w:t>
      </w:r>
      <w:r w:rsidR="005E1B62">
        <w:t>)</w:t>
      </w:r>
      <w:r w:rsidR="00C45AF8">
        <w:t>.</w:t>
      </w:r>
      <w:r w:rsidR="005E1B62">
        <w:t xml:space="preserve"> </w:t>
      </w:r>
      <w:r w:rsidRPr="003739CA">
        <w:t>Recent studies (Yates et al., 2015; DELWP and GSV, 2015a) have provided an overview of the hydrogeology of the Gippsland Basin. A brief summary of the aquifer systems in the onshore Gippsland Basin is pr</w:t>
      </w:r>
      <w:r>
        <w:t>ovided in the following section</w:t>
      </w:r>
      <w:r w:rsidRPr="003739CA">
        <w:t xml:space="preserve">. </w:t>
      </w:r>
    </w:p>
    <w:p w14:paraId="6D7B0999" w14:textId="00050D4B" w:rsidR="00D27769" w:rsidRPr="00EC5FCD" w:rsidRDefault="00D27769" w:rsidP="00C32947">
      <w:pPr>
        <w:pStyle w:val="BodyText"/>
      </w:pPr>
      <w:r w:rsidRPr="00EC5FCD">
        <w:t xml:space="preserve">The Cretaceous–Cenozoic Gippsland Basin is contains several stratigraphic </w:t>
      </w:r>
      <w:r>
        <w:t>packages</w:t>
      </w:r>
      <w:r w:rsidRPr="00EC5FCD">
        <w:t>, which correspond to distinct aquifer systems: the upper system of Sale Group sediments, the middle system of the Latrobe Valley and Seaspray groups, the lower system of the Latrobe Group, and the deep Strzelecki Group. Each of the first three systems consist of various aquifer and aquitard units, the aquifers being classed as highly productive, while the deep Strzelecki Group has low permeability and is generally considered as hydraulic basement along with Palaeozoic basement rocks. The basin contains over 32,500 registered groundwater bores</w:t>
      </w:r>
      <w:r>
        <w:t xml:space="preserve">. </w:t>
      </w:r>
    </w:p>
    <w:p w14:paraId="242C346F" w14:textId="5FFD9419" w:rsidR="00D27769" w:rsidRPr="00EC5FCD" w:rsidRDefault="00D27769" w:rsidP="00C32947">
      <w:pPr>
        <w:pStyle w:val="BodyText"/>
      </w:pPr>
      <w:r w:rsidRPr="00EC5FCD">
        <w:t>Low salinity groundwater is found in the upper aquifers onshore (some less than 500 mg/L TDS), with salinity increasing towards the east and in some deeper units. Higher salinity groundwater (3</w:t>
      </w:r>
      <w:r>
        <w:t>,</w:t>
      </w:r>
      <w:r w:rsidRPr="00EC5FCD">
        <w:t xml:space="preserve">500 </w:t>
      </w:r>
      <w:r>
        <w:t>–</w:t>
      </w:r>
      <w:r w:rsidRPr="00EC5FCD">
        <w:t xml:space="preserve"> 13</w:t>
      </w:r>
      <w:r>
        <w:t>,</w:t>
      </w:r>
      <w:r w:rsidRPr="00EC5FCD">
        <w:t>000 mg/L TDS) are evident in the bedrock aquifer</w:t>
      </w:r>
      <w:r>
        <w:t xml:space="preserve"> (Yates et al., 2015</w:t>
      </w:r>
      <w:r w:rsidR="005E1B62">
        <w:t>)</w:t>
      </w:r>
      <w:r w:rsidR="005A3B36">
        <w:t>.</w:t>
      </w:r>
      <w:r w:rsidR="005E1B62">
        <w:t xml:space="preserve"> </w:t>
      </w:r>
    </w:p>
    <w:p w14:paraId="4EE457EC" w14:textId="77777777" w:rsidR="00D27769" w:rsidRPr="00EC5FCD" w:rsidRDefault="00D27769" w:rsidP="00C32947">
      <w:pPr>
        <w:pStyle w:val="BodyText"/>
      </w:pPr>
      <w:r w:rsidRPr="00EC5FCD">
        <w:t>Several Groundwater Management Units have plans and entitlements established. Groundwater is used for irrigation, urban supplies, stock and domestic, industrial purposes, cooling power stations, and supporting 1</w:t>
      </w:r>
      <w:r>
        <w:t>,</w:t>
      </w:r>
      <w:r w:rsidRPr="00EC5FCD">
        <w:t>800 km</w:t>
      </w:r>
      <w:r w:rsidRPr="00EC5FCD">
        <w:rPr>
          <w:rStyle w:val="Superscript"/>
        </w:rPr>
        <w:t>2</w:t>
      </w:r>
      <w:r w:rsidRPr="00EC5FCD">
        <w:t xml:space="preserve"> of identified groundwater-dependent ecosystems. </w:t>
      </w:r>
    </w:p>
    <w:p w14:paraId="290DCB28" w14:textId="1FA5BEBD" w:rsidR="00D27769" w:rsidRPr="00EC5FCD" w:rsidRDefault="00D27769" w:rsidP="00C32947">
      <w:pPr>
        <w:pStyle w:val="BodyText"/>
      </w:pPr>
      <w:r w:rsidRPr="00EC5FCD">
        <w:t xml:space="preserve">The majority of the Gippsland Basin is overlain by rivers in the Mitchell–Thomson and South Gippsland regions, with small parts of the Snowy River and East Gippsland river regions. River water tends to be fresh, with the exception of relatively more saline and turbid rivers of South Gippsland river region. The majority of surface waters are less than 500 µS/cm EC and 10 </w:t>
      </w:r>
      <w:r w:rsidRPr="0082119D">
        <w:t xml:space="preserve">Nephelometric Turbidity Units </w:t>
      </w:r>
      <w:r>
        <w:t>(Yates et al., 2015</w:t>
      </w:r>
      <w:r w:rsidR="005E1B62">
        <w:t>)</w:t>
      </w:r>
      <w:r w:rsidR="00C45AF8">
        <w:t>.</w:t>
      </w:r>
      <w:r w:rsidR="005E1B62">
        <w:t xml:space="preserve"> </w:t>
      </w:r>
      <w:r w:rsidRPr="00EC5FCD">
        <w:t xml:space="preserve">Streamflow is measured at some 13 monitoring stations. </w:t>
      </w:r>
    </w:p>
    <w:p w14:paraId="11378FE1" w14:textId="5CDBB183" w:rsidR="00D27769" w:rsidRPr="00EC5FCD" w:rsidRDefault="00D27769" w:rsidP="00C32947">
      <w:pPr>
        <w:pStyle w:val="BodyText"/>
      </w:pPr>
      <w:r w:rsidRPr="00EC5FCD">
        <w:t xml:space="preserve">Surface water is used for irrigation (e.g. Macalister Irrigation District) as well as stock and domestic, urban, commercial and power generation purposes. Rivers tend to be gaining, with a strong hydraulic connection; however in high-flow periods, excess surface water recharges groundwater systems. </w:t>
      </w:r>
    </w:p>
    <w:p w14:paraId="1B97761E" w14:textId="349326E3" w:rsidR="00D27769" w:rsidRPr="00EC5FCD" w:rsidRDefault="00D27769" w:rsidP="00C32947">
      <w:pPr>
        <w:pStyle w:val="BodyText"/>
      </w:pPr>
      <w:r w:rsidRPr="00EC5FCD">
        <w:t>Within the Gippsland Basin there are 1,200km</w:t>
      </w:r>
      <w:r w:rsidRPr="00EC5FCD">
        <w:rPr>
          <w:rStyle w:val="Superscript"/>
        </w:rPr>
        <w:t>2</w:t>
      </w:r>
      <w:r w:rsidRPr="00EC5FCD">
        <w:t xml:space="preserve"> of protected areas, including national parks, and also 1</w:t>
      </w:r>
      <w:r>
        <w:t>,</w:t>
      </w:r>
      <w:r w:rsidRPr="00EC5FCD">
        <w:t>600 km</w:t>
      </w:r>
      <w:r w:rsidRPr="00EC5FCD">
        <w:rPr>
          <w:rStyle w:val="Superscript"/>
        </w:rPr>
        <w:t xml:space="preserve">2 </w:t>
      </w:r>
      <w:r w:rsidRPr="00EC5FCD">
        <w:t>of wetlands of national importance, including three Ramsar Wetlands at Gippsland Lakes, Western Port and Corner Inlet. There are significant population centres stretching from the edge of Melbourne with the Mornington Peninsula in the west, the Latrobe Valley in the centre, and Sale in the east (total basin population over 395,000 people</w:t>
      </w:r>
      <w:r w:rsidR="005E1B62">
        <w:t>)</w:t>
      </w:r>
      <w:r w:rsidR="00C45AF8">
        <w:t>.</w:t>
      </w:r>
      <w:r w:rsidR="005E1B62">
        <w:t xml:space="preserve"> </w:t>
      </w:r>
      <w:r w:rsidRPr="00EC5FCD">
        <w:t>Most land is used for various types of production from dryland agriculture and plantation forestry.</w:t>
      </w:r>
    </w:p>
    <w:p w14:paraId="1C9B2C66" w14:textId="77777777" w:rsidR="00D27769" w:rsidRDefault="00D27769" w:rsidP="00C32947">
      <w:pPr>
        <w:pStyle w:val="BodyText"/>
      </w:pPr>
      <w:r w:rsidRPr="00EC5FCD">
        <w:t xml:space="preserve">See </w:t>
      </w:r>
      <w:r>
        <w:t>Appendix C</w:t>
      </w:r>
      <w:r w:rsidRPr="00EC5FCD">
        <w:t>.6 for more details and references on the Gippsland Basin.</w:t>
      </w:r>
    </w:p>
    <w:p w14:paraId="0803142F" w14:textId="77777777" w:rsidR="00D27769" w:rsidRPr="00E8799B" w:rsidRDefault="00D27769" w:rsidP="00D27769">
      <w:pPr>
        <w:pStyle w:val="Heading5"/>
      </w:pPr>
      <w:r w:rsidRPr="00E8799B">
        <w:t>McArthur Basin</w:t>
      </w:r>
    </w:p>
    <w:p w14:paraId="7929FB5B" w14:textId="77777777" w:rsidR="00D27769" w:rsidRDefault="00D27769" w:rsidP="00C32947">
      <w:pPr>
        <w:pStyle w:val="BodyText"/>
      </w:pPr>
      <w:r w:rsidRPr="001921A0">
        <w:t xml:space="preserve">Groundwater within the McArthur Basin itself is often in </w:t>
      </w:r>
      <w:r>
        <w:t xml:space="preserve">minor, </w:t>
      </w:r>
      <w:r w:rsidRPr="001921A0">
        <w:t>localised</w:t>
      </w:r>
      <w:r>
        <w:t xml:space="preserve">, </w:t>
      </w:r>
      <w:r w:rsidRPr="001921A0">
        <w:t>fractured aquifers</w:t>
      </w:r>
      <w:r>
        <w:t>;</w:t>
      </w:r>
      <w:r w:rsidRPr="001921A0">
        <w:t xml:space="preserve"> however the Dook Creek </w:t>
      </w:r>
      <w:r>
        <w:t xml:space="preserve">Formation </w:t>
      </w:r>
      <w:r w:rsidRPr="001921A0">
        <w:t xml:space="preserve">dolostone </w:t>
      </w:r>
      <w:r>
        <w:t xml:space="preserve">acts in part as a </w:t>
      </w:r>
      <w:r w:rsidRPr="001921A0">
        <w:t xml:space="preserve">regional </w:t>
      </w:r>
      <w:r>
        <w:t>aquifer</w:t>
      </w:r>
      <w:r w:rsidRPr="007019B6">
        <w:t xml:space="preserve">. </w:t>
      </w:r>
      <w:r w:rsidRPr="001921A0">
        <w:t xml:space="preserve">The </w:t>
      </w:r>
      <w:r>
        <w:t>main</w:t>
      </w:r>
      <w:r w:rsidRPr="001921A0" w:rsidDel="001126EA">
        <w:t xml:space="preserve"> </w:t>
      </w:r>
      <w:r w:rsidRPr="001921A0">
        <w:t>groundwater resources</w:t>
      </w:r>
      <w:r>
        <w:t xml:space="preserve"> are found in overlying basins, specifically limestones (e.g. Gum Ridge and Anthony Lagoon formations) of </w:t>
      </w:r>
      <w:r w:rsidRPr="001921A0">
        <w:t>Cambrian basins (Georgina</w:t>
      </w:r>
      <w:r>
        <w:t>–</w:t>
      </w:r>
      <w:r w:rsidRPr="001921A0">
        <w:t>Wiso</w:t>
      </w:r>
      <w:r>
        <w:t>–</w:t>
      </w:r>
      <w:r w:rsidRPr="001921A0">
        <w:t xml:space="preserve">Daly </w:t>
      </w:r>
      <w:r>
        <w:t>b</w:t>
      </w:r>
      <w:r w:rsidRPr="001921A0">
        <w:t>asins)</w:t>
      </w:r>
      <w:r>
        <w:t xml:space="preserve"> and sandstones of </w:t>
      </w:r>
      <w:r w:rsidRPr="001921A0">
        <w:t>Cretaceous</w:t>
      </w:r>
      <w:r>
        <w:t xml:space="preserve"> basins</w:t>
      </w:r>
      <w:r w:rsidRPr="001921A0">
        <w:t xml:space="preserve"> (Carpentaria and Money Shoal </w:t>
      </w:r>
      <w:r>
        <w:t>b</w:t>
      </w:r>
      <w:r w:rsidRPr="001921A0">
        <w:t>asin</w:t>
      </w:r>
      <w:r>
        <w:t>s</w:t>
      </w:r>
      <w:r w:rsidRPr="001921A0">
        <w:t xml:space="preserve">) </w:t>
      </w:r>
      <w:r>
        <w:t xml:space="preserve">that </w:t>
      </w:r>
      <w:r w:rsidRPr="001921A0">
        <w:t xml:space="preserve">overlie portions of </w:t>
      </w:r>
      <w:r>
        <w:t xml:space="preserve">the McArthur Basin. </w:t>
      </w:r>
    </w:p>
    <w:p w14:paraId="5A9CB94F" w14:textId="290DCB6B" w:rsidR="00D27769" w:rsidRDefault="00D27769" w:rsidP="00C32947">
      <w:pPr>
        <w:pStyle w:val="BodyText"/>
      </w:pPr>
      <w:r w:rsidRPr="001921A0">
        <w:t xml:space="preserve">Most regional aquifers </w:t>
      </w:r>
      <w:r>
        <w:t>contain</w:t>
      </w:r>
      <w:r w:rsidRPr="001921A0">
        <w:t xml:space="preserve"> good quality water, although dissolving limestones accumulates calcium and other solutes; </w:t>
      </w:r>
      <w:r>
        <w:t>whereas</w:t>
      </w:r>
      <w:r w:rsidRPr="001921A0">
        <w:t xml:space="preserve"> the Roper Group sandstones (Beetaloo </w:t>
      </w:r>
      <w:r>
        <w:t>S</w:t>
      </w:r>
      <w:r w:rsidRPr="001921A0">
        <w:t xml:space="preserve">ub-basin of McArthur Basin) are often hypersaline. </w:t>
      </w:r>
      <w:r>
        <w:t>The basin has over 4,700 registered groundwater bores.</w:t>
      </w:r>
      <w:r w:rsidR="005F6F81">
        <w:t xml:space="preserve"> </w:t>
      </w:r>
    </w:p>
    <w:p w14:paraId="497DF114" w14:textId="77777777" w:rsidR="00D27769" w:rsidRPr="00F030C3" w:rsidRDefault="00D27769" w:rsidP="00C32947">
      <w:pPr>
        <w:pStyle w:val="BodyText"/>
      </w:pPr>
      <w:r w:rsidRPr="001921A0">
        <w:t xml:space="preserve">Regional groundwater flow occurs only in the major aquifers, </w:t>
      </w:r>
      <w:r>
        <w:t>which</w:t>
      </w:r>
      <w:r w:rsidRPr="001921A0">
        <w:t xml:space="preserve"> tend to slowly transmit water long distances towards discharge features, particularly the perennial Roper and Daly Rivers. Recharge is often indirect, and is greater where Cretaceous cover is limited</w:t>
      </w:r>
      <w:r>
        <w:t>. The combination of</w:t>
      </w:r>
      <w:r w:rsidRPr="001921A0">
        <w:t xml:space="preserve"> high wet-season recharge and low existing groundwater development </w:t>
      </w:r>
      <w:r>
        <w:t>results in full recovery of ground</w:t>
      </w:r>
      <w:r w:rsidRPr="001921A0">
        <w:t>water levels annually</w:t>
      </w:r>
      <w:r>
        <w:t xml:space="preserve">. </w:t>
      </w:r>
      <w:r w:rsidRPr="001921A0">
        <w:t xml:space="preserve">Vertical connectivity is not well understood. Discharge is via evapotranspiration and spring/river baseflow. </w:t>
      </w:r>
      <w:r>
        <w:t>Groundwater is used for regional community water supply, stock and domestic use and mining projects. Groundwater supports an estimated 8900 km</w:t>
      </w:r>
      <w:r w:rsidRPr="00D2125A">
        <w:rPr>
          <w:rStyle w:val="Superscript"/>
        </w:rPr>
        <w:t>2</w:t>
      </w:r>
      <w:r>
        <w:t xml:space="preserve"> of groundwater dependant ecosystems in the basin.</w:t>
      </w:r>
    </w:p>
    <w:p w14:paraId="7F965CE3" w14:textId="77777777" w:rsidR="00D27769" w:rsidRDefault="00D27769" w:rsidP="00C32947">
      <w:pPr>
        <w:pStyle w:val="BodyText"/>
      </w:pPr>
      <w:r>
        <w:t xml:space="preserve">Overlying the </w:t>
      </w:r>
      <w:r w:rsidRPr="001921A0">
        <w:t xml:space="preserve">McArthur Basin </w:t>
      </w:r>
      <w:r>
        <w:t>are multiple</w:t>
      </w:r>
      <w:r w:rsidRPr="001921A0">
        <w:t xml:space="preserve"> river catchments, draining east to the western Carpentaria Coast and to the north to the Arafura and Timor seas. The Roper River is a major perennial river, while a number of coastal rivers have perennial segments. These perennial reaches </w:t>
      </w:r>
      <w:r>
        <w:t>align with</w:t>
      </w:r>
      <w:r w:rsidRPr="001921A0">
        <w:t xml:space="preserve"> underlying regional aquifers (Dook Creek </w:t>
      </w:r>
      <w:r>
        <w:t xml:space="preserve">Formation </w:t>
      </w:r>
      <w:r w:rsidRPr="001921A0">
        <w:t xml:space="preserve">dolostones, Cambrian limestones, and Cretaceous sandstones) </w:t>
      </w:r>
      <w:r>
        <w:t>which</w:t>
      </w:r>
      <w:r w:rsidRPr="001921A0">
        <w:t xml:space="preserve"> provide baseflow. </w:t>
      </w:r>
      <w:r>
        <w:t>Where</w:t>
      </w:r>
      <w:r w:rsidRPr="001921A0">
        <w:t xml:space="preserve"> supporting aquifers </w:t>
      </w:r>
      <w:r>
        <w:t>are absent</w:t>
      </w:r>
      <w:r w:rsidRPr="001921A0">
        <w:t>, the rivers become losing streams</w:t>
      </w:r>
      <w:r>
        <w:t xml:space="preserve">, which combined with the </w:t>
      </w:r>
      <w:r w:rsidRPr="001921A0">
        <w:t xml:space="preserve">high evapotranspiration leads to </w:t>
      </w:r>
      <w:r>
        <w:t xml:space="preserve">reduced flows </w:t>
      </w:r>
      <w:r w:rsidRPr="001921A0">
        <w:t>downstream.</w:t>
      </w:r>
      <w:r>
        <w:t xml:space="preserve"> </w:t>
      </w:r>
    </w:p>
    <w:p w14:paraId="46765B63" w14:textId="753C769E" w:rsidR="00D27769" w:rsidRDefault="00D27769" w:rsidP="00C32947">
      <w:pPr>
        <w:pStyle w:val="BodyText"/>
      </w:pPr>
      <w:r w:rsidRPr="001921A0">
        <w:t>Limestone aquifers tend to provide high EC baseflow to the Roper River, which increases with evapotranspiration. Wet season storm events produce less saline but more turbid water with the substantially higher streamflow. About 96% of rainfall and 91% of runoff occurs in the wet season – this allows ephemeral streams to flow, and raises the stage on perennial rivers. During the dry season, ephemeral streams for</w:t>
      </w:r>
      <w:r>
        <w:t>m</w:t>
      </w:r>
      <w:r w:rsidRPr="001921A0">
        <w:t xml:space="preserve"> a series of disconnected pools.</w:t>
      </w:r>
      <w:r>
        <w:t xml:space="preserve"> </w:t>
      </w:r>
    </w:p>
    <w:p w14:paraId="459CC699" w14:textId="77777777" w:rsidR="00D27769" w:rsidRPr="001921A0" w:rsidRDefault="00D27769" w:rsidP="00C32947">
      <w:pPr>
        <w:pStyle w:val="BodyText"/>
      </w:pPr>
      <w:r>
        <w:t>Within the McArthur Basin there are 5,400 km</w:t>
      </w:r>
      <w:r w:rsidRPr="00D2125A">
        <w:rPr>
          <w:rStyle w:val="Superscript"/>
        </w:rPr>
        <w:t>2</w:t>
      </w:r>
      <w:r>
        <w:t xml:space="preserve"> of wetlands associated with the groundwater discharge and coastal locations. There are also 19,600 km</w:t>
      </w:r>
      <w:r w:rsidRPr="00D2125A">
        <w:rPr>
          <w:rStyle w:val="Superscript"/>
        </w:rPr>
        <w:t>2</w:t>
      </w:r>
      <w:r>
        <w:t xml:space="preserve"> of protected areas such as national parks, conservation reserves and nature reserves. In the north-western corner of the McArthur Basin are parts of the Kakadu National Park and its associated Ramsar-listed wetlands of international significance and world heritage sites. The region is sparsely populated (basin population 29,800), and has almost half the area coinciding with either Native Title areas or Aboriginal Protected Areas, such as parts of Arnhem Land; outside protected areas. The main land use is for stock grazing on native vegetation.</w:t>
      </w:r>
    </w:p>
    <w:p w14:paraId="2A7BA90F" w14:textId="77777777" w:rsidR="00D27769" w:rsidRDefault="00D27769" w:rsidP="00C32947">
      <w:pPr>
        <w:pStyle w:val="BodyText"/>
      </w:pPr>
      <w:r>
        <w:t>See Appendix C.7 for more details and references on the McArthur Basin.</w:t>
      </w:r>
    </w:p>
    <w:p w14:paraId="6511773E" w14:textId="40E8E988" w:rsidR="00D27769" w:rsidRPr="00E8799B" w:rsidRDefault="00D27769" w:rsidP="00D27769">
      <w:pPr>
        <w:pStyle w:val="Heading5"/>
      </w:pPr>
      <w:r w:rsidRPr="00E8799B">
        <w:t>Mount Isa Province</w:t>
      </w:r>
      <w:r w:rsidR="00B77510">
        <w:t>, including the Isa Superbasin</w:t>
      </w:r>
    </w:p>
    <w:p w14:paraId="6A187AB6" w14:textId="2D349426" w:rsidR="00D27769" w:rsidRDefault="00B77510" w:rsidP="00C32947">
      <w:pPr>
        <w:pStyle w:val="BodyText"/>
      </w:pPr>
      <w:r>
        <w:t xml:space="preserve">As the Isa Superbasin </w:t>
      </w:r>
      <w:r w:rsidR="00EA7A33">
        <w:t xml:space="preserve">spatial </w:t>
      </w:r>
      <w:r>
        <w:t xml:space="preserve">extent remains poorly defined, with no formal outline included in Geoscience Australia’s Geological Provinces Database </w:t>
      </w:r>
      <w:r w:rsidRPr="003739CA">
        <w:t>(</w:t>
      </w:r>
      <w:r>
        <w:t xml:space="preserve">Stewart et al., 2013), the groundwater summary of the </w:t>
      </w:r>
      <w:r w:rsidR="00463026">
        <w:t>Isa S</w:t>
      </w:r>
      <w:r>
        <w:t xml:space="preserve">uperbasin was evaluated in the context of the broader Mount Isa Province. </w:t>
      </w:r>
      <w:r w:rsidR="00D27769" w:rsidRPr="008935F0">
        <w:t xml:space="preserve">The groundwater </w:t>
      </w:r>
      <w:r w:rsidR="00463026">
        <w:t>system</w:t>
      </w:r>
      <w:r w:rsidR="00D27769" w:rsidRPr="008935F0">
        <w:t xml:space="preserve"> across </w:t>
      </w:r>
      <w:r>
        <w:t>the province</w:t>
      </w:r>
      <w:r w:rsidR="00D27769" w:rsidRPr="008935F0">
        <w:t xml:space="preserve"> </w:t>
      </w:r>
      <w:r w:rsidR="00D27769">
        <w:t>can be categorised into</w:t>
      </w:r>
      <w:r w:rsidR="00D27769" w:rsidRPr="008935F0">
        <w:t xml:space="preserve"> three broad hydrogeological </w:t>
      </w:r>
      <w:r w:rsidR="00D27769">
        <w:t>zones, east, west and central zones</w:t>
      </w:r>
      <w:r w:rsidR="00D27769" w:rsidRPr="008935F0">
        <w:t xml:space="preserve">. In the east, the </w:t>
      </w:r>
      <w:r w:rsidR="00D27769">
        <w:t xml:space="preserve">overlying </w:t>
      </w:r>
      <w:r w:rsidR="00D27769" w:rsidRPr="008935F0">
        <w:t>Jurassic</w:t>
      </w:r>
      <w:r w:rsidR="00D27769">
        <w:t>–</w:t>
      </w:r>
      <w:r w:rsidR="00D27769" w:rsidRPr="008935F0">
        <w:t xml:space="preserve">Cretaceous aquifers of the Great Artesian </w:t>
      </w:r>
      <w:r w:rsidR="00D27769">
        <w:t>Basin</w:t>
      </w:r>
      <w:r w:rsidR="00D27769" w:rsidRPr="008935F0">
        <w:t xml:space="preserve"> in the Carpentaria and Eromanga </w:t>
      </w:r>
      <w:r w:rsidR="00D27769">
        <w:t>b</w:t>
      </w:r>
      <w:r w:rsidR="00D27769" w:rsidRPr="008935F0">
        <w:t>asins represent a significant source of groundwater. The western margin of the M</w:t>
      </w:r>
      <w:r w:rsidR="00D27769">
        <w:t>oun</w:t>
      </w:r>
      <w:r w:rsidR="00D27769" w:rsidRPr="008935F0">
        <w:t xml:space="preserve">t Isa Province is overlain by the Georgina </w:t>
      </w:r>
      <w:r w:rsidR="00D27769">
        <w:t>Basin</w:t>
      </w:r>
      <w:r w:rsidR="00D27769" w:rsidRPr="008935F0">
        <w:t xml:space="preserve">, </w:t>
      </w:r>
      <w:r w:rsidR="00D27769">
        <w:t xml:space="preserve">where </w:t>
      </w:r>
      <w:r w:rsidR="00D27769" w:rsidRPr="008935F0">
        <w:t xml:space="preserve">Cambrian </w:t>
      </w:r>
      <w:r w:rsidR="00D27769">
        <w:t xml:space="preserve">limestones (e.g. Gum Ridge and Anthony Lagoon formations) are </w:t>
      </w:r>
      <w:r w:rsidR="00D27769" w:rsidRPr="008935F0">
        <w:t>typically classified extensive and highly productive aquifers. The central area, including the Precambrian M</w:t>
      </w:r>
      <w:r w:rsidR="00D27769">
        <w:t>oun</w:t>
      </w:r>
      <w:r w:rsidR="00D27769" w:rsidRPr="008935F0">
        <w:t xml:space="preserve">t Isa Inlier, </w:t>
      </w:r>
      <w:r w:rsidR="00D27769">
        <w:t xml:space="preserve">lacks these overlying aquifers, so </w:t>
      </w:r>
      <w:r w:rsidR="00D27769" w:rsidRPr="008935F0">
        <w:t xml:space="preserve">is described as a region of local aquifers of generally low productivity. </w:t>
      </w:r>
    </w:p>
    <w:p w14:paraId="48287541" w14:textId="1ECD51F5" w:rsidR="00D27769" w:rsidRPr="000E7021" w:rsidRDefault="00D27769" w:rsidP="00C32947">
      <w:pPr>
        <w:pStyle w:val="BodyText"/>
      </w:pPr>
      <w:r w:rsidRPr="008935F0">
        <w:t>Groundwater quality is variable</w:t>
      </w:r>
      <w:r>
        <w:t xml:space="preserve"> across the zones</w:t>
      </w:r>
      <w:r w:rsidRPr="008935F0">
        <w:t>, however typically acceptable for livestock, irrigation and domestic supply. A salinity range of 500</w:t>
      </w:r>
      <w:r>
        <w:t>–</w:t>
      </w:r>
      <w:r w:rsidRPr="008935F0">
        <w:t>1</w:t>
      </w:r>
      <w:r>
        <w:t>,</w:t>
      </w:r>
      <w:r w:rsidRPr="008935F0">
        <w:t>20</w:t>
      </w:r>
      <w:r>
        <w:t>0 m</w:t>
      </w:r>
      <w:r w:rsidRPr="008935F0">
        <w:t xml:space="preserve">g/L TDS in the major </w:t>
      </w:r>
      <w:r>
        <w:t>Great Artesian Basin</w:t>
      </w:r>
      <w:r w:rsidRPr="008935F0">
        <w:t xml:space="preserve"> aquifers and </w:t>
      </w:r>
      <w:r w:rsidRPr="00EB7159">
        <w:t xml:space="preserve">Georgina Basin aquifers is recorded, with some regions of significantly higher concentrations such as in </w:t>
      </w:r>
      <w:r w:rsidRPr="00B92847">
        <w:t>former evaporite beds</w:t>
      </w:r>
      <w:r w:rsidRPr="00EB7159">
        <w:t>. Little groundwater development has occurred in the western (Northern Territory) side, while some development in the central region has been noted</w:t>
      </w:r>
      <w:r>
        <w:t xml:space="preserve">. </w:t>
      </w:r>
      <w:r w:rsidRPr="00EB7159">
        <w:t>An estimated 37,700</w:t>
      </w:r>
      <w:r>
        <w:t xml:space="preserve"> </w:t>
      </w:r>
      <w:r w:rsidRPr="00EB7159">
        <w:t>km</w:t>
      </w:r>
      <w:r w:rsidRPr="00D2125A">
        <w:rPr>
          <w:rStyle w:val="Superscript"/>
        </w:rPr>
        <w:t>2</w:t>
      </w:r>
      <w:r w:rsidRPr="00EB7159">
        <w:t xml:space="preserve"> of </w:t>
      </w:r>
      <w:r>
        <w:t xml:space="preserve">groundwater dependant ecosystems are </w:t>
      </w:r>
      <w:r w:rsidRPr="00EB7159">
        <w:t>present in the basin.</w:t>
      </w:r>
    </w:p>
    <w:p w14:paraId="53270FFC" w14:textId="12661A7B" w:rsidR="00D27769" w:rsidRPr="008935F0" w:rsidRDefault="00D27769" w:rsidP="00C32947">
      <w:pPr>
        <w:pStyle w:val="BodyText"/>
      </w:pPr>
      <w:r w:rsidRPr="008935F0">
        <w:t>Major surface water systems include the Diamantina</w:t>
      </w:r>
      <w:r>
        <w:t>–</w:t>
      </w:r>
      <w:r w:rsidRPr="008935F0">
        <w:t>Georgina Rivers, Nicholson</w:t>
      </w:r>
      <w:r>
        <w:t>–</w:t>
      </w:r>
      <w:r w:rsidRPr="008935F0">
        <w:t>Leichhardt Rivers and the Flinders</w:t>
      </w:r>
      <w:r>
        <w:t>–</w:t>
      </w:r>
      <w:r w:rsidRPr="008935F0">
        <w:t>Norman Rivers</w:t>
      </w:r>
      <w:r>
        <w:t xml:space="preserve">. Generally streamflow in the Mount Isa Province is </w:t>
      </w:r>
      <w:r w:rsidRPr="008935F0">
        <w:t>seasonal</w:t>
      </w:r>
      <w:r>
        <w:t xml:space="preserve"> and depends </w:t>
      </w:r>
      <w:r w:rsidRPr="008935F0">
        <w:t>on monsoonal rains. A number of significant population centres</w:t>
      </w:r>
      <w:r>
        <w:t xml:space="preserve">, however, </w:t>
      </w:r>
      <w:r w:rsidRPr="008935F0">
        <w:t>rely on surface water for domestic and industrial supply. These include M</w:t>
      </w:r>
      <w:r>
        <w:t>oun</w:t>
      </w:r>
      <w:r w:rsidRPr="008935F0">
        <w:t>t Isa sourcing water from Lake Moondarra and Lake Julius</w:t>
      </w:r>
      <w:r>
        <w:t>,</w:t>
      </w:r>
      <w:r w:rsidRPr="008935F0">
        <w:t xml:space="preserve"> and Cloncurry sourcing water from Chinaman Weir on the Cloncurry River. The Gregory and Victoria Rivers contain fresh water, while fresh to marginal water is found in the Roper River and Gunpowder Creek. </w:t>
      </w:r>
      <w:r>
        <w:t>Springs of the Great Artesian Basin occur as groundwater discharge features and have associated groundwater-dependent ecosystems.</w:t>
      </w:r>
    </w:p>
    <w:p w14:paraId="1C9D1A6E" w14:textId="0C479E39" w:rsidR="00D27769" w:rsidRPr="001921A0" w:rsidRDefault="00D27769" w:rsidP="00C32947">
      <w:pPr>
        <w:pStyle w:val="BodyText"/>
      </w:pPr>
      <w:r>
        <w:t>Within the Mount Isa Province there are over 10,000 km</w:t>
      </w:r>
      <w:r w:rsidRPr="00D2125A">
        <w:rPr>
          <w:rStyle w:val="Superscript"/>
        </w:rPr>
        <w:t>2</w:t>
      </w:r>
      <w:r w:rsidRPr="00C30F1D">
        <w:rPr>
          <w:rStyle w:val="Subscript"/>
        </w:rPr>
        <w:t xml:space="preserve"> </w:t>
      </w:r>
      <w:r>
        <w:t>of protected areas, including national parks (</w:t>
      </w:r>
      <w:r w:rsidRPr="00411D59">
        <w:t>Diamantina</w:t>
      </w:r>
      <w:r>
        <w:t xml:space="preserve">, </w:t>
      </w:r>
      <w:r w:rsidRPr="00411D59">
        <w:t>Boodjamulla (Lawn Hill)</w:t>
      </w:r>
      <w:r>
        <w:t xml:space="preserve">, </w:t>
      </w:r>
      <w:r w:rsidRPr="00411D59">
        <w:t>Astrebla Downs</w:t>
      </w:r>
      <w:r>
        <w:t xml:space="preserve">, and </w:t>
      </w:r>
      <w:r w:rsidRPr="00411D59">
        <w:t>Camooweal Caves</w:t>
      </w:r>
      <w:r>
        <w:t xml:space="preserve"> National Parks) and also 6,300 km</w:t>
      </w:r>
      <w:r w:rsidRPr="00D2125A">
        <w:rPr>
          <w:rStyle w:val="Superscript"/>
        </w:rPr>
        <w:t>2</w:t>
      </w:r>
      <w:r w:rsidRPr="00C30F1D">
        <w:rPr>
          <w:rStyle w:val="Subscript"/>
        </w:rPr>
        <w:t xml:space="preserve"> </w:t>
      </w:r>
      <w:r>
        <w:t>of wetlands of national importance. Outside major population centres such as Mount Isa and Cloncurry, the region is sparsely populated (basin population 25,000</w:t>
      </w:r>
      <w:r w:rsidR="005E1B62">
        <w:t>)</w:t>
      </w:r>
      <w:r w:rsidR="00C45AF8">
        <w:t>.</w:t>
      </w:r>
      <w:r w:rsidR="005E1B62">
        <w:t xml:space="preserve"> </w:t>
      </w:r>
      <w:r>
        <w:t>Large areas of Native Title or indigenous protected areas are present (116,400 km</w:t>
      </w:r>
      <w:r w:rsidRPr="00D2125A">
        <w:rPr>
          <w:rStyle w:val="Superscript"/>
        </w:rPr>
        <w:t>2</w:t>
      </w:r>
      <w:r>
        <w:t>) occur, while the main land use is for stock grazing on native vegetation.</w:t>
      </w:r>
    </w:p>
    <w:p w14:paraId="520BA64E" w14:textId="6FC32716" w:rsidR="00D27769" w:rsidRDefault="00D27769" w:rsidP="00C32947">
      <w:pPr>
        <w:pStyle w:val="BodyText"/>
      </w:pPr>
      <w:r>
        <w:t xml:space="preserve">See Appendix C.8 for more details and references on the </w:t>
      </w:r>
      <w:r w:rsidR="005235DC">
        <w:t>Isa Superbasin</w:t>
      </w:r>
      <w:r w:rsidR="00317DBC">
        <w:t xml:space="preserve"> and Mount Isa Province</w:t>
      </w:r>
      <w:r>
        <w:t>.</w:t>
      </w:r>
    </w:p>
    <w:p w14:paraId="7996E0B4" w14:textId="77777777" w:rsidR="00D27769" w:rsidRPr="00E8799B" w:rsidRDefault="00D27769" w:rsidP="00D27769">
      <w:pPr>
        <w:pStyle w:val="Heading5"/>
      </w:pPr>
      <w:r w:rsidRPr="00E8799B">
        <w:t>Otway Basin</w:t>
      </w:r>
    </w:p>
    <w:p w14:paraId="2C373FF8" w14:textId="77777777" w:rsidR="00D27769" w:rsidRDefault="00D27769" w:rsidP="00C32947">
      <w:pPr>
        <w:pStyle w:val="BodyText"/>
      </w:pPr>
      <w:r>
        <w:t>A number of studies (Bush, 2009; Clark et al., 2015; DELWP and GSV, 2015b) have detailed the geology and hydrogeology of the Otway Basin. This section synthesises the existing knowledge of the hydrogeology of the Otway Basin.</w:t>
      </w:r>
    </w:p>
    <w:p w14:paraId="5E9DDA32" w14:textId="1E275C06" w:rsidR="00D27769" w:rsidRPr="00BB3D81" w:rsidRDefault="00D27769" w:rsidP="00C32947">
      <w:pPr>
        <w:pStyle w:val="BodyText"/>
      </w:pPr>
      <w:r w:rsidRPr="00BB3D81">
        <w:t>The main aquifers of the Otway Basin are</w:t>
      </w:r>
      <w:r>
        <w:t>:</w:t>
      </w:r>
      <w:r w:rsidRPr="00BB3D81">
        <w:t xml:space="preserve"> Oligocene–Miocene limestones (e.g. Gambier Limestone and Port Campbell Limestone) </w:t>
      </w:r>
      <w:r>
        <w:t xml:space="preserve">which behave </w:t>
      </w:r>
      <w:r w:rsidRPr="00BB3D81">
        <w:t>as an unconfined aquifer</w:t>
      </w:r>
      <w:r>
        <w:t>;</w:t>
      </w:r>
      <w:r w:rsidRPr="00BB3D81">
        <w:t xml:space="preserve"> and a lower Paleocene–Eocene sandy aquifer system (e.g. Dilwyn Formation and Mepunga Formation</w:t>
      </w:r>
      <w:r w:rsidR="005E1B62">
        <w:t>)</w:t>
      </w:r>
      <w:r w:rsidR="0098753F">
        <w:t>.</w:t>
      </w:r>
      <w:r w:rsidR="005E1B62">
        <w:t xml:space="preserve"> </w:t>
      </w:r>
      <w:r w:rsidRPr="00BB3D81">
        <w:t>Other Cenozoic aquifers are typically local or intermediate-flow systems, including fractured and weathered basalts of the Newer Volcanics Province. Underlying these are Mesozoic sedimentary rock aquifers, such as the Sherbrook Group and Otway Group. Aquifers are classified as generally highly productive and the basin has over 51,000 registered groundwater bores</w:t>
      </w:r>
      <w:r>
        <w:t xml:space="preserve"> (B</w:t>
      </w:r>
      <w:r w:rsidR="00FE21C3">
        <w:t>o</w:t>
      </w:r>
      <w:r>
        <w:t>M, 2016</w:t>
      </w:r>
      <w:r w:rsidR="005E1B62">
        <w:t>)</w:t>
      </w:r>
      <w:r w:rsidR="005A3B36">
        <w:t>.</w:t>
      </w:r>
      <w:r w:rsidR="005E1B62">
        <w:t xml:space="preserve"> </w:t>
      </w:r>
    </w:p>
    <w:p w14:paraId="68C8867B" w14:textId="67021CF5" w:rsidR="00D27769" w:rsidRPr="00BB3D81" w:rsidRDefault="00D27769" w:rsidP="00C32947">
      <w:pPr>
        <w:pStyle w:val="BodyText"/>
      </w:pPr>
      <w:r w:rsidRPr="00BB3D81">
        <w:t>Groundwater flow is mostly based on topography, with a south- or southwesterly flow direction. Salinity in the upper limestones is mostly less than 1</w:t>
      </w:r>
      <w:r>
        <w:t>,</w:t>
      </w:r>
      <w:r w:rsidRPr="00BB3D81">
        <w:t>500 mg/L TDS, but can vary up to 7</w:t>
      </w:r>
      <w:r>
        <w:t>,</w:t>
      </w:r>
      <w:r w:rsidRPr="00BB3D81">
        <w:t>000 mg/L</w:t>
      </w:r>
      <w:r>
        <w:t xml:space="preserve"> TDS</w:t>
      </w:r>
      <w:r w:rsidRPr="00BB3D81">
        <w:t>; in the Paleocene-Eocene sands, salinity increases from 500 mg/L TDS in recharge areas towards 5</w:t>
      </w:r>
      <w:r>
        <w:t>,</w:t>
      </w:r>
      <w:r w:rsidRPr="00BB3D81">
        <w:t xml:space="preserve">600 mg/L </w:t>
      </w:r>
      <w:r>
        <w:t xml:space="preserve">TDS </w:t>
      </w:r>
      <w:r w:rsidRPr="00BB3D81">
        <w:t>near the coast</w:t>
      </w:r>
      <w:r>
        <w:t xml:space="preserve"> (Leonard, 2003</w:t>
      </w:r>
      <w:r w:rsidR="005E1B62">
        <w:t>)</w:t>
      </w:r>
      <w:r w:rsidR="005A3B36">
        <w:t>.</w:t>
      </w:r>
      <w:r w:rsidR="005E1B62">
        <w:t xml:space="preserve"> </w:t>
      </w:r>
    </w:p>
    <w:p w14:paraId="6FDC001C" w14:textId="77777777" w:rsidR="00D27769" w:rsidRPr="00BB3D81" w:rsidRDefault="00D27769" w:rsidP="00C32947">
      <w:pPr>
        <w:pStyle w:val="BodyText"/>
      </w:pPr>
      <w:r w:rsidRPr="00BB3D81">
        <w:t>The</w:t>
      </w:r>
      <w:r>
        <w:t>re are</w:t>
      </w:r>
      <w:r w:rsidRPr="00BB3D81">
        <w:t xml:space="preserve"> 16 Groundwater Management Units in Victoria, along with one in South Australia</w:t>
      </w:r>
      <w:r>
        <w:t>.</w:t>
      </w:r>
      <w:r w:rsidRPr="00BB3D81">
        <w:t xml:space="preserve"> </w:t>
      </w:r>
      <w:r>
        <w:t>T</w:t>
      </w:r>
      <w:r w:rsidRPr="00BB3D81">
        <w:t>hese are mostly less than 50% developed, but some central-eastern parts are up to 80% developed. The groundwater resource is used for irrigation, salinity control, stock and domestic, urban, and power generation purposes. It is estimated that there are approximately 1</w:t>
      </w:r>
      <w:r>
        <w:t>,</w:t>
      </w:r>
      <w:r w:rsidRPr="00BB3D81">
        <w:t>500</w:t>
      </w:r>
      <w:r>
        <w:t xml:space="preserve"> </w:t>
      </w:r>
      <w:r w:rsidRPr="00BB3D81">
        <w:t>km</w:t>
      </w:r>
      <w:r w:rsidRPr="00BB3D81">
        <w:rPr>
          <w:rStyle w:val="Superscript"/>
        </w:rPr>
        <w:t xml:space="preserve">2 </w:t>
      </w:r>
      <w:r w:rsidRPr="00BB3D81">
        <w:t>of groundwater dependant ecosystems in the basin.</w:t>
      </w:r>
    </w:p>
    <w:p w14:paraId="65FD33CC" w14:textId="50DE5721" w:rsidR="00D27769" w:rsidRPr="00BB3D81" w:rsidRDefault="00D27769" w:rsidP="00C32947">
      <w:pPr>
        <w:pStyle w:val="BodyText"/>
      </w:pPr>
      <w:r w:rsidRPr="00BB3D81">
        <w:t xml:space="preserve">Surface water occurs in several river catchments flowing south into the sea. Water quality is quite variable. Streamflow is seasonal, with winter-spring high flow and summer-autumn low flow; however in examples such as the Barwon River, this flow is regulated to provide water to Geelong and other towns as well as farm supply. The entitlements from the Otway Coast, Barwon and Moorabool catchments are used for irrigation (79%), urban and commercial (15%), stock and domestic, and power generation purposes. </w:t>
      </w:r>
    </w:p>
    <w:p w14:paraId="3DB8FC17" w14:textId="77777777" w:rsidR="00D27769" w:rsidRPr="00BB3D81" w:rsidRDefault="00D27769" w:rsidP="00C32947">
      <w:pPr>
        <w:pStyle w:val="BodyText"/>
      </w:pPr>
      <w:r w:rsidRPr="00BB3D81">
        <w:t>Groundwater–surface water interactions are variable along the rivers. They are generally losing in the upland reaches and gaining in the mid-reaches, and variable along the lower reaches.</w:t>
      </w:r>
    </w:p>
    <w:p w14:paraId="7CABD62B" w14:textId="55CF902C" w:rsidR="00D27769" w:rsidRPr="00BB3D81" w:rsidRDefault="00D27769" w:rsidP="00C32947">
      <w:pPr>
        <w:pStyle w:val="BodyText"/>
      </w:pPr>
      <w:r w:rsidRPr="00BB3D81">
        <w:t>Within the Otway Basin are over 3,900 km</w:t>
      </w:r>
      <w:r w:rsidRPr="00BB3D81">
        <w:rPr>
          <w:rStyle w:val="Superscript"/>
        </w:rPr>
        <w:t>2</w:t>
      </w:r>
      <w:r w:rsidRPr="00BB3D81">
        <w:t xml:space="preserve"> of protected areas, including national parks and also 500 km</w:t>
      </w:r>
      <w:r w:rsidRPr="00BB3D81">
        <w:rPr>
          <w:rStyle w:val="Superscript"/>
        </w:rPr>
        <w:t>2</w:t>
      </w:r>
      <w:r w:rsidRPr="00BB3D81">
        <w:t xml:space="preserve"> of wetlands of national importance, and five Ramsar Wetlands: Western District Lakes, Port Phillip Bay (Western Shoreline) and Bellarine Peninsula – Lake Connewarre, Bool and Hacks Lagoons, Piccaninnie Ponds Karst Wetlands, and Port Phillip Bay (Western Shoreline) and Bellarine Peninsula – Swan Bay. Various towns and cities occur between Geelong in the east and Mount Gambier in the west (total basin population 358,400</w:t>
      </w:r>
      <w:r w:rsidR="005E1B62">
        <w:t xml:space="preserve">) </w:t>
      </w:r>
      <w:r w:rsidRPr="00BB3D81">
        <w:t>Land use is dominated by stock grazing modified pastures and dryland forestry.</w:t>
      </w:r>
    </w:p>
    <w:p w14:paraId="67442B53" w14:textId="77777777" w:rsidR="00D27769" w:rsidRDefault="00D27769" w:rsidP="00C32947">
      <w:pPr>
        <w:pStyle w:val="BodyText"/>
      </w:pPr>
      <w:r w:rsidRPr="00BB3D81">
        <w:t xml:space="preserve">See </w:t>
      </w:r>
      <w:r>
        <w:t>Appendix C.</w:t>
      </w:r>
      <w:r w:rsidRPr="00BB3D81">
        <w:t>9 for more details and references on the onshore Otway Basin.</w:t>
      </w:r>
    </w:p>
    <w:p w14:paraId="068E8320" w14:textId="77777777" w:rsidR="00404F8C" w:rsidRDefault="00404F8C">
      <w:pPr>
        <w:spacing w:after="180"/>
        <w:rPr>
          <w:rFonts w:asciiTheme="majorHAnsi" w:eastAsia="Times New Roman" w:hAnsiTheme="majorHAnsi"/>
          <w:b/>
          <w:color w:val="146692" w:themeColor="text2"/>
          <w:sz w:val="72"/>
          <w:szCs w:val="72"/>
        </w:rPr>
      </w:pPr>
      <w:bookmarkStart w:id="138" w:name="_Toc493699588"/>
      <w:bookmarkStart w:id="139" w:name="_Toc494277021"/>
      <w:bookmarkEnd w:id="138"/>
      <w:r>
        <w:br w:type="page"/>
      </w:r>
    </w:p>
    <w:p w14:paraId="369BEEF9" w14:textId="1E3C6024" w:rsidR="00D27769" w:rsidRPr="00C70AB5" w:rsidRDefault="00D27769" w:rsidP="00D27769">
      <w:pPr>
        <w:pStyle w:val="Heading1"/>
      </w:pPr>
      <w:bookmarkStart w:id="140" w:name="_Toc517101432"/>
      <w:r w:rsidRPr="00C70AB5">
        <w:t>Summary</w:t>
      </w:r>
      <w:bookmarkEnd w:id="140"/>
      <w:r w:rsidRPr="00C70AB5">
        <w:t xml:space="preserve"> </w:t>
      </w:r>
      <w:bookmarkEnd w:id="139"/>
    </w:p>
    <w:p w14:paraId="652AF4F8" w14:textId="77777777" w:rsidR="00091715" w:rsidRDefault="00091715" w:rsidP="00174635">
      <w:pPr>
        <w:pStyle w:val="BodyText"/>
      </w:pPr>
    </w:p>
    <w:p w14:paraId="172BA073" w14:textId="0D411807" w:rsidR="00D27769" w:rsidRDefault="00D27769" w:rsidP="00174635">
      <w:pPr>
        <w:pStyle w:val="BodyText"/>
      </w:pPr>
      <w:r w:rsidRPr="00846FFA">
        <w:t xml:space="preserve">This report contains the results of Stage 1 of the </w:t>
      </w:r>
      <w:r w:rsidR="008525B0">
        <w:t xml:space="preserve">Geological and Bioregional Assessments </w:t>
      </w:r>
      <w:r w:rsidR="00502429">
        <w:t>Program</w:t>
      </w:r>
      <w:r w:rsidRPr="00846FFA">
        <w:t xml:space="preserve">, the rapid regional </w:t>
      </w:r>
      <w:r>
        <w:t xml:space="preserve">basin </w:t>
      </w:r>
      <w:r w:rsidRPr="00846FFA">
        <w:t>prioritisation, designed and conducte</w:t>
      </w:r>
      <w:r>
        <w:t>d by Geoscience Australia (GA)</w:t>
      </w:r>
      <w:r w:rsidR="00D73622">
        <w:t xml:space="preserve"> and managed </w:t>
      </w:r>
      <w:r w:rsidRPr="00846FFA">
        <w:t>by the Department of the Environment and Energy (DoEE</w:t>
      </w:r>
      <w:r w:rsidR="005E1B62">
        <w:t>)</w:t>
      </w:r>
      <w:r w:rsidR="00537C4C">
        <w:t>.</w:t>
      </w:r>
      <w:r w:rsidR="005E1B62">
        <w:t xml:space="preserve"> </w:t>
      </w:r>
      <w:r>
        <w:t xml:space="preserve">This report </w:t>
      </w:r>
      <w:r w:rsidRPr="00846FFA">
        <w:t xml:space="preserve">presents the context of the program and describes the evidence based decision making process used </w:t>
      </w:r>
      <w:r>
        <w:t xml:space="preserve">in Stage 1 </w:t>
      </w:r>
      <w:r w:rsidRPr="00846FFA">
        <w:t xml:space="preserve">to narrow the focus of the geological and bioregional resource assessments </w:t>
      </w:r>
      <w:r w:rsidRPr="009A6EB4">
        <w:t>on which a final prioritisation can be undertaken by</w:t>
      </w:r>
      <w:r>
        <w:t xml:space="preserve"> the</w:t>
      </w:r>
      <w:r w:rsidRPr="009A6EB4">
        <w:t xml:space="preserve"> DoEE and </w:t>
      </w:r>
      <w:r>
        <w:t xml:space="preserve">participating </w:t>
      </w:r>
      <w:r w:rsidRPr="009A6EB4">
        <w:t>stakeholders.</w:t>
      </w:r>
    </w:p>
    <w:p w14:paraId="7FB71505" w14:textId="77777777" w:rsidR="00D27769" w:rsidRPr="00E8799B" w:rsidRDefault="00D27769" w:rsidP="00D27769">
      <w:pPr>
        <w:pStyle w:val="Heading2"/>
      </w:pPr>
      <w:bookmarkStart w:id="141" w:name="_Toc494277022"/>
      <w:bookmarkStart w:id="142" w:name="_Toc517101433"/>
      <w:r w:rsidRPr="00E8799B">
        <w:t>Basin geology, prospectivity, market access and regulatory environment</w:t>
      </w:r>
      <w:bookmarkEnd w:id="141"/>
      <w:bookmarkEnd w:id="142"/>
    </w:p>
    <w:p w14:paraId="2DAE5854" w14:textId="77777777" w:rsidR="00D27769" w:rsidRPr="00C13F18" w:rsidRDefault="00D27769" w:rsidP="00174635">
      <w:pPr>
        <w:pStyle w:val="BodyText"/>
        <w:rPr>
          <w:rStyle w:val="Bold"/>
        </w:rPr>
      </w:pPr>
      <w:r>
        <w:rPr>
          <w:rStyle w:val="Bold"/>
        </w:rPr>
        <w:t>Shortlist</w:t>
      </w:r>
      <w:r w:rsidRPr="00C13F18">
        <w:rPr>
          <w:rStyle w:val="Bold"/>
        </w:rPr>
        <w:t xml:space="preserve"> of high priority basins</w:t>
      </w:r>
    </w:p>
    <w:p w14:paraId="147F5D91" w14:textId="4F335665" w:rsidR="00D27769" w:rsidRDefault="007819FF" w:rsidP="00174635">
      <w:pPr>
        <w:pStyle w:val="BodyText"/>
      </w:pPr>
      <w:r>
        <w:t xml:space="preserve">Of the </w:t>
      </w:r>
      <w:r w:rsidR="00C82185">
        <w:t xml:space="preserve">onshore </w:t>
      </w:r>
      <w:r>
        <w:t xml:space="preserve">basins </w:t>
      </w:r>
      <w:r w:rsidR="00C82185">
        <w:t xml:space="preserve">situated near existing east-coast gas market pipelines, </w:t>
      </w:r>
      <w:r w:rsidR="00FB2561">
        <w:t xml:space="preserve">nine </w:t>
      </w:r>
      <w:r w:rsidR="00D27769">
        <w:t>were identified in which active exploration for shale and/or tight gas resources is already underway and possible plays, leads or prospects have already been identified. These are as follows:</w:t>
      </w:r>
    </w:p>
    <w:p w14:paraId="5CC04091" w14:textId="77777777" w:rsidR="000731D9" w:rsidRPr="009D2EB6" w:rsidRDefault="000731D9" w:rsidP="000731D9">
      <w:pPr>
        <w:pStyle w:val="ListBullet"/>
      </w:pPr>
      <w:r w:rsidRPr="009D2EB6">
        <w:t>Amadeus Basin (Northern Territory</w:t>
      </w:r>
      <w:r>
        <w:t>, Western Australia, South Australia</w:t>
      </w:r>
      <w:r w:rsidRPr="009D2EB6">
        <w:t>)</w:t>
      </w:r>
      <w:r>
        <w:t>;</w:t>
      </w:r>
    </w:p>
    <w:p w14:paraId="5679EA3E" w14:textId="77777777" w:rsidR="000731D9" w:rsidRPr="009D2EB6" w:rsidRDefault="000731D9" w:rsidP="000731D9">
      <w:pPr>
        <w:pStyle w:val="ListBullet"/>
      </w:pPr>
      <w:r w:rsidRPr="009D2EB6">
        <w:t>Bowen Basin (Queensland)</w:t>
      </w:r>
      <w:r>
        <w:t>;</w:t>
      </w:r>
    </w:p>
    <w:p w14:paraId="1E1C381F" w14:textId="77777777" w:rsidR="000731D9" w:rsidRPr="009D2EB6" w:rsidRDefault="000731D9" w:rsidP="000731D9">
      <w:pPr>
        <w:pStyle w:val="ListBullet"/>
      </w:pPr>
      <w:r w:rsidRPr="009D2EB6">
        <w:t>Clarence-Moreton Basin (Queensland and New South Wales)</w:t>
      </w:r>
      <w:r>
        <w:t>;</w:t>
      </w:r>
    </w:p>
    <w:p w14:paraId="3BA1D0CF" w14:textId="77777777" w:rsidR="000731D9" w:rsidRPr="009D2EB6" w:rsidRDefault="000731D9" w:rsidP="000731D9">
      <w:pPr>
        <w:pStyle w:val="ListBullet"/>
      </w:pPr>
      <w:r w:rsidRPr="009D2EB6">
        <w:t>Cooper Basin (Queensland and South Australia)</w:t>
      </w:r>
      <w:r>
        <w:t>;</w:t>
      </w:r>
    </w:p>
    <w:p w14:paraId="49D45CFB" w14:textId="77777777" w:rsidR="000731D9" w:rsidRPr="009D2EB6" w:rsidRDefault="000731D9" w:rsidP="000731D9">
      <w:pPr>
        <w:pStyle w:val="ListBullet"/>
      </w:pPr>
      <w:r w:rsidRPr="009D2EB6">
        <w:t>Georgina Basin (Northern Territory</w:t>
      </w:r>
      <w:r>
        <w:t xml:space="preserve"> and Queensland</w:t>
      </w:r>
      <w:r w:rsidRPr="009D2EB6">
        <w:t>)</w:t>
      </w:r>
      <w:r>
        <w:t>;</w:t>
      </w:r>
    </w:p>
    <w:p w14:paraId="72FFE378" w14:textId="77777777" w:rsidR="000731D9" w:rsidRPr="009D2EB6" w:rsidRDefault="000731D9" w:rsidP="000731D9">
      <w:pPr>
        <w:pStyle w:val="ListBullet"/>
      </w:pPr>
      <w:r w:rsidRPr="009D2EB6">
        <w:t>Gippsland Basin (Victoria)</w:t>
      </w:r>
      <w:r>
        <w:t>;</w:t>
      </w:r>
    </w:p>
    <w:p w14:paraId="5DC66E13" w14:textId="77777777" w:rsidR="000731D9" w:rsidRPr="009D2EB6" w:rsidRDefault="000731D9" w:rsidP="000731D9">
      <w:pPr>
        <w:pStyle w:val="ListBullet"/>
      </w:pPr>
      <w:r w:rsidRPr="009D2EB6">
        <w:t>Isa Superbasin, within the Mount Isa Province (Northern Territory and Queensland)</w:t>
      </w:r>
      <w:r>
        <w:t>;</w:t>
      </w:r>
    </w:p>
    <w:p w14:paraId="2079B5EE" w14:textId="77777777" w:rsidR="000731D9" w:rsidRPr="009D2EB6" w:rsidRDefault="000731D9" w:rsidP="000731D9">
      <w:pPr>
        <w:pStyle w:val="ListBullet"/>
      </w:pPr>
      <w:r w:rsidRPr="009D2EB6">
        <w:t>McArthur</w:t>
      </w:r>
      <w:r>
        <w:t xml:space="preserve"> Basin, including the Beetaloo S</w:t>
      </w:r>
      <w:r w:rsidRPr="009D2EB6">
        <w:t>ub-basin (Northern Territory)</w:t>
      </w:r>
      <w:r>
        <w:t>, and;</w:t>
      </w:r>
    </w:p>
    <w:p w14:paraId="78453BEE" w14:textId="77777777" w:rsidR="000731D9" w:rsidRDefault="000731D9" w:rsidP="000731D9">
      <w:pPr>
        <w:pStyle w:val="ListBullet"/>
      </w:pPr>
      <w:r w:rsidRPr="009D2EB6">
        <w:t>Otway Basin (South Australia and Victoria)</w:t>
      </w:r>
      <w:r>
        <w:t>.</w:t>
      </w:r>
    </w:p>
    <w:p w14:paraId="76291532" w14:textId="77777777" w:rsidR="00D27769" w:rsidRDefault="00D27769" w:rsidP="00174635">
      <w:pPr>
        <w:pStyle w:val="BodyText"/>
      </w:pPr>
      <w:r>
        <w:t>Assuming sustained investment and no other impediment to development (e.g. regulatory restrictions; environmental or social concerns), t</w:t>
      </w:r>
      <w:r w:rsidRPr="00B54532">
        <w:t xml:space="preserve">hese basins were considered to have </w:t>
      </w:r>
      <w:r>
        <w:t>potential development timeframes of ten</w:t>
      </w:r>
      <w:r w:rsidRPr="00B54532">
        <w:t xml:space="preserve"> year</w:t>
      </w:r>
      <w:r>
        <w:t>s</w:t>
      </w:r>
      <w:r w:rsidRPr="00B54532">
        <w:t xml:space="preserve"> or less, </w:t>
      </w:r>
      <w:r>
        <w:t>and hence were shortlist</w:t>
      </w:r>
      <w:r w:rsidRPr="003E46FD">
        <w:t xml:space="preserve">ed as priority areas for </w:t>
      </w:r>
      <w:r>
        <w:t xml:space="preserve">further </w:t>
      </w:r>
      <w:r w:rsidRPr="003E46FD">
        <w:t>early research</w:t>
      </w:r>
      <w:r>
        <w:t>, as part of the basin audit</w:t>
      </w:r>
      <w:r w:rsidRPr="003E46FD">
        <w:t>.</w:t>
      </w:r>
    </w:p>
    <w:p w14:paraId="4842FF5D" w14:textId="77777777" w:rsidR="00DA668C" w:rsidRDefault="00DA668C" w:rsidP="00174635">
      <w:pPr>
        <w:pStyle w:val="BodyText"/>
      </w:pPr>
    </w:p>
    <w:p w14:paraId="211F219E" w14:textId="77777777" w:rsidR="00D27769" w:rsidRPr="00C13F18" w:rsidRDefault="00D27769" w:rsidP="00174635">
      <w:pPr>
        <w:pStyle w:val="BodyText"/>
        <w:rPr>
          <w:rStyle w:val="Bold"/>
        </w:rPr>
      </w:pPr>
      <w:r w:rsidRPr="00C13F18">
        <w:rPr>
          <w:rStyle w:val="Bold"/>
        </w:rPr>
        <w:t>Shale and tight gas prospectivity and confidence</w:t>
      </w:r>
    </w:p>
    <w:p w14:paraId="42596704" w14:textId="77777777" w:rsidR="00D27769" w:rsidRDefault="00D27769" w:rsidP="00174635">
      <w:pPr>
        <w:pStyle w:val="BodyText"/>
      </w:pPr>
      <w:r>
        <w:t>The results of the basin audit were used to assign a ‘shale and tight gas prospectivity’ r</w:t>
      </w:r>
      <w:r w:rsidRPr="009B4A57">
        <w:t>ank</w:t>
      </w:r>
      <w:r>
        <w:t xml:space="preserve">ing and a ‘confidence’ ranking to each basin. Both </w:t>
      </w:r>
      <w:r w:rsidRPr="00821AEB">
        <w:t>ranking</w:t>
      </w:r>
      <w:r>
        <w:t>s</w:t>
      </w:r>
      <w:r w:rsidRPr="00821AEB">
        <w:t xml:space="preserve"> </w:t>
      </w:r>
      <w:r>
        <w:t xml:space="preserve">are </w:t>
      </w:r>
      <w:r w:rsidRPr="009B4A57">
        <w:t>qualitative and</w:t>
      </w:r>
      <w:r>
        <w:t xml:space="preserve"> were </w:t>
      </w:r>
      <w:r w:rsidRPr="009B4A57">
        <w:t>based on the level of knowledge and ava</w:t>
      </w:r>
      <w:r>
        <w:t xml:space="preserve">ilable data for the given basin. Key </w:t>
      </w:r>
      <w:r w:rsidRPr="00174472">
        <w:t>factors considered in assessing</w:t>
      </w:r>
      <w:r>
        <w:t xml:space="preserve"> regional shale and</w:t>
      </w:r>
      <w:r w:rsidRPr="00174472">
        <w:t xml:space="preserve"> tight gas prospectivity </w:t>
      </w:r>
      <w:r>
        <w:t>included overall petroleum prospectivity; estimated prospective resource area (km</w:t>
      </w:r>
      <w:r w:rsidRPr="00174472">
        <w:rPr>
          <w:rStyle w:val="Superscript"/>
        </w:rPr>
        <w:t>2</w:t>
      </w:r>
      <w:r>
        <w:t xml:space="preserve">), where such information was available from existing public domain sources, prospective resources, and shale/ tight gas exploration success to date. </w:t>
      </w:r>
      <w:r w:rsidRPr="009B4A57">
        <w:t xml:space="preserve">The confidence </w:t>
      </w:r>
      <w:r>
        <w:t>rankings were</w:t>
      </w:r>
      <w:r w:rsidRPr="009B4A57">
        <w:t xml:space="preserve"> based on both the amount of data available within the basin and the quality of that data</w:t>
      </w:r>
      <w:r>
        <w:t xml:space="preserve"> and were assessed based on basin area, number of petroleum wells and shale/ tight gas wells drilled to date, line km of seismic data, overall exploration status and, shale/ tight gas exploration status. L</w:t>
      </w:r>
      <w:r w:rsidRPr="009B4A57">
        <w:t xml:space="preserve">ess data </w:t>
      </w:r>
      <w:r>
        <w:t>of</w:t>
      </w:r>
      <w:r w:rsidRPr="009B4A57">
        <w:t xml:space="preserve"> lower quality </w:t>
      </w:r>
      <w:r>
        <w:t>resulted</w:t>
      </w:r>
      <w:r w:rsidRPr="009B4A57">
        <w:t xml:space="preserve"> in low confidence for the prospectivity ranking</w:t>
      </w:r>
      <w:r>
        <w:t xml:space="preserve">. </w:t>
      </w:r>
    </w:p>
    <w:p w14:paraId="7AD1DC44" w14:textId="77777777" w:rsidR="00D27769" w:rsidRDefault="00D27769" w:rsidP="00174635">
      <w:pPr>
        <w:pStyle w:val="BodyText"/>
      </w:pPr>
      <w:r w:rsidRPr="00E6347C">
        <w:t>From this assessment</w:t>
      </w:r>
      <w:r>
        <w:t>:</w:t>
      </w:r>
      <w:r w:rsidRPr="00E6347C">
        <w:t xml:space="preserve"> </w:t>
      </w:r>
    </w:p>
    <w:p w14:paraId="5FFC1868" w14:textId="77777777" w:rsidR="00D27769" w:rsidRPr="00EF32A9" w:rsidRDefault="00D27769" w:rsidP="00E8799B">
      <w:pPr>
        <w:pStyle w:val="ListBullet"/>
      </w:pPr>
      <w:r>
        <w:t>The Cooper Basin</w:t>
      </w:r>
      <w:r w:rsidRPr="00EF32A9">
        <w:t xml:space="preserve"> is ranked high in terms of both prospectivity and confidence, reflecting the extensive exploration for shale and tight gas resources already undertaken in this basin. </w:t>
      </w:r>
    </w:p>
    <w:p w14:paraId="654149C9" w14:textId="77777777" w:rsidR="00D27769" w:rsidRPr="00EF32A9" w:rsidRDefault="00D27769" w:rsidP="00E8799B">
      <w:pPr>
        <w:pStyle w:val="ListBullet"/>
      </w:pPr>
      <w:r w:rsidRPr="00EF32A9">
        <w:t>The Mc</w:t>
      </w:r>
      <w:r>
        <w:t>Arthur, Bowen and Amadeus basins’</w:t>
      </w:r>
      <w:r w:rsidRPr="00EF32A9">
        <w:t xml:space="preserve"> prospectivity ranks as high, based on the quality of known and potential source r</w:t>
      </w:r>
      <w:r>
        <w:t>ocks, while confidence is only</w:t>
      </w:r>
      <w:r w:rsidRPr="00EF32A9">
        <w:t xml:space="preserve"> moderate reflecting </w:t>
      </w:r>
      <w:r>
        <w:t>the</w:t>
      </w:r>
      <w:r w:rsidRPr="00EF32A9">
        <w:t xml:space="preserve"> more limited exploration history</w:t>
      </w:r>
      <w:r>
        <w:t xml:space="preserve"> in these basins</w:t>
      </w:r>
      <w:r w:rsidRPr="00EF32A9">
        <w:t xml:space="preserve">. </w:t>
      </w:r>
    </w:p>
    <w:p w14:paraId="14B89577" w14:textId="77777777" w:rsidR="00D27769" w:rsidRPr="00EF32A9" w:rsidRDefault="00D27769" w:rsidP="00E8799B">
      <w:pPr>
        <w:pStyle w:val="ListBullet"/>
      </w:pPr>
      <w:r w:rsidRPr="00EF32A9">
        <w:t xml:space="preserve">The </w:t>
      </w:r>
      <w:r>
        <w:t xml:space="preserve">onshore </w:t>
      </w:r>
      <w:r w:rsidRPr="00EF32A9">
        <w:t>Otway Basin ranks as moderate–high prospectivity and high confidence due to data density and relative quality.</w:t>
      </w:r>
    </w:p>
    <w:p w14:paraId="084AA9DC" w14:textId="77777777" w:rsidR="00D27769" w:rsidRPr="00EF32A9" w:rsidRDefault="00D27769" w:rsidP="00E8799B">
      <w:pPr>
        <w:pStyle w:val="ListBullet"/>
      </w:pPr>
      <w:r w:rsidRPr="00EF32A9">
        <w:t>The Isa Superbasin</w:t>
      </w:r>
      <w:r>
        <w:t>’s</w:t>
      </w:r>
      <w:r w:rsidRPr="00EF32A9">
        <w:t xml:space="preserve"> prospectivity ranks as moderate–high due to the booked contingent resources, however confidence is low– moderate reflecting the spar</w:t>
      </w:r>
      <w:r>
        <w:t>s</w:t>
      </w:r>
      <w:r w:rsidRPr="00EF32A9">
        <w:t>e data distribution and ver</w:t>
      </w:r>
      <w:r>
        <w:t>y limited exploration history.</w:t>
      </w:r>
    </w:p>
    <w:p w14:paraId="73B0C6B5" w14:textId="77777777" w:rsidR="000E249E" w:rsidRPr="0079523D" w:rsidRDefault="000E249E" w:rsidP="000E249E">
      <w:pPr>
        <w:pStyle w:val="ListBullet"/>
      </w:pPr>
      <w:r w:rsidRPr="0079523D">
        <w:t xml:space="preserve">The Gippsland Basin is ranked </w:t>
      </w:r>
      <w:r w:rsidRPr="0079523D">
        <w:rPr>
          <w:rStyle w:val="Italic"/>
          <w:i w:val="0"/>
        </w:rPr>
        <w:t xml:space="preserve">moderate </w:t>
      </w:r>
      <w:r w:rsidRPr="0079523D">
        <w:t>for prospectivity based the relatively small area of potential unconventional gas resources</w:t>
      </w:r>
      <w:r w:rsidRPr="003A2E9A">
        <w:t xml:space="preserve"> which may </w:t>
      </w:r>
      <w:r>
        <w:t>be</w:t>
      </w:r>
      <w:r w:rsidRPr="003A2E9A">
        <w:t xml:space="preserve"> developed within a 10 year timeframe</w:t>
      </w:r>
      <w:r w:rsidRPr="0079523D">
        <w:t>, however</w:t>
      </w:r>
      <w:r w:rsidRPr="003A2E9A">
        <w:t xml:space="preserve"> confidence is </w:t>
      </w:r>
      <w:r w:rsidRPr="0079523D">
        <w:rPr>
          <w:rStyle w:val="Italic"/>
          <w:i w:val="0"/>
        </w:rPr>
        <w:t>high</w:t>
      </w:r>
      <w:r w:rsidRPr="0079523D">
        <w:t xml:space="preserve"> due to data density and quality.</w:t>
      </w:r>
    </w:p>
    <w:p w14:paraId="5FC3FE5F" w14:textId="77777777" w:rsidR="000E249E" w:rsidRPr="0079523D" w:rsidRDefault="000E249E" w:rsidP="000E249E">
      <w:pPr>
        <w:pStyle w:val="ListBullet"/>
      </w:pPr>
      <w:r w:rsidRPr="0079523D">
        <w:t xml:space="preserve">The Georgina Basin is ranked as </w:t>
      </w:r>
      <w:r w:rsidRPr="0079523D">
        <w:rPr>
          <w:rStyle w:val="Italic"/>
          <w:i w:val="0"/>
        </w:rPr>
        <w:t xml:space="preserve">moderate </w:t>
      </w:r>
      <w:r w:rsidRPr="0079523D">
        <w:t xml:space="preserve">in terms of prospectivity, reflecting the relatively poor results of recent exploration, with a </w:t>
      </w:r>
      <w:r w:rsidRPr="0079523D">
        <w:rPr>
          <w:rStyle w:val="Italic"/>
          <w:i w:val="0"/>
        </w:rPr>
        <w:t>low–moderate</w:t>
      </w:r>
      <w:r w:rsidRPr="0079523D">
        <w:t xml:space="preserve"> confidence reflecting sparse data distribution.</w:t>
      </w:r>
    </w:p>
    <w:p w14:paraId="7D025CA6" w14:textId="77777777" w:rsidR="000E249E" w:rsidRPr="0079523D" w:rsidRDefault="000E249E" w:rsidP="000E249E">
      <w:pPr>
        <w:pStyle w:val="ListBullet"/>
      </w:pPr>
      <w:r w:rsidRPr="0079523D">
        <w:t xml:space="preserve">The Clarence-Moreton Basin is ranked as </w:t>
      </w:r>
      <w:r w:rsidRPr="0079523D">
        <w:rPr>
          <w:rStyle w:val="Italic"/>
          <w:i w:val="0"/>
        </w:rPr>
        <w:t>low–moderate</w:t>
      </w:r>
      <w:r w:rsidRPr="0079523D">
        <w:t xml:space="preserve"> for both prospectivity and confidence, reflecting the relatively small prospective area, early stage of exploration and limited data.</w:t>
      </w:r>
    </w:p>
    <w:p w14:paraId="05F25D36" w14:textId="77777777" w:rsidR="00D27769" w:rsidRDefault="00D27769" w:rsidP="00174635">
      <w:pPr>
        <w:pStyle w:val="BodyText"/>
      </w:pPr>
      <w:r w:rsidRPr="00E6347C">
        <w:t>These rankings could be improved with more data collection to increase the knowledge of the basin, and by conducting further studies as described in the basin recommendations list.</w:t>
      </w:r>
    </w:p>
    <w:p w14:paraId="661DC034" w14:textId="77777777" w:rsidR="00DA28DD" w:rsidRDefault="00DA28DD" w:rsidP="00174635">
      <w:pPr>
        <w:pStyle w:val="BodyText"/>
      </w:pPr>
    </w:p>
    <w:p w14:paraId="3DEE8362" w14:textId="77777777" w:rsidR="00D27769" w:rsidRPr="00C13F18" w:rsidRDefault="00D27769" w:rsidP="00174635">
      <w:pPr>
        <w:pStyle w:val="BodyText"/>
        <w:rPr>
          <w:rStyle w:val="Bold"/>
        </w:rPr>
      </w:pPr>
      <w:r w:rsidRPr="00C13F18">
        <w:rPr>
          <w:rStyle w:val="Bold"/>
        </w:rPr>
        <w:t>Proximity to market and access to infrastructure</w:t>
      </w:r>
    </w:p>
    <w:p w14:paraId="02332B3C" w14:textId="037709EF" w:rsidR="00D27769" w:rsidRDefault="00D27769" w:rsidP="00174635">
      <w:pPr>
        <w:pStyle w:val="BodyText"/>
      </w:pPr>
      <w:r>
        <w:t xml:space="preserve">In assessing proximity to the </w:t>
      </w:r>
      <w:r w:rsidR="000731D9">
        <w:t>East Coast Gas</w:t>
      </w:r>
      <w:r>
        <w:t xml:space="preserve"> </w:t>
      </w:r>
      <w:r w:rsidR="000731D9">
        <w:t>M</w:t>
      </w:r>
      <w:r>
        <w:t>arket, those basins already producing gas directly into th</w:t>
      </w:r>
      <w:r w:rsidR="00321113">
        <w:t xml:space="preserve">is market </w:t>
      </w:r>
      <w:r>
        <w:t>were ranked highest.</w:t>
      </w:r>
      <w:r w:rsidRPr="005A2D41">
        <w:t xml:space="preserve"> </w:t>
      </w:r>
      <w:r>
        <w:t>The Northern Gas Pipeline (NGP)</w:t>
      </w:r>
      <w:r w:rsidR="00321113">
        <w:t>,</w:t>
      </w:r>
      <w:r>
        <w:t xml:space="preserve"> linking </w:t>
      </w:r>
      <w:r w:rsidR="00321113">
        <w:t>the Northern Territory Gas Market to the East Coast Gas Market and</w:t>
      </w:r>
      <w:r>
        <w:t xml:space="preserve"> scheduled to open by the end of 2018 (Jemena, 2017), will allow gas from northern Australian basins to be supplied to the </w:t>
      </w:r>
      <w:r w:rsidR="008549BE">
        <w:t>East Coast Gas Market</w:t>
      </w:r>
      <w:r>
        <w:t xml:space="preserve">. However, the pipeline has limited capacity, and large distances will mean high transport costs. </w:t>
      </w:r>
    </w:p>
    <w:p w14:paraId="000E4E1B" w14:textId="77777777" w:rsidR="00D27769" w:rsidRDefault="00D27769" w:rsidP="00174635">
      <w:pPr>
        <w:pStyle w:val="BodyText"/>
      </w:pPr>
      <w:r>
        <w:t>The factors considered in assessing access to infrastructure were proximity to existing oil and gas pipelines, additional infrastructure requirements, gas processing and</w:t>
      </w:r>
      <w:r w:rsidRPr="00260AAD">
        <w:t xml:space="preserve"> storage facilities</w:t>
      </w:r>
      <w:r>
        <w:t>, r</w:t>
      </w:r>
      <w:r w:rsidRPr="00260AAD">
        <w:t>oad and rail access</w:t>
      </w:r>
      <w:r>
        <w:t xml:space="preserve"> and proximity to t</w:t>
      </w:r>
      <w:r w:rsidRPr="00260AAD">
        <w:t>ownships</w:t>
      </w:r>
      <w:r>
        <w:t xml:space="preserve">. A </w:t>
      </w:r>
      <w:r w:rsidRPr="00FD2CDA">
        <w:t>ranking applied</w:t>
      </w:r>
      <w:r>
        <w:t xml:space="preserve"> to each basin </w:t>
      </w:r>
      <w:r w:rsidRPr="00FD2CDA">
        <w:t>regarding access to infrastructure is qualitative and</w:t>
      </w:r>
      <w:r>
        <w:t xml:space="preserve"> was </w:t>
      </w:r>
      <w:r w:rsidRPr="00FD2CDA">
        <w:t>based on the level of knowledge and available data for the given basin</w:t>
      </w:r>
      <w:r>
        <w:t>.</w:t>
      </w:r>
    </w:p>
    <w:p w14:paraId="3FD702DB" w14:textId="77777777" w:rsidR="00D27769" w:rsidRDefault="00D27769" w:rsidP="00174635">
      <w:pPr>
        <w:pStyle w:val="BodyText"/>
      </w:pPr>
      <w:r w:rsidRPr="00E6347C">
        <w:t>From this assessment</w:t>
      </w:r>
      <w:r>
        <w:t>:</w:t>
      </w:r>
    </w:p>
    <w:p w14:paraId="36955A01" w14:textId="08C4D7C4" w:rsidR="00D27769" w:rsidRDefault="00D27769" w:rsidP="00E8799B">
      <w:pPr>
        <w:pStyle w:val="ListBullet"/>
      </w:pPr>
      <w:r>
        <w:t xml:space="preserve">The Cooper, Bowen, Otway and Gippsland basins all have significant existing infrastructure in place connecting them with the </w:t>
      </w:r>
      <w:r w:rsidR="00321113">
        <w:t>East Coast Gas Market</w:t>
      </w:r>
      <w:r>
        <w:t xml:space="preserve">, including pipelines and gas processing facilities. All regionals are well serviced in terms of road and rail, with proximity to at least moderately well-developed townships. </w:t>
      </w:r>
    </w:p>
    <w:p w14:paraId="1AAAA817" w14:textId="029627B0" w:rsidR="00D27769" w:rsidRPr="003075C7" w:rsidRDefault="00D27769" w:rsidP="00E8799B">
      <w:pPr>
        <w:pStyle w:val="ListBullet"/>
      </w:pPr>
      <w:r>
        <w:t xml:space="preserve">The Amadeus and McArthur basins contain existing pipeline infrastructure and processing facilities, but development of any unconventional plays away from the producing fields would require significant further investment. Both basins are also located much further from the </w:t>
      </w:r>
      <w:r w:rsidR="00063CD9">
        <w:t>East Coast Gas Market</w:t>
      </w:r>
      <w:r>
        <w:t>.</w:t>
      </w:r>
    </w:p>
    <w:p w14:paraId="1FFF3806" w14:textId="5DA33A74" w:rsidR="00D27769" w:rsidRDefault="00945527" w:rsidP="00E8799B">
      <w:pPr>
        <w:pStyle w:val="ListBullet"/>
      </w:pPr>
      <w:r>
        <w:t xml:space="preserve">Development of shale and/or tight gas plays Clarence-Moreton Basin would require additional infrastructure development as the prospective area is over 100 km from the existing East Coast Gas Market pipeline network. </w:t>
      </w:r>
    </w:p>
    <w:p w14:paraId="1D150477" w14:textId="5A065758" w:rsidR="00D27769" w:rsidRDefault="00D27769" w:rsidP="00E8799B">
      <w:pPr>
        <w:pStyle w:val="ListBullet"/>
      </w:pPr>
      <w:r>
        <w:t xml:space="preserve">Development of shale and/or tight gas plays in the Georgina Basin and Isa Superbasin would require major additional infrastructure development. There are currently no gas processing facilities and the prospective areas lie over 200 km from existing pipeline infrastructure. </w:t>
      </w:r>
      <w:r w:rsidR="00945527">
        <w:t>In addition, both areas are o</w:t>
      </w:r>
      <w:r w:rsidR="00945527" w:rsidRPr="003A32E0">
        <w:t>nly poorly to moderately</w:t>
      </w:r>
      <w:r w:rsidR="00945527">
        <w:t xml:space="preserve"> well</w:t>
      </w:r>
      <w:r w:rsidR="00945527" w:rsidRPr="003A32E0">
        <w:t xml:space="preserve"> service</w:t>
      </w:r>
      <w:r w:rsidR="00945527">
        <w:t>d</w:t>
      </w:r>
      <w:r w:rsidR="00945527" w:rsidRPr="003A32E0">
        <w:t xml:space="preserve"> </w:t>
      </w:r>
      <w:r w:rsidR="00945527">
        <w:t>by road and rail, and are sparsely populated with few townships.</w:t>
      </w:r>
    </w:p>
    <w:p w14:paraId="3A0079A6" w14:textId="33A09F42" w:rsidR="00DA668C" w:rsidRDefault="00D27769" w:rsidP="00174635">
      <w:pPr>
        <w:pStyle w:val="BodyText"/>
      </w:pPr>
      <w:r w:rsidRPr="00E6347C">
        <w:t xml:space="preserve">These rankings </w:t>
      </w:r>
      <w:r>
        <w:t>are intended as a guide to compare the access to market at a whole of basin scale and should not be applied to any individual play. To determine additional infrastructure at play, lead or prospect level, significant additional analysis would be required.</w:t>
      </w:r>
    </w:p>
    <w:p w14:paraId="1E637ECF" w14:textId="77777777" w:rsidR="00DA28DD" w:rsidRPr="009B4A57" w:rsidRDefault="00DA28DD" w:rsidP="00174635">
      <w:pPr>
        <w:pStyle w:val="BodyText"/>
      </w:pPr>
    </w:p>
    <w:p w14:paraId="55112456" w14:textId="77777777" w:rsidR="00D27769" w:rsidRPr="00C13F18" w:rsidRDefault="00D27769" w:rsidP="00174635">
      <w:pPr>
        <w:pStyle w:val="BodyText"/>
        <w:rPr>
          <w:rStyle w:val="Bold"/>
        </w:rPr>
      </w:pPr>
      <w:r w:rsidRPr="00C13F18">
        <w:rPr>
          <w:rStyle w:val="Bold"/>
        </w:rPr>
        <w:t>Regulatory Environment</w:t>
      </w:r>
    </w:p>
    <w:p w14:paraId="0DABD6C7" w14:textId="7D5D16C7" w:rsidR="00D27769" w:rsidRDefault="00D27769" w:rsidP="00174635">
      <w:pPr>
        <w:pStyle w:val="BodyText"/>
      </w:pPr>
      <w:r w:rsidRPr="00B8117F">
        <w:t>Policy decisions made by governments and regulators affect the level</w:t>
      </w:r>
      <w:r>
        <w:t xml:space="preserve"> and diversity of supply to the </w:t>
      </w:r>
      <w:r w:rsidR="00321113">
        <w:t>East Coast Gas Market</w:t>
      </w:r>
      <w:r w:rsidRPr="00B8117F">
        <w:t>.</w:t>
      </w:r>
      <w:r>
        <w:t xml:space="preserve"> All Australian states and territories have strong regulatory frameworks in place to manage impacts of petroleum exploration and production.</w:t>
      </w:r>
    </w:p>
    <w:p w14:paraId="36B0658D" w14:textId="77777777" w:rsidR="003E0F70" w:rsidRDefault="003E0F70" w:rsidP="003E0F70">
      <w:r w:rsidRPr="003F6AB9">
        <w:t xml:space="preserve">There are moratoria and other regulatory restrictions in New South Wales, Victoria and Tasmania </w:t>
      </w:r>
      <w:r>
        <w:t>that prevent or impede</w:t>
      </w:r>
      <w:r w:rsidRPr="003F6AB9">
        <w:t xml:space="preserve"> onshore gas </w:t>
      </w:r>
      <w:r>
        <w:t>exploration and development.  In April 2017 t</w:t>
      </w:r>
      <w:r w:rsidRPr="003739CA">
        <w:t>he Northern Territory</w:t>
      </w:r>
      <w:r>
        <w:t xml:space="preserve"> Government lifted the</w:t>
      </w:r>
      <w:r w:rsidRPr="003739CA">
        <w:t xml:space="preserve"> moratorium </w:t>
      </w:r>
      <w:r>
        <w:t>on hydraulic fracturing over 51% of the Territory</w:t>
      </w:r>
      <w:r w:rsidRPr="003739CA">
        <w:t xml:space="preserve">. </w:t>
      </w:r>
      <w:r>
        <w:t xml:space="preserve"> The South Australian Government have placed a 10 year moratorium on hydraulic fracturing over the south-east of the state. Only Queensland has no current exploration and development restrictions. </w:t>
      </w:r>
      <w:r w:rsidRPr="00A35055">
        <w:t>W</w:t>
      </w:r>
      <w:r>
        <w:t>estern Australia</w:t>
      </w:r>
      <w:r w:rsidRPr="00A35055">
        <w:t xml:space="preserve"> does not contribute to the </w:t>
      </w:r>
      <w:r>
        <w:t xml:space="preserve">East Coast Gas Market </w:t>
      </w:r>
      <w:r w:rsidRPr="00A35055">
        <w:t>and was therefore not considered</w:t>
      </w:r>
      <w:r>
        <w:t>.</w:t>
      </w:r>
    </w:p>
    <w:p w14:paraId="33A62872" w14:textId="7077D6C6" w:rsidR="003E0F70" w:rsidRDefault="003E0F70" w:rsidP="003E0F70">
      <w:pPr>
        <w:pStyle w:val="ListBullet"/>
        <w:numPr>
          <w:ilvl w:val="0"/>
          <w:numId w:val="0"/>
        </w:numPr>
      </w:pPr>
    </w:p>
    <w:p w14:paraId="08606BFD" w14:textId="77777777" w:rsidR="003E0F70" w:rsidRPr="003B1A79" w:rsidRDefault="003E0F70" w:rsidP="003E0F70">
      <w:pPr>
        <w:pStyle w:val="ListBullet"/>
        <w:numPr>
          <w:ilvl w:val="0"/>
          <w:numId w:val="0"/>
        </w:numPr>
      </w:pPr>
    </w:p>
    <w:p w14:paraId="0FAAA70E" w14:textId="77777777" w:rsidR="00D27769" w:rsidRPr="006B07A3" w:rsidRDefault="00D27769" w:rsidP="00174635">
      <w:pPr>
        <w:pStyle w:val="BodyText"/>
        <w:rPr>
          <w:rStyle w:val="Bold"/>
        </w:rPr>
      </w:pPr>
      <w:bookmarkStart w:id="143" w:name="_Toc493853145"/>
      <w:bookmarkStart w:id="144" w:name="_Toc493853146"/>
      <w:bookmarkStart w:id="145" w:name="_Toc493853147"/>
      <w:bookmarkStart w:id="146" w:name="_Toc493853148"/>
      <w:bookmarkStart w:id="147" w:name="_Toc493853149"/>
      <w:bookmarkStart w:id="148" w:name="_Toc493853150"/>
      <w:bookmarkStart w:id="149" w:name="_Toc493853151"/>
      <w:bookmarkStart w:id="150" w:name="_Toc493853152"/>
      <w:bookmarkStart w:id="151" w:name="_Toc493853153"/>
      <w:bookmarkStart w:id="152" w:name="_Toc493853154"/>
      <w:bookmarkStart w:id="153" w:name="_Toc493853155"/>
      <w:bookmarkStart w:id="154" w:name="_Toc493853156"/>
      <w:bookmarkEnd w:id="143"/>
      <w:bookmarkEnd w:id="144"/>
      <w:bookmarkEnd w:id="145"/>
      <w:bookmarkEnd w:id="146"/>
      <w:bookmarkEnd w:id="147"/>
      <w:bookmarkEnd w:id="148"/>
      <w:bookmarkEnd w:id="149"/>
      <w:bookmarkEnd w:id="150"/>
      <w:bookmarkEnd w:id="151"/>
      <w:bookmarkEnd w:id="152"/>
      <w:bookmarkEnd w:id="153"/>
      <w:bookmarkEnd w:id="154"/>
      <w:r w:rsidRPr="006B07A3">
        <w:rPr>
          <w:rStyle w:val="Bold"/>
        </w:rPr>
        <w:t>Synthesis</w:t>
      </w:r>
    </w:p>
    <w:p w14:paraId="458A6163" w14:textId="161019A4" w:rsidR="00B4500F" w:rsidRPr="00D70EB0" w:rsidRDefault="00D27769" w:rsidP="00B4500F">
      <w:pPr>
        <w:pStyle w:val="BodyText"/>
      </w:pPr>
      <w:r>
        <w:fldChar w:fldCharType="begin"/>
      </w:r>
      <w:r>
        <w:instrText xml:space="preserve"> REF _Ref493856112 \h </w:instrText>
      </w:r>
      <w:r>
        <w:fldChar w:fldCharType="separate"/>
      </w:r>
      <w:r w:rsidR="004A16F5" w:rsidRPr="00AB6721">
        <w:t xml:space="preserve">Table </w:t>
      </w:r>
      <w:r w:rsidR="004A16F5">
        <w:rPr>
          <w:noProof/>
        </w:rPr>
        <w:t>6</w:t>
      </w:r>
      <w:r w:rsidR="004A16F5" w:rsidRPr="00AB6721">
        <w:noBreakHyphen/>
      </w:r>
      <w:r w:rsidR="004A16F5">
        <w:rPr>
          <w:noProof/>
        </w:rPr>
        <w:t>1</w:t>
      </w:r>
      <w:r>
        <w:fldChar w:fldCharType="end"/>
      </w:r>
      <w:r>
        <w:t xml:space="preserve"> summarises the results of the rapid regional </w:t>
      </w:r>
      <w:r w:rsidRPr="00076DF6">
        <w:t>rapid prioritisation</w:t>
      </w:r>
      <w:r>
        <w:t xml:space="preserve"> by theme for each shortlisted basin. </w:t>
      </w:r>
      <w:r w:rsidR="00B4500F" w:rsidRPr="00D70EB0">
        <w:t xml:space="preserve">Basins most likely to </w:t>
      </w:r>
      <w:r w:rsidR="00B4500F">
        <w:t>deliver</w:t>
      </w:r>
      <w:r w:rsidR="00B4500F" w:rsidRPr="00D70EB0">
        <w:t xml:space="preserve"> new shale and</w:t>
      </w:r>
      <w:r w:rsidR="00B4500F">
        <w:t>/or</w:t>
      </w:r>
      <w:r w:rsidR="00B4500F" w:rsidRPr="00D70EB0">
        <w:t xml:space="preserve"> tight gas resources to the </w:t>
      </w:r>
      <w:r w:rsidR="00432D5D">
        <w:t>East Coast Gas Market</w:t>
      </w:r>
      <w:r w:rsidR="00B4500F" w:rsidRPr="00D70EB0">
        <w:t xml:space="preserve"> within five to ten years need to match the following criteria:</w:t>
      </w:r>
    </w:p>
    <w:p w14:paraId="68C6FD10" w14:textId="496AD85B" w:rsidR="00B4500F" w:rsidRPr="003B1A79" w:rsidRDefault="00B4500F" w:rsidP="00B4500F">
      <w:pPr>
        <w:pStyle w:val="ListBullet"/>
      </w:pPr>
      <w:r w:rsidRPr="003B1A79">
        <w:t>high prospectivity for shale/ tight gas resource</w:t>
      </w:r>
      <w:r w:rsidR="001B691A">
        <w:t>s, which may be developed within a ten year timeframe</w:t>
      </w:r>
      <w:r w:rsidRPr="003B1A79">
        <w:t>;</w:t>
      </w:r>
    </w:p>
    <w:p w14:paraId="34E73072" w14:textId="2CA4AF04" w:rsidR="00B4500F" w:rsidRPr="003B1A79" w:rsidRDefault="00B4500F" w:rsidP="00B4500F">
      <w:pPr>
        <w:pStyle w:val="ListBullet"/>
      </w:pPr>
      <w:r w:rsidRPr="003B1A79">
        <w:t xml:space="preserve">moderate to high confidence due to </w:t>
      </w:r>
      <w:r w:rsidR="00432D5D">
        <w:t xml:space="preserve">the </w:t>
      </w:r>
      <w:r w:rsidRPr="003B1A79">
        <w:t>level of data collected/ exploration status, and;</w:t>
      </w:r>
    </w:p>
    <w:p w14:paraId="243A52E4" w14:textId="015BC578" w:rsidR="00B4500F" w:rsidRPr="003B1A79" w:rsidRDefault="00B4500F" w:rsidP="00B4500F">
      <w:pPr>
        <w:pStyle w:val="ListBullet"/>
      </w:pPr>
      <w:r w:rsidRPr="003B1A79">
        <w:t xml:space="preserve">located close to the </w:t>
      </w:r>
      <w:r w:rsidR="00432D5D">
        <w:t>East Coast Gas Market</w:t>
      </w:r>
      <w:r w:rsidR="00432D5D" w:rsidRPr="00F7701F">
        <w:t xml:space="preserve"> </w:t>
      </w:r>
      <w:r w:rsidRPr="003B1A79">
        <w:t>via existing infrastructure (including gas pipelines).</w:t>
      </w:r>
    </w:p>
    <w:p w14:paraId="6C8AC79F" w14:textId="77777777" w:rsidR="00B4500F" w:rsidRDefault="00B4500F" w:rsidP="00B4500F">
      <w:pPr>
        <w:pStyle w:val="BodyText"/>
      </w:pPr>
      <w:r>
        <w:t>The</w:t>
      </w:r>
      <w:r w:rsidRPr="00D70EB0">
        <w:t xml:space="preserve"> </w:t>
      </w:r>
      <w:r>
        <w:t xml:space="preserve">Amadeus, Bowen, </w:t>
      </w:r>
      <w:r w:rsidRPr="00D70EB0">
        <w:t>Cooper</w:t>
      </w:r>
      <w:r>
        <w:t xml:space="preserve">, </w:t>
      </w:r>
      <w:r w:rsidRPr="00D70EB0">
        <w:t xml:space="preserve">Otway </w:t>
      </w:r>
      <w:r>
        <w:t>and McArthur b</w:t>
      </w:r>
      <w:r w:rsidRPr="00D70EB0">
        <w:t>asin</w:t>
      </w:r>
      <w:r>
        <w:t>s, and Isa Superbasin, meet all of the above prioritisation criteria. The relatively small prospective area of the Gippsland and Clarence-Moreton basins, and the poor exploration successes in the Georgina Basin, mean these basins fail to meet the prospectivity criteria.</w:t>
      </w:r>
    </w:p>
    <w:p w14:paraId="5C02A41A" w14:textId="3C0D1FC2" w:rsidR="00D27769" w:rsidRDefault="003E0F70" w:rsidP="00B4500F">
      <w:pPr>
        <w:pStyle w:val="BodyText"/>
      </w:pPr>
      <w:r>
        <w:t>R</w:t>
      </w:r>
      <w:r w:rsidRPr="00D70EB0">
        <w:t>egulatory constraints</w:t>
      </w:r>
      <w:r>
        <w:t>,</w:t>
      </w:r>
      <w:r w:rsidRPr="00AE4B1A">
        <w:t xml:space="preserve"> </w:t>
      </w:r>
      <w:r>
        <w:t xml:space="preserve">such as exploration or hydraulic fracturing moratoria, may </w:t>
      </w:r>
      <w:r w:rsidRPr="00AE4B1A">
        <w:t xml:space="preserve">prevent or </w:t>
      </w:r>
      <w:r>
        <w:t xml:space="preserve">significantly </w:t>
      </w:r>
      <w:r w:rsidRPr="00AE4B1A">
        <w:t>imped</w:t>
      </w:r>
      <w:r>
        <w:t xml:space="preserve">e </w:t>
      </w:r>
      <w:r w:rsidRPr="00AE4B1A">
        <w:t>onshore gas exploration and development</w:t>
      </w:r>
      <w:r>
        <w:t xml:space="preserve">. Of the top ranked prospectivity basins, the </w:t>
      </w:r>
      <w:r w:rsidRPr="003B1A79">
        <w:t>Cooper and Bowen basins remain unaffected by current restrictions; along with the majority of the prospective area of the Isa Superbasin</w:t>
      </w:r>
      <w:r>
        <w:t xml:space="preserve"> (located in </w:t>
      </w:r>
      <w:r w:rsidRPr="00EC159E">
        <w:t>Queensland). In April 201</w:t>
      </w:r>
      <w:r w:rsidR="005705C5" w:rsidRPr="00EC159E">
        <w:t>8</w:t>
      </w:r>
      <w:r w:rsidRPr="00EC159E">
        <w:t xml:space="preserve"> the Northern Territory Government lifted the moratorium on hydraulic fracturing for 51% of the Northern Territory. The Otway basin is impacted by moratorium on hydraulic fracturing in the south-east </w:t>
      </w:r>
      <w:r w:rsidR="005705C5" w:rsidRPr="00EC159E">
        <w:t>of South Australia</w:t>
      </w:r>
      <w:r w:rsidR="00EC159E" w:rsidRPr="00EC159E">
        <w:t xml:space="preserve"> </w:t>
      </w:r>
      <w:r w:rsidRPr="00EC159E">
        <w:t xml:space="preserve">and the on-going ban on hydraulic fracturing in Victoria, which also impacts the Gippsland basin. </w:t>
      </w:r>
    </w:p>
    <w:p w14:paraId="6C5E5CB9" w14:textId="77777777" w:rsidR="00D27769" w:rsidRDefault="00D27769" w:rsidP="00174635">
      <w:pPr>
        <w:pStyle w:val="BodyText"/>
        <w:sectPr w:rsidR="00D27769" w:rsidSect="00555380">
          <w:pgSz w:w="11907" w:h="16840" w:code="9"/>
          <w:pgMar w:top="1418" w:right="1134" w:bottom="1418" w:left="1134" w:header="510" w:footer="624" w:gutter="0"/>
          <w:cols w:space="720"/>
          <w:docGrid w:linePitch="326"/>
        </w:sectPr>
      </w:pPr>
    </w:p>
    <w:p w14:paraId="7B1818E5" w14:textId="77777777" w:rsidR="00D27769" w:rsidRPr="00AB6721" w:rsidRDefault="00D27769" w:rsidP="00924E2B">
      <w:pPr>
        <w:pStyle w:val="Caption"/>
      </w:pPr>
      <w:bookmarkStart w:id="155" w:name="_Ref493856112"/>
      <w:bookmarkStart w:id="156" w:name="_Toc517101464"/>
      <w:r w:rsidRPr="00AB6721">
        <w:t xml:space="preserve">Table </w:t>
      </w:r>
      <w:fldSimple w:instr=" STYLEREF 1 \s ">
        <w:r w:rsidR="004A16F5">
          <w:rPr>
            <w:noProof/>
          </w:rPr>
          <w:t>6</w:t>
        </w:r>
      </w:fldSimple>
      <w:r w:rsidRPr="00AB6721">
        <w:noBreakHyphen/>
      </w:r>
      <w:fldSimple w:instr=" SEQ Table \* ARABIC \s 1 ">
        <w:r w:rsidR="004A16F5">
          <w:rPr>
            <w:noProof/>
          </w:rPr>
          <w:t>1</w:t>
        </w:r>
      </w:fldSimple>
      <w:bookmarkEnd w:id="155"/>
      <w:r w:rsidRPr="00AB6721">
        <w:t xml:space="preserve"> Summary of rapid regional rapid prioritisation results for each </w:t>
      </w:r>
      <w:r>
        <w:t>shortlist</w:t>
      </w:r>
      <w:r w:rsidRPr="00AB6721">
        <w:t xml:space="preserve">ed basin by the following themes: basin geology, shale/ tight gas resource prospectivity, </w:t>
      </w:r>
      <w:r>
        <w:t>gas market</w:t>
      </w:r>
      <w:r w:rsidRPr="00AB6721">
        <w:t xml:space="preserve">, </w:t>
      </w:r>
      <w:r>
        <w:t xml:space="preserve">additional </w:t>
      </w:r>
      <w:r w:rsidRPr="00AB6721">
        <w:t>infrastructure</w:t>
      </w:r>
      <w:r>
        <w:t xml:space="preserve"> requirements</w:t>
      </w:r>
      <w:r w:rsidRPr="00AB6721">
        <w:t xml:space="preserve"> and regulatory environment.</w:t>
      </w:r>
      <w:bookmarkEnd w:id="156"/>
    </w:p>
    <w:tbl>
      <w:tblPr>
        <w:tblStyle w:val="TableBAHeaderRow"/>
        <w:tblW w:w="5000" w:type="pct"/>
        <w:tblLook w:val="04A0" w:firstRow="1" w:lastRow="0" w:firstColumn="1" w:lastColumn="0" w:noHBand="0" w:noVBand="1"/>
      </w:tblPr>
      <w:tblGrid>
        <w:gridCol w:w="1331"/>
        <w:gridCol w:w="798"/>
        <w:gridCol w:w="2425"/>
        <w:gridCol w:w="2316"/>
        <w:gridCol w:w="1826"/>
        <w:gridCol w:w="2437"/>
        <w:gridCol w:w="2871"/>
      </w:tblGrid>
      <w:tr w:rsidR="00D27769" w14:paraId="06C99B40" w14:textId="77777777" w:rsidTr="008454B0">
        <w:trPr>
          <w:cnfStyle w:val="100000000000" w:firstRow="1" w:lastRow="0" w:firstColumn="0" w:lastColumn="0" w:oddVBand="0" w:evenVBand="0" w:oddHBand="0" w:evenHBand="0" w:firstRowFirstColumn="0" w:firstRowLastColumn="0" w:lastRowFirstColumn="0" w:lastRowLastColumn="0"/>
        </w:trPr>
        <w:tc>
          <w:tcPr>
            <w:tcW w:w="475" w:type="pct"/>
          </w:tcPr>
          <w:p w14:paraId="667FF469" w14:textId="228C4440" w:rsidR="00D27769" w:rsidRDefault="00D27769" w:rsidP="00CF0502">
            <w:pPr>
              <w:pStyle w:val="TableTextLeft"/>
              <w:tabs>
                <w:tab w:val="left" w:pos="960"/>
              </w:tabs>
            </w:pPr>
            <w:r>
              <w:t>Basin</w:t>
            </w:r>
            <w:r w:rsidR="00D96367">
              <w:tab/>
            </w:r>
          </w:p>
        </w:tc>
        <w:tc>
          <w:tcPr>
            <w:tcW w:w="285" w:type="pct"/>
          </w:tcPr>
          <w:p w14:paraId="55D05DA6" w14:textId="77777777" w:rsidR="00D27769" w:rsidRDefault="00D27769" w:rsidP="00760658">
            <w:pPr>
              <w:pStyle w:val="TableTextLeft"/>
            </w:pPr>
            <w:r>
              <w:t>State</w:t>
            </w:r>
          </w:p>
        </w:tc>
        <w:tc>
          <w:tcPr>
            <w:tcW w:w="866" w:type="pct"/>
          </w:tcPr>
          <w:p w14:paraId="35A58CA9" w14:textId="77777777" w:rsidR="00D27769" w:rsidRDefault="00D27769" w:rsidP="00760658">
            <w:pPr>
              <w:pStyle w:val="TableTextLeft"/>
            </w:pPr>
            <w:r>
              <w:t xml:space="preserve">Shale/ tight gas </w:t>
            </w:r>
            <w:r w:rsidRPr="00DF6F90">
              <w:t>prospectivity</w:t>
            </w:r>
          </w:p>
        </w:tc>
        <w:tc>
          <w:tcPr>
            <w:tcW w:w="827" w:type="pct"/>
          </w:tcPr>
          <w:p w14:paraId="2B1203B1" w14:textId="77777777" w:rsidR="00D27769" w:rsidRDefault="00D27769" w:rsidP="00760658">
            <w:pPr>
              <w:pStyle w:val="TableTextLeft"/>
            </w:pPr>
            <w:r>
              <w:t>Petroleum Data Confidence</w:t>
            </w:r>
          </w:p>
        </w:tc>
        <w:tc>
          <w:tcPr>
            <w:tcW w:w="652" w:type="pct"/>
          </w:tcPr>
          <w:p w14:paraId="6D245E09" w14:textId="77777777" w:rsidR="00D27769" w:rsidRDefault="00D27769" w:rsidP="00760658">
            <w:pPr>
              <w:pStyle w:val="TableTextLeft"/>
            </w:pPr>
            <w:r>
              <w:t xml:space="preserve">Gas market </w:t>
            </w:r>
          </w:p>
        </w:tc>
        <w:tc>
          <w:tcPr>
            <w:tcW w:w="870" w:type="pct"/>
          </w:tcPr>
          <w:p w14:paraId="27387D13" w14:textId="77777777" w:rsidR="00D27769" w:rsidRDefault="00D27769" w:rsidP="00760658">
            <w:pPr>
              <w:pStyle w:val="TableTextLeft"/>
            </w:pPr>
            <w:r>
              <w:t>Additional infrastructure requirements</w:t>
            </w:r>
          </w:p>
        </w:tc>
        <w:tc>
          <w:tcPr>
            <w:tcW w:w="1027" w:type="pct"/>
          </w:tcPr>
          <w:p w14:paraId="3D231AD8" w14:textId="77777777" w:rsidR="00D27769" w:rsidRDefault="00D27769" w:rsidP="00760658">
            <w:pPr>
              <w:pStyle w:val="TableTextLeft"/>
            </w:pPr>
            <w:r>
              <w:t>Regulatory environment</w:t>
            </w:r>
          </w:p>
        </w:tc>
      </w:tr>
      <w:tr w:rsidR="00D27769" w14:paraId="682D6403" w14:textId="77777777" w:rsidTr="008454B0">
        <w:trPr>
          <w:cnfStyle w:val="000000100000" w:firstRow="0" w:lastRow="0" w:firstColumn="0" w:lastColumn="0" w:oddVBand="0" w:evenVBand="0" w:oddHBand="1" w:evenHBand="0" w:firstRowFirstColumn="0" w:firstRowLastColumn="0" w:lastRowFirstColumn="0" w:lastRowLastColumn="0"/>
        </w:trPr>
        <w:tc>
          <w:tcPr>
            <w:tcW w:w="475" w:type="pct"/>
          </w:tcPr>
          <w:p w14:paraId="7F55A45D" w14:textId="77777777" w:rsidR="00D27769" w:rsidRPr="00EC554B" w:rsidRDefault="00D27769" w:rsidP="00760658">
            <w:pPr>
              <w:pStyle w:val="TableTextLeft"/>
            </w:pPr>
            <w:r w:rsidRPr="00EC554B">
              <w:t>Amadeus</w:t>
            </w:r>
          </w:p>
        </w:tc>
        <w:tc>
          <w:tcPr>
            <w:tcW w:w="285" w:type="pct"/>
          </w:tcPr>
          <w:p w14:paraId="138F73E2" w14:textId="77777777" w:rsidR="00D27769" w:rsidRPr="00EC554B" w:rsidRDefault="00D27769" w:rsidP="00760658">
            <w:pPr>
              <w:pStyle w:val="TableTextLeft"/>
            </w:pPr>
            <w:r w:rsidRPr="00EC554B">
              <w:t>NT</w:t>
            </w:r>
          </w:p>
        </w:tc>
        <w:tc>
          <w:tcPr>
            <w:tcW w:w="866" w:type="pct"/>
          </w:tcPr>
          <w:p w14:paraId="015D4E64" w14:textId="77777777" w:rsidR="00D27769" w:rsidRPr="00EC554B" w:rsidRDefault="00D27769" w:rsidP="00760658">
            <w:pPr>
              <w:pStyle w:val="TableTextLeft"/>
            </w:pPr>
            <w:r w:rsidRPr="00EC554B">
              <w:t>Moderate</w:t>
            </w:r>
            <w:r>
              <w:t>–</w:t>
            </w:r>
            <w:r w:rsidRPr="00EC554B">
              <w:t>high</w:t>
            </w:r>
          </w:p>
        </w:tc>
        <w:tc>
          <w:tcPr>
            <w:tcW w:w="827" w:type="pct"/>
          </w:tcPr>
          <w:p w14:paraId="73950906" w14:textId="77777777" w:rsidR="00D27769" w:rsidRPr="00EC554B" w:rsidRDefault="00D27769" w:rsidP="00760658">
            <w:pPr>
              <w:pStyle w:val="TableTextLeft"/>
            </w:pPr>
            <w:r w:rsidRPr="00EC554B">
              <w:t>Moderate</w:t>
            </w:r>
          </w:p>
        </w:tc>
        <w:tc>
          <w:tcPr>
            <w:tcW w:w="652" w:type="pct"/>
          </w:tcPr>
          <w:p w14:paraId="37881BF3" w14:textId="34AA77B2" w:rsidR="00D27769" w:rsidRPr="00EC554B" w:rsidRDefault="00D27769" w:rsidP="00760658">
            <w:pPr>
              <w:pStyle w:val="TableTextLeft"/>
            </w:pPr>
            <w:r>
              <w:t>N</w:t>
            </w:r>
            <w:r w:rsidRPr="00EC554B">
              <w:t>orthern</w:t>
            </w:r>
            <w:r w:rsidR="008549BE">
              <w:t xml:space="preserve"> Territory</w:t>
            </w:r>
          </w:p>
        </w:tc>
        <w:tc>
          <w:tcPr>
            <w:tcW w:w="870" w:type="pct"/>
          </w:tcPr>
          <w:p w14:paraId="7BA50660" w14:textId="77777777" w:rsidR="00D27769" w:rsidRPr="00EC554B" w:rsidRDefault="00D27769" w:rsidP="00760658">
            <w:pPr>
              <w:pStyle w:val="TableTextLeft"/>
            </w:pPr>
            <w:r w:rsidRPr="00EC554B">
              <w:t xml:space="preserve">Moderate </w:t>
            </w:r>
          </w:p>
        </w:tc>
        <w:tc>
          <w:tcPr>
            <w:tcW w:w="1027" w:type="pct"/>
          </w:tcPr>
          <w:p w14:paraId="04F28D8F" w14:textId="77777777" w:rsidR="00D27769" w:rsidRPr="00EC554B" w:rsidRDefault="00D27769" w:rsidP="00760658">
            <w:pPr>
              <w:pStyle w:val="TableTextLeft"/>
            </w:pPr>
            <w:r>
              <w:t>Moratorium</w:t>
            </w:r>
            <w:r w:rsidRPr="00EC554B">
              <w:t xml:space="preserve"> under consideration (NT)</w:t>
            </w:r>
          </w:p>
        </w:tc>
      </w:tr>
      <w:tr w:rsidR="00D27769" w14:paraId="083760F9" w14:textId="77777777" w:rsidTr="008454B0">
        <w:trPr>
          <w:cnfStyle w:val="000000010000" w:firstRow="0" w:lastRow="0" w:firstColumn="0" w:lastColumn="0" w:oddVBand="0" w:evenVBand="0" w:oddHBand="0" w:evenHBand="1" w:firstRowFirstColumn="0" w:firstRowLastColumn="0" w:lastRowFirstColumn="0" w:lastRowLastColumn="0"/>
        </w:trPr>
        <w:tc>
          <w:tcPr>
            <w:tcW w:w="475" w:type="pct"/>
          </w:tcPr>
          <w:p w14:paraId="3062C8B8" w14:textId="77777777" w:rsidR="00D27769" w:rsidRPr="00EC554B" w:rsidRDefault="00D27769" w:rsidP="00760658">
            <w:pPr>
              <w:pStyle w:val="TableTextLeft"/>
            </w:pPr>
            <w:r w:rsidRPr="00EC554B">
              <w:t>Bowen</w:t>
            </w:r>
          </w:p>
        </w:tc>
        <w:tc>
          <w:tcPr>
            <w:tcW w:w="285" w:type="pct"/>
          </w:tcPr>
          <w:p w14:paraId="58BAF776" w14:textId="77777777" w:rsidR="00D27769" w:rsidRPr="00EC554B" w:rsidRDefault="00D27769" w:rsidP="00760658">
            <w:pPr>
              <w:pStyle w:val="TableTextLeft"/>
            </w:pPr>
            <w:r w:rsidRPr="00EC554B">
              <w:t>QLD</w:t>
            </w:r>
          </w:p>
        </w:tc>
        <w:tc>
          <w:tcPr>
            <w:tcW w:w="866" w:type="pct"/>
          </w:tcPr>
          <w:p w14:paraId="17B441B0" w14:textId="77777777" w:rsidR="00D27769" w:rsidRPr="00EC554B" w:rsidRDefault="00D27769" w:rsidP="00760658">
            <w:pPr>
              <w:pStyle w:val="TableTextLeft"/>
            </w:pPr>
            <w:r w:rsidRPr="00EC554B">
              <w:t>High</w:t>
            </w:r>
          </w:p>
        </w:tc>
        <w:tc>
          <w:tcPr>
            <w:tcW w:w="827" w:type="pct"/>
          </w:tcPr>
          <w:p w14:paraId="7948ABEA" w14:textId="77777777" w:rsidR="00D27769" w:rsidRPr="00EC554B" w:rsidRDefault="00D27769" w:rsidP="00760658">
            <w:pPr>
              <w:pStyle w:val="TableTextLeft"/>
            </w:pPr>
            <w:r w:rsidRPr="00EC554B">
              <w:t>Moderate</w:t>
            </w:r>
          </w:p>
        </w:tc>
        <w:tc>
          <w:tcPr>
            <w:tcW w:w="652" w:type="pct"/>
          </w:tcPr>
          <w:p w14:paraId="73F82BF0" w14:textId="643E1108" w:rsidR="00D27769" w:rsidRPr="00EC554B" w:rsidRDefault="00D27769" w:rsidP="00F07F10">
            <w:pPr>
              <w:pStyle w:val="TableTextLeft"/>
            </w:pPr>
            <w:r>
              <w:t>E</w:t>
            </w:r>
            <w:r w:rsidRPr="00EC554B">
              <w:t>ast</w:t>
            </w:r>
            <w:r>
              <w:t xml:space="preserve"> Coast</w:t>
            </w:r>
          </w:p>
        </w:tc>
        <w:tc>
          <w:tcPr>
            <w:tcW w:w="870" w:type="pct"/>
          </w:tcPr>
          <w:p w14:paraId="12BA80AA" w14:textId="77777777" w:rsidR="00D27769" w:rsidRPr="00EC554B" w:rsidRDefault="00D27769" w:rsidP="00760658">
            <w:pPr>
              <w:pStyle w:val="TableTextLeft"/>
            </w:pPr>
            <w:r w:rsidRPr="00EC554B">
              <w:t xml:space="preserve">Minor </w:t>
            </w:r>
          </w:p>
        </w:tc>
        <w:tc>
          <w:tcPr>
            <w:tcW w:w="1027" w:type="pct"/>
          </w:tcPr>
          <w:p w14:paraId="17E6B195" w14:textId="77777777" w:rsidR="00D27769" w:rsidRPr="00EC554B" w:rsidRDefault="00D27769" w:rsidP="00760658">
            <w:pPr>
              <w:pStyle w:val="TableTextLeft"/>
            </w:pPr>
            <w:r>
              <w:t>No moratorium</w:t>
            </w:r>
            <w:r w:rsidRPr="00EC554B">
              <w:t xml:space="preserve"> (QLD)</w:t>
            </w:r>
          </w:p>
        </w:tc>
      </w:tr>
      <w:tr w:rsidR="00D27769" w14:paraId="2AFCDE8C" w14:textId="77777777" w:rsidTr="008454B0">
        <w:trPr>
          <w:cnfStyle w:val="000000100000" w:firstRow="0" w:lastRow="0" w:firstColumn="0" w:lastColumn="0" w:oddVBand="0" w:evenVBand="0" w:oddHBand="1" w:evenHBand="0" w:firstRowFirstColumn="0" w:firstRowLastColumn="0" w:lastRowFirstColumn="0" w:lastRowLastColumn="0"/>
        </w:trPr>
        <w:tc>
          <w:tcPr>
            <w:tcW w:w="475" w:type="pct"/>
          </w:tcPr>
          <w:p w14:paraId="4F8FDAA4" w14:textId="77777777" w:rsidR="00D27769" w:rsidRPr="00EC554B" w:rsidRDefault="00D27769" w:rsidP="00760658">
            <w:pPr>
              <w:pStyle w:val="TableTextLeft"/>
            </w:pPr>
            <w:r w:rsidRPr="00EC554B">
              <w:t>Clarence-Moreton</w:t>
            </w:r>
          </w:p>
        </w:tc>
        <w:tc>
          <w:tcPr>
            <w:tcW w:w="285" w:type="pct"/>
          </w:tcPr>
          <w:p w14:paraId="5CC3A988" w14:textId="72DBC30B" w:rsidR="00D27769" w:rsidRPr="00EC554B" w:rsidRDefault="00D27769" w:rsidP="003E0759">
            <w:pPr>
              <w:pStyle w:val="TableTextLeft"/>
            </w:pPr>
            <w:r w:rsidRPr="00EC554B">
              <w:t>NSW</w:t>
            </w:r>
            <w:r w:rsidR="00F32C85">
              <w:t>, Q</w:t>
            </w:r>
            <w:r w:rsidR="003E0759">
              <w:t>LD</w:t>
            </w:r>
          </w:p>
        </w:tc>
        <w:tc>
          <w:tcPr>
            <w:tcW w:w="866" w:type="pct"/>
          </w:tcPr>
          <w:p w14:paraId="594BAC15" w14:textId="77777777" w:rsidR="00D27769" w:rsidRPr="00EC554B" w:rsidRDefault="00D27769" w:rsidP="0036279F">
            <w:pPr>
              <w:pStyle w:val="TableTextLeft"/>
            </w:pPr>
            <w:r w:rsidRPr="00EC554B">
              <w:t>Low</w:t>
            </w:r>
            <w:r>
              <w:t>–</w:t>
            </w:r>
            <w:r w:rsidRPr="00EC554B">
              <w:t>moderate</w:t>
            </w:r>
          </w:p>
        </w:tc>
        <w:tc>
          <w:tcPr>
            <w:tcW w:w="827" w:type="pct"/>
          </w:tcPr>
          <w:p w14:paraId="47158E20" w14:textId="77777777" w:rsidR="00D27769" w:rsidRPr="00EC554B" w:rsidRDefault="00D27769" w:rsidP="00760658">
            <w:pPr>
              <w:pStyle w:val="TableTextLeft"/>
            </w:pPr>
            <w:r>
              <w:t>Low–</w:t>
            </w:r>
            <w:r w:rsidRPr="00EC554B">
              <w:t>moderate</w:t>
            </w:r>
          </w:p>
        </w:tc>
        <w:tc>
          <w:tcPr>
            <w:tcW w:w="652" w:type="pct"/>
          </w:tcPr>
          <w:p w14:paraId="20FA3C11" w14:textId="3C205804" w:rsidR="00D27769" w:rsidRPr="00EC554B" w:rsidRDefault="00D27769" w:rsidP="00F07F10">
            <w:pPr>
              <w:pStyle w:val="TableTextLeft"/>
            </w:pPr>
            <w:r>
              <w:t>E</w:t>
            </w:r>
            <w:r w:rsidRPr="00EC554B">
              <w:t>ast</w:t>
            </w:r>
            <w:r>
              <w:t xml:space="preserve"> Coast</w:t>
            </w:r>
          </w:p>
        </w:tc>
        <w:tc>
          <w:tcPr>
            <w:tcW w:w="870" w:type="pct"/>
          </w:tcPr>
          <w:p w14:paraId="3ADF14DE" w14:textId="77777777" w:rsidR="00D27769" w:rsidRPr="00EC554B" w:rsidRDefault="00D27769" w:rsidP="0036279F">
            <w:pPr>
              <w:pStyle w:val="TableTextLeft"/>
            </w:pPr>
            <w:r w:rsidRPr="00EC554B">
              <w:t>Moderate</w:t>
            </w:r>
            <w:r>
              <w:t>–</w:t>
            </w:r>
            <w:r w:rsidRPr="00EC554B">
              <w:t>minor</w:t>
            </w:r>
          </w:p>
        </w:tc>
        <w:tc>
          <w:tcPr>
            <w:tcW w:w="1027" w:type="pct"/>
          </w:tcPr>
          <w:p w14:paraId="1B30676F" w14:textId="77777777" w:rsidR="00D27769" w:rsidRPr="00EC554B" w:rsidRDefault="00D27769" w:rsidP="00760658">
            <w:pPr>
              <w:pStyle w:val="TableTextLeft"/>
            </w:pPr>
            <w:r w:rsidRPr="00EC554B">
              <w:t>Restrictions (NSW)</w:t>
            </w:r>
          </w:p>
        </w:tc>
      </w:tr>
      <w:tr w:rsidR="00D27769" w14:paraId="5C025B16" w14:textId="77777777" w:rsidTr="008454B0">
        <w:trPr>
          <w:cnfStyle w:val="000000010000" w:firstRow="0" w:lastRow="0" w:firstColumn="0" w:lastColumn="0" w:oddVBand="0" w:evenVBand="0" w:oddHBand="0" w:evenHBand="1" w:firstRowFirstColumn="0" w:firstRowLastColumn="0" w:lastRowFirstColumn="0" w:lastRowLastColumn="0"/>
        </w:trPr>
        <w:tc>
          <w:tcPr>
            <w:tcW w:w="475" w:type="pct"/>
          </w:tcPr>
          <w:p w14:paraId="41F276CD" w14:textId="77777777" w:rsidR="00D27769" w:rsidRPr="00EC554B" w:rsidRDefault="00D27769" w:rsidP="00760658">
            <w:pPr>
              <w:pStyle w:val="TableTextLeft"/>
            </w:pPr>
            <w:r w:rsidRPr="00EC554B">
              <w:t>Cooper</w:t>
            </w:r>
          </w:p>
        </w:tc>
        <w:tc>
          <w:tcPr>
            <w:tcW w:w="285" w:type="pct"/>
          </w:tcPr>
          <w:p w14:paraId="0DC47D6D" w14:textId="77777777" w:rsidR="00D27769" w:rsidRPr="00EC554B" w:rsidRDefault="00D27769" w:rsidP="00760658">
            <w:pPr>
              <w:pStyle w:val="TableTextLeft"/>
            </w:pPr>
            <w:r w:rsidRPr="00EC554B">
              <w:t>QLD, SA</w:t>
            </w:r>
          </w:p>
        </w:tc>
        <w:tc>
          <w:tcPr>
            <w:tcW w:w="866" w:type="pct"/>
          </w:tcPr>
          <w:p w14:paraId="460C881A" w14:textId="77777777" w:rsidR="00D27769" w:rsidRPr="00EC554B" w:rsidRDefault="00D27769" w:rsidP="00760658">
            <w:pPr>
              <w:pStyle w:val="TableTextLeft"/>
            </w:pPr>
            <w:r w:rsidRPr="00EC554B">
              <w:t>High</w:t>
            </w:r>
          </w:p>
        </w:tc>
        <w:tc>
          <w:tcPr>
            <w:tcW w:w="827" w:type="pct"/>
          </w:tcPr>
          <w:p w14:paraId="69CE2E8D" w14:textId="77777777" w:rsidR="00D27769" w:rsidRPr="00EC554B" w:rsidRDefault="00D27769" w:rsidP="00760658">
            <w:pPr>
              <w:pStyle w:val="TableTextLeft"/>
            </w:pPr>
            <w:r w:rsidRPr="00EC554B">
              <w:t>High</w:t>
            </w:r>
          </w:p>
        </w:tc>
        <w:tc>
          <w:tcPr>
            <w:tcW w:w="652" w:type="pct"/>
          </w:tcPr>
          <w:p w14:paraId="25DCC0A6" w14:textId="3FDD71D0" w:rsidR="00D27769" w:rsidRPr="00EC554B" w:rsidRDefault="00D27769" w:rsidP="00F07F10">
            <w:pPr>
              <w:pStyle w:val="TableTextLeft"/>
            </w:pPr>
            <w:r>
              <w:t>E</w:t>
            </w:r>
            <w:r w:rsidRPr="00EC554B">
              <w:t>ast</w:t>
            </w:r>
            <w:r>
              <w:t xml:space="preserve"> Coast</w:t>
            </w:r>
          </w:p>
        </w:tc>
        <w:tc>
          <w:tcPr>
            <w:tcW w:w="870" w:type="pct"/>
          </w:tcPr>
          <w:p w14:paraId="20D76996" w14:textId="77777777" w:rsidR="00D27769" w:rsidRPr="00EC554B" w:rsidRDefault="00D27769" w:rsidP="00760658">
            <w:pPr>
              <w:pStyle w:val="TableTextLeft"/>
            </w:pPr>
            <w:r w:rsidRPr="00EC554B">
              <w:t xml:space="preserve">Minor </w:t>
            </w:r>
          </w:p>
        </w:tc>
        <w:tc>
          <w:tcPr>
            <w:tcW w:w="1027" w:type="pct"/>
          </w:tcPr>
          <w:p w14:paraId="02FA6BB3" w14:textId="77777777" w:rsidR="00D27769" w:rsidRPr="00EC554B" w:rsidRDefault="00D27769" w:rsidP="00760658">
            <w:pPr>
              <w:pStyle w:val="TableTextLeft"/>
            </w:pPr>
            <w:r>
              <w:t>No moratorium</w:t>
            </w:r>
            <w:r w:rsidRPr="00EC554B">
              <w:t xml:space="preserve"> (QLD, SA)</w:t>
            </w:r>
          </w:p>
        </w:tc>
      </w:tr>
      <w:tr w:rsidR="00D27769" w14:paraId="1CC86C47" w14:textId="77777777" w:rsidTr="008454B0">
        <w:trPr>
          <w:cnfStyle w:val="000000100000" w:firstRow="0" w:lastRow="0" w:firstColumn="0" w:lastColumn="0" w:oddVBand="0" w:evenVBand="0" w:oddHBand="1" w:evenHBand="0" w:firstRowFirstColumn="0" w:firstRowLastColumn="0" w:lastRowFirstColumn="0" w:lastRowLastColumn="0"/>
        </w:trPr>
        <w:tc>
          <w:tcPr>
            <w:tcW w:w="475" w:type="pct"/>
          </w:tcPr>
          <w:p w14:paraId="616D4983" w14:textId="77777777" w:rsidR="00D27769" w:rsidRPr="00EC554B" w:rsidRDefault="00D27769" w:rsidP="00760658">
            <w:pPr>
              <w:pStyle w:val="TableTextLeft"/>
            </w:pPr>
            <w:r w:rsidRPr="00EC554B">
              <w:t>Georgina</w:t>
            </w:r>
          </w:p>
        </w:tc>
        <w:tc>
          <w:tcPr>
            <w:tcW w:w="285" w:type="pct"/>
          </w:tcPr>
          <w:p w14:paraId="38AA145C" w14:textId="77777777" w:rsidR="00D27769" w:rsidRPr="00EC554B" w:rsidRDefault="00D27769" w:rsidP="00760658">
            <w:pPr>
              <w:pStyle w:val="TableTextLeft"/>
            </w:pPr>
            <w:r w:rsidRPr="00EC554B">
              <w:t>NT, QLD</w:t>
            </w:r>
          </w:p>
        </w:tc>
        <w:tc>
          <w:tcPr>
            <w:tcW w:w="866" w:type="pct"/>
          </w:tcPr>
          <w:p w14:paraId="6FDBEB3B" w14:textId="77777777" w:rsidR="00D27769" w:rsidRPr="00EC554B" w:rsidRDefault="00D27769" w:rsidP="00760658">
            <w:pPr>
              <w:pStyle w:val="TableTextLeft"/>
            </w:pPr>
            <w:r w:rsidRPr="00EC554B">
              <w:t>Moderate</w:t>
            </w:r>
          </w:p>
        </w:tc>
        <w:tc>
          <w:tcPr>
            <w:tcW w:w="827" w:type="pct"/>
          </w:tcPr>
          <w:p w14:paraId="62DC2028" w14:textId="77777777" w:rsidR="00D27769" w:rsidRPr="00EC554B" w:rsidRDefault="00D27769" w:rsidP="00760658">
            <w:pPr>
              <w:pStyle w:val="TableTextLeft"/>
            </w:pPr>
            <w:r>
              <w:t>Low–</w:t>
            </w:r>
            <w:r w:rsidRPr="00EC554B">
              <w:t>moderate</w:t>
            </w:r>
          </w:p>
        </w:tc>
        <w:tc>
          <w:tcPr>
            <w:tcW w:w="652" w:type="pct"/>
          </w:tcPr>
          <w:p w14:paraId="31CA83C3" w14:textId="77777777" w:rsidR="00D27769" w:rsidRPr="00EC554B" w:rsidRDefault="00D27769" w:rsidP="00760658">
            <w:pPr>
              <w:pStyle w:val="TableTextLeft"/>
            </w:pPr>
            <w:r>
              <w:t>N</w:t>
            </w:r>
            <w:r w:rsidRPr="00EC554B">
              <w:t>orthern</w:t>
            </w:r>
            <w:r>
              <w:t xml:space="preserve"> Territory</w:t>
            </w:r>
          </w:p>
        </w:tc>
        <w:tc>
          <w:tcPr>
            <w:tcW w:w="870" w:type="pct"/>
          </w:tcPr>
          <w:p w14:paraId="412D9287" w14:textId="77777777" w:rsidR="00D27769" w:rsidRPr="00EC554B" w:rsidRDefault="00D27769" w:rsidP="00760658">
            <w:pPr>
              <w:pStyle w:val="TableTextLeft"/>
            </w:pPr>
            <w:r w:rsidRPr="00EC554B">
              <w:t xml:space="preserve">Major </w:t>
            </w:r>
          </w:p>
        </w:tc>
        <w:tc>
          <w:tcPr>
            <w:tcW w:w="1027" w:type="pct"/>
          </w:tcPr>
          <w:p w14:paraId="0C5B11D9" w14:textId="77777777" w:rsidR="00D27769" w:rsidRPr="00EC554B" w:rsidRDefault="00D27769" w:rsidP="00760658">
            <w:pPr>
              <w:pStyle w:val="TableTextLeft"/>
            </w:pPr>
            <w:r w:rsidRPr="00EC554B">
              <w:t xml:space="preserve">Moratoria under </w:t>
            </w:r>
            <w:r>
              <w:t>consideration (NT); No moratorium</w:t>
            </w:r>
            <w:r w:rsidRPr="00EC554B">
              <w:t xml:space="preserve"> (QLD)</w:t>
            </w:r>
          </w:p>
        </w:tc>
      </w:tr>
      <w:tr w:rsidR="00D27769" w14:paraId="40C39E4E" w14:textId="77777777" w:rsidTr="008454B0">
        <w:trPr>
          <w:cnfStyle w:val="000000010000" w:firstRow="0" w:lastRow="0" w:firstColumn="0" w:lastColumn="0" w:oddVBand="0" w:evenVBand="0" w:oddHBand="0" w:evenHBand="1" w:firstRowFirstColumn="0" w:firstRowLastColumn="0" w:lastRowFirstColumn="0" w:lastRowLastColumn="0"/>
        </w:trPr>
        <w:tc>
          <w:tcPr>
            <w:tcW w:w="475" w:type="pct"/>
          </w:tcPr>
          <w:p w14:paraId="4FEEAD58" w14:textId="77777777" w:rsidR="00D27769" w:rsidRPr="00EC554B" w:rsidRDefault="00D27769" w:rsidP="00760658">
            <w:pPr>
              <w:pStyle w:val="TableTextLeft"/>
            </w:pPr>
            <w:r w:rsidRPr="00EC554B">
              <w:t>Gippsland</w:t>
            </w:r>
          </w:p>
        </w:tc>
        <w:tc>
          <w:tcPr>
            <w:tcW w:w="285" w:type="pct"/>
          </w:tcPr>
          <w:p w14:paraId="127CE2BC" w14:textId="77777777" w:rsidR="00D27769" w:rsidRPr="00EC554B" w:rsidRDefault="00D27769" w:rsidP="00760658">
            <w:pPr>
              <w:pStyle w:val="TableTextLeft"/>
            </w:pPr>
            <w:r w:rsidRPr="00EC554B">
              <w:t>VIC</w:t>
            </w:r>
          </w:p>
        </w:tc>
        <w:tc>
          <w:tcPr>
            <w:tcW w:w="866" w:type="pct"/>
          </w:tcPr>
          <w:p w14:paraId="5C131100" w14:textId="77777777" w:rsidR="00D27769" w:rsidRPr="00EC554B" w:rsidRDefault="00D27769" w:rsidP="00760658">
            <w:pPr>
              <w:pStyle w:val="TableTextLeft"/>
            </w:pPr>
            <w:r w:rsidRPr="00EC554B">
              <w:t>Moderate</w:t>
            </w:r>
          </w:p>
        </w:tc>
        <w:tc>
          <w:tcPr>
            <w:tcW w:w="827" w:type="pct"/>
          </w:tcPr>
          <w:p w14:paraId="62800A82" w14:textId="77777777" w:rsidR="00D27769" w:rsidRPr="00EC554B" w:rsidRDefault="00D27769" w:rsidP="00760658">
            <w:pPr>
              <w:pStyle w:val="TableTextLeft"/>
            </w:pPr>
            <w:r w:rsidRPr="00EC554B">
              <w:t>High</w:t>
            </w:r>
          </w:p>
        </w:tc>
        <w:tc>
          <w:tcPr>
            <w:tcW w:w="652" w:type="pct"/>
          </w:tcPr>
          <w:p w14:paraId="65201170" w14:textId="2D6402AB" w:rsidR="00D27769" w:rsidRPr="00EC554B" w:rsidRDefault="00D27769" w:rsidP="00F07F10">
            <w:pPr>
              <w:pStyle w:val="TableTextLeft"/>
            </w:pPr>
            <w:r>
              <w:t>E</w:t>
            </w:r>
            <w:r w:rsidRPr="00EC554B">
              <w:t>ast</w:t>
            </w:r>
            <w:r>
              <w:t xml:space="preserve"> Coast</w:t>
            </w:r>
          </w:p>
        </w:tc>
        <w:tc>
          <w:tcPr>
            <w:tcW w:w="870" w:type="pct"/>
          </w:tcPr>
          <w:p w14:paraId="1A49EB54" w14:textId="77777777" w:rsidR="00D27769" w:rsidRPr="00EC554B" w:rsidRDefault="00D27769" w:rsidP="00760658">
            <w:pPr>
              <w:pStyle w:val="TableTextLeft"/>
            </w:pPr>
            <w:r w:rsidRPr="00EC554B">
              <w:t xml:space="preserve">Minor </w:t>
            </w:r>
          </w:p>
        </w:tc>
        <w:tc>
          <w:tcPr>
            <w:tcW w:w="1027" w:type="pct"/>
          </w:tcPr>
          <w:p w14:paraId="20D5AFBD" w14:textId="77777777" w:rsidR="00D27769" w:rsidRPr="00EC554B" w:rsidRDefault="00D27769" w:rsidP="00760658">
            <w:pPr>
              <w:pStyle w:val="TableTextLeft"/>
            </w:pPr>
            <w:r w:rsidRPr="00EC554B">
              <w:t>Ban (VIC)</w:t>
            </w:r>
          </w:p>
        </w:tc>
      </w:tr>
      <w:tr w:rsidR="00D27769" w14:paraId="2BC1D540" w14:textId="77777777" w:rsidTr="008454B0">
        <w:trPr>
          <w:cnfStyle w:val="000000100000" w:firstRow="0" w:lastRow="0" w:firstColumn="0" w:lastColumn="0" w:oddVBand="0" w:evenVBand="0" w:oddHBand="1" w:evenHBand="0" w:firstRowFirstColumn="0" w:firstRowLastColumn="0" w:lastRowFirstColumn="0" w:lastRowLastColumn="0"/>
        </w:trPr>
        <w:tc>
          <w:tcPr>
            <w:tcW w:w="475" w:type="pct"/>
          </w:tcPr>
          <w:p w14:paraId="2B9CFC77" w14:textId="77777777" w:rsidR="00D27769" w:rsidRPr="00EC554B" w:rsidRDefault="00D27769" w:rsidP="00760658">
            <w:pPr>
              <w:pStyle w:val="TableTextLeft"/>
            </w:pPr>
            <w:r w:rsidRPr="00EC554B">
              <w:t>Isa</w:t>
            </w:r>
          </w:p>
        </w:tc>
        <w:tc>
          <w:tcPr>
            <w:tcW w:w="285" w:type="pct"/>
          </w:tcPr>
          <w:p w14:paraId="408E2ACF" w14:textId="77777777" w:rsidR="00D27769" w:rsidRPr="00EC554B" w:rsidRDefault="00D27769" w:rsidP="00760658">
            <w:pPr>
              <w:pStyle w:val="TableTextLeft"/>
            </w:pPr>
            <w:r w:rsidRPr="00EC554B">
              <w:t>NT, QLD</w:t>
            </w:r>
          </w:p>
        </w:tc>
        <w:tc>
          <w:tcPr>
            <w:tcW w:w="866" w:type="pct"/>
          </w:tcPr>
          <w:p w14:paraId="290D2F47" w14:textId="77777777" w:rsidR="00D27769" w:rsidRPr="00EC554B" w:rsidRDefault="00D27769" w:rsidP="00050FCF">
            <w:pPr>
              <w:pStyle w:val="TableTextLeft"/>
            </w:pPr>
            <w:r w:rsidRPr="00EC554B">
              <w:t>Moderate</w:t>
            </w:r>
            <w:r>
              <w:t>–</w:t>
            </w:r>
            <w:r w:rsidRPr="00EC554B">
              <w:t>high</w:t>
            </w:r>
          </w:p>
        </w:tc>
        <w:tc>
          <w:tcPr>
            <w:tcW w:w="827" w:type="pct"/>
          </w:tcPr>
          <w:p w14:paraId="79DB75BB" w14:textId="77777777" w:rsidR="00D27769" w:rsidRPr="00EC554B" w:rsidRDefault="00D27769" w:rsidP="00760658">
            <w:pPr>
              <w:pStyle w:val="TableTextLeft"/>
            </w:pPr>
            <w:r>
              <w:t>Low–</w:t>
            </w:r>
            <w:r w:rsidRPr="00EC554B">
              <w:t>moderate</w:t>
            </w:r>
          </w:p>
        </w:tc>
        <w:tc>
          <w:tcPr>
            <w:tcW w:w="652" w:type="pct"/>
          </w:tcPr>
          <w:p w14:paraId="734076F3" w14:textId="77777777" w:rsidR="00D27769" w:rsidRPr="00EC554B" w:rsidRDefault="00D27769" w:rsidP="00760658">
            <w:pPr>
              <w:pStyle w:val="TableTextLeft"/>
            </w:pPr>
            <w:r>
              <w:t>N</w:t>
            </w:r>
            <w:r w:rsidRPr="00EC554B">
              <w:t>orthern</w:t>
            </w:r>
            <w:r>
              <w:t xml:space="preserve"> Territory</w:t>
            </w:r>
          </w:p>
        </w:tc>
        <w:tc>
          <w:tcPr>
            <w:tcW w:w="870" w:type="pct"/>
          </w:tcPr>
          <w:p w14:paraId="0B203766" w14:textId="77777777" w:rsidR="00D27769" w:rsidRPr="00EC554B" w:rsidRDefault="00D27769" w:rsidP="00760658">
            <w:pPr>
              <w:pStyle w:val="TableTextLeft"/>
            </w:pPr>
            <w:r w:rsidRPr="00EC554B">
              <w:t>Major</w:t>
            </w:r>
          </w:p>
        </w:tc>
        <w:tc>
          <w:tcPr>
            <w:tcW w:w="1027" w:type="pct"/>
          </w:tcPr>
          <w:p w14:paraId="6DFA05EA" w14:textId="77777777" w:rsidR="00D27769" w:rsidRPr="00EC554B" w:rsidRDefault="00D27769" w:rsidP="00760658">
            <w:pPr>
              <w:pStyle w:val="TableTextLeft"/>
            </w:pPr>
            <w:r w:rsidRPr="00EC554B">
              <w:t xml:space="preserve">Moratoria under </w:t>
            </w:r>
            <w:r>
              <w:t>consideration (NT); No moratorium</w:t>
            </w:r>
            <w:r w:rsidRPr="00EC554B">
              <w:t xml:space="preserve"> (QLD)</w:t>
            </w:r>
          </w:p>
        </w:tc>
      </w:tr>
      <w:tr w:rsidR="00D27769" w14:paraId="41D64D5C" w14:textId="77777777" w:rsidTr="008454B0">
        <w:trPr>
          <w:cnfStyle w:val="000000010000" w:firstRow="0" w:lastRow="0" w:firstColumn="0" w:lastColumn="0" w:oddVBand="0" w:evenVBand="0" w:oddHBand="0" w:evenHBand="1" w:firstRowFirstColumn="0" w:firstRowLastColumn="0" w:lastRowFirstColumn="0" w:lastRowLastColumn="0"/>
        </w:trPr>
        <w:tc>
          <w:tcPr>
            <w:tcW w:w="475" w:type="pct"/>
          </w:tcPr>
          <w:p w14:paraId="461EB9AA" w14:textId="77777777" w:rsidR="00D27769" w:rsidRPr="00EC554B" w:rsidRDefault="00D27769" w:rsidP="00760658">
            <w:pPr>
              <w:pStyle w:val="TableTextLeft"/>
            </w:pPr>
            <w:r w:rsidRPr="00EC554B">
              <w:t>McArthur</w:t>
            </w:r>
          </w:p>
        </w:tc>
        <w:tc>
          <w:tcPr>
            <w:tcW w:w="285" w:type="pct"/>
          </w:tcPr>
          <w:p w14:paraId="23C57831" w14:textId="77777777" w:rsidR="00D27769" w:rsidRPr="00EC554B" w:rsidRDefault="00D27769" w:rsidP="00760658">
            <w:pPr>
              <w:pStyle w:val="TableTextLeft"/>
            </w:pPr>
            <w:r w:rsidRPr="00EC554B">
              <w:t>NT</w:t>
            </w:r>
          </w:p>
        </w:tc>
        <w:tc>
          <w:tcPr>
            <w:tcW w:w="866" w:type="pct"/>
          </w:tcPr>
          <w:p w14:paraId="69A0A393" w14:textId="77777777" w:rsidR="00D27769" w:rsidRPr="00EC554B" w:rsidRDefault="00D27769" w:rsidP="00760658">
            <w:pPr>
              <w:pStyle w:val="TableTextLeft"/>
            </w:pPr>
            <w:r w:rsidRPr="00EC554B">
              <w:t>High</w:t>
            </w:r>
          </w:p>
        </w:tc>
        <w:tc>
          <w:tcPr>
            <w:tcW w:w="827" w:type="pct"/>
          </w:tcPr>
          <w:p w14:paraId="52B02BF2" w14:textId="77777777" w:rsidR="00D27769" w:rsidRPr="00EC554B" w:rsidRDefault="00D27769" w:rsidP="00760658">
            <w:pPr>
              <w:pStyle w:val="TableTextLeft"/>
            </w:pPr>
            <w:r w:rsidRPr="00EC554B">
              <w:t>Moderate</w:t>
            </w:r>
          </w:p>
        </w:tc>
        <w:tc>
          <w:tcPr>
            <w:tcW w:w="652" w:type="pct"/>
          </w:tcPr>
          <w:p w14:paraId="4B92D22F" w14:textId="77777777" w:rsidR="00D27769" w:rsidRPr="00EC554B" w:rsidRDefault="00D27769" w:rsidP="00760658">
            <w:pPr>
              <w:pStyle w:val="TableTextLeft"/>
            </w:pPr>
            <w:r>
              <w:t>N</w:t>
            </w:r>
            <w:r w:rsidRPr="00EC554B">
              <w:t>orthern</w:t>
            </w:r>
            <w:r>
              <w:t xml:space="preserve"> Territory</w:t>
            </w:r>
          </w:p>
        </w:tc>
        <w:tc>
          <w:tcPr>
            <w:tcW w:w="870" w:type="pct"/>
          </w:tcPr>
          <w:p w14:paraId="5A9624CC" w14:textId="77777777" w:rsidR="00D27769" w:rsidRPr="00EC554B" w:rsidRDefault="00D27769" w:rsidP="0036279F">
            <w:pPr>
              <w:pStyle w:val="TableTextLeft"/>
            </w:pPr>
            <w:r w:rsidRPr="00EC554B">
              <w:t>Moderate</w:t>
            </w:r>
            <w:r>
              <w:t>–</w:t>
            </w:r>
            <w:r w:rsidRPr="00EC554B">
              <w:t>major</w:t>
            </w:r>
          </w:p>
        </w:tc>
        <w:tc>
          <w:tcPr>
            <w:tcW w:w="1027" w:type="pct"/>
          </w:tcPr>
          <w:p w14:paraId="4D0E8A23" w14:textId="77777777" w:rsidR="00D27769" w:rsidRPr="00EC554B" w:rsidRDefault="00D27769" w:rsidP="00760658">
            <w:pPr>
              <w:pStyle w:val="TableTextLeft"/>
            </w:pPr>
            <w:r>
              <w:t>Moratorium</w:t>
            </w:r>
            <w:r w:rsidRPr="00EC554B">
              <w:t xml:space="preserve"> under consideration (NT)</w:t>
            </w:r>
          </w:p>
        </w:tc>
      </w:tr>
      <w:tr w:rsidR="00D27769" w14:paraId="75EA00BE" w14:textId="77777777" w:rsidTr="008454B0">
        <w:trPr>
          <w:cnfStyle w:val="000000100000" w:firstRow="0" w:lastRow="0" w:firstColumn="0" w:lastColumn="0" w:oddVBand="0" w:evenVBand="0" w:oddHBand="1" w:evenHBand="0" w:firstRowFirstColumn="0" w:firstRowLastColumn="0" w:lastRowFirstColumn="0" w:lastRowLastColumn="0"/>
        </w:trPr>
        <w:tc>
          <w:tcPr>
            <w:tcW w:w="475" w:type="pct"/>
          </w:tcPr>
          <w:p w14:paraId="5562AACC" w14:textId="77777777" w:rsidR="00D27769" w:rsidRPr="00EC554B" w:rsidRDefault="00D27769" w:rsidP="00760658">
            <w:pPr>
              <w:pStyle w:val="TableTextLeft"/>
            </w:pPr>
            <w:r w:rsidRPr="00EC554B">
              <w:t>Otway</w:t>
            </w:r>
          </w:p>
        </w:tc>
        <w:tc>
          <w:tcPr>
            <w:tcW w:w="285" w:type="pct"/>
          </w:tcPr>
          <w:p w14:paraId="453F2EEC" w14:textId="77777777" w:rsidR="00D27769" w:rsidRPr="00EC554B" w:rsidRDefault="00D27769" w:rsidP="00760658">
            <w:pPr>
              <w:pStyle w:val="TableTextLeft"/>
            </w:pPr>
            <w:r w:rsidRPr="00EC554B">
              <w:t>SA, VIC</w:t>
            </w:r>
          </w:p>
        </w:tc>
        <w:tc>
          <w:tcPr>
            <w:tcW w:w="866" w:type="pct"/>
          </w:tcPr>
          <w:p w14:paraId="23F7F345" w14:textId="77777777" w:rsidR="00D27769" w:rsidRPr="00EC554B" w:rsidRDefault="00D27769" w:rsidP="00760658">
            <w:pPr>
              <w:pStyle w:val="TableTextLeft"/>
            </w:pPr>
            <w:r>
              <w:t>Moderate–</w:t>
            </w:r>
            <w:r w:rsidRPr="00EC554B">
              <w:t>high</w:t>
            </w:r>
          </w:p>
        </w:tc>
        <w:tc>
          <w:tcPr>
            <w:tcW w:w="827" w:type="pct"/>
          </w:tcPr>
          <w:p w14:paraId="7A3C683E" w14:textId="77777777" w:rsidR="00D27769" w:rsidRPr="00EC554B" w:rsidRDefault="00D27769" w:rsidP="00760658">
            <w:pPr>
              <w:pStyle w:val="TableTextLeft"/>
            </w:pPr>
            <w:r w:rsidRPr="00EC554B">
              <w:t>High</w:t>
            </w:r>
          </w:p>
        </w:tc>
        <w:tc>
          <w:tcPr>
            <w:tcW w:w="652" w:type="pct"/>
          </w:tcPr>
          <w:p w14:paraId="7A780BFB" w14:textId="70C7263F" w:rsidR="00D27769" w:rsidRPr="00EC554B" w:rsidRDefault="00D27769" w:rsidP="00760658">
            <w:pPr>
              <w:pStyle w:val="TableTextLeft"/>
            </w:pPr>
            <w:r>
              <w:t>E</w:t>
            </w:r>
            <w:r w:rsidRPr="00EC554B">
              <w:t>ast</w:t>
            </w:r>
            <w:r>
              <w:t xml:space="preserve"> Coast </w:t>
            </w:r>
          </w:p>
        </w:tc>
        <w:tc>
          <w:tcPr>
            <w:tcW w:w="870" w:type="pct"/>
          </w:tcPr>
          <w:p w14:paraId="6A7086F4" w14:textId="77777777" w:rsidR="00D27769" w:rsidRPr="00EC554B" w:rsidRDefault="00D27769" w:rsidP="00760658">
            <w:pPr>
              <w:pStyle w:val="TableTextLeft"/>
            </w:pPr>
            <w:r w:rsidRPr="00EC554B">
              <w:t>Minor</w:t>
            </w:r>
          </w:p>
        </w:tc>
        <w:tc>
          <w:tcPr>
            <w:tcW w:w="1027" w:type="pct"/>
          </w:tcPr>
          <w:p w14:paraId="79F638B2" w14:textId="77777777" w:rsidR="00D27769" w:rsidRPr="00EC554B" w:rsidRDefault="00D27769" w:rsidP="00760658">
            <w:pPr>
              <w:pStyle w:val="TableTextLeft"/>
            </w:pPr>
            <w:r>
              <w:t>Ban (VIC); No moratorium</w:t>
            </w:r>
            <w:r w:rsidRPr="00EC554B">
              <w:t xml:space="preserve"> (SA)</w:t>
            </w:r>
          </w:p>
        </w:tc>
      </w:tr>
    </w:tbl>
    <w:p w14:paraId="2D2B716F" w14:textId="77777777" w:rsidR="00D27769" w:rsidRDefault="00D27769" w:rsidP="00174635">
      <w:pPr>
        <w:pStyle w:val="BodyText"/>
        <w:sectPr w:rsidR="00D27769" w:rsidSect="005E0FA1">
          <w:headerReference w:type="default" r:id="rId73"/>
          <w:pgSz w:w="16840" w:h="11907" w:orient="landscape" w:code="9"/>
          <w:pgMar w:top="1418" w:right="1418" w:bottom="1418" w:left="1418" w:header="510" w:footer="624" w:gutter="0"/>
          <w:cols w:space="720"/>
          <w:docGrid w:linePitch="326"/>
        </w:sectPr>
      </w:pPr>
    </w:p>
    <w:p w14:paraId="76AB8544" w14:textId="77777777" w:rsidR="00D27769" w:rsidRPr="00E8799B" w:rsidRDefault="00D27769" w:rsidP="00D27769">
      <w:pPr>
        <w:pStyle w:val="Heading2"/>
      </w:pPr>
      <w:bookmarkStart w:id="157" w:name="_Toc494277023"/>
      <w:bookmarkStart w:id="158" w:name="_Toc517101434"/>
      <w:r w:rsidRPr="00E8799B">
        <w:t>Groundwater, surface water, environmental and social considerations</w:t>
      </w:r>
      <w:bookmarkEnd w:id="157"/>
      <w:bookmarkEnd w:id="158"/>
    </w:p>
    <w:p w14:paraId="2D2468A8" w14:textId="77777777" w:rsidR="00D27769" w:rsidRDefault="00D27769" w:rsidP="00CC71A9">
      <w:pPr>
        <w:pStyle w:val="BodyText"/>
      </w:pPr>
      <w:r>
        <w:t>Securing a water supply is a key consideration for shale and tight gas operations. It is typically met by groundwater and/or surface water resources in the vicinity of such operations. Whilst the national-scale data used in this report shows generally favourable aquifer productivity in most of the shortlisted basins assessed, local and regional variations will exist.</w:t>
      </w:r>
    </w:p>
    <w:p w14:paraId="68CFBE89" w14:textId="77777777" w:rsidR="00D27769" w:rsidRDefault="00D27769" w:rsidP="00CC71A9">
      <w:pPr>
        <w:pStyle w:val="BodyText"/>
      </w:pPr>
      <w:r>
        <w:t>The basin audit assessment showed that the level of hydrogeological information – including groundwater systems understanding, groundwater quality, groundwater flow, and groundwater planning and use – varies widely between individual basins assessed and decreased with depth. The assessment showed that all basins, to greater or lesser degrees, have aquifers capable of supplying groundwater of varying quality. However, in some cases, these aquifers occur in overlying strata associated with younger sedimentary basins. For example, the southern portion of the Bowen Basin and the entire Cooper Basin is overlain by the Surat and Eromanga basins respectively, both of which contain important aquifers that constitute part of the Great Artesian Basin.</w:t>
      </w:r>
    </w:p>
    <w:p w14:paraId="04CD6EE1" w14:textId="13EA29E7" w:rsidR="00D27769" w:rsidRDefault="00D27769" w:rsidP="00CC71A9">
      <w:pPr>
        <w:pStyle w:val="BodyText"/>
      </w:pPr>
      <w:r>
        <w:t xml:space="preserve">Principal aquifer productivity from national-scale data (Jacobson and Lau, 1987) ranges from low-moderate (Clarence-Moreton Basin) to highly productive aquifers in the Amadeus, Bowen, Cooper, Georgina, McArthur and Otway basins. </w:t>
      </w:r>
    </w:p>
    <w:p w14:paraId="582370CC" w14:textId="286F13DC" w:rsidR="00D27769" w:rsidRDefault="00D27769" w:rsidP="00CC71A9">
      <w:pPr>
        <w:pStyle w:val="BodyText"/>
      </w:pPr>
      <w:r>
        <w:t>All basins had both GDEs and wetlands present. The basins with the least area of GDEs are the Otway and Amadeus Basins, with 1,500 km</w:t>
      </w:r>
      <w:r w:rsidRPr="006B07A3">
        <w:rPr>
          <w:rStyle w:val="Superscript"/>
        </w:rPr>
        <w:t>2</w:t>
      </w:r>
      <w:r>
        <w:t xml:space="preserve"> and 1,600 km</w:t>
      </w:r>
      <w:r w:rsidRPr="006B07A3">
        <w:rPr>
          <w:rStyle w:val="Superscript"/>
        </w:rPr>
        <w:t>2</w:t>
      </w:r>
      <w:r>
        <w:t xml:space="preserve"> respectively; while the Bowen and Cooper basins have the largest GDE area coverages at 26,000 km</w:t>
      </w:r>
      <w:r w:rsidRPr="006B07A3">
        <w:rPr>
          <w:rStyle w:val="Superscript"/>
        </w:rPr>
        <w:t>2</w:t>
      </w:r>
      <w:r>
        <w:t xml:space="preserve"> and 13,800 km</w:t>
      </w:r>
      <w:r w:rsidRPr="006B07A3">
        <w:rPr>
          <w:rStyle w:val="Superscript"/>
        </w:rPr>
        <w:t>2</w:t>
      </w:r>
      <w:r>
        <w:t xml:space="preserve"> respectively. The basins with the lowest area of wetland</w:t>
      </w:r>
      <w:r w:rsidR="00537C4C">
        <w:t>s</w:t>
      </w:r>
      <w:r>
        <w:t xml:space="preserve"> are the Amadeus and Clarence-Moreton with 50 km</w:t>
      </w:r>
      <w:r w:rsidRPr="006B07A3">
        <w:rPr>
          <w:rStyle w:val="Superscript"/>
        </w:rPr>
        <w:t>2</w:t>
      </w:r>
      <w:r>
        <w:t xml:space="preserve"> and 300 km</w:t>
      </w:r>
      <w:r w:rsidRPr="006B07A3">
        <w:rPr>
          <w:rStyle w:val="Superscript"/>
        </w:rPr>
        <w:t>2</w:t>
      </w:r>
      <w:r>
        <w:t xml:space="preserve"> respectively; while large areas of the Cooper Basin (16,200 km</w:t>
      </w:r>
      <w:r w:rsidRPr="006B07A3">
        <w:rPr>
          <w:rStyle w:val="Superscript"/>
        </w:rPr>
        <w:t>2</w:t>
      </w:r>
      <w:r>
        <w:t>), Mount Isa Province (6,300 km</w:t>
      </w:r>
      <w:r w:rsidRPr="006B07A3">
        <w:rPr>
          <w:rStyle w:val="Superscript"/>
        </w:rPr>
        <w:t>2</w:t>
      </w:r>
      <w:r>
        <w:t>)</w:t>
      </w:r>
      <w:r w:rsidR="00317DBC">
        <w:t>, which includes the Isa Superbasin,</w:t>
      </w:r>
      <w:r>
        <w:t xml:space="preserve"> and </w:t>
      </w:r>
      <w:r w:rsidR="00317DBC">
        <w:t xml:space="preserve">the </w:t>
      </w:r>
      <w:r>
        <w:t>McArthur Basin (5,400 km</w:t>
      </w:r>
      <w:r w:rsidRPr="006B07A3">
        <w:rPr>
          <w:rStyle w:val="Superscript"/>
        </w:rPr>
        <w:t>2</w:t>
      </w:r>
      <w:r>
        <w:t xml:space="preserve">) contain important wetlands. Groundwater dependant ecosystems and wetlands represent sensitive, often unique assets. Careful water management is required to protect GDEs from the impacts of any additional groundwater extraction. </w:t>
      </w:r>
    </w:p>
    <w:p w14:paraId="5CA08550" w14:textId="77777777" w:rsidR="00D27769" w:rsidRDefault="00D27769" w:rsidP="00CC71A9">
      <w:pPr>
        <w:pStyle w:val="BodyText"/>
      </w:pPr>
      <w:r>
        <w:t>Several basins assessed are subject to seasonal river flows, for example, the Amadeus and Cooper basins, where watercourses are ephemeral. Only a few perennial rivers occur in dry climate regions where regional aquifers provide baseflow. For example, within the McArthur Basin, the Roper River receives groundwater baseflow contribution from Cambrian limestone aquifers.</w:t>
      </w:r>
    </w:p>
    <w:p w14:paraId="152743DA" w14:textId="592B9ECE" w:rsidR="00D27769" w:rsidRDefault="00D27769" w:rsidP="00CC71A9">
      <w:pPr>
        <w:pStyle w:val="BodyText"/>
      </w:pPr>
      <w:r>
        <w:t>Protected areas (such as national parks and reserves) and land subject to Native Title and Indigenous Protected Areas are present in all basins to varying degrees. The Gippsland (1,200 km</w:t>
      </w:r>
      <w:r w:rsidRPr="006B07A3">
        <w:rPr>
          <w:rStyle w:val="Superscript"/>
        </w:rPr>
        <w:t>2</w:t>
      </w:r>
      <w:r>
        <w:t>) and Clarence-Moreton (3,600 km</w:t>
      </w:r>
      <w:r w:rsidRPr="006B07A3">
        <w:rPr>
          <w:rStyle w:val="Superscript"/>
        </w:rPr>
        <w:t>2</w:t>
      </w:r>
      <w:r>
        <w:t>) basins have the least area covered by Protected areas; Native Title and Indigenous Protected Areas were least prevalent in the Otway (1</w:t>
      </w:r>
      <w:r w:rsidR="00F32C85">
        <w:t>,</w:t>
      </w:r>
      <w:r>
        <w:t>400 km</w:t>
      </w:r>
      <w:r w:rsidRPr="006B07A3">
        <w:rPr>
          <w:rStyle w:val="Superscript"/>
        </w:rPr>
        <w:t>2</w:t>
      </w:r>
      <w:r>
        <w:t>) and Clarence-Moreton (2,000 km</w:t>
      </w:r>
      <w:r w:rsidRPr="006B07A3">
        <w:rPr>
          <w:rStyle w:val="SuperscriptItalic"/>
        </w:rPr>
        <w:t>2</w:t>
      </w:r>
      <w:r>
        <w:t xml:space="preserve">) basins. </w:t>
      </w:r>
    </w:p>
    <w:p w14:paraId="1E62CA5B" w14:textId="77777777" w:rsidR="00D27769" w:rsidRDefault="00D27769" w:rsidP="00CC71A9">
      <w:pPr>
        <w:pStyle w:val="BodyText"/>
      </w:pPr>
      <w:r>
        <w:t>Human population varied widely between basins. The least populous basin, by a considerable margin, was the Cooper Basin (population 400) followed by the Georgina Basin (3,700); the highest was Clarence-Moreton Basin (population 1,000,400) which included the outskirts of Brisbane, while both the Gippsland and Otway basins (populations 396,200 and 358,400 respectively) contain large towns. The level of population gives an indication of the other water and land users in the region.</w:t>
      </w:r>
    </w:p>
    <w:p w14:paraId="4EF9B576" w14:textId="77777777" w:rsidR="00D27769" w:rsidRDefault="00D27769" w:rsidP="00CC71A9">
      <w:pPr>
        <w:pStyle w:val="BodyText"/>
      </w:pPr>
      <w:r>
        <w:t>Despite some basins showing significant urban influence, the dominant land use for all basins is grazing (either native vegetation or modified pastures) with the exception of the Amadeus Basin where Protected Areas was the largest single land use. Other significant land uses include cropping (e.g. Bowen and Clarence-Moreton basins), forestry (e.g. Gippsland and Otway basins), and nature conservation (e.g. McArthur and Cooper basins).</w:t>
      </w:r>
    </w:p>
    <w:p w14:paraId="1E9934B9" w14:textId="77777777" w:rsidR="00091715" w:rsidRDefault="00091715" w:rsidP="00CC71A9">
      <w:pPr>
        <w:pStyle w:val="BodyText"/>
      </w:pPr>
    </w:p>
    <w:p w14:paraId="223BD447" w14:textId="39AC5222" w:rsidR="000A0567" w:rsidRDefault="000A0567" w:rsidP="00D11B34">
      <w:pPr>
        <w:pStyle w:val="BodyText"/>
      </w:pPr>
    </w:p>
    <w:p w14:paraId="223BD448" w14:textId="77777777" w:rsidR="00174635" w:rsidRDefault="00174635" w:rsidP="00894881">
      <w:pPr>
        <w:pStyle w:val="Heading3notnumbered"/>
      </w:pPr>
      <w:bookmarkStart w:id="159" w:name="_Toc494277025"/>
      <w:bookmarkStart w:id="160" w:name="_Toc517101435"/>
      <w:r w:rsidRPr="00C13F18">
        <w:t>References</w:t>
      </w:r>
      <w:bookmarkEnd w:id="159"/>
      <w:bookmarkEnd w:id="160"/>
    </w:p>
    <w:p w14:paraId="223BD449" w14:textId="668664C9" w:rsidR="00174635" w:rsidRDefault="00174635" w:rsidP="00174635">
      <w:pPr>
        <w:pStyle w:val="References"/>
      </w:pPr>
      <w:r>
        <w:t>ABARES (Australian Bureau of Agricultural and R</w:t>
      </w:r>
      <w:r w:rsidR="00802659">
        <w:t>esource Economics and Sciences)</w:t>
      </w:r>
      <w:r>
        <w:t xml:space="preserve"> </w:t>
      </w:r>
      <w:r w:rsidR="00802659">
        <w:t>(</w:t>
      </w:r>
      <w:r>
        <w:t>2016</w:t>
      </w:r>
      <w:r w:rsidR="005E1B62">
        <w:t xml:space="preserve">) </w:t>
      </w:r>
      <w:r>
        <w:t>Catchment-scale Land Use Mapping of Australia</w:t>
      </w:r>
      <w:r w:rsidR="007318B8">
        <w:t xml:space="preserve">. </w:t>
      </w:r>
      <w:r w:rsidR="00802659">
        <w:t>Viewed 18/07/2017, &lt;</w:t>
      </w:r>
      <w:hyperlink r:id="rId74" w:history="1">
        <w:r w:rsidRPr="00DA1EAB">
          <w:rPr>
            <w:rStyle w:val="Hyperlink"/>
          </w:rPr>
          <w:t>http://data.gov.au/dataset/catchment-scale-land-use-of-australia-update-may-2016</w:t>
        </w:r>
      </w:hyperlink>
      <w:r w:rsidR="006D65D1">
        <w:t>&gt;</w:t>
      </w:r>
      <w:r w:rsidR="0057060D">
        <w:t>.</w:t>
      </w:r>
    </w:p>
    <w:p w14:paraId="223BD44A" w14:textId="192B6B3D" w:rsidR="00174635" w:rsidRDefault="00174635" w:rsidP="00174635">
      <w:pPr>
        <w:pStyle w:val="References"/>
      </w:pPr>
      <w:r>
        <w:t>ABS (Au</w:t>
      </w:r>
      <w:r w:rsidR="00802659">
        <w:t>stralian Bureau of Statistics) (</w:t>
      </w:r>
      <w:r>
        <w:t>2016</w:t>
      </w:r>
      <w:r w:rsidR="005E1B62">
        <w:t xml:space="preserve">) </w:t>
      </w:r>
      <w:r>
        <w:t>Australian Population Grid</w:t>
      </w:r>
      <w:r w:rsidR="00BB3625">
        <w:t>. V</w:t>
      </w:r>
      <w:r w:rsidR="00802659">
        <w:t>iewed</w:t>
      </w:r>
      <w:r w:rsidR="005F6F81">
        <w:t xml:space="preserve"> </w:t>
      </w:r>
      <w:r w:rsidR="00802659">
        <w:t>7/07/2017, &lt;</w:t>
      </w:r>
      <w:hyperlink r:id="rId75" w:history="1">
        <w:r w:rsidRPr="00DA1EAB">
          <w:rPr>
            <w:rStyle w:val="Hyperlink"/>
          </w:rPr>
          <w:t>http://www.abs.gov.au/AUSSTATS/abs@.nsf/DetailsPage/3218.02015-16?OpenDocument</w:t>
        </w:r>
      </w:hyperlink>
      <w:r w:rsidR="00802659">
        <w:t>&gt;</w:t>
      </w:r>
      <w:r w:rsidR="0057060D">
        <w:t>.</w:t>
      </w:r>
    </w:p>
    <w:p w14:paraId="223BD44B" w14:textId="4CD55CE5" w:rsidR="00174635" w:rsidRDefault="00174635" w:rsidP="00174635">
      <w:pPr>
        <w:pStyle w:val="References"/>
      </w:pPr>
      <w:r>
        <w:t>ACCC (Australian Compe</w:t>
      </w:r>
      <w:r w:rsidR="00802659">
        <w:t>tition and Consumer Commission)</w:t>
      </w:r>
      <w:r>
        <w:t xml:space="preserve"> </w:t>
      </w:r>
      <w:r w:rsidR="00802659">
        <w:t>(</w:t>
      </w:r>
      <w:r>
        <w:t>2016</w:t>
      </w:r>
      <w:r w:rsidR="005E1B62">
        <w:t xml:space="preserve">) </w:t>
      </w:r>
      <w:r>
        <w:t xml:space="preserve">Inquiry into the </w:t>
      </w:r>
      <w:r w:rsidR="00432D5D">
        <w:t>East Coast Gas Market</w:t>
      </w:r>
      <w:r w:rsidR="007318B8">
        <w:t>.</w:t>
      </w:r>
      <w:r>
        <w:t xml:space="preserve"> </w:t>
      </w:r>
      <w:r w:rsidR="00BB3625">
        <w:t>Viewed 16/01/201 &lt;</w:t>
      </w:r>
      <w:hyperlink r:id="rId76" w:history="1">
        <w:r w:rsidRPr="00165029">
          <w:rPr>
            <w:rStyle w:val="Hyperlink"/>
          </w:rPr>
          <w:t>https://www.accc.gov.au/system/files/1074_Gas%20enquiry%20report_FA_21April.pdf</w:t>
        </w:r>
      </w:hyperlink>
      <w:r w:rsidR="00BB3625">
        <w:t>&gt;</w:t>
      </w:r>
      <w:r w:rsidR="0057060D">
        <w:t>.</w:t>
      </w:r>
    </w:p>
    <w:p w14:paraId="223BD44C" w14:textId="682D7FE6" w:rsidR="00174635" w:rsidRDefault="00174635" w:rsidP="00174635">
      <w:pPr>
        <w:pStyle w:val="References"/>
      </w:pPr>
      <w:r>
        <w:t>AER (Australian Ener</w:t>
      </w:r>
      <w:r w:rsidR="00BB3625">
        <w:t>gy Regulator) (</w:t>
      </w:r>
      <w:r>
        <w:t>2017</w:t>
      </w:r>
      <w:r w:rsidR="005E1B62">
        <w:t xml:space="preserve">) </w:t>
      </w:r>
      <w:r>
        <w:t xml:space="preserve">State of the energy market, May 2017. </w:t>
      </w:r>
      <w:r w:rsidR="00BB3625">
        <w:t>Viewed 16/01/2018, &lt;</w:t>
      </w:r>
      <w:hyperlink r:id="rId77" w:history="1">
        <w:r w:rsidRPr="00165029">
          <w:rPr>
            <w:rStyle w:val="Hyperlink"/>
          </w:rPr>
          <w:t>https://www.aer.gov.au/publications/state-of-the-energy-market-reports/state-of-the-energy-market-may-2017</w:t>
        </w:r>
      </w:hyperlink>
      <w:r w:rsidR="00BB3625">
        <w:t>&gt;</w:t>
      </w:r>
      <w:r w:rsidR="0057060D">
        <w:t>.</w:t>
      </w:r>
    </w:p>
    <w:p w14:paraId="223BD44D" w14:textId="574DAECA" w:rsidR="00174635" w:rsidRDefault="00174635" w:rsidP="00174635">
      <w:pPr>
        <w:pStyle w:val="References"/>
      </w:pPr>
      <w:r>
        <w:t xml:space="preserve">AERA (Australian Energy Resources </w:t>
      </w:r>
      <w:r w:rsidRPr="008D2C70">
        <w:t>Assessment)</w:t>
      </w:r>
      <w:r w:rsidR="005D0929" w:rsidRPr="008D2C70">
        <w:t xml:space="preserve"> (</w:t>
      </w:r>
      <w:r w:rsidRPr="008D2C70">
        <w:t>201</w:t>
      </w:r>
      <w:r w:rsidR="001E66BE" w:rsidRPr="008D2C70">
        <w:t>8</w:t>
      </w:r>
      <w:r w:rsidR="005D0929" w:rsidRPr="008D2C70">
        <w:t>)</w:t>
      </w:r>
      <w:r w:rsidRPr="008D2C70">
        <w:t xml:space="preserve"> Australian Energy Resources Assessment interim report, Geoscience Australia, Canberra.</w:t>
      </w:r>
      <w:r w:rsidR="009E778C" w:rsidRPr="008D2C70">
        <w:t xml:space="preserve"> Viewed 16/01/2018,</w:t>
      </w:r>
      <w:r w:rsidRPr="008D2C70">
        <w:t xml:space="preserve"> </w:t>
      </w:r>
      <w:r w:rsidR="009E778C" w:rsidRPr="008D2C70">
        <w:t>&lt;</w:t>
      </w:r>
      <w:hyperlink r:id="rId78" w:history="1">
        <w:r w:rsidRPr="008D2C70">
          <w:rPr>
            <w:rStyle w:val="Hyperlink"/>
          </w:rPr>
          <w:t>http://www.ga.gov.au/aera</w:t>
        </w:r>
      </w:hyperlink>
      <w:r w:rsidR="009E778C" w:rsidRPr="008D2C70">
        <w:rPr>
          <w:rStyle w:val="Hyperlink"/>
        </w:rPr>
        <w:t>&gt;.</w:t>
      </w:r>
      <w:r w:rsidR="005F6F81">
        <w:t xml:space="preserve"> </w:t>
      </w:r>
      <w:r>
        <w:t xml:space="preserve"> </w:t>
      </w:r>
    </w:p>
    <w:p w14:paraId="342751DA" w14:textId="3490986F" w:rsidR="007C084D" w:rsidRDefault="00BB3625" w:rsidP="007C084D">
      <w:pPr>
        <w:pStyle w:val="References"/>
      </w:pPr>
      <w:r>
        <w:t>Armour Energy (</w:t>
      </w:r>
      <w:r w:rsidR="00BB4588">
        <w:t>2017</w:t>
      </w:r>
      <w:r w:rsidR="005E1B62">
        <w:t xml:space="preserve">) </w:t>
      </w:r>
      <w:r w:rsidR="007C084D">
        <w:t xml:space="preserve">Queensland. </w:t>
      </w:r>
      <w:r>
        <w:t>Viewed 16/01/2018, &lt;</w:t>
      </w:r>
      <w:r w:rsidR="003640CF" w:rsidRPr="003640CF">
        <w:rPr>
          <w:rStyle w:val="Hyperlink"/>
        </w:rPr>
        <w:t>https://www.armourenergy.com.au/north-west-queensland</w:t>
      </w:r>
      <w:r w:rsidR="0057060D">
        <w:rPr>
          <w:rStyle w:val="Hyperlink"/>
        </w:rPr>
        <w:t>&gt;</w:t>
      </w:r>
      <w:r>
        <w:rPr>
          <w:rStyle w:val="Hyperlink"/>
        </w:rPr>
        <w:t>.</w:t>
      </w:r>
    </w:p>
    <w:p w14:paraId="223BD44F" w14:textId="6E5EA6D2" w:rsidR="00174635" w:rsidRPr="00150F31" w:rsidRDefault="00174635" w:rsidP="00174635">
      <w:pPr>
        <w:pStyle w:val="References"/>
      </w:pPr>
      <w:r w:rsidRPr="00150F31">
        <w:t>AWT International</w:t>
      </w:r>
      <w:r w:rsidR="00BB3625">
        <w:t xml:space="preserve"> (</w:t>
      </w:r>
      <w:r w:rsidRPr="00150F31">
        <w:t>2013</w:t>
      </w:r>
      <w:r w:rsidR="005E1B62">
        <w:t xml:space="preserve">) </w:t>
      </w:r>
      <w:r w:rsidRPr="00150F31">
        <w:t>Shale Gas Prospectivity Potential Report prepared for the Australian Council of Learned Academies (ACOLA</w:t>
      </w:r>
      <w:r w:rsidR="005E1B62">
        <w:t xml:space="preserve">) </w:t>
      </w:r>
      <w:r w:rsidRPr="00150F31">
        <w:t>54 p.</w:t>
      </w:r>
    </w:p>
    <w:p w14:paraId="130D7A20" w14:textId="43D67695" w:rsidR="006D6686" w:rsidRDefault="00BB3625" w:rsidP="006D6686">
      <w:pPr>
        <w:pStyle w:val="References"/>
      </w:pPr>
      <w:r>
        <w:t>Betts PG and Lister GS</w:t>
      </w:r>
      <w:r w:rsidR="006D6686">
        <w:t xml:space="preserve"> </w:t>
      </w:r>
      <w:r>
        <w:t>(</w:t>
      </w:r>
      <w:r w:rsidR="006D6686">
        <w:t>2001</w:t>
      </w:r>
      <w:r w:rsidR="005E1B62">
        <w:t xml:space="preserve">) </w:t>
      </w:r>
      <w:r w:rsidR="006D6686">
        <w:t>Comparison of the ‘strike</w:t>
      </w:r>
      <w:r w:rsidR="006D6686" w:rsidRPr="000350BE">
        <w:t>‐</w:t>
      </w:r>
      <w:r w:rsidR="006D6686">
        <w:t>slip’ versus the ‘episodic rift</w:t>
      </w:r>
      <w:r w:rsidR="006D6686" w:rsidRPr="000350BE">
        <w:t>‐</w:t>
      </w:r>
      <w:r w:rsidR="006D6686">
        <w:t>sag’ models for the origin of the Isa Superbasin, Australian Journal of Earth Sciences, 48(2), 265</w:t>
      </w:r>
      <w:r w:rsidR="0057060D">
        <w:rPr>
          <w:rFonts w:ascii="Arial" w:hAnsi="Arial" w:cs="Arial"/>
        </w:rPr>
        <w:t>‒</w:t>
      </w:r>
      <w:r w:rsidR="006D6686">
        <w:t>280.</w:t>
      </w:r>
    </w:p>
    <w:p w14:paraId="1F657D5F" w14:textId="15901B1B" w:rsidR="000F3B30" w:rsidRDefault="00BB3625" w:rsidP="000F3B30">
      <w:pPr>
        <w:pStyle w:val="References"/>
      </w:pPr>
      <w:r>
        <w:t>BoM (Bureau of Meteorology) (</w:t>
      </w:r>
      <w:r w:rsidR="000F3B30">
        <w:t>2014</w:t>
      </w:r>
      <w:r w:rsidR="005E1B62">
        <w:t xml:space="preserve">) </w:t>
      </w:r>
      <w:r w:rsidR="000F3B30">
        <w:t>Australian Hydrological Geospatial Fabric (“Geofabric”), version 2.1.1</w:t>
      </w:r>
      <w:r>
        <w:t>. Viewed 02/08/2017, &lt;</w:t>
      </w:r>
      <w:hyperlink r:id="rId79" w:history="1">
        <w:r w:rsidR="000F3B30" w:rsidRPr="00DA1EAB">
          <w:rPr>
            <w:rStyle w:val="Hyperlink"/>
          </w:rPr>
          <w:t>http://www.bom.gov.au/water/geofabric/download.shtml</w:t>
        </w:r>
      </w:hyperlink>
      <w:r>
        <w:t>&gt;</w:t>
      </w:r>
      <w:r w:rsidR="0057060D">
        <w:t>.</w:t>
      </w:r>
    </w:p>
    <w:p w14:paraId="40C0DC00" w14:textId="79568B25" w:rsidR="000F3B30" w:rsidRDefault="00BB3625" w:rsidP="000F3B30">
      <w:pPr>
        <w:pStyle w:val="References"/>
      </w:pPr>
      <w:r>
        <w:t>BoM (Bureau of Meteorology) (</w:t>
      </w:r>
      <w:r w:rsidR="000F3B30">
        <w:t>2015</w:t>
      </w:r>
      <w:r w:rsidR="005E1B62">
        <w:t xml:space="preserve">) </w:t>
      </w:r>
      <w:r>
        <w:t xml:space="preserve">Viewed 18/07/2017, </w:t>
      </w:r>
      <w:r w:rsidR="000F3B30">
        <w:t>Australian Groundwate</w:t>
      </w:r>
      <w:r w:rsidR="0057060D">
        <w:t xml:space="preserve">r Insight – Bore density (2015). Viewed 16/01/2018, </w:t>
      </w:r>
      <w:r>
        <w:t>&lt;</w:t>
      </w:r>
      <w:hyperlink r:id="rId80" w:anchor="/bore/density" w:history="1">
        <w:r w:rsidR="000F3B30" w:rsidRPr="00DA1EAB">
          <w:rPr>
            <w:rStyle w:val="Hyperlink"/>
          </w:rPr>
          <w:t>http://www.bom.gov.au/water/groundwater/insight/#/bore/density</w:t>
        </w:r>
      </w:hyperlink>
      <w:r>
        <w:t>&gt;</w:t>
      </w:r>
      <w:r w:rsidR="0057060D">
        <w:t>.</w:t>
      </w:r>
    </w:p>
    <w:p w14:paraId="730F43C6" w14:textId="0075BDEF" w:rsidR="000F3B30" w:rsidRDefault="00BB3625" w:rsidP="000F3B30">
      <w:pPr>
        <w:pStyle w:val="References"/>
      </w:pPr>
      <w:r>
        <w:t>BoM (Bureau of Meteorology)</w:t>
      </w:r>
      <w:r w:rsidR="000F3B30">
        <w:t xml:space="preserve"> </w:t>
      </w:r>
      <w:r>
        <w:t>(</w:t>
      </w:r>
      <w:r w:rsidR="000F3B30">
        <w:t>2016</w:t>
      </w:r>
      <w:r w:rsidR="005E1B62">
        <w:t>)</w:t>
      </w:r>
      <w:r w:rsidR="0057060D">
        <w:t>.</w:t>
      </w:r>
      <w:r w:rsidR="005E1B62">
        <w:t xml:space="preserve"> </w:t>
      </w:r>
      <w:r w:rsidR="000F3B30">
        <w:t>National Ground</w:t>
      </w:r>
      <w:r w:rsidR="0057060D">
        <w:t>water Information System, v.1.3. Viewed 07/07/2017,</w:t>
      </w:r>
      <w:r w:rsidR="000F3B30">
        <w:t xml:space="preserve"> </w:t>
      </w:r>
      <w:r>
        <w:t>&lt;</w:t>
      </w:r>
      <w:hyperlink r:id="rId81" w:history="1">
        <w:r w:rsidR="000F3B30" w:rsidRPr="00DA1EAB">
          <w:rPr>
            <w:rStyle w:val="Hyperlink"/>
          </w:rPr>
          <w:t>http://www.bom.gov.au/water/groundwater/ngis/</w:t>
        </w:r>
      </w:hyperlink>
      <w:r>
        <w:t>&gt;</w:t>
      </w:r>
      <w:r w:rsidR="0057060D">
        <w:t>.</w:t>
      </w:r>
    </w:p>
    <w:p w14:paraId="223BD450" w14:textId="082509D3" w:rsidR="00174635" w:rsidRDefault="00134D6E" w:rsidP="00174635">
      <w:pPr>
        <w:pStyle w:val="References"/>
      </w:pPr>
      <w:r>
        <w:t>B</w:t>
      </w:r>
      <w:r w:rsidR="000F3B30">
        <w:t>o</w:t>
      </w:r>
      <w:r>
        <w:t>M (Bureau of Meteorology</w:t>
      </w:r>
      <w:r w:rsidR="00BB3625">
        <w:t>) (</w:t>
      </w:r>
      <w:r w:rsidR="00174635">
        <w:t>2017</w:t>
      </w:r>
      <w:r w:rsidR="005E1B62">
        <w:t xml:space="preserve">) </w:t>
      </w:r>
      <w:r w:rsidR="00174635">
        <w:t>Groundwater Dependent Ecosystems Atlas</w:t>
      </w:r>
      <w:r w:rsidR="00BB3625">
        <w:t>. Viewed 28/07/2017, &lt;</w:t>
      </w:r>
      <w:hyperlink r:id="rId82" w:history="1">
        <w:r w:rsidR="00174635" w:rsidRPr="00DA1EAB">
          <w:rPr>
            <w:rStyle w:val="Hyperlink"/>
          </w:rPr>
          <w:t>http://www.bom.gov.au/water/groundwater/gde/map.shtml</w:t>
        </w:r>
      </w:hyperlink>
      <w:r w:rsidR="00BB3625">
        <w:t>&gt;</w:t>
      </w:r>
      <w:r w:rsidR="0057060D">
        <w:t>.</w:t>
      </w:r>
    </w:p>
    <w:p w14:paraId="7F55ED87" w14:textId="70CA7166" w:rsidR="00352411" w:rsidRDefault="00BB3625" w:rsidP="00352411">
      <w:pPr>
        <w:pStyle w:val="References"/>
      </w:pPr>
      <w:r>
        <w:rPr>
          <w:rFonts w:eastAsiaTheme="minorHAnsi"/>
          <w:lang w:eastAsia="en-US"/>
        </w:rPr>
        <w:t>Bush AL</w:t>
      </w:r>
      <w:r w:rsidR="00352411">
        <w:rPr>
          <w:rFonts w:eastAsiaTheme="minorHAnsi"/>
          <w:lang w:eastAsia="en-US"/>
        </w:rPr>
        <w:t xml:space="preserve"> </w:t>
      </w:r>
      <w:r>
        <w:rPr>
          <w:rFonts w:eastAsiaTheme="minorHAnsi"/>
          <w:lang w:eastAsia="en-US"/>
        </w:rPr>
        <w:t>(</w:t>
      </w:r>
      <w:r w:rsidR="00352411">
        <w:rPr>
          <w:rFonts w:eastAsiaTheme="minorHAnsi"/>
          <w:lang w:eastAsia="en-US"/>
        </w:rPr>
        <w:t>2009</w:t>
      </w:r>
      <w:r w:rsidR="005E1B62">
        <w:rPr>
          <w:rFonts w:eastAsiaTheme="minorHAnsi"/>
          <w:lang w:eastAsia="en-US"/>
        </w:rPr>
        <w:t xml:space="preserve">) </w:t>
      </w:r>
      <w:r w:rsidR="00352411">
        <w:rPr>
          <w:rFonts w:eastAsiaTheme="minorHAnsi"/>
          <w:lang w:eastAsia="en-US"/>
        </w:rPr>
        <w:t>Physical and chemical hydrogeology of the Otway Basin, southeast Australia. Unpublished PhD thesis, School of Earth Sciences, University of Melbourne.</w:t>
      </w:r>
    </w:p>
    <w:p w14:paraId="72B4FF2E" w14:textId="77777777" w:rsidR="00E248F7" w:rsidRPr="007671DA" w:rsidRDefault="00E248F7" w:rsidP="007671DA">
      <w:pPr>
        <w:pStyle w:val="References"/>
        <w:rPr>
          <w:rFonts w:eastAsiaTheme="minorHAnsi"/>
          <w:lang w:eastAsia="en-US"/>
        </w:rPr>
      </w:pPr>
      <w:r w:rsidRPr="007671DA">
        <w:rPr>
          <w:rFonts w:eastAsiaTheme="minorHAnsi"/>
          <w:lang w:eastAsia="en-US"/>
        </w:rPr>
        <w:t>Camac, B.A., Benson, J., Chan, V., Geodescke, A. (2018) Cooper Basin Deep Coal – the New Unconventional Paradigm: Deepest Producing Coals in Australia. AEGC 2018, Sydney, 18—21 February 2018.</w:t>
      </w:r>
    </w:p>
    <w:p w14:paraId="25488FB0" w14:textId="00DA2CA2" w:rsidR="00F47FB1" w:rsidRPr="00AA00C4" w:rsidRDefault="00BB3625" w:rsidP="00F47FB1">
      <w:pPr>
        <w:pStyle w:val="References"/>
      </w:pPr>
      <w:r>
        <w:t>Central Petroleum (</w:t>
      </w:r>
      <w:r w:rsidR="00F47FB1" w:rsidRPr="00AA00C4">
        <w:t>2017</w:t>
      </w:r>
      <w:r w:rsidR="005E1B62">
        <w:t xml:space="preserve">) </w:t>
      </w:r>
      <w:r w:rsidR="00F47FB1" w:rsidRPr="00AA00C4">
        <w:t>Amadeus Basin</w:t>
      </w:r>
      <w:r w:rsidR="00F47FB1">
        <w:t>.</w:t>
      </w:r>
      <w:r>
        <w:t xml:space="preserve"> Viewed 16/01/2018, &lt;</w:t>
      </w:r>
      <w:hyperlink r:id="rId83" w:history="1">
        <w:r w:rsidR="00F47FB1" w:rsidRPr="000E4EFC">
          <w:rPr>
            <w:rStyle w:val="Hyperlink"/>
          </w:rPr>
          <w:t>http://centralpetroleum.com.au/our-business/our-licence-areas/amadeus/mereenie-oil-and-gas-field-ol4-ol5/</w:t>
        </w:r>
      </w:hyperlink>
      <w:r>
        <w:rPr>
          <w:rStyle w:val="Hyperlink"/>
        </w:rPr>
        <w:t>&gt;</w:t>
      </w:r>
      <w:r w:rsidR="0057060D">
        <w:t>.</w:t>
      </w:r>
    </w:p>
    <w:p w14:paraId="23F8CAF1" w14:textId="612BD30E" w:rsidR="00352411" w:rsidRDefault="000C79AA" w:rsidP="00352411">
      <w:pPr>
        <w:pStyle w:val="References"/>
      </w:pPr>
      <w:r>
        <w:t>Clarke JDA, Lewis SJ, Fontaine K, Kilgour PL and Stewart</w:t>
      </w:r>
      <w:r w:rsidR="00352411">
        <w:t xml:space="preserve"> G. </w:t>
      </w:r>
      <w:r>
        <w:t>(</w:t>
      </w:r>
      <w:r w:rsidR="00352411">
        <w:t>2015</w:t>
      </w:r>
      <w:r w:rsidR="005E1B62">
        <w:t xml:space="preserve">) </w:t>
      </w:r>
      <w:r w:rsidR="00352411">
        <w:rPr>
          <w:iCs/>
        </w:rPr>
        <w:t>Regional Hydrogeological Characterisation of the Otway Basin, Victoria and South Australia: Technical report for the National Collaboration Framework Regional Hydrogeology Project</w:t>
      </w:r>
      <w:r w:rsidR="00352411">
        <w:t>. Record 2015/12. Geoscience Australia, Canberra.</w:t>
      </w:r>
    </w:p>
    <w:p w14:paraId="223BD454" w14:textId="6D65C919" w:rsidR="00D9361C" w:rsidRDefault="000C79AA" w:rsidP="00174635">
      <w:pPr>
        <w:pStyle w:val="References"/>
      </w:pPr>
      <w:r>
        <w:t>Close D, Côté A, Baruch E, Altmann C, Mohinudeen F, Richards B, Ilett R, Evans R. and Stonier S (</w:t>
      </w:r>
      <w:r w:rsidR="00174635" w:rsidRPr="006B07A3">
        <w:t>2017</w:t>
      </w:r>
      <w:r w:rsidR="005E1B62">
        <w:t xml:space="preserve">) </w:t>
      </w:r>
      <w:r w:rsidR="00174635" w:rsidRPr="006B07A3">
        <w:t>Exploring the Beetaloo: will Australia’s first viable shale play be sourced by billion yea</w:t>
      </w:r>
      <w:r>
        <w:t>r old gas? The APPEA Journal 57</w:t>
      </w:r>
      <w:r w:rsidR="00174635" w:rsidRPr="006B07A3">
        <w:t>(2).</w:t>
      </w:r>
    </w:p>
    <w:p w14:paraId="223BD455" w14:textId="68E90EF7" w:rsidR="008741CC" w:rsidRDefault="00B63E29" w:rsidP="00174635">
      <w:pPr>
        <w:pStyle w:val="References"/>
      </w:pPr>
      <w:r>
        <w:t>Cockayne B, Schmarr D, Duguid A and Mathwin R</w:t>
      </w:r>
      <w:r w:rsidR="008741CC" w:rsidRPr="008741CC">
        <w:t xml:space="preserve"> </w:t>
      </w:r>
      <w:r>
        <w:t>(</w:t>
      </w:r>
      <w:r w:rsidR="008741CC" w:rsidRPr="008741CC">
        <w:t>2013</w:t>
      </w:r>
      <w:r w:rsidR="005E1B62">
        <w:t xml:space="preserve">) </w:t>
      </w:r>
      <w:r w:rsidR="008741CC" w:rsidRPr="008741CC">
        <w:t>“Lake Eyre Basin Rivers Assessment 2012 monitoring report”. A report to the Department of Sustainability, Environment, Water, Population and Communities (SEWPaC), Canberra</w:t>
      </w:r>
      <w:r w:rsidR="008741CC">
        <w:t>.</w:t>
      </w:r>
    </w:p>
    <w:p w14:paraId="223BD456" w14:textId="24078B88" w:rsidR="00174635" w:rsidRDefault="00174635" w:rsidP="00174635">
      <w:pPr>
        <w:pStyle w:val="References"/>
      </w:pPr>
      <w:r>
        <w:t>Co</w:t>
      </w:r>
      <w:r w:rsidR="00FD1CB6">
        <w:t>met Ridge (2017</w:t>
      </w:r>
      <w:r w:rsidR="005E1B62">
        <w:t xml:space="preserve">) </w:t>
      </w:r>
      <w:r w:rsidR="00B63E29">
        <w:t>Galilee Basin. Viewed 16/01/2018</w:t>
      </w:r>
      <w:r w:rsidR="0057060D">
        <w:t>,</w:t>
      </w:r>
      <w:r>
        <w:t xml:space="preserve"> </w:t>
      </w:r>
      <w:r w:rsidR="00B63E29">
        <w:t>&lt;</w:t>
      </w:r>
      <w:hyperlink r:id="rId84" w:history="1">
        <w:r w:rsidRPr="000F12ED">
          <w:rPr>
            <w:rStyle w:val="Hyperlink"/>
          </w:rPr>
          <w:t>http://www.cometridge.com.au/Projects_Galilee.htm</w:t>
        </w:r>
      </w:hyperlink>
      <w:r w:rsidR="00B63E29">
        <w:t>&gt;</w:t>
      </w:r>
      <w:r w:rsidR="0057060D">
        <w:t>.</w:t>
      </w:r>
    </w:p>
    <w:p w14:paraId="223BD457" w14:textId="5290E557" w:rsidR="00174635" w:rsidRPr="00E70BDF" w:rsidRDefault="00B63E29" w:rsidP="00174635">
      <w:pPr>
        <w:pStyle w:val="References"/>
      </w:pPr>
      <w:r>
        <w:t>Cook</w:t>
      </w:r>
      <w:r w:rsidR="00174635" w:rsidRPr="006E0A8C">
        <w:t xml:space="preserve"> P</w:t>
      </w:r>
      <w:r>
        <w:t>, Beck</w:t>
      </w:r>
      <w:r w:rsidR="00174635" w:rsidRPr="006E0A8C">
        <w:t xml:space="preserve"> V</w:t>
      </w:r>
      <w:r>
        <w:t>, Brereton</w:t>
      </w:r>
      <w:r w:rsidR="00174635" w:rsidRPr="006E0A8C">
        <w:t xml:space="preserve"> D</w:t>
      </w:r>
      <w:r>
        <w:t>, Clark</w:t>
      </w:r>
      <w:r w:rsidR="00174635" w:rsidRPr="006E0A8C">
        <w:t xml:space="preserve"> R</w:t>
      </w:r>
      <w:r>
        <w:t>, Fisher</w:t>
      </w:r>
      <w:r w:rsidR="00174635" w:rsidRPr="006E0A8C">
        <w:t xml:space="preserve"> B</w:t>
      </w:r>
      <w:r>
        <w:t>, Kentish</w:t>
      </w:r>
      <w:r w:rsidR="00174635" w:rsidRPr="006E0A8C">
        <w:t xml:space="preserve"> </w:t>
      </w:r>
      <w:r w:rsidR="00174635">
        <w:t>S</w:t>
      </w:r>
      <w:r>
        <w:t>, Toomey</w:t>
      </w:r>
      <w:r w:rsidR="00174635">
        <w:t xml:space="preserve"> J</w:t>
      </w:r>
      <w:r>
        <w:t xml:space="preserve"> and Williams</w:t>
      </w:r>
      <w:r w:rsidR="00174635">
        <w:t xml:space="preserve"> J </w:t>
      </w:r>
      <w:r>
        <w:t>(</w:t>
      </w:r>
      <w:r w:rsidR="00174635">
        <w:t>2013</w:t>
      </w:r>
      <w:r w:rsidR="005E1B62">
        <w:t xml:space="preserve">) </w:t>
      </w:r>
      <w:r w:rsidR="00174635" w:rsidRPr="006E0A8C">
        <w:t>Engineering energy: unconventional gas production. Report for the Australian Council of Learned Academies</w:t>
      </w:r>
      <w:r>
        <w:t>. Viewed 16/01/2018,</w:t>
      </w:r>
      <w:r w:rsidR="00174635" w:rsidRPr="006E0A8C">
        <w:t xml:space="preserve"> </w:t>
      </w:r>
      <w:r>
        <w:t>&lt;</w:t>
      </w:r>
      <w:hyperlink r:id="rId85" w:history="1">
        <w:r w:rsidR="00174635" w:rsidRPr="00A12C27">
          <w:rPr>
            <w:rStyle w:val="Hyperlink"/>
          </w:rPr>
          <w:t>https://www.acola.org.au/PDF/SAF06FINAL/Final%20Report%20Engineering%20Energy%20June%202013.pdf</w:t>
        </w:r>
      </w:hyperlink>
      <w:r>
        <w:t>&gt;</w:t>
      </w:r>
      <w:r w:rsidR="0057060D">
        <w:t>.</w:t>
      </w:r>
    </w:p>
    <w:p w14:paraId="223BD458" w14:textId="73BE6311" w:rsidR="00174635" w:rsidRDefault="00125986" w:rsidP="00174635">
      <w:pPr>
        <w:pStyle w:val="References"/>
      </w:pPr>
      <w:r>
        <w:t>CSIRO</w:t>
      </w:r>
      <w:r w:rsidR="00174635">
        <w:t xml:space="preserve"> </w:t>
      </w:r>
      <w:r>
        <w:t>(</w:t>
      </w:r>
      <w:r w:rsidR="00174635">
        <w:t>2017</w:t>
      </w:r>
      <w:r w:rsidR="005E1B62">
        <w:t xml:space="preserve">) </w:t>
      </w:r>
      <w:r w:rsidR="00174635">
        <w:t>What is hydraulic fracturing?</w:t>
      </w:r>
      <w:r>
        <w:t xml:space="preserve"> Viewed 11/08/2017,</w:t>
      </w:r>
      <w:r w:rsidR="00174635">
        <w:t xml:space="preserve"> </w:t>
      </w:r>
      <w:r>
        <w:t>&lt;</w:t>
      </w:r>
      <w:hyperlink r:id="rId86" w:history="1">
        <w:r w:rsidR="00174635" w:rsidRPr="000F12ED">
          <w:rPr>
            <w:rStyle w:val="Hyperlink"/>
          </w:rPr>
          <w:t>https://www.csiro.au/en/Research/Energy/Hydraulic-fracturing/a-What-is-hydraulic-fracturing</w:t>
        </w:r>
      </w:hyperlink>
      <w:r>
        <w:t>&gt;</w:t>
      </w:r>
      <w:r w:rsidR="0057060D">
        <w:t>.</w:t>
      </w:r>
    </w:p>
    <w:p w14:paraId="6B374006" w14:textId="77777777" w:rsidR="00AD1F83" w:rsidRPr="001357D1" w:rsidRDefault="00AD1F83" w:rsidP="00AD1F83">
      <w:pPr>
        <w:pStyle w:val="References"/>
      </w:pPr>
      <w:r>
        <w:t>DEWHA (Department of the Environment, Water, Heritage and the Arts) (</w:t>
      </w:r>
      <w:r w:rsidRPr="00A1090D">
        <w:t>2010</w:t>
      </w:r>
      <w:r>
        <w:t xml:space="preserve">) </w:t>
      </w:r>
      <w:r w:rsidRPr="00A1090D">
        <w:t>A Directory of Important Wetlands in Australia (DIWA) Spatial Database, third edition</w:t>
      </w:r>
      <w:r>
        <w:t>. Viewed 10/08/2017, &lt;</w:t>
      </w:r>
      <w:hyperlink r:id="rId87" w:history="1">
        <w:r w:rsidRPr="00DA1EAB">
          <w:rPr>
            <w:rStyle w:val="Hyperlink"/>
          </w:rPr>
          <w:t>http://www.environment.gov.au/fed/catalog/search/resource/details.page?uuid=%7BE6C815D9-FB67-4372-AC25-81C7473CCD21%7D</w:t>
        </w:r>
      </w:hyperlink>
      <w:r>
        <w:t>&gt;.</w:t>
      </w:r>
    </w:p>
    <w:p w14:paraId="34B4C22E" w14:textId="018E7E78" w:rsidR="004704E0" w:rsidRDefault="004704E0" w:rsidP="00AE279D">
      <w:pPr>
        <w:pStyle w:val="References"/>
        <w:keepLines/>
        <w:rPr>
          <w:rFonts w:eastAsiaTheme="minorHAnsi"/>
          <w:lang w:eastAsia="en-US"/>
        </w:rPr>
      </w:pPr>
      <w:r>
        <w:rPr>
          <w:rFonts w:eastAsiaTheme="minorHAnsi"/>
          <w:lang w:eastAsia="en-US"/>
        </w:rPr>
        <w:t>DELWP (Department of Environment, Land, Water and Planning) and (GSV)</w:t>
      </w:r>
      <w:r w:rsidR="001672A6">
        <w:rPr>
          <w:rFonts w:eastAsiaTheme="minorHAnsi"/>
          <w:lang w:eastAsia="en-US"/>
        </w:rPr>
        <w:t xml:space="preserve"> Geological Survey of Victoria (</w:t>
      </w:r>
      <w:r>
        <w:rPr>
          <w:rFonts w:eastAsiaTheme="minorHAnsi"/>
          <w:lang w:eastAsia="en-US"/>
        </w:rPr>
        <w:t>2015a</w:t>
      </w:r>
      <w:r w:rsidR="005E1B62">
        <w:rPr>
          <w:rFonts w:eastAsiaTheme="minorHAnsi"/>
          <w:lang w:eastAsia="en-US"/>
        </w:rPr>
        <w:t xml:space="preserve">) </w:t>
      </w:r>
      <w:r>
        <w:rPr>
          <w:rFonts w:eastAsiaTheme="minorHAnsi"/>
          <w:lang w:eastAsia="en-US"/>
        </w:rPr>
        <w:t>Onshore natural gas water science studies — Otway region assessment of potential impacts on water resources. Department of Environment, Land, Water and Planning and Department of Economic Development, Jobs, Transport and Resources, Melbourne, June 2015.</w:t>
      </w:r>
    </w:p>
    <w:p w14:paraId="72019265" w14:textId="7163A1B8" w:rsidR="004704E0" w:rsidRDefault="004704E0" w:rsidP="004704E0">
      <w:pPr>
        <w:pStyle w:val="References"/>
      </w:pPr>
      <w:r>
        <w:rPr>
          <w:rFonts w:eastAsiaTheme="minorHAnsi"/>
          <w:lang w:eastAsia="en-US"/>
        </w:rPr>
        <w:t xml:space="preserve">DELWP (Department of Environment, Land, Water and Planning) and (GSV) Geological </w:t>
      </w:r>
      <w:r w:rsidR="001672A6">
        <w:rPr>
          <w:rFonts w:eastAsiaTheme="minorHAnsi"/>
          <w:lang w:eastAsia="en-US"/>
        </w:rPr>
        <w:t>Survey of Victoria</w:t>
      </w:r>
      <w:r>
        <w:rPr>
          <w:rFonts w:eastAsiaTheme="minorHAnsi"/>
          <w:lang w:eastAsia="en-US"/>
        </w:rPr>
        <w:t xml:space="preserve"> </w:t>
      </w:r>
      <w:r w:rsidR="001672A6">
        <w:rPr>
          <w:rFonts w:eastAsiaTheme="minorHAnsi"/>
          <w:lang w:eastAsia="en-US"/>
        </w:rPr>
        <w:t>(</w:t>
      </w:r>
      <w:r>
        <w:rPr>
          <w:rFonts w:eastAsiaTheme="minorHAnsi"/>
          <w:lang w:eastAsia="en-US"/>
        </w:rPr>
        <w:t>2015b</w:t>
      </w:r>
      <w:r w:rsidR="005E1B62">
        <w:rPr>
          <w:rFonts w:eastAsiaTheme="minorHAnsi"/>
          <w:lang w:eastAsia="en-US"/>
        </w:rPr>
        <w:t xml:space="preserve">) </w:t>
      </w:r>
      <w:r>
        <w:t>Onshore natural gas water science studies — Gippsland region assessment of potential impacts on water resources. Department of Environment, Land, Water and Planning, Melbourne, June 2015.</w:t>
      </w:r>
    </w:p>
    <w:p w14:paraId="223BD45D" w14:textId="0E8AD96E" w:rsidR="00174635" w:rsidRPr="00CD20C0" w:rsidRDefault="00174635" w:rsidP="00174635">
      <w:pPr>
        <w:pStyle w:val="References"/>
      </w:pPr>
      <w:r w:rsidRPr="00CD20C0">
        <w:t>DNRM (Department of Natural Resources and Mines)</w:t>
      </w:r>
      <w:r w:rsidR="00EC4EE6">
        <w:t xml:space="preserve"> (2</w:t>
      </w:r>
      <w:r w:rsidRPr="00CD20C0">
        <w:t>0</w:t>
      </w:r>
      <w:r w:rsidR="00EC4EE6">
        <w:t>17)</w:t>
      </w:r>
      <w:r w:rsidRPr="00CD20C0">
        <w:t xml:space="preserve"> Queensland’s unconventional petroleum potential – shale oil and gas, tight gas and coal seam gas. Department of Natural </w:t>
      </w:r>
      <w:r w:rsidR="001E1604">
        <w:t>Resources and Mines, Queensland. Viewed</w:t>
      </w:r>
      <w:r w:rsidRPr="00CD20C0">
        <w:t xml:space="preserve"> </w:t>
      </w:r>
      <w:r w:rsidR="0057060D">
        <w:t xml:space="preserve">16/01/2018, </w:t>
      </w:r>
      <w:r w:rsidR="001E1604">
        <w:t>&lt;</w:t>
      </w:r>
      <w:hyperlink r:id="rId88" w:history="1">
        <w:r w:rsidRPr="00CD20C0">
          <w:rPr>
            <w:rStyle w:val="Hyperlink"/>
          </w:rPr>
          <w:t>https://www.business.qld.gov.au/industries/invest/mining/resources-potential/petroleum-gas</w:t>
        </w:r>
      </w:hyperlink>
      <w:r w:rsidR="001E1604">
        <w:t>&gt;</w:t>
      </w:r>
      <w:r w:rsidR="0057060D">
        <w:t>.</w:t>
      </w:r>
      <w:r w:rsidR="005E2AB0">
        <w:t xml:space="preserve"> </w:t>
      </w:r>
    </w:p>
    <w:p w14:paraId="0B19C3BD" w14:textId="1A7BB95B" w:rsidR="008A502D" w:rsidRDefault="008A502D" w:rsidP="008A502D">
      <w:pPr>
        <w:pStyle w:val="References"/>
      </w:pPr>
      <w:r>
        <w:t>DNRME (Department of Natural Resources, Mines and Energy)</w:t>
      </w:r>
      <w:r w:rsidR="00EC4EE6">
        <w:t xml:space="preserve"> (2</w:t>
      </w:r>
      <w:r>
        <w:t>017a</w:t>
      </w:r>
      <w:r w:rsidR="005E1B62">
        <w:t xml:space="preserve">) </w:t>
      </w:r>
      <w:r>
        <w:t>Petroleum well locations – Queensland</w:t>
      </w:r>
      <w:r w:rsidR="001E1604">
        <w:t>. Viewed</w:t>
      </w:r>
      <w:r>
        <w:t xml:space="preserve"> </w:t>
      </w:r>
      <w:r w:rsidR="0057060D">
        <w:t xml:space="preserve">23/07/2017, </w:t>
      </w:r>
      <w:r w:rsidR="001E1604">
        <w:t>&lt;</w:t>
      </w:r>
      <w:hyperlink r:id="rId89" w:history="1">
        <w:r w:rsidRPr="00E46720">
          <w:rPr>
            <w:rStyle w:val="Hyperlink"/>
          </w:rPr>
          <w:t>http://qldspatial.information.qld.gov.au/catalogue/custom/detail.page?fid=%7bCBBE665F-60A8-4116-87C8-AEBF0D21B97C%7d</w:t>
        </w:r>
      </w:hyperlink>
      <w:r w:rsidR="001E1604">
        <w:t>&gt;</w:t>
      </w:r>
      <w:r w:rsidR="0057060D">
        <w:t>.</w:t>
      </w:r>
    </w:p>
    <w:p w14:paraId="7676EFCA" w14:textId="3800DB8E" w:rsidR="008A502D" w:rsidRDefault="008A502D" w:rsidP="008A502D">
      <w:pPr>
        <w:pStyle w:val="References"/>
      </w:pPr>
      <w:r>
        <w:t>DNRME (Department of Natural Resources, Mines and Energy)</w:t>
      </w:r>
      <w:r w:rsidR="00EC4EE6">
        <w:t xml:space="preserve"> (2</w:t>
      </w:r>
      <w:r>
        <w:t>017b</w:t>
      </w:r>
      <w:r w:rsidR="005E1B62">
        <w:t xml:space="preserve">) </w:t>
      </w:r>
      <w:r w:rsidR="001E1604">
        <w:t>Seismic survey 2D – Queensland</w:t>
      </w:r>
      <w:r w:rsidR="001E1604">
        <w:rPr>
          <w:b/>
        </w:rPr>
        <w:t xml:space="preserve">. </w:t>
      </w:r>
      <w:r w:rsidR="001E1604">
        <w:t>Viewed</w:t>
      </w:r>
      <w:r w:rsidR="0057060D">
        <w:t xml:space="preserve"> 23/07/2017,</w:t>
      </w:r>
      <w:r>
        <w:t xml:space="preserve"> </w:t>
      </w:r>
      <w:r w:rsidR="0057060D">
        <w:t>&lt;</w:t>
      </w:r>
      <w:hyperlink r:id="rId90" w:history="1">
        <w:r w:rsidR="001E1604" w:rsidRPr="0065740D">
          <w:rPr>
            <w:rStyle w:val="Hyperlink"/>
          </w:rPr>
          <w:t>http://qldspatial.information.qld.gov.au/catalogue/custom/index.page</w:t>
        </w:r>
      </w:hyperlink>
      <w:r w:rsidR="0057060D">
        <w:t>&gt;.</w:t>
      </w:r>
    </w:p>
    <w:p w14:paraId="4BDA192F" w14:textId="6619AD87" w:rsidR="008A502D" w:rsidRDefault="008A502D" w:rsidP="008A502D">
      <w:pPr>
        <w:pStyle w:val="References"/>
      </w:pPr>
      <w:r>
        <w:t>DNRME (Department of Natural Resources, Mines and Energy)</w:t>
      </w:r>
      <w:r w:rsidR="00EC4EE6">
        <w:t xml:space="preserve"> (2</w:t>
      </w:r>
      <w:r>
        <w:t>017c</w:t>
      </w:r>
      <w:r w:rsidR="005E1B62">
        <w:t xml:space="preserve">) </w:t>
      </w:r>
      <w:r w:rsidR="001E1604">
        <w:t>Seismic survey 3D – Queensland. Viewed</w:t>
      </w:r>
      <w:r>
        <w:t xml:space="preserve"> </w:t>
      </w:r>
      <w:r w:rsidR="0057060D">
        <w:t xml:space="preserve">23/07/2017, </w:t>
      </w:r>
      <w:hyperlink r:id="rId91" w:history="1">
        <w:r w:rsidR="0057060D" w:rsidRPr="0065740D">
          <w:rPr>
            <w:rStyle w:val="Hyperlink"/>
          </w:rPr>
          <w:t>http://qldspatial.information.qld.gov.au/catalogue/custom/index.page</w:t>
        </w:r>
      </w:hyperlink>
      <w:r w:rsidR="0057060D">
        <w:t>.</w:t>
      </w:r>
    </w:p>
    <w:p w14:paraId="09050335" w14:textId="5063320D" w:rsidR="008A502D" w:rsidRDefault="008A502D" w:rsidP="008A502D">
      <w:pPr>
        <w:pStyle w:val="References"/>
      </w:pPr>
      <w:r>
        <w:t>DNRME (Department of Natural Resources, Mines and Energy)</w:t>
      </w:r>
      <w:r w:rsidR="00EC4EE6">
        <w:t xml:space="preserve"> (2</w:t>
      </w:r>
      <w:r>
        <w:t>017d</w:t>
      </w:r>
      <w:r w:rsidR="005E1B62">
        <w:t xml:space="preserve">) </w:t>
      </w:r>
      <w:r>
        <w:t>S</w:t>
      </w:r>
      <w:r w:rsidR="001E1604">
        <w:t>eismic survey deep – Queensland. Viewed</w:t>
      </w:r>
      <w:r>
        <w:t xml:space="preserve"> </w:t>
      </w:r>
      <w:r w:rsidR="0057060D">
        <w:t xml:space="preserve">23/07/2017, </w:t>
      </w:r>
      <w:hyperlink r:id="rId92" w:history="1">
        <w:r w:rsidR="0057060D" w:rsidRPr="0065740D">
          <w:rPr>
            <w:rStyle w:val="Hyperlink"/>
          </w:rPr>
          <w:t>http://qldspatial.information.qld.gov.au/catalogue/custom/index.page</w:t>
        </w:r>
      </w:hyperlink>
      <w:r w:rsidR="0057060D">
        <w:t>.</w:t>
      </w:r>
    </w:p>
    <w:p w14:paraId="084E9270" w14:textId="77777777" w:rsidR="005D0929" w:rsidRDefault="005D0929" w:rsidP="005D0929">
      <w:pPr>
        <w:pStyle w:val="References"/>
      </w:pPr>
      <w:r>
        <w:t>DoEE (Department of the Environment and Energy) (2016a) Australian Ramsar Wetlands. Viewed 19/07/2017, &lt;</w:t>
      </w:r>
      <w:hyperlink r:id="rId93" w:history="1">
        <w:r w:rsidRPr="0065740D">
          <w:rPr>
            <w:rStyle w:val="Hyperlink"/>
          </w:rPr>
          <w:t>http://www.environment.gov.au/water/wetlands/australian-wetlands-database/australian-ramsar-wetlands</w:t>
        </w:r>
      </w:hyperlink>
      <w:r>
        <w:rPr>
          <w:rStyle w:val="Hyperlink"/>
        </w:rPr>
        <w:t>&gt;</w:t>
      </w:r>
      <w:r>
        <w:t>.</w:t>
      </w:r>
    </w:p>
    <w:p w14:paraId="495490BA" w14:textId="77777777" w:rsidR="005D0929" w:rsidRDefault="005D0929" w:rsidP="005D0929">
      <w:pPr>
        <w:pStyle w:val="References"/>
      </w:pPr>
      <w:r>
        <w:t>DoEE (Department of the Environment and Energy) (2016b) Collaborative Australian Protected Area Database (CAPD) Viewed 18/07/2017, &lt;</w:t>
      </w:r>
      <w:hyperlink r:id="rId94" w:history="1">
        <w:r w:rsidRPr="00DA1EAB">
          <w:rPr>
            <w:rStyle w:val="Hyperlink"/>
          </w:rPr>
          <w:t>https://www.environment.gov.au/land/nrs/science/capad/2016</w:t>
        </w:r>
      </w:hyperlink>
      <w:r>
        <w:t>&gt;.</w:t>
      </w:r>
    </w:p>
    <w:p w14:paraId="319FEE9B" w14:textId="735A4A29" w:rsidR="008A502D" w:rsidRDefault="008A502D" w:rsidP="008A502D">
      <w:pPr>
        <w:pStyle w:val="References"/>
        <w:rPr>
          <w:rStyle w:val="Hyperlink"/>
        </w:rPr>
      </w:pPr>
      <w:r>
        <w:t>DPCSA (Department of Premier and Cabinet, South Australia)</w:t>
      </w:r>
      <w:r w:rsidR="00EC4EE6">
        <w:t xml:space="preserve"> (2</w:t>
      </w:r>
      <w:r>
        <w:t>017a</w:t>
      </w:r>
      <w:r w:rsidR="005E1B62">
        <w:t xml:space="preserve">) </w:t>
      </w:r>
      <w:r>
        <w:t>3D Seismic Survey Areas</w:t>
      </w:r>
      <w:r w:rsidRPr="00A30BC4">
        <w:t xml:space="preserve"> </w:t>
      </w:r>
      <w:r>
        <w:t>lines</w:t>
      </w:r>
      <w:r w:rsidR="001E1604">
        <w:t>. Viewed</w:t>
      </w:r>
      <w:r w:rsidRPr="000350BE">
        <w:t xml:space="preserve"> </w:t>
      </w:r>
      <w:r w:rsidR="0057060D">
        <w:t xml:space="preserve">23/07/2017, </w:t>
      </w:r>
      <w:r w:rsidR="001E1604">
        <w:t>&lt;</w:t>
      </w:r>
      <w:hyperlink r:id="rId95" w:history="1">
        <w:r w:rsidRPr="005E0FA1">
          <w:rPr>
            <w:rStyle w:val="Hyperlink"/>
          </w:rPr>
          <w:t>https://map.sarig.sa.gov.au/</w:t>
        </w:r>
      </w:hyperlink>
      <w:r w:rsidR="001E1604">
        <w:rPr>
          <w:rStyle w:val="Hyperlink"/>
        </w:rPr>
        <w:t>&gt;</w:t>
      </w:r>
      <w:r w:rsidR="0057060D">
        <w:rPr>
          <w:rStyle w:val="Hyperlink"/>
        </w:rPr>
        <w:t>.</w:t>
      </w:r>
    </w:p>
    <w:p w14:paraId="6CD26C75" w14:textId="0DDB31C1" w:rsidR="008A502D" w:rsidRPr="00B903F5" w:rsidRDefault="008A502D" w:rsidP="008A502D">
      <w:pPr>
        <w:pStyle w:val="References"/>
        <w:rPr>
          <w:lang w:val="en-US"/>
        </w:rPr>
      </w:pPr>
      <w:r>
        <w:rPr>
          <w:lang w:val="en-US"/>
        </w:rPr>
        <w:t>DPCSA (Department of Premier and Cabinet, So</w:t>
      </w:r>
      <w:r w:rsidR="001C3950">
        <w:rPr>
          <w:lang w:val="en-US"/>
        </w:rPr>
        <w:t>uth Australia)</w:t>
      </w:r>
      <w:r w:rsidR="00EC4EE6">
        <w:rPr>
          <w:lang w:val="en-US"/>
        </w:rPr>
        <w:t xml:space="preserve"> (2</w:t>
      </w:r>
      <w:r w:rsidR="001C3950">
        <w:rPr>
          <w:lang w:val="en-US"/>
        </w:rPr>
        <w:t>017b</w:t>
      </w:r>
      <w:r w:rsidR="005E1B62">
        <w:rPr>
          <w:lang w:val="en-US"/>
        </w:rPr>
        <w:t xml:space="preserve">) </w:t>
      </w:r>
      <w:r w:rsidR="001E1604">
        <w:rPr>
          <w:lang w:val="en-US"/>
        </w:rPr>
        <w:t xml:space="preserve">PACE Gas. </w:t>
      </w:r>
      <w:r w:rsidR="001E1604">
        <w:t>Viewed</w:t>
      </w:r>
      <w:r>
        <w:rPr>
          <w:lang w:val="en-US"/>
        </w:rPr>
        <w:t xml:space="preserve"> </w:t>
      </w:r>
      <w:r w:rsidR="0057060D">
        <w:t xml:space="preserve">16/01/2018, </w:t>
      </w:r>
      <w:r w:rsidR="001E1604">
        <w:rPr>
          <w:lang w:val="en-US"/>
        </w:rPr>
        <w:t>&lt;</w:t>
      </w:r>
      <w:hyperlink r:id="rId96" w:history="1">
        <w:r w:rsidRPr="00B903F5">
          <w:rPr>
            <w:rStyle w:val="Hyperlink"/>
            <w:lang w:val="en-US"/>
          </w:rPr>
          <w:t>h</w:t>
        </w:r>
        <w:r w:rsidRPr="00B903F5">
          <w:rPr>
            <w:rStyle w:val="Hyperlink"/>
          </w:rPr>
          <w:t>ttp://petroleum.statedevelopment.sa.gov.au/latest_updates/pace_gas</w:t>
        </w:r>
      </w:hyperlink>
      <w:r w:rsidR="001E1604">
        <w:rPr>
          <w:rStyle w:val="Hyperlink"/>
        </w:rPr>
        <w:t>&gt;</w:t>
      </w:r>
      <w:r w:rsidR="0057060D">
        <w:t>.</w:t>
      </w:r>
    </w:p>
    <w:p w14:paraId="5F97BC9D" w14:textId="40A1C693" w:rsidR="008A502D" w:rsidRDefault="008A502D" w:rsidP="008A502D">
      <w:pPr>
        <w:pStyle w:val="References"/>
        <w:rPr>
          <w:rStyle w:val="Hyperlink"/>
          <w:rFonts w:eastAsia="Times New Roman"/>
        </w:rPr>
      </w:pPr>
      <w:r>
        <w:rPr>
          <w:lang w:val="en-US"/>
        </w:rPr>
        <w:t>DPCSA (Department of Premier and Cabinet, South Au</w:t>
      </w:r>
      <w:r w:rsidR="001C3950">
        <w:rPr>
          <w:lang w:val="en-US"/>
        </w:rPr>
        <w:t>stralia)</w:t>
      </w:r>
      <w:r w:rsidR="00EC4EE6">
        <w:rPr>
          <w:lang w:val="en-US"/>
        </w:rPr>
        <w:t xml:space="preserve"> (2</w:t>
      </w:r>
      <w:r w:rsidR="001C3950">
        <w:rPr>
          <w:lang w:val="en-US"/>
        </w:rPr>
        <w:t>017c</w:t>
      </w:r>
      <w:r w:rsidR="005E1B62">
        <w:rPr>
          <w:lang w:val="en-US"/>
        </w:rPr>
        <w:t xml:space="preserve">) </w:t>
      </w:r>
      <w:r w:rsidR="001E1604">
        <w:rPr>
          <w:lang w:val="en-US"/>
        </w:rPr>
        <w:t xml:space="preserve">Petroleum well. </w:t>
      </w:r>
      <w:r w:rsidR="0057060D">
        <w:t>Viewed</w:t>
      </w:r>
      <w:r w:rsidR="0057060D">
        <w:rPr>
          <w:lang w:val="en-US"/>
        </w:rPr>
        <w:t xml:space="preserve"> </w:t>
      </w:r>
      <w:r w:rsidR="0057060D">
        <w:t xml:space="preserve">16/01/2018, </w:t>
      </w:r>
      <w:r w:rsidR="001E1604">
        <w:rPr>
          <w:lang w:val="en-US"/>
        </w:rPr>
        <w:t>&lt;</w:t>
      </w:r>
      <w:hyperlink r:id="rId97" w:history="1">
        <w:r w:rsidRPr="005E0FA1">
          <w:rPr>
            <w:rStyle w:val="Hyperlink"/>
          </w:rPr>
          <w:t>https://map.sarig.sa.gov.au/</w:t>
        </w:r>
      </w:hyperlink>
      <w:r w:rsidR="001E1604">
        <w:rPr>
          <w:rStyle w:val="Hyperlink"/>
        </w:rPr>
        <w:t>&gt;</w:t>
      </w:r>
      <w:r w:rsidR="0057060D">
        <w:t>.</w:t>
      </w:r>
    </w:p>
    <w:p w14:paraId="5B2BB377" w14:textId="505FB5D1" w:rsidR="008A502D" w:rsidRDefault="008A502D" w:rsidP="008A502D">
      <w:pPr>
        <w:pStyle w:val="References"/>
        <w:rPr>
          <w:rStyle w:val="Hyperlink"/>
        </w:rPr>
      </w:pPr>
      <w:r>
        <w:t>DPCSA (Department of Premier and Cabinet, South Australia)</w:t>
      </w:r>
      <w:r w:rsidR="00EC4EE6">
        <w:t xml:space="preserve"> (2</w:t>
      </w:r>
      <w:r>
        <w:t>017d</w:t>
      </w:r>
      <w:r w:rsidR="005E1B62">
        <w:t xml:space="preserve">) </w:t>
      </w:r>
      <w:r>
        <w:t>Seismic lines</w:t>
      </w:r>
      <w:r w:rsidR="001E1604">
        <w:t xml:space="preserve">. </w:t>
      </w:r>
      <w:r w:rsidR="0057060D">
        <w:t>Viewed</w:t>
      </w:r>
      <w:r w:rsidR="0057060D">
        <w:rPr>
          <w:lang w:val="en-US"/>
        </w:rPr>
        <w:t xml:space="preserve"> </w:t>
      </w:r>
      <w:r w:rsidR="0057060D">
        <w:t xml:space="preserve">16/01/2018, </w:t>
      </w:r>
      <w:r w:rsidR="001E1604">
        <w:t>&lt;</w:t>
      </w:r>
      <w:hyperlink r:id="rId98" w:history="1">
        <w:r w:rsidRPr="005E0FA1">
          <w:rPr>
            <w:rStyle w:val="Hyperlink"/>
          </w:rPr>
          <w:t>https://map.sarig.sa.gov.au/</w:t>
        </w:r>
      </w:hyperlink>
      <w:r w:rsidR="001E1604">
        <w:rPr>
          <w:rStyle w:val="Hyperlink"/>
        </w:rPr>
        <w:t>&gt;</w:t>
      </w:r>
      <w:r w:rsidR="0057060D">
        <w:t>.</w:t>
      </w:r>
      <w:r w:rsidR="005E2AB0">
        <w:t xml:space="preserve"> </w:t>
      </w:r>
    </w:p>
    <w:p w14:paraId="014E2C2B" w14:textId="2D9E7EFC" w:rsidR="008A502D" w:rsidRDefault="008A502D" w:rsidP="008A502D">
      <w:pPr>
        <w:pStyle w:val="References"/>
      </w:pPr>
      <w:r>
        <w:t>DREMP (Division of Resources and Energy, Minerals and Petroleum, New South Wal</w:t>
      </w:r>
      <w:r w:rsidR="001C3950">
        <w:t>es)</w:t>
      </w:r>
      <w:r w:rsidR="00EC4EE6">
        <w:t xml:space="preserve"> (2</w:t>
      </w:r>
      <w:r w:rsidR="001C3950">
        <w:t>0</w:t>
      </w:r>
      <w:r w:rsidR="00EC4EE6">
        <w:t>17</w:t>
      </w:r>
      <w:r w:rsidR="005E1B62">
        <w:t xml:space="preserve">) </w:t>
      </w:r>
      <w:r w:rsidR="001E1604">
        <w:t>Drillholes and wells. Viewed</w:t>
      </w:r>
      <w:r w:rsidR="008B7BFD">
        <w:t xml:space="preserve"> 16/01/2018,</w:t>
      </w:r>
      <w:r w:rsidR="001E1604">
        <w:t xml:space="preserve"> </w:t>
      </w:r>
      <w:r w:rsidR="008B7BFD">
        <w:t>&lt;</w:t>
      </w:r>
      <w:hyperlink r:id="rId99" w:history="1">
        <w:r w:rsidR="008B7BFD" w:rsidRPr="0065740D">
          <w:rPr>
            <w:rStyle w:val="Hyperlink"/>
          </w:rPr>
          <w:t>http://dwh.minerals.nsw.gov.au/CI/warehouse</w:t>
        </w:r>
      </w:hyperlink>
      <w:r w:rsidR="008B7BFD">
        <w:rPr>
          <w:rStyle w:val="Hyperlink"/>
        </w:rPr>
        <w:t>&gt;.</w:t>
      </w:r>
    </w:p>
    <w:p w14:paraId="529409AA" w14:textId="4C02BA0B" w:rsidR="00F47FB1" w:rsidRPr="00AA00C4" w:rsidRDefault="00F47FB1" w:rsidP="00F47FB1">
      <w:pPr>
        <w:pStyle w:val="References"/>
      </w:pPr>
      <w:r w:rsidRPr="00AA00C4">
        <w:t>DSWPET</w:t>
      </w:r>
      <w:r w:rsidR="00EC4EE6">
        <w:t xml:space="preserve"> (2</w:t>
      </w:r>
      <w:r w:rsidRPr="00AA00C4">
        <w:t>011</w:t>
      </w:r>
      <w:r w:rsidR="005E1B62">
        <w:t xml:space="preserve">) </w:t>
      </w:r>
      <w:r w:rsidRPr="00AA00C4">
        <w:t>Unconventional reservoir resource assessment for the lower Larapinta Group Amadeus Basin. Central Petroleum Ltd, ASX Announcement, 7 February 2011.</w:t>
      </w:r>
    </w:p>
    <w:p w14:paraId="46D08C4D" w14:textId="0EC0E4E8" w:rsidR="00F47FB1" w:rsidRDefault="001E1604" w:rsidP="00144EAD">
      <w:pPr>
        <w:pStyle w:val="References"/>
      </w:pPr>
      <w:r>
        <w:t>Edgoose CJ</w:t>
      </w:r>
      <w:r w:rsidR="00EC4EE6">
        <w:t xml:space="preserve"> (2</w:t>
      </w:r>
      <w:r w:rsidR="00F47FB1" w:rsidRPr="00F47FB1">
        <w:t>013</w:t>
      </w:r>
      <w:r w:rsidR="005E1B62">
        <w:t xml:space="preserve">) </w:t>
      </w:r>
      <w:r w:rsidR="00F47FB1" w:rsidRPr="00F47FB1">
        <w:t>Chapter 23: Amadeus Basin. In: Ahmad, M. and Munson, T.J. (Compilers), Geology and mineral resources of the Northern Territory. Northern Territory Geological Survey, Special Publication, 5, 23:1-23:70.</w:t>
      </w:r>
    </w:p>
    <w:p w14:paraId="5D89AF89" w14:textId="234EA6D4" w:rsidR="00144EAD" w:rsidRPr="00A74493" w:rsidRDefault="001E1604" w:rsidP="00144EAD">
      <w:pPr>
        <w:pStyle w:val="References"/>
      </w:pPr>
      <w:r>
        <w:t>English P, Lewis S, Bell J, Wischusen J, Woodgate J, Bastrakov E, Macphail M and Kilgour P</w:t>
      </w:r>
      <w:r w:rsidR="00EC4EE6">
        <w:t xml:space="preserve"> (2</w:t>
      </w:r>
      <w:r w:rsidR="00144EAD" w:rsidRPr="00A74493">
        <w:t>012</w:t>
      </w:r>
      <w:r w:rsidR="005E1B62">
        <w:t xml:space="preserve">) </w:t>
      </w:r>
      <w:r w:rsidR="00144EAD" w:rsidRPr="00A74493">
        <w:t>Water for Australia’s arid zone – identifying and assessing Australia’s palaeovalley groundwater resources:</w:t>
      </w:r>
      <w:r w:rsidR="00144EAD">
        <w:t xml:space="preserve"> summary report. </w:t>
      </w:r>
      <w:r w:rsidR="00144EAD" w:rsidRPr="00A74493">
        <w:t>Waterlines Report Series No 86, August 2012</w:t>
      </w:r>
      <w:r w:rsidR="00144EAD">
        <w:t xml:space="preserve">. </w:t>
      </w:r>
      <w:r w:rsidR="00144EAD" w:rsidRPr="00A74493">
        <w:t>National Water Commission, Canberra.</w:t>
      </w:r>
    </w:p>
    <w:p w14:paraId="223BD467" w14:textId="353AA673" w:rsidR="00174635" w:rsidRDefault="00174635" w:rsidP="00174635">
      <w:pPr>
        <w:pStyle w:val="References"/>
      </w:pPr>
      <w:r>
        <w:t>Exoma Energy</w:t>
      </w:r>
      <w:r w:rsidR="00EC4EE6">
        <w:t xml:space="preserve"> (2</w:t>
      </w:r>
      <w:r w:rsidR="000F3B30">
        <w:t>012</w:t>
      </w:r>
      <w:r w:rsidR="005E1B62">
        <w:t xml:space="preserve">) </w:t>
      </w:r>
      <w:r>
        <w:t xml:space="preserve">Interim financial statement. </w:t>
      </w:r>
      <w:r w:rsidR="001E1604">
        <w:t xml:space="preserve">Viewed </w:t>
      </w:r>
      <w:r w:rsidR="008B7BFD">
        <w:t xml:space="preserve">16/01/2018, </w:t>
      </w:r>
      <w:r w:rsidR="001E1604">
        <w:t>&lt;</w:t>
      </w:r>
      <w:hyperlink r:id="rId100" w:history="1">
        <w:r w:rsidRPr="000F12ED">
          <w:rPr>
            <w:rStyle w:val="Hyperlink"/>
          </w:rPr>
          <w:t>https://www.google.com.au/url?sa=t&amp;rct=j&amp;q=&amp;esrc=s&amp;source=web&amp;cd=10&amp;ved=0ahUKEwjXyonPjLDVAhVIgLwKHR2uDv4QFghLMAk&amp;url=http%3A%2F%2Fwww.asx.com.au%2Fasxpdf%2F20120510%2Fpdf%2F4265wmkn0fw9n0.pdf&amp;usg=AFQjCNFvJXYWD_gqa6p0ZeOdLQqL7R5MIA</w:t>
        </w:r>
      </w:hyperlink>
      <w:r w:rsidR="001E1604">
        <w:rPr>
          <w:rStyle w:val="Hyperlink"/>
        </w:rPr>
        <w:t>&gt;</w:t>
      </w:r>
      <w:r w:rsidR="003102D0">
        <w:t xml:space="preserve"> </w:t>
      </w:r>
      <w:r w:rsidR="008B7BFD">
        <w:t>.</w:t>
      </w:r>
    </w:p>
    <w:p w14:paraId="223BD468" w14:textId="1977C886" w:rsidR="00174635" w:rsidRPr="009B2A2E" w:rsidRDefault="00174635" w:rsidP="00174635">
      <w:pPr>
        <w:pStyle w:val="References"/>
      </w:pPr>
      <w:r w:rsidRPr="009B2A2E">
        <w:t>GA</w:t>
      </w:r>
      <w:r>
        <w:t xml:space="preserve"> (Geoscience Australia)</w:t>
      </w:r>
      <w:r w:rsidRPr="009B2A2E">
        <w:t>, ABARES</w:t>
      </w:r>
      <w:r>
        <w:t xml:space="preserve"> (Australian Bureau of Agricultural and R</w:t>
      </w:r>
      <w:r w:rsidR="007402A2">
        <w:t>esource Economics and Sciences)</w:t>
      </w:r>
      <w:r>
        <w:t xml:space="preserve"> </w:t>
      </w:r>
      <w:r w:rsidRPr="009B2A2E">
        <w:t>and CSIRO</w:t>
      </w:r>
      <w:r w:rsidR="00EC4EE6">
        <w:t xml:space="preserve"> (2</w:t>
      </w:r>
      <w:r w:rsidRPr="009B2A2E">
        <w:t>012</w:t>
      </w:r>
      <w:r w:rsidR="005E1B62">
        <w:t>)</w:t>
      </w:r>
      <w:r w:rsidR="00B47C87">
        <w:t>,</w:t>
      </w:r>
      <w:r w:rsidR="005E1B62">
        <w:t xml:space="preserve"> </w:t>
      </w:r>
      <w:r>
        <w:t>Bioregional assessment, stage 1: rapid regional prioritisation project,</w:t>
      </w:r>
      <w:r w:rsidRPr="009B2A2E" w:rsidDel="00F94E6C">
        <w:t xml:space="preserve"> </w:t>
      </w:r>
      <w:r>
        <w:t>confidential report.</w:t>
      </w:r>
    </w:p>
    <w:p w14:paraId="223BD469" w14:textId="1F1AA4B6" w:rsidR="00174635" w:rsidRPr="009B2A2E" w:rsidRDefault="00174635" w:rsidP="00174635">
      <w:pPr>
        <w:pStyle w:val="References"/>
      </w:pPr>
      <w:r w:rsidRPr="009B2A2E">
        <w:t>GA</w:t>
      </w:r>
      <w:r>
        <w:t xml:space="preserve"> (Geoscience Australia)</w:t>
      </w:r>
      <w:r w:rsidR="00EC4EE6">
        <w:t xml:space="preserve"> </w:t>
      </w:r>
      <w:r w:rsidR="008D2C70">
        <w:t>and</w:t>
      </w:r>
      <w:r w:rsidR="008D2C70" w:rsidRPr="008D2C70">
        <w:t xml:space="preserve"> BREE (Bureau of Resources and Energy Economics) </w:t>
      </w:r>
      <w:r w:rsidR="00EC4EE6" w:rsidRPr="008D2C70">
        <w:t>(2</w:t>
      </w:r>
      <w:r w:rsidRPr="008D2C70">
        <w:t>01</w:t>
      </w:r>
      <w:r w:rsidR="00B47C87">
        <w:t>4</w:t>
      </w:r>
      <w:r w:rsidR="005E1B62" w:rsidRPr="008D2C70">
        <w:t>)</w:t>
      </w:r>
      <w:r w:rsidR="005E1B62">
        <w:t xml:space="preserve"> </w:t>
      </w:r>
      <w:r w:rsidRPr="009B2A2E">
        <w:t xml:space="preserve">Australian </w:t>
      </w:r>
      <w:r w:rsidR="00B47C87">
        <w:t>Energy</w:t>
      </w:r>
      <w:r w:rsidRPr="009B2A2E">
        <w:t xml:space="preserve"> Resources Assessment (A</w:t>
      </w:r>
      <w:r w:rsidR="00B47C87">
        <w:t>ERA</w:t>
      </w:r>
      <w:r w:rsidRPr="009B2A2E">
        <w:t>)</w:t>
      </w:r>
      <w:r w:rsidR="00B47C87">
        <w:t>, 2</w:t>
      </w:r>
      <w:r w:rsidR="00B47C87" w:rsidRPr="00B47C87">
        <w:rPr>
          <w:vertAlign w:val="superscript"/>
        </w:rPr>
        <w:t>nd</w:t>
      </w:r>
      <w:r w:rsidR="00B47C87">
        <w:t xml:space="preserve"> edition, </w:t>
      </w:r>
      <w:r>
        <w:t>Geoscience Australia, Canberra.</w:t>
      </w:r>
      <w:r w:rsidR="00716CB7">
        <w:t xml:space="preserve"> Viewed 16/01/2018, &lt;</w:t>
      </w:r>
      <w:r w:rsidR="00716CB7" w:rsidRPr="00716CB7">
        <w:rPr>
          <w:rStyle w:val="Hyperlink"/>
        </w:rPr>
        <w:t>https://ecat.ga.gov.au/geonetwork/srv/eng/search#!fa6d674d-ecbb-6629-e044-00144fdd4fa6</w:t>
      </w:r>
      <w:r w:rsidR="00716CB7">
        <w:t>&gt;.</w:t>
      </w:r>
    </w:p>
    <w:p w14:paraId="4E9E54B2" w14:textId="06CA3F5A" w:rsidR="0075618D" w:rsidRDefault="0075618D" w:rsidP="0075618D">
      <w:pPr>
        <w:pStyle w:val="References"/>
      </w:pPr>
      <w:r>
        <w:t>GA (Geoscience Australia)</w:t>
      </w:r>
      <w:r w:rsidR="00EC4EE6">
        <w:t xml:space="preserve"> (2</w:t>
      </w:r>
      <w:r>
        <w:t>013</w:t>
      </w:r>
      <w:r w:rsidR="005E1B62">
        <w:t xml:space="preserve">) </w:t>
      </w:r>
      <w:r>
        <w:t>Australian Geolog</w:t>
      </w:r>
      <w:r w:rsidR="001E1604">
        <w:t>ical Provinces, 2013.01 edition. Viewed</w:t>
      </w:r>
      <w:r>
        <w:t xml:space="preserve"> </w:t>
      </w:r>
      <w:r w:rsidR="008B7BFD">
        <w:t>18/07/2017, &lt;</w:t>
      </w:r>
      <w:r w:rsidRPr="00D017DA">
        <w:rPr>
          <w:rStyle w:val="Hyperlink"/>
        </w:rPr>
        <w:t>www.ga.gov.au/metadata-gateway/metadata/record/74371</w:t>
      </w:r>
      <w:r w:rsidR="008B7BFD">
        <w:t>&gt;</w:t>
      </w:r>
      <w:r w:rsidR="000C32BC">
        <w:t>.</w:t>
      </w:r>
    </w:p>
    <w:p w14:paraId="223BD46A" w14:textId="6A70E88D" w:rsidR="00174635" w:rsidRDefault="00174635" w:rsidP="00174635">
      <w:pPr>
        <w:pStyle w:val="References"/>
      </w:pPr>
      <w:r>
        <w:t>GA (Geoscience Australia)</w:t>
      </w:r>
      <w:r w:rsidR="00EC4EE6">
        <w:t xml:space="preserve"> (2</w:t>
      </w:r>
      <w:r>
        <w:t>015</w:t>
      </w:r>
      <w:r w:rsidR="003F5C0F">
        <w:t>a</w:t>
      </w:r>
      <w:r w:rsidR="005E1B62">
        <w:t xml:space="preserve">) </w:t>
      </w:r>
      <w:r w:rsidRPr="00093164">
        <w:t>Oil and Gas Infrastructure</w:t>
      </w:r>
      <w:r w:rsidR="001E1604">
        <w:t xml:space="preserve">. Viewed </w:t>
      </w:r>
      <w:r w:rsidR="000C32BC">
        <w:t>16/01/2018,</w:t>
      </w:r>
      <w:r w:rsidR="008B7BFD">
        <w:t xml:space="preserve"> </w:t>
      </w:r>
      <w:r w:rsidR="001E1604">
        <w:t>&lt;</w:t>
      </w:r>
      <w:hyperlink r:id="rId101" w:history="1">
        <w:r w:rsidR="001E1604" w:rsidRPr="0065740D">
          <w:rPr>
            <w:rStyle w:val="Hyperlink"/>
          </w:rPr>
          <w:t>http://services.ga.gov.au/site_9/rest/services/Oil_Gas_Infrastructure/MapServer</w:t>
        </w:r>
      </w:hyperlink>
      <w:r w:rsidR="000C32BC">
        <w:rPr>
          <w:rStyle w:val="Hyperlink"/>
        </w:rPr>
        <w:t>&gt;.</w:t>
      </w:r>
    </w:p>
    <w:p w14:paraId="24F02C8E" w14:textId="46F4D5C3" w:rsidR="003F5C0F" w:rsidRDefault="003F5C0F" w:rsidP="00174635">
      <w:pPr>
        <w:pStyle w:val="References"/>
      </w:pPr>
      <w:r>
        <w:t>GA (Geoscience Australia)</w:t>
      </w:r>
      <w:r w:rsidR="00EC4EE6">
        <w:t xml:space="preserve"> (2</w:t>
      </w:r>
      <w:r>
        <w:t>015</w:t>
      </w:r>
      <w:r w:rsidR="00887B5E">
        <w:t>b</w:t>
      </w:r>
      <w:r w:rsidR="005E1B62">
        <w:t xml:space="preserve">) </w:t>
      </w:r>
      <w:r w:rsidRPr="00093164">
        <w:t xml:space="preserve">Oil and Gas </w:t>
      </w:r>
      <w:r>
        <w:t>p</w:t>
      </w:r>
      <w:r w:rsidR="001C3950">
        <w:t>latforms</w:t>
      </w:r>
      <w:r w:rsidR="001E1604">
        <w:t xml:space="preserve">. </w:t>
      </w:r>
      <w:r w:rsidR="001E1604" w:rsidRPr="000C32BC">
        <w:t xml:space="preserve">Viewed </w:t>
      </w:r>
      <w:r w:rsidR="000C32BC" w:rsidRPr="000C32BC">
        <w:t>16/01/2018</w:t>
      </w:r>
      <w:r w:rsidR="000C32BC">
        <w:t xml:space="preserve"> </w:t>
      </w:r>
      <w:r w:rsidR="001E1604">
        <w:t>&lt;</w:t>
      </w:r>
      <w:hyperlink r:id="rId102" w:anchor="!0a4a79dc-978a-0e89-e054-00144fdd4fa6" w:history="1">
        <w:r w:rsidR="00887B5E" w:rsidRPr="00743C84">
          <w:rPr>
            <w:rStyle w:val="Hyperlink"/>
          </w:rPr>
          <w:t>https://ecat.ga.gov.au/geonetwork/srv/eng/search#!0a4a79dc-978a-0e89-e054-00144fdd4fa6</w:t>
        </w:r>
      </w:hyperlink>
      <w:r w:rsidR="001E1604">
        <w:rPr>
          <w:rStyle w:val="Hyperlink"/>
        </w:rPr>
        <w:t>&gt;</w:t>
      </w:r>
      <w:r w:rsidR="000C32BC">
        <w:rPr>
          <w:rStyle w:val="Hyperlink"/>
        </w:rPr>
        <w:t>.</w:t>
      </w:r>
      <w:r w:rsidR="003102D0">
        <w:t xml:space="preserve"> </w:t>
      </w:r>
    </w:p>
    <w:p w14:paraId="23BFECFE" w14:textId="08895BE2" w:rsidR="004704E0" w:rsidRDefault="004704E0" w:rsidP="004704E0">
      <w:pPr>
        <w:pStyle w:val="References"/>
        <w:rPr>
          <w:rFonts w:eastAsiaTheme="minorHAnsi"/>
          <w:lang w:eastAsia="en-US"/>
        </w:rPr>
      </w:pPr>
      <w:r>
        <w:rPr>
          <w:rFonts w:eastAsiaTheme="minorHAnsi"/>
          <w:lang w:eastAsia="en-US"/>
        </w:rPr>
        <w:t>GHD</w:t>
      </w:r>
      <w:r w:rsidR="00EC4EE6">
        <w:rPr>
          <w:rFonts w:eastAsiaTheme="minorHAnsi"/>
          <w:lang w:eastAsia="en-US"/>
        </w:rPr>
        <w:t xml:space="preserve"> (2</w:t>
      </w:r>
      <w:r>
        <w:rPr>
          <w:rFonts w:eastAsiaTheme="minorHAnsi"/>
          <w:lang w:eastAsia="en-US"/>
        </w:rPr>
        <w:t>012</w:t>
      </w:r>
      <w:r w:rsidR="005E1B62">
        <w:rPr>
          <w:rFonts w:eastAsiaTheme="minorHAnsi"/>
          <w:lang w:eastAsia="en-US"/>
        </w:rPr>
        <w:t xml:space="preserve">) </w:t>
      </w:r>
      <w:r>
        <w:rPr>
          <w:rFonts w:eastAsiaTheme="minorHAnsi"/>
          <w:lang w:eastAsia="en-US"/>
        </w:rPr>
        <w:t>Victorian Aquifer Framework: Updates for Seamless Mapping of Aquifer Surfaces. Report prepared for the Victorian Department of Sustainability and Environment, May 2012.</w:t>
      </w:r>
    </w:p>
    <w:p w14:paraId="4316DFE6" w14:textId="11A4BCD2" w:rsidR="00BE0777" w:rsidRDefault="00BE0777" w:rsidP="00BE0777">
      <w:pPr>
        <w:pStyle w:val="References"/>
      </w:pPr>
      <w:r>
        <w:t>Goldie Divko L</w:t>
      </w:r>
      <w:r w:rsidR="005E1B62">
        <w:t>M</w:t>
      </w:r>
      <w:r w:rsidR="00EC4EE6">
        <w:t xml:space="preserve"> (2</w:t>
      </w:r>
      <w:r>
        <w:t>015</w:t>
      </w:r>
      <w:r w:rsidR="005E1B62">
        <w:t xml:space="preserve">) </w:t>
      </w:r>
      <w:r>
        <w:t>A review of gas prospectivity: Gippsland region. Department of Economic Development, Jobs, Transport and Resources. Melbourne, Victoria.</w:t>
      </w:r>
    </w:p>
    <w:p w14:paraId="116FC667" w14:textId="5CC8DB73" w:rsidR="004C71B8" w:rsidRDefault="004C71B8" w:rsidP="008A502D">
      <w:pPr>
        <w:pStyle w:val="References"/>
      </w:pPr>
      <w:r>
        <w:t>Goldstein B, Menpes S, Hill A, Wickham A, Alexander E, Jarosz M, Pepicelli D, Malavazos M, Staritski K, Taliangis P, Coda J, Hill D and Webb M</w:t>
      </w:r>
      <w:r w:rsidR="00EC4EE6">
        <w:t xml:space="preserve"> (2</w:t>
      </w:r>
      <w:r>
        <w:t>012</w:t>
      </w:r>
      <w:r w:rsidR="005E1B62">
        <w:t xml:space="preserve">) </w:t>
      </w:r>
      <w:r>
        <w:t xml:space="preserve">Roadmap for Unconventional Gas Projects in South Australia. Department for Manufacturing, Innovation, Trade, Resources and Energy, 267p. </w:t>
      </w:r>
      <w:r w:rsidR="001E1604">
        <w:t xml:space="preserve">Viewed </w:t>
      </w:r>
      <w:r w:rsidR="000C32BC">
        <w:t>18/01/2018,</w:t>
      </w:r>
      <w:r w:rsidR="000C32BC" w:rsidRPr="004C71B8">
        <w:t xml:space="preserve"> </w:t>
      </w:r>
      <w:r w:rsidR="001E1604">
        <w:t>&lt;</w:t>
      </w:r>
      <w:hyperlink r:id="rId103" w:history="1">
        <w:r w:rsidRPr="00EB72D7">
          <w:rPr>
            <w:rStyle w:val="Hyperlink"/>
          </w:rPr>
          <w:t>https://statedevelopment.sa.gov.au/resourcesUNPUBLISHED/unconventional-gas-projects</w:t>
        </w:r>
      </w:hyperlink>
      <w:r w:rsidR="001E1604">
        <w:t>&gt;</w:t>
      </w:r>
      <w:r w:rsidR="000C32BC">
        <w:t>.</w:t>
      </w:r>
    </w:p>
    <w:p w14:paraId="021E1215" w14:textId="77777777" w:rsidR="00CD07E1" w:rsidRDefault="00CD07E1" w:rsidP="00CD07E1">
      <w:pPr>
        <w:pStyle w:val="References"/>
      </w:pPr>
      <w:r>
        <w:t>Gravestock DI, Hibburt JE and Drexel JF (eds.) (1998) Petroleum geology of South Australia,</w:t>
      </w:r>
      <w:r>
        <w:rPr>
          <w:rStyle w:val="Italic"/>
        </w:rPr>
        <w:t xml:space="preserve"> </w:t>
      </w:r>
      <w:r>
        <w:t>Volume 4: Cooper Basin. South Australia Department of Industries and Resources, Report Book, 1998/9. Viewed 17/01/2018, &lt;</w:t>
      </w:r>
      <w:hyperlink r:id="rId104" w:tooltip="Department of State Development South Australia website" w:history="1">
        <w:r w:rsidRPr="00E03451">
          <w:rPr>
            <w:rStyle w:val="Hyperlink"/>
          </w:rPr>
          <w:t>https://sarigbasis.pir.sa.gov.au/WebtopEw/ws/samref/sarig1/image/DDD/PGSA004.pdf</w:t>
        </w:r>
      </w:hyperlink>
      <w:r>
        <w:rPr>
          <w:rStyle w:val="Hyperlink"/>
        </w:rPr>
        <w:t>&gt;.</w:t>
      </w:r>
    </w:p>
    <w:p w14:paraId="3B489824" w14:textId="2C829579" w:rsidR="008A502D" w:rsidRDefault="008A502D" w:rsidP="008A502D">
      <w:pPr>
        <w:pStyle w:val="References"/>
      </w:pPr>
      <w:r>
        <w:t>GSNSW (Geological Survey New South Wales)</w:t>
      </w:r>
      <w:r w:rsidR="00EC4EE6">
        <w:t xml:space="preserve"> (2</w:t>
      </w:r>
      <w:r>
        <w:t>0</w:t>
      </w:r>
      <w:r w:rsidR="00EC4EE6">
        <w:t>17)</w:t>
      </w:r>
      <w:r>
        <w:t xml:space="preserve"> </w:t>
      </w:r>
      <w:r w:rsidR="001C3950">
        <w:t>NSW seismic lines</w:t>
      </w:r>
      <w:r w:rsidR="009C0919">
        <w:t>. Viewed</w:t>
      </w:r>
      <w:r>
        <w:t xml:space="preserve"> </w:t>
      </w:r>
      <w:r w:rsidR="00343A2B">
        <w:t xml:space="preserve">11/08/2017, </w:t>
      </w:r>
      <w:r w:rsidR="009C0919">
        <w:t>&lt;</w:t>
      </w:r>
      <w:r w:rsidRPr="00714E8F">
        <w:rPr>
          <w:rStyle w:val="Hyperlink"/>
        </w:rPr>
        <w:t>https://geonetwork.geoscience.nsw.gov.au/geonetwork/srv/eng/catalog.search#/metadata/f8bff11246816b6d8f31305b0b66a7997ff6870b</w:t>
      </w:r>
      <w:r w:rsidR="00343A2B">
        <w:rPr>
          <w:rStyle w:val="Hyperlink"/>
        </w:rPr>
        <w:t>&gt;.</w:t>
      </w:r>
    </w:p>
    <w:p w14:paraId="223BD46F" w14:textId="561BBEA5" w:rsidR="00174635" w:rsidRDefault="00174635" w:rsidP="00174635">
      <w:pPr>
        <w:pStyle w:val="References"/>
      </w:pPr>
      <w:r>
        <w:t>GSV (Geological Survey Victoria)</w:t>
      </w:r>
      <w:r w:rsidR="00EC4EE6">
        <w:t xml:space="preserve"> (2</w:t>
      </w:r>
      <w:r>
        <w:t>009</w:t>
      </w:r>
      <w:r w:rsidR="005E1B62">
        <w:t xml:space="preserve">) </w:t>
      </w:r>
      <w:r>
        <w:t>The polygons depict the outline of 3D surveys. These outlines illustrate the survey outlines b</w:t>
      </w:r>
      <w:r w:rsidR="009C0919">
        <w:t>ut are not consistently defined. Viewed</w:t>
      </w:r>
      <w:r>
        <w:t xml:space="preserve"> </w:t>
      </w:r>
      <w:r w:rsidR="00343A2B">
        <w:t xml:space="preserve">11/08/2017, </w:t>
      </w:r>
      <w:r w:rsidR="00C074A3">
        <w:t>&lt;</w:t>
      </w:r>
      <w:hyperlink r:id="rId105" w:history="1">
        <w:r w:rsidRPr="00DA1EAB">
          <w:rPr>
            <w:rStyle w:val="Hyperlink"/>
          </w:rPr>
          <w:t>http://services.land.vic.gov.au/SpatialDatamart/viewMetadata.html?anzlicId=ANZVI0803002766&amp;extractionProviderId=1</w:t>
        </w:r>
      </w:hyperlink>
      <w:r w:rsidR="00343A2B">
        <w:rPr>
          <w:rStyle w:val="Hyperlink"/>
        </w:rPr>
        <w:t>&gt;.</w:t>
      </w:r>
    </w:p>
    <w:p w14:paraId="6510062A" w14:textId="027F35CF" w:rsidR="005049C5" w:rsidRDefault="005049C5" w:rsidP="005049C5">
      <w:pPr>
        <w:pStyle w:val="References"/>
      </w:pPr>
      <w:r>
        <w:t>GSV (Geological Survey Victoria)</w:t>
      </w:r>
      <w:r w:rsidR="00EC4EE6">
        <w:t xml:space="preserve"> (2</w:t>
      </w:r>
      <w:r>
        <w:t>017</w:t>
      </w:r>
      <w:r w:rsidR="001924EC">
        <w:t>a</w:t>
      </w:r>
      <w:r w:rsidR="005E1B62">
        <w:t xml:space="preserve">) </w:t>
      </w:r>
      <w:r>
        <w:t>Seismic Survey Lines - for</w:t>
      </w:r>
      <w:r w:rsidR="009C0919">
        <w:t xml:space="preserve"> Petroleum Industry Exploration. Viewed</w:t>
      </w:r>
      <w:r>
        <w:t xml:space="preserve"> </w:t>
      </w:r>
      <w:r w:rsidR="00343A2B">
        <w:t xml:space="preserve">1/08/2017, </w:t>
      </w:r>
      <w:r w:rsidR="001B3EB2">
        <w:t>&lt;</w:t>
      </w:r>
      <w:r w:rsidRPr="00D017DA">
        <w:rPr>
          <w:rStyle w:val="Hyperlink"/>
        </w:rPr>
        <w:t>https://www.data.vic.gov.au/data/dataset/seismic-survey-lines-for-petroleum-industry-exploration</w:t>
      </w:r>
      <w:r w:rsidR="001B3EB2">
        <w:rPr>
          <w:rStyle w:val="Hyperlink"/>
        </w:rPr>
        <w:t>&gt;</w:t>
      </w:r>
      <w:r w:rsidR="00343A2B">
        <w:t>.</w:t>
      </w:r>
    </w:p>
    <w:p w14:paraId="223BD470" w14:textId="5680D79C" w:rsidR="00174635" w:rsidRDefault="00174635" w:rsidP="00174635">
      <w:pPr>
        <w:pStyle w:val="References"/>
      </w:pPr>
      <w:r>
        <w:t>GSV (Geological Survey Victoria)</w:t>
      </w:r>
      <w:r w:rsidR="00EC4EE6">
        <w:t xml:space="preserve"> (2</w:t>
      </w:r>
      <w:r>
        <w:t>017</w:t>
      </w:r>
      <w:r w:rsidR="001924EC">
        <w:t>b</w:t>
      </w:r>
      <w:r w:rsidR="005E1B62">
        <w:t xml:space="preserve">) </w:t>
      </w:r>
      <w:r>
        <w:t>Petroleum Wells (from Minerals and Petroleum's DbMap database</w:t>
      </w:r>
      <w:r w:rsidR="005E1B62">
        <w:t xml:space="preserve">) </w:t>
      </w:r>
      <w:r w:rsidR="001B3EB2">
        <w:t xml:space="preserve">Viewed </w:t>
      </w:r>
      <w:r w:rsidR="00343A2B">
        <w:t xml:space="preserve">11/08/2017, </w:t>
      </w:r>
      <w:r w:rsidR="001B3EB2">
        <w:t>&lt;</w:t>
      </w:r>
      <w:hyperlink r:id="rId106" w:history="1">
        <w:r w:rsidRPr="00DA1EAB">
          <w:rPr>
            <w:rStyle w:val="Hyperlink"/>
          </w:rPr>
          <w:t>http://services.land.vic.gov.au/SpatialDatamart/viewMetadata.html?anzlicId=ANZVI0803002954&amp;extractionProviderId=1</w:t>
        </w:r>
      </w:hyperlink>
      <w:r w:rsidR="001B3EB2">
        <w:rPr>
          <w:rStyle w:val="Hyperlink"/>
        </w:rPr>
        <w:t>&gt;</w:t>
      </w:r>
      <w:r w:rsidR="00343A2B">
        <w:rPr>
          <w:rStyle w:val="Hyperlink"/>
        </w:rPr>
        <w:t>.</w:t>
      </w:r>
    </w:p>
    <w:p w14:paraId="634BA4F8" w14:textId="4FEB76F7" w:rsidR="004C71B8" w:rsidRDefault="004C71B8" w:rsidP="004C71B8">
      <w:pPr>
        <w:pStyle w:val="References"/>
      </w:pPr>
      <w:r>
        <w:t>Hall LS, Hill A, Troup A, Korsch R, Radke B, Nicoll RS, Palu T, Wang L and Stacey A</w:t>
      </w:r>
      <w:r w:rsidR="00EC4EE6">
        <w:t xml:space="preserve"> (2</w:t>
      </w:r>
      <w:r>
        <w:t>015</w:t>
      </w:r>
      <w:r w:rsidR="005E1B62">
        <w:t xml:space="preserve">) </w:t>
      </w:r>
      <w:r>
        <w:t xml:space="preserve">Cooper Basin Architecture and Lithofacies: Regional Hydrocarbon Prospectivity of the Cooper Basin, Part 1. Record 2015/31. Geoscience Australia, Canberra. </w:t>
      </w:r>
      <w:r w:rsidR="00343A2B">
        <w:t xml:space="preserve">Viewed 11/08/2017, </w:t>
      </w:r>
      <w:r w:rsidR="001B3EB2">
        <w:t>&lt;</w:t>
      </w:r>
      <w:hyperlink r:id="rId107" w:history="1">
        <w:r w:rsidRPr="00E03451">
          <w:rPr>
            <w:rStyle w:val="Hyperlink"/>
          </w:rPr>
          <w:t>http://dx.doi.org/10.11636/Record.2015.031</w:t>
        </w:r>
      </w:hyperlink>
      <w:r w:rsidR="001B3EB2">
        <w:rPr>
          <w:rStyle w:val="Hyperlink"/>
        </w:rPr>
        <w:t>&gt;</w:t>
      </w:r>
      <w:r w:rsidR="00343A2B">
        <w:t>.</w:t>
      </w:r>
    </w:p>
    <w:p w14:paraId="5FF161A5" w14:textId="4E2F9E88" w:rsidR="004C71B8" w:rsidRDefault="004C71B8" w:rsidP="004C71B8">
      <w:pPr>
        <w:pStyle w:val="References"/>
      </w:pPr>
      <w:r>
        <w:t>Hall LS, Boreham CJ, Edwards DS, Palu TJ, Buckler T, Hill A, and Troup A.</w:t>
      </w:r>
      <w:r w:rsidR="00EC4EE6">
        <w:t xml:space="preserve"> (2</w:t>
      </w:r>
      <w:r>
        <w:t>016a</w:t>
      </w:r>
      <w:r w:rsidR="005E1B62">
        <w:t xml:space="preserve">) </w:t>
      </w:r>
      <w:r>
        <w:t xml:space="preserve">Cooper Basin Source Rock Geochemistry: Regional Hydrocarbon Prospectivity of the Cooper Basin, Part 2. Record 2016/06. Geoscience Australia, Canberra. </w:t>
      </w:r>
      <w:r w:rsidR="00343A2B">
        <w:t xml:space="preserve">Viewed 11/08/2017, </w:t>
      </w:r>
      <w:r w:rsidR="001B3EB2">
        <w:t>&lt;</w:t>
      </w:r>
      <w:hyperlink r:id="rId108" w:history="1">
        <w:r w:rsidRPr="00E03451">
          <w:rPr>
            <w:rStyle w:val="Hyperlink"/>
          </w:rPr>
          <w:t>http://dx.doi.org/10.11636/Record.2016.006</w:t>
        </w:r>
      </w:hyperlink>
      <w:r w:rsidR="001B3EB2">
        <w:rPr>
          <w:rStyle w:val="Hyperlink"/>
        </w:rPr>
        <w:t>&gt;</w:t>
      </w:r>
      <w:r w:rsidR="00343A2B">
        <w:t>.</w:t>
      </w:r>
    </w:p>
    <w:p w14:paraId="6D187FF2" w14:textId="4045DA66" w:rsidR="004C71B8" w:rsidRPr="004C71B8" w:rsidRDefault="004C71B8" w:rsidP="004C71B8">
      <w:pPr>
        <w:pStyle w:val="References"/>
      </w:pPr>
      <w:r>
        <w:t xml:space="preserve">Hall LS, Palu TJ, Murray AP, Boreham CJ, Edwards DS, Hill </w:t>
      </w:r>
      <w:r w:rsidR="001B3EB2">
        <w:t>A</w:t>
      </w:r>
      <w:r>
        <w:t xml:space="preserve">J and Troup A </w:t>
      </w:r>
      <w:r w:rsidR="005E1B62">
        <w:t>(</w:t>
      </w:r>
      <w:r>
        <w:t>2016b</w:t>
      </w:r>
      <w:r w:rsidR="005E1B62">
        <w:t xml:space="preserve">) </w:t>
      </w:r>
      <w:r>
        <w:t xml:space="preserve">Petroleum Systems Modelling of Cooper Basin: Regional Hydrocarbon Prospectivity of the Cooper Basin, Part 3. Record 2016/29. Geoscience Australia, Canberra. </w:t>
      </w:r>
      <w:r w:rsidR="00343A2B">
        <w:t xml:space="preserve">Viewed 11/08/2017, </w:t>
      </w:r>
      <w:r w:rsidR="001B3EB2">
        <w:t>&lt;</w:t>
      </w:r>
      <w:hyperlink r:id="rId109" w:history="1">
        <w:r w:rsidRPr="00E03451">
          <w:rPr>
            <w:rStyle w:val="Hyperlink"/>
          </w:rPr>
          <w:t>http://dx.doi.org/10.11636/Record.2016.029</w:t>
        </w:r>
      </w:hyperlink>
      <w:r w:rsidR="00343A2B">
        <w:rPr>
          <w:rStyle w:val="Hyperlink"/>
        </w:rPr>
        <w:t>&gt;.</w:t>
      </w:r>
    </w:p>
    <w:p w14:paraId="223BD471" w14:textId="4E5A7051" w:rsidR="00174635" w:rsidRDefault="00174635" w:rsidP="00174635">
      <w:pPr>
        <w:pStyle w:val="References"/>
      </w:pPr>
      <w:r>
        <w:t>Hutchison</w:t>
      </w:r>
      <w:r w:rsidR="000E249E">
        <w:t xml:space="preserve"> MF, Stein JL, </w:t>
      </w:r>
      <w:r w:rsidR="009410F0">
        <w:t xml:space="preserve">Stein JA, </w:t>
      </w:r>
      <w:r w:rsidR="000E249E">
        <w:t>Anderson H and Tickle PK</w:t>
      </w:r>
      <w:r w:rsidR="00EC4EE6">
        <w:t xml:space="preserve"> (2</w:t>
      </w:r>
      <w:r>
        <w:t>008</w:t>
      </w:r>
      <w:r w:rsidR="005E1B62">
        <w:t xml:space="preserve">) </w:t>
      </w:r>
      <w:r w:rsidRPr="00AF7D33">
        <w:t>GEODATA 9 second DEM and D8: Digital Elevation Model Version 3 and Flow Direction Grid 2008</w:t>
      </w:r>
      <w:r w:rsidR="001B3EB2">
        <w:t>. Viewed</w:t>
      </w:r>
      <w:r>
        <w:t xml:space="preserve"> </w:t>
      </w:r>
      <w:r w:rsidR="00343A2B">
        <w:t xml:space="preserve">16/01/2018, </w:t>
      </w:r>
      <w:r w:rsidR="001B3EB2">
        <w:t>&lt;</w:t>
      </w:r>
      <w:hyperlink r:id="rId110" w:anchor="!a05f7892-d78f-7506-e044-00144fdd4fa6" w:history="1">
        <w:r w:rsidRPr="00457DF5">
          <w:rPr>
            <w:rStyle w:val="Hyperlink"/>
          </w:rPr>
          <w:t>https://ecat.ga.gov.au/geonetwork/srv/eng/search#!a05f7892-d78f-7506-e044-00144fdd4fa6</w:t>
        </w:r>
      </w:hyperlink>
      <w:r w:rsidR="001B3EB2">
        <w:rPr>
          <w:rStyle w:val="Hyperlink"/>
        </w:rPr>
        <w:t>&gt;</w:t>
      </w:r>
      <w:r>
        <w:t xml:space="preserve"> </w:t>
      </w:r>
    </w:p>
    <w:p w14:paraId="223BD472" w14:textId="4536DBA3" w:rsidR="00174635" w:rsidRDefault="00174635" w:rsidP="00174635">
      <w:pPr>
        <w:pStyle w:val="References"/>
      </w:pPr>
      <w:r>
        <w:t>Jacobson G and Lau J</w:t>
      </w:r>
      <w:r w:rsidR="00EC4EE6">
        <w:t>E</w:t>
      </w:r>
      <w:r>
        <w:t xml:space="preserve"> </w:t>
      </w:r>
      <w:r w:rsidR="00EC4EE6">
        <w:t>(</w:t>
      </w:r>
      <w:r>
        <w:t>1987</w:t>
      </w:r>
      <w:r w:rsidR="005E1B62">
        <w:t xml:space="preserve">) </w:t>
      </w:r>
      <w:r>
        <w:t xml:space="preserve">Hydrogeology of </w:t>
      </w:r>
      <w:r w:rsidR="001B3EB2">
        <w:t>Australia, Geoscience Australia. Viewed</w:t>
      </w:r>
      <w:r>
        <w:t xml:space="preserve"> </w:t>
      </w:r>
      <w:r w:rsidR="00343A2B">
        <w:t xml:space="preserve">10/07/2017, </w:t>
      </w:r>
      <w:r w:rsidR="001B3EB2">
        <w:t>&lt;</w:t>
      </w:r>
      <w:hyperlink r:id="rId111" w:anchor="!a05f7892-72bf-7506-e044-00144fdd4fa6" w:history="1">
        <w:r w:rsidRPr="00DA1EAB">
          <w:rPr>
            <w:rStyle w:val="Hyperlink"/>
          </w:rPr>
          <w:t>https://ecat.ga.gov.au/geonetwork/srv/eng/search#!a05f7892-72bf-7506-e044-00144fdd4fa6</w:t>
        </w:r>
      </w:hyperlink>
      <w:r w:rsidR="001B3EB2">
        <w:rPr>
          <w:rStyle w:val="Hyperlink"/>
        </w:rPr>
        <w:t>&gt;</w:t>
      </w:r>
      <w:r w:rsidR="00343A2B">
        <w:rPr>
          <w:rStyle w:val="Hyperlink"/>
        </w:rPr>
        <w:t>.</w:t>
      </w:r>
    </w:p>
    <w:p w14:paraId="09A35FB0" w14:textId="70D85E6C" w:rsidR="004C71B8" w:rsidRDefault="004C71B8" w:rsidP="004C71B8">
      <w:pPr>
        <w:pStyle w:val="References"/>
      </w:pPr>
      <w:r>
        <w:t>Jell PA (ed.)</w:t>
      </w:r>
      <w:r w:rsidR="00EC4EE6">
        <w:t xml:space="preserve"> (2</w:t>
      </w:r>
      <w:r>
        <w:t>013</w:t>
      </w:r>
      <w:r w:rsidR="005E1B62">
        <w:t xml:space="preserve">) </w:t>
      </w:r>
      <w:r>
        <w:t>Geology of Queensland. Geological Survey of Queensland, Brisbane.</w:t>
      </w:r>
    </w:p>
    <w:p w14:paraId="31D573F7" w14:textId="7CBBD9B3" w:rsidR="00A36561" w:rsidRDefault="00174635" w:rsidP="00174635">
      <w:pPr>
        <w:pStyle w:val="References"/>
      </w:pPr>
      <w:r>
        <w:t>Jemena</w:t>
      </w:r>
      <w:r w:rsidR="00EC4EE6">
        <w:t xml:space="preserve"> (2</w:t>
      </w:r>
      <w:r>
        <w:t>0</w:t>
      </w:r>
      <w:r w:rsidR="00EC4EE6">
        <w:t>17</w:t>
      </w:r>
      <w:r w:rsidR="005E1B62">
        <w:t xml:space="preserve">) </w:t>
      </w:r>
      <w:r>
        <w:t>Northern gas pipeline.</w:t>
      </w:r>
      <w:r w:rsidR="001B3EB2">
        <w:t xml:space="preserve"> Viewed</w:t>
      </w:r>
      <w:r>
        <w:t xml:space="preserve"> </w:t>
      </w:r>
      <w:r w:rsidR="001E0EFE">
        <w:t xml:space="preserve">16/01/2018, </w:t>
      </w:r>
      <w:r w:rsidR="001B3EB2">
        <w:t>&lt;</w:t>
      </w:r>
      <w:hyperlink r:id="rId112" w:history="1">
        <w:r w:rsidRPr="00165029">
          <w:rPr>
            <w:rStyle w:val="Hyperlink"/>
          </w:rPr>
          <w:t>http://jemena.com.au/industry/pipelines/northern-gas-pipeline</w:t>
        </w:r>
      </w:hyperlink>
      <w:r w:rsidR="001B3EB2">
        <w:rPr>
          <w:rStyle w:val="Hyperlink"/>
        </w:rPr>
        <w:t>&gt;</w:t>
      </w:r>
      <w:r w:rsidR="001E0EFE">
        <w:rPr>
          <w:rStyle w:val="Hyperlink"/>
        </w:rPr>
        <w:t>.</w:t>
      </w:r>
    </w:p>
    <w:p w14:paraId="69C6D77A" w14:textId="24E4423E" w:rsidR="00F47FB1" w:rsidRPr="00A10F78" w:rsidRDefault="00F47FB1" w:rsidP="00F47FB1">
      <w:pPr>
        <w:pStyle w:val="References"/>
      </w:pPr>
      <w:r w:rsidRPr="00A10F78">
        <w:t>Korsch RJ and Totterdell JM (eds)</w:t>
      </w:r>
      <w:r w:rsidR="00EC4EE6">
        <w:t xml:space="preserve"> (2</w:t>
      </w:r>
      <w:r w:rsidRPr="00A10F78">
        <w:t>009</w:t>
      </w:r>
      <w:r w:rsidR="005E1B62">
        <w:t xml:space="preserve">) </w:t>
      </w:r>
      <w:r w:rsidRPr="00A10F78">
        <w:t>Evolution of the Bowen, Gunnedah and Surat basins, eastern Australia (Thematic Issue</w:t>
      </w:r>
      <w:r w:rsidR="005E1B62">
        <w:t xml:space="preserve">) </w:t>
      </w:r>
      <w:r w:rsidRPr="00A10F78">
        <w:t xml:space="preserve">Australian Journal of Earth Sciences, </w:t>
      </w:r>
      <w:r w:rsidR="00A272A7">
        <w:t>v. 56 n.3</w:t>
      </w:r>
      <w:r w:rsidRPr="00A10F78">
        <w:t>.</w:t>
      </w:r>
    </w:p>
    <w:p w14:paraId="4584F0F8" w14:textId="755B885C" w:rsidR="00444E85" w:rsidRDefault="00444E85" w:rsidP="00444E85">
      <w:pPr>
        <w:pStyle w:val="References"/>
      </w:pPr>
      <w:r>
        <w:rPr>
          <w:lang w:val="en-US"/>
        </w:rPr>
        <w:t>Krassay AA, Cathro DL and Ryan DJ</w:t>
      </w:r>
      <w:r w:rsidR="00EC4EE6">
        <w:rPr>
          <w:lang w:val="en-US"/>
        </w:rPr>
        <w:t xml:space="preserve"> (2</w:t>
      </w:r>
      <w:r>
        <w:rPr>
          <w:lang w:val="en-US"/>
        </w:rPr>
        <w:t>004</w:t>
      </w:r>
      <w:r w:rsidR="005E1B62">
        <w:rPr>
          <w:lang w:val="en-US"/>
        </w:rPr>
        <w:t xml:space="preserve">) </w:t>
      </w:r>
      <w:r>
        <w:rPr>
          <w:lang w:val="en-US"/>
        </w:rPr>
        <w:t xml:space="preserve">A regional tectonostratigraphic framework for the Otway Basin. </w:t>
      </w:r>
      <w:r>
        <w:t>In: Boult PJ, Johns DR and Lang SC (</w:t>
      </w:r>
      <w:r w:rsidR="001B3EB2">
        <w:t>ed</w:t>
      </w:r>
      <w:r>
        <w:t>s), Eastern Australasian Basins Symposium II. Petroleum Exploration Society of Australia, Special Publication, 97–116.</w:t>
      </w:r>
    </w:p>
    <w:p w14:paraId="1464C991" w14:textId="53AD3733" w:rsidR="00551FA4" w:rsidRPr="00551FA4" w:rsidRDefault="00551FA4" w:rsidP="00551FA4">
      <w:pPr>
        <w:pStyle w:val="References"/>
      </w:pPr>
      <w:r w:rsidRPr="000E4EFC">
        <w:t>Independent Scientific Panel Inquiry into Hydraulic Fracture Stimulation in Western Australia</w:t>
      </w:r>
      <w:r w:rsidR="00EC4EE6">
        <w:t xml:space="preserve"> (2</w:t>
      </w:r>
      <w:r w:rsidRPr="000E4EFC">
        <w:t>017</w:t>
      </w:r>
      <w:r w:rsidR="005E1B62">
        <w:t>)</w:t>
      </w:r>
      <w:r w:rsidR="001107E1">
        <w:t>.</w:t>
      </w:r>
      <w:r w:rsidR="005E1B62">
        <w:t xml:space="preserve"> </w:t>
      </w:r>
      <w:r w:rsidR="001B3EB2">
        <w:t xml:space="preserve">Viewed </w:t>
      </w:r>
      <w:r w:rsidR="001E0EFE">
        <w:t xml:space="preserve">18/01/2017, </w:t>
      </w:r>
      <w:r w:rsidR="001B3EB2">
        <w:t>&lt;</w:t>
      </w:r>
      <w:hyperlink r:id="rId113" w:history="1">
        <w:r w:rsidRPr="000E4EFC">
          <w:rPr>
            <w:rStyle w:val="Hyperlink"/>
          </w:rPr>
          <w:t>https://frackinginquiry.wa.gov.au/</w:t>
        </w:r>
      </w:hyperlink>
      <w:r w:rsidR="001B3EB2">
        <w:rPr>
          <w:rStyle w:val="Hyperlink"/>
        </w:rPr>
        <w:t>&gt;</w:t>
      </w:r>
      <w:r w:rsidR="001E0EFE">
        <w:rPr>
          <w:rStyle w:val="Hyperlink"/>
        </w:rPr>
        <w:t>.</w:t>
      </w:r>
    </w:p>
    <w:p w14:paraId="3969AAD4" w14:textId="525C52D9" w:rsidR="00B85CAD" w:rsidRPr="000350BE" w:rsidRDefault="00B85CAD" w:rsidP="00B85CAD">
      <w:pPr>
        <w:pStyle w:val="References"/>
      </w:pPr>
      <w:r>
        <w:t>Lakes Oil</w:t>
      </w:r>
      <w:r w:rsidR="00EC4EE6">
        <w:t xml:space="preserve"> (2</w:t>
      </w:r>
      <w:r>
        <w:t>0</w:t>
      </w:r>
      <w:r w:rsidR="00EC4EE6">
        <w:t>17)</w:t>
      </w:r>
      <w:r>
        <w:t xml:space="preserve"> Onshore Gippsland Basin Permits</w:t>
      </w:r>
      <w:r w:rsidR="001E0EFE">
        <w:t>. Viewed</w:t>
      </w:r>
      <w:r w:rsidR="001B3EB2">
        <w:t xml:space="preserve"> </w:t>
      </w:r>
      <w:r w:rsidR="001E0EFE">
        <w:t xml:space="preserve">26/07/2017, </w:t>
      </w:r>
      <w:r w:rsidR="001B3EB2">
        <w:t>&lt;</w:t>
      </w:r>
      <w:hyperlink r:id="rId114" w:history="1">
        <w:r w:rsidRPr="0022303B">
          <w:rPr>
            <w:rStyle w:val="Hyperlink"/>
          </w:rPr>
          <w:t>http://www.lakesoil.com.au/index.php/permits/onshore-gippsland-basin-vic</w:t>
        </w:r>
      </w:hyperlink>
      <w:r w:rsidR="001B3EB2">
        <w:t>&gt;</w:t>
      </w:r>
      <w:r w:rsidR="001E0EFE">
        <w:t>.</w:t>
      </w:r>
    </w:p>
    <w:p w14:paraId="223BD473" w14:textId="22F94628" w:rsidR="00174635" w:rsidRDefault="001B3EB2" w:rsidP="00174635">
      <w:pPr>
        <w:pStyle w:val="References"/>
      </w:pPr>
      <w:r>
        <w:t>Lau JE</w:t>
      </w:r>
      <w:r w:rsidR="00EC4EE6">
        <w:t xml:space="preserve"> and Jacobson G (</w:t>
      </w:r>
      <w:r w:rsidR="00A36561" w:rsidRPr="00A36561">
        <w:t>1991</w:t>
      </w:r>
      <w:r w:rsidR="005E1B62">
        <w:t xml:space="preserve">) </w:t>
      </w:r>
      <w:r w:rsidR="00A36561" w:rsidRPr="00A36561">
        <w:t>Aquifer characteristics and groundwater resources o</w:t>
      </w:r>
      <w:r>
        <w:t>f the Amadeus Basin. In: Korsch</w:t>
      </w:r>
      <w:r w:rsidR="00B37B14">
        <w:t xml:space="preserve"> RJ and Kennard JM</w:t>
      </w:r>
      <w:r w:rsidR="00A36561" w:rsidRPr="00A36561">
        <w:t xml:space="preserve"> (</w:t>
      </w:r>
      <w:r w:rsidR="0028520A">
        <w:t>e</w:t>
      </w:r>
      <w:r w:rsidR="00A36561" w:rsidRPr="00A36561">
        <w:t>ds</w:t>
      </w:r>
      <w:r w:rsidR="005E1B62">
        <w:t xml:space="preserve">) </w:t>
      </w:r>
      <w:r w:rsidR="00A36561" w:rsidRPr="00A36561">
        <w:t>Geological and geophysical studies of the Amadeus Basin. Bureau of Mineral Resources, Australia, Bulletin</w:t>
      </w:r>
      <w:r>
        <w:t xml:space="preserve"> </w:t>
      </w:r>
      <w:r w:rsidR="00EC4EE6">
        <w:t>2</w:t>
      </w:r>
      <w:r w:rsidR="00A36561" w:rsidRPr="00A36561">
        <w:t>36, pp. 563-580</w:t>
      </w:r>
      <w:r w:rsidR="00A36561">
        <w:t>.</w:t>
      </w:r>
    </w:p>
    <w:p w14:paraId="31F7D377" w14:textId="69389EDC" w:rsidR="00931CEB" w:rsidRPr="000350BE" w:rsidRDefault="00931CEB" w:rsidP="00931CEB">
      <w:pPr>
        <w:pStyle w:val="References"/>
      </w:pPr>
      <w:r>
        <w:t>Leonard JG</w:t>
      </w:r>
      <w:r w:rsidR="00EC4EE6">
        <w:t xml:space="preserve"> (2</w:t>
      </w:r>
      <w:r>
        <w:t>00</w:t>
      </w:r>
      <w:r w:rsidR="00EC4EE6">
        <w:t>3</w:t>
      </w:r>
      <w:r w:rsidR="005E1B62">
        <w:t xml:space="preserve">) </w:t>
      </w:r>
      <w:r w:rsidR="00B37B14">
        <w:t>Groundwater, In: Birch WD</w:t>
      </w:r>
      <w:r>
        <w:t xml:space="preserve"> (ed.), Geology of Victoria, Geological Society of Australia, p. 521-531</w:t>
      </w:r>
      <w:r w:rsidR="001B3EB2">
        <w:t>.</w:t>
      </w:r>
    </w:p>
    <w:p w14:paraId="153F5C18" w14:textId="731676F4" w:rsidR="00144EAD" w:rsidRDefault="00144EAD" w:rsidP="00144EAD">
      <w:pPr>
        <w:pStyle w:val="References"/>
      </w:pPr>
      <w:r w:rsidRPr="00A74493">
        <w:t>Lloyd JW</w:t>
      </w:r>
      <w:r w:rsidR="007318B8">
        <w:t xml:space="preserve"> and</w:t>
      </w:r>
      <w:r w:rsidR="00B37B14">
        <w:t xml:space="preserve"> Jacobson G</w:t>
      </w:r>
      <w:r w:rsidR="00EC4EE6">
        <w:t xml:space="preserve"> (</w:t>
      </w:r>
      <w:r w:rsidRPr="00A74493">
        <w:t>1987</w:t>
      </w:r>
      <w:r w:rsidR="005E1B62">
        <w:t xml:space="preserve">) </w:t>
      </w:r>
      <w:r w:rsidRPr="00A74493">
        <w:t>The hydrogeology of the Amadeus Basin, Central Australia. Journal of Hydrology, 93 (1987), 1–24.</w:t>
      </w:r>
    </w:p>
    <w:p w14:paraId="39AB9AF5" w14:textId="3ACDC552" w:rsidR="00A36561" w:rsidRPr="00A36561" w:rsidRDefault="00B37B14" w:rsidP="00A36561">
      <w:pPr>
        <w:pStyle w:val="BodyText"/>
        <w:ind w:left="567" w:hanging="567"/>
      </w:pPr>
      <w:r>
        <w:t>Macqueen AD and Knott GG</w:t>
      </w:r>
      <w:r w:rsidR="00A36561" w:rsidRPr="00A36561">
        <w:t xml:space="preserve"> </w:t>
      </w:r>
      <w:r w:rsidR="00EC4EE6">
        <w:t>(</w:t>
      </w:r>
      <w:r w:rsidR="00A36561" w:rsidRPr="00A36561">
        <w:t>1982</w:t>
      </w:r>
      <w:r w:rsidR="005E1B62">
        <w:t xml:space="preserve">) </w:t>
      </w:r>
      <w:r w:rsidR="00A36561" w:rsidRPr="00A36561">
        <w:t>Groundwater in the north eastern part of the Amadeus Basin., Northern Territory Department of Transport and Works Water Division, Project 32</w:t>
      </w:r>
      <w:r w:rsidR="00A36561">
        <w:t>.</w:t>
      </w:r>
    </w:p>
    <w:p w14:paraId="223BD475" w14:textId="3FE9711E" w:rsidR="00174635" w:rsidRPr="00F94E6C" w:rsidRDefault="00174635" w:rsidP="00174635">
      <w:pPr>
        <w:pStyle w:val="References"/>
      </w:pPr>
      <w:r w:rsidRPr="00150F31">
        <w:t xml:space="preserve">Magoon LB. and </w:t>
      </w:r>
      <w:r w:rsidR="00B37B14">
        <w:t>Dow WG</w:t>
      </w:r>
      <w:r w:rsidRPr="005049C5">
        <w:t xml:space="preserve"> </w:t>
      </w:r>
      <w:r w:rsidR="00EC4EE6">
        <w:t>(</w:t>
      </w:r>
      <w:r w:rsidRPr="005049C5">
        <w:t>1994</w:t>
      </w:r>
      <w:r w:rsidR="005E1B62">
        <w:t xml:space="preserve">) </w:t>
      </w:r>
      <w:r w:rsidRPr="005049C5">
        <w:t>The Petroleum System. In: Magoon LB and Dow WG (eds), The Petroleum System – From Source to Trap, AAPG Memoir 60, 3–24.McCabe, P.J., 1998. Energy resources—Cornucopia or empty barrel? American Association of Petroleum Geologists Bulletin, v. 82, (11)</w:t>
      </w:r>
      <w:r w:rsidR="00EC4EE6">
        <w:t>, 2</w:t>
      </w:r>
      <w:r w:rsidRPr="005049C5">
        <w:t>110–2134.</w:t>
      </w:r>
    </w:p>
    <w:p w14:paraId="3B521747" w14:textId="3778DB3B" w:rsidR="00903CA1" w:rsidRDefault="00EC4EE6" w:rsidP="00903CA1">
      <w:pPr>
        <w:pStyle w:val="References"/>
      </w:pPr>
      <w:r>
        <w:t>McCabe PJ</w:t>
      </w:r>
      <w:r w:rsidR="00903CA1">
        <w:t xml:space="preserve"> </w:t>
      </w:r>
      <w:r>
        <w:t>(</w:t>
      </w:r>
      <w:r w:rsidR="00903CA1">
        <w:t>1998</w:t>
      </w:r>
      <w:r w:rsidR="005E1B62">
        <w:t xml:space="preserve">) </w:t>
      </w:r>
      <w:r w:rsidR="00903CA1">
        <w:t>Energy resources—Cornucopia or empty barrel?: American Association of Petroleum Geologists Bulletin, v. 82, no. 11, p. 2110–2134.</w:t>
      </w:r>
    </w:p>
    <w:p w14:paraId="223BD476" w14:textId="19684AE3" w:rsidR="00174635" w:rsidRPr="00F94E6C" w:rsidRDefault="00174635" w:rsidP="00AE279D">
      <w:pPr>
        <w:pStyle w:val="References"/>
        <w:keepLines/>
      </w:pPr>
      <w:r w:rsidRPr="00F94E6C">
        <w:t>NHMRC (National Health and Medical Research Council) and NRMMC (National Resource Management Ministerial Council)</w:t>
      </w:r>
      <w:r w:rsidR="00EC4EE6">
        <w:t xml:space="preserve"> (2</w:t>
      </w:r>
      <w:r w:rsidRPr="00F94E6C">
        <w:t>011</w:t>
      </w:r>
      <w:r w:rsidR="005E1B62">
        <w:t xml:space="preserve">) </w:t>
      </w:r>
      <w:r w:rsidRPr="00F94E6C">
        <w:t>“Australian Drinking Water Guidelines: Paper 6”, National Water Quality Management Strategy, Version 3.3 Updated November 2016. Co-endorsed by the National Health and Medical Research Council and the National Resource Management Ministerial Council. Commonwealth of Australia, Canberra</w:t>
      </w:r>
      <w:r w:rsidR="001B3EB2">
        <w:t>. Viewed</w:t>
      </w:r>
      <w:r w:rsidR="005F6F81">
        <w:t xml:space="preserve"> </w:t>
      </w:r>
      <w:r w:rsidR="00B37B14">
        <w:t>07/07/</w:t>
      </w:r>
      <w:r w:rsidR="00B37B14" w:rsidRPr="00F94E6C">
        <w:t>2017</w:t>
      </w:r>
      <w:r w:rsidR="00B37B14">
        <w:t xml:space="preserve">, </w:t>
      </w:r>
      <w:r w:rsidR="001B3EB2">
        <w:t>&lt;</w:t>
      </w:r>
      <w:hyperlink r:id="rId115" w:history="1">
        <w:r w:rsidRPr="00F94E6C">
          <w:rPr>
            <w:rStyle w:val="Hyperlink"/>
          </w:rPr>
          <w:t>https://www.nhmrc.gov.au/_files_nhmrc/file/publications/nhmrc_adwg_6_version_3.3_2.pdf</w:t>
        </w:r>
      </w:hyperlink>
      <w:r w:rsidR="001B3EB2">
        <w:t>&gt;</w:t>
      </w:r>
      <w:r w:rsidR="00B37B14">
        <w:t>.</w:t>
      </w:r>
      <w:r w:rsidRPr="00F94E6C">
        <w:t xml:space="preserve"> </w:t>
      </w:r>
    </w:p>
    <w:p w14:paraId="3B316C10" w14:textId="1A605712" w:rsidR="00F47FB1" w:rsidRPr="000E4EFC" w:rsidRDefault="00EC4EE6" w:rsidP="00F47FB1">
      <w:pPr>
        <w:pStyle w:val="References"/>
      </w:pPr>
      <w:r>
        <w:t>Munson TJ (2</w:t>
      </w:r>
      <w:r w:rsidR="00F47FB1" w:rsidRPr="000E4EFC">
        <w:t>014</w:t>
      </w:r>
      <w:r w:rsidR="005E1B62">
        <w:t xml:space="preserve">) </w:t>
      </w:r>
      <w:r w:rsidR="00F47FB1" w:rsidRPr="00147CAE">
        <w:t>Petroleum geology and potential of the onshore Northern Territory, 2014</w:t>
      </w:r>
      <w:r w:rsidR="00F47FB1" w:rsidRPr="000E4EFC">
        <w:t>. Northern Territory Geological Survey, Report 22, 242 pp.</w:t>
      </w:r>
    </w:p>
    <w:p w14:paraId="223BD477" w14:textId="7ACDA3E9" w:rsidR="00174635" w:rsidRDefault="00EC4EE6" w:rsidP="00174635">
      <w:pPr>
        <w:pStyle w:val="References"/>
      </w:pPr>
      <w:r>
        <w:t>Nelson PH (2009</w:t>
      </w:r>
      <w:r w:rsidR="005E1B62">
        <w:t xml:space="preserve">) </w:t>
      </w:r>
      <w:r w:rsidR="00174635">
        <w:t>Pore-throat sizes in sandstones, tight sandstones and shales. AAPG Bulletin 93</w:t>
      </w:r>
      <w:r w:rsidR="00174635" w:rsidRPr="00645988">
        <w:t xml:space="preserve"> </w:t>
      </w:r>
      <w:r w:rsidR="00174635">
        <w:t>(</w:t>
      </w:r>
      <w:r w:rsidR="00174635" w:rsidRPr="00645988">
        <w:t>3), 329–340</w:t>
      </w:r>
      <w:r w:rsidR="00174635">
        <w:t xml:space="preserve">. </w:t>
      </w:r>
    </w:p>
    <w:p w14:paraId="78443176" w14:textId="2BDC3038" w:rsidR="007402A2" w:rsidRDefault="007402A2" w:rsidP="007402A2">
      <w:pPr>
        <w:pStyle w:val="References"/>
      </w:pPr>
      <w:r>
        <w:t>NNTT (National Native Title Tribunal)</w:t>
      </w:r>
      <w:r w:rsidR="00EC4EE6">
        <w:t xml:space="preserve"> (2017</w:t>
      </w:r>
      <w:r w:rsidR="005E1B62">
        <w:t xml:space="preserve">) </w:t>
      </w:r>
      <w:r>
        <w:t>Nati</w:t>
      </w:r>
      <w:r w:rsidR="001B3EB2">
        <w:t>ve Title Determination Outcomes. Viewed</w:t>
      </w:r>
      <w:r>
        <w:t xml:space="preserve"> </w:t>
      </w:r>
      <w:r w:rsidR="003F6D03">
        <w:t xml:space="preserve">7/07/2017, </w:t>
      </w:r>
      <w:r w:rsidR="001B3EB2">
        <w:t>&lt;</w:t>
      </w:r>
      <w:hyperlink r:id="rId116" w:history="1">
        <w:r w:rsidRPr="00DA1EAB">
          <w:rPr>
            <w:rStyle w:val="Hyperlink"/>
          </w:rPr>
          <w:t>http://www.ntv.nntt.gov.au/intramaps/download/download.asp</w:t>
        </w:r>
      </w:hyperlink>
      <w:r w:rsidR="001B3EB2">
        <w:rPr>
          <w:rStyle w:val="Hyperlink"/>
        </w:rPr>
        <w:t>&gt;</w:t>
      </w:r>
      <w:r w:rsidR="003F6D03">
        <w:rPr>
          <w:rStyle w:val="Hyperlink"/>
        </w:rPr>
        <w:t>.</w:t>
      </w:r>
    </w:p>
    <w:p w14:paraId="5D525C9B" w14:textId="6505BE71" w:rsidR="002462CA" w:rsidRDefault="002462CA" w:rsidP="002462CA">
      <w:pPr>
        <w:pStyle w:val="References"/>
        <w:rPr>
          <w:rStyle w:val="Hyperlink"/>
        </w:rPr>
      </w:pPr>
      <w:r>
        <w:t>NSW Government</w:t>
      </w:r>
      <w:r w:rsidR="00EC4EE6">
        <w:t xml:space="preserve"> (20</w:t>
      </w:r>
      <w:r>
        <w:t>12a</w:t>
      </w:r>
      <w:r w:rsidR="005E1B62">
        <w:t xml:space="preserve">) </w:t>
      </w:r>
      <w:r>
        <w:t xml:space="preserve">NSW Gas Plan: protecting what’s valuable, securing our future. </w:t>
      </w:r>
      <w:r w:rsidR="001B3EB2">
        <w:t xml:space="preserve">Viewed </w:t>
      </w:r>
      <w:r w:rsidR="003F6D03">
        <w:t xml:space="preserve">16/01/2018, </w:t>
      </w:r>
      <w:r w:rsidR="001B3EB2">
        <w:t>&lt;</w:t>
      </w:r>
      <w:hyperlink r:id="rId117" w:history="1">
        <w:r w:rsidRPr="00A576A0">
          <w:rPr>
            <w:rStyle w:val="Hyperlink"/>
          </w:rPr>
          <w:t>http://www.resourcesandenergy.nsw.gov.au/__data/assets/pdf_file/0005/534830/NSW-Gas-Plan.pdf</w:t>
        </w:r>
      </w:hyperlink>
      <w:r w:rsidR="001B3EB2">
        <w:rPr>
          <w:rStyle w:val="Hyperlink"/>
        </w:rPr>
        <w:t>&gt;</w:t>
      </w:r>
      <w:r w:rsidR="003F6D03">
        <w:rPr>
          <w:rStyle w:val="Hyperlink"/>
        </w:rPr>
        <w:t>.</w:t>
      </w:r>
    </w:p>
    <w:p w14:paraId="3BB7894A" w14:textId="4DE3FDA8" w:rsidR="002462CA" w:rsidRPr="002C2CD1" w:rsidRDefault="002462CA" w:rsidP="002462CA">
      <w:pPr>
        <w:pStyle w:val="References"/>
      </w:pPr>
      <w:r>
        <w:t>NSW Government</w:t>
      </w:r>
      <w:r w:rsidR="00EC4EE6">
        <w:t xml:space="preserve"> (20</w:t>
      </w:r>
      <w:r>
        <w:t>12b</w:t>
      </w:r>
      <w:r w:rsidR="005E1B62">
        <w:t xml:space="preserve">) </w:t>
      </w:r>
      <w:r>
        <w:t>Code of practice for coal seam gas: Fracture stimulation activities.</w:t>
      </w:r>
      <w:r w:rsidR="001B3EB2">
        <w:t xml:space="preserve"> Viewed</w:t>
      </w:r>
      <w:r>
        <w:t xml:space="preserve"> </w:t>
      </w:r>
      <w:r w:rsidR="003F6D03">
        <w:t xml:space="preserve">16/01/2018, </w:t>
      </w:r>
      <w:r w:rsidR="006523A6">
        <w:t>&lt;</w:t>
      </w:r>
      <w:hyperlink r:id="rId118" w:history="1">
        <w:r w:rsidR="003F6D03" w:rsidRPr="0065740D">
          <w:rPr>
            <w:rStyle w:val="Hyperlink"/>
          </w:rPr>
          <w:t>http://www.resourcesandenergy.nsw.gov.au/__data/assets/pdf_file/0018/516114/Code-of-Practice-for-Coal-Seam-Gas-Fracture-Stimulation.pdf</w:t>
        </w:r>
      </w:hyperlink>
      <w:r w:rsidR="006523A6">
        <w:rPr>
          <w:rStyle w:val="Hyperlink"/>
        </w:rPr>
        <w:t>&gt;</w:t>
      </w:r>
      <w:r w:rsidR="003F6D03">
        <w:t>.</w:t>
      </w:r>
    </w:p>
    <w:p w14:paraId="64A08513" w14:textId="2FEC04AC" w:rsidR="008A502D" w:rsidRDefault="008A502D" w:rsidP="008A502D">
      <w:pPr>
        <w:pStyle w:val="References"/>
      </w:pPr>
      <w:r w:rsidRPr="000E4EFC">
        <w:t>NTGS (Northern Territory Geological Survey)</w:t>
      </w:r>
      <w:r w:rsidR="00EC4EE6">
        <w:t xml:space="preserve"> (20</w:t>
      </w:r>
      <w:r w:rsidRPr="000E4EFC">
        <w:t>17</w:t>
      </w:r>
      <w:r>
        <w:t>a</w:t>
      </w:r>
      <w:r w:rsidR="005E1B62">
        <w:t xml:space="preserve">) </w:t>
      </w:r>
      <w:r w:rsidRPr="000E4EFC">
        <w:t>Geoscience exploration and mining information system (GEMIS) – Petroleum wells</w:t>
      </w:r>
      <w:r w:rsidR="001B3EB2">
        <w:t>. Viewed</w:t>
      </w:r>
      <w:r w:rsidRPr="00AA00C4">
        <w:t xml:space="preserve"> </w:t>
      </w:r>
      <w:r w:rsidR="003F6D03">
        <w:t xml:space="preserve">11/08/2017, </w:t>
      </w:r>
      <w:r w:rsidR="001B3EB2">
        <w:t>&lt;</w:t>
      </w:r>
      <w:hyperlink r:id="rId119" w:history="1">
        <w:r w:rsidRPr="000E4EFC">
          <w:rPr>
            <w:rStyle w:val="Hyperlink"/>
          </w:rPr>
          <w:t>http://www.geoscience.nt.gov.au/gemis/ntgsjspui/handle/1/79187</w:t>
        </w:r>
      </w:hyperlink>
      <w:r w:rsidR="001B3EB2">
        <w:rPr>
          <w:rStyle w:val="Hyperlink"/>
        </w:rPr>
        <w:t>&gt;</w:t>
      </w:r>
      <w:r w:rsidR="003F6D03">
        <w:rPr>
          <w:rStyle w:val="Hyperlink"/>
        </w:rPr>
        <w:t>.</w:t>
      </w:r>
      <w:r w:rsidR="00270090">
        <w:t xml:space="preserve"> </w:t>
      </w:r>
    </w:p>
    <w:p w14:paraId="7D1E1C3D" w14:textId="7CAE3E02" w:rsidR="008A502D" w:rsidRPr="005C209B" w:rsidRDefault="008A502D" w:rsidP="008A502D">
      <w:pPr>
        <w:pStyle w:val="References"/>
      </w:pPr>
      <w:r w:rsidRPr="000E4EFC">
        <w:t>NTGS (Northern Territory Geological Survey)</w:t>
      </w:r>
      <w:r w:rsidR="00EC4EE6">
        <w:t xml:space="preserve"> (20</w:t>
      </w:r>
      <w:r w:rsidRPr="000E4EFC">
        <w:t>17</w:t>
      </w:r>
      <w:r>
        <w:t>b</w:t>
      </w:r>
      <w:r w:rsidR="005E1B62">
        <w:t xml:space="preserve">) </w:t>
      </w:r>
      <w:r>
        <w:t>Northern Territory Statewide Geophysics – Seismic Lines</w:t>
      </w:r>
      <w:r w:rsidR="001B3EB2">
        <w:t xml:space="preserve">. Viewed </w:t>
      </w:r>
      <w:r w:rsidR="003F6D03">
        <w:t xml:space="preserve">11/08/2017, </w:t>
      </w:r>
      <w:r w:rsidR="001B3EB2">
        <w:t>&lt;</w:t>
      </w:r>
      <w:hyperlink r:id="rId120" w:history="1">
        <w:r w:rsidR="00270090" w:rsidRPr="002C6079">
          <w:rPr>
            <w:rStyle w:val="Hyperlink"/>
          </w:rPr>
          <w:t>http://www.ntlis.nt.gov.au/metadata/export_data?type=html&amp;metadata_id=FB25348A02CB16B2E040CD9B2144584B</w:t>
        </w:r>
      </w:hyperlink>
      <w:r w:rsidR="001B3EB2">
        <w:rPr>
          <w:rStyle w:val="Hyperlink"/>
        </w:rPr>
        <w:t>&gt;</w:t>
      </w:r>
      <w:r w:rsidR="003F6D03">
        <w:rPr>
          <w:rStyle w:val="Hyperlink"/>
        </w:rPr>
        <w:t>.</w:t>
      </w:r>
      <w:r w:rsidR="00270090">
        <w:t xml:space="preserve"> </w:t>
      </w:r>
    </w:p>
    <w:p w14:paraId="223BD47C" w14:textId="6560E219" w:rsidR="00176856" w:rsidRPr="00176856" w:rsidRDefault="00176856" w:rsidP="005E0FA1">
      <w:pPr>
        <w:pStyle w:val="References"/>
      </w:pPr>
      <w:r>
        <w:t>OGIA (</w:t>
      </w:r>
      <w:r w:rsidRPr="00176856">
        <w:t>Office of Groundwater Impact Assessment</w:t>
      </w:r>
      <w:r>
        <w:t>)</w:t>
      </w:r>
      <w:r w:rsidR="00EC4EE6">
        <w:t xml:space="preserve"> (20</w:t>
      </w:r>
      <w:r w:rsidRPr="00176856">
        <w:t>16</w:t>
      </w:r>
      <w:r w:rsidR="005E1B62">
        <w:t xml:space="preserve">) </w:t>
      </w:r>
      <w:r w:rsidRPr="00176856">
        <w:t>Department of Natural Resources Hydrogeological conceptualisation report for the Surat Cumulative Management Area August 2016</w:t>
      </w:r>
      <w:r>
        <w:t>.</w:t>
      </w:r>
    </w:p>
    <w:p w14:paraId="223BD47E" w14:textId="5416734D" w:rsidR="00174635" w:rsidRDefault="00174635" w:rsidP="00174635">
      <w:pPr>
        <w:pStyle w:val="References"/>
      </w:pPr>
      <w:r>
        <w:t>Origin Energy</w:t>
      </w:r>
      <w:r w:rsidR="00EC4EE6">
        <w:t xml:space="preserve"> (2017</w:t>
      </w:r>
      <w:r w:rsidR="005E1B62">
        <w:t xml:space="preserve">) </w:t>
      </w:r>
      <w:r>
        <w:t xml:space="preserve">Beetaloo Basin drilling results indicate material gas resources. </w:t>
      </w:r>
      <w:r w:rsidR="001B3EB2">
        <w:t xml:space="preserve">Viewed </w:t>
      </w:r>
      <w:r w:rsidR="005F3073">
        <w:t xml:space="preserve">16/01/2018, </w:t>
      </w:r>
      <w:r w:rsidR="001B3EB2">
        <w:t>&lt;</w:t>
      </w:r>
      <w:hyperlink r:id="rId121" w:history="1">
        <w:r w:rsidRPr="00401C5B">
          <w:rPr>
            <w:rStyle w:val="Hyperlink"/>
          </w:rPr>
          <w:t>https://www.originenergy.com.au/about/investors-media/media-centre/beetaloo-basin-drilling-results-indicate-material-gas-resource.html</w:t>
        </w:r>
      </w:hyperlink>
      <w:r w:rsidR="001B3EB2">
        <w:rPr>
          <w:rStyle w:val="Hyperlink"/>
        </w:rPr>
        <w:t>&gt;</w:t>
      </w:r>
      <w:r w:rsidR="005F3073">
        <w:t>.</w:t>
      </w:r>
    </w:p>
    <w:p w14:paraId="47B3076F" w14:textId="029C7455" w:rsidR="00144EAD" w:rsidRPr="00A74493" w:rsidRDefault="00144EAD" w:rsidP="00144EAD">
      <w:pPr>
        <w:pStyle w:val="References"/>
      </w:pPr>
      <w:r w:rsidRPr="00A74493">
        <w:t>Power and Water Corporation</w:t>
      </w:r>
      <w:r w:rsidR="00EC4EE6">
        <w:t xml:space="preserve"> (20</w:t>
      </w:r>
      <w:r w:rsidRPr="00A74493">
        <w:t>16</w:t>
      </w:r>
      <w:r w:rsidR="005E1B62">
        <w:t xml:space="preserve">) </w:t>
      </w:r>
      <w:r w:rsidRPr="00A74493">
        <w:t>Mereenie Aquifer Alice Springs: Frequently Asked Questions, Community and education</w:t>
      </w:r>
      <w:r w:rsidR="001B3EB2">
        <w:t>. Viewed</w:t>
      </w:r>
      <w:r w:rsidR="001C3950">
        <w:t xml:space="preserve"> </w:t>
      </w:r>
      <w:r w:rsidR="005F3073">
        <w:t xml:space="preserve">15/12/2017, </w:t>
      </w:r>
      <w:r w:rsidR="001B3EB2">
        <w:t>&lt;</w:t>
      </w:r>
      <w:hyperlink r:id="rId122" w:history="1">
        <w:r w:rsidRPr="00947AF2">
          <w:rPr>
            <w:rStyle w:val="Hyperlink"/>
          </w:rPr>
          <w:t>https://www.powerwater.com.au/community_and_education/mereenie_aquifer_alice_springs</w:t>
        </w:r>
      </w:hyperlink>
      <w:r w:rsidR="005F3073">
        <w:rPr>
          <w:rStyle w:val="Hyperlink"/>
        </w:rPr>
        <w:t>&gt;.</w:t>
      </w:r>
      <w:r w:rsidR="00270090">
        <w:t xml:space="preserve"> </w:t>
      </w:r>
    </w:p>
    <w:p w14:paraId="223BD47F" w14:textId="1C1E34D5" w:rsidR="00176856" w:rsidRDefault="00174635" w:rsidP="00174635">
      <w:pPr>
        <w:pStyle w:val="References"/>
        <w:rPr>
          <w:rStyle w:val="Hyperlink"/>
          <w:rFonts w:ascii="Helvetica" w:hAnsi="Helvetica" w:cs="Helvetica"/>
          <w:lang w:val="en-US"/>
        </w:rPr>
      </w:pPr>
      <w:r w:rsidRPr="00E70BDF">
        <w:t>PRMS</w:t>
      </w:r>
      <w:r w:rsidR="00EC4EE6">
        <w:t xml:space="preserve"> (2007</w:t>
      </w:r>
      <w:r w:rsidR="005E1B62">
        <w:t xml:space="preserve">) </w:t>
      </w:r>
      <w:r w:rsidRPr="00E70BDF">
        <w:t>Petroleum Resources Management System, published by Society of Petroleum Engineers, American Association of Petroleum Geologists, World Petroleum Council, and Society of Petrole</w:t>
      </w:r>
      <w:r w:rsidR="001B3EB2">
        <w:t xml:space="preserve">um Evaluation Engineers, 49 pp. Viewed </w:t>
      </w:r>
      <w:r w:rsidR="00BF37FE">
        <w:t>16/01/2018, &lt;</w:t>
      </w:r>
      <w:hyperlink r:id="rId123" w:history="1">
        <w:r w:rsidRPr="00270090">
          <w:rPr>
            <w:rStyle w:val="Hyperlink"/>
          </w:rPr>
          <w:t>http://www.spe.org/industry/docs/Petroleum_Resources_Management_System_2007.pdf</w:t>
        </w:r>
      </w:hyperlink>
      <w:r w:rsidR="00BF37FE">
        <w:rPr>
          <w:rStyle w:val="Hyperlink"/>
        </w:rPr>
        <w:t>&gt;.</w:t>
      </w:r>
      <w:r w:rsidR="001C3950">
        <w:t xml:space="preserve"> </w:t>
      </w:r>
    </w:p>
    <w:p w14:paraId="223BD480" w14:textId="1B7D420D" w:rsidR="00174635" w:rsidRPr="00E70BDF" w:rsidRDefault="00EC4EE6" w:rsidP="00174635">
      <w:pPr>
        <w:pStyle w:val="References"/>
      </w:pPr>
      <w:r>
        <w:t>Radke B, Ferguson J, Cresswell R, Ransley T and Habermehl M (20</w:t>
      </w:r>
      <w:r w:rsidR="00176856" w:rsidRPr="00176856">
        <w:t>00</w:t>
      </w:r>
      <w:r w:rsidR="005E1B62">
        <w:t xml:space="preserve">) </w:t>
      </w:r>
      <w:r w:rsidR="00176856" w:rsidRPr="00176856">
        <w:t>Hydrochemistry and implied hydrodynamics of the Cadna-owie – Hooray Aquifer, Great Artesian Basin. Bureau of Rural Sciences, Canberra.</w:t>
      </w:r>
    </w:p>
    <w:p w14:paraId="223BD481" w14:textId="713FBFEA" w:rsidR="002D31FD" w:rsidRDefault="00EC4EE6" w:rsidP="002D31FD">
      <w:pPr>
        <w:pStyle w:val="References"/>
        <w:rPr>
          <w:rStyle w:val="Hyperlink"/>
          <w:szCs w:val="20"/>
        </w:rPr>
      </w:pPr>
      <w:r>
        <w:t>Ransley TR, Radke BM, Feitz AJ, Kellett JR, Owens R, Bell J, Stewart G and Carey H (20</w:t>
      </w:r>
      <w:r w:rsidR="002D31FD">
        <w:t>15</w:t>
      </w:r>
      <w:r w:rsidR="005E1B62">
        <w:t xml:space="preserve">) </w:t>
      </w:r>
      <w:r w:rsidR="002D31FD">
        <w:t>Hydrogeological Atlas of the Great Artesian Basin.</w:t>
      </w:r>
      <w:r w:rsidR="001B3EB2">
        <w:t xml:space="preserve"> Geoscience Australia, Canberra.</w:t>
      </w:r>
      <w:r w:rsidR="002D31FD">
        <w:t xml:space="preserve"> </w:t>
      </w:r>
      <w:r w:rsidR="00E724F1">
        <w:t xml:space="preserve">Viewed 16/01/2018, </w:t>
      </w:r>
      <w:r w:rsidR="001B3EB2">
        <w:t>&lt;</w:t>
      </w:r>
      <w:hyperlink r:id="rId124" w:history="1">
        <w:r w:rsidR="002D31FD" w:rsidRPr="001C3950">
          <w:rPr>
            <w:rStyle w:val="Hyperlink"/>
          </w:rPr>
          <w:t>http://dx.doi.org/10.11636/9781925124668</w:t>
        </w:r>
      </w:hyperlink>
      <w:r w:rsidR="001B3EB2">
        <w:rPr>
          <w:rStyle w:val="Hyperlink"/>
        </w:rPr>
        <w:t>&gt;</w:t>
      </w:r>
      <w:r w:rsidR="00E724F1">
        <w:rPr>
          <w:rStyle w:val="Hyperlink"/>
        </w:rPr>
        <w:t>.</w:t>
      </w:r>
    </w:p>
    <w:p w14:paraId="223BD482" w14:textId="7D42DEE1" w:rsidR="00176856" w:rsidRDefault="00EC4EE6" w:rsidP="00174635">
      <w:pPr>
        <w:pStyle w:val="References"/>
      </w:pPr>
      <w:r>
        <w:t>Rassam D, Raiber M</w:t>
      </w:r>
      <w:r w:rsidR="00176856" w:rsidRPr="00176856">
        <w:t>, McJannet</w:t>
      </w:r>
      <w:r>
        <w:t xml:space="preserve"> D, Janardhanan S, Murray J, Gilfedder M, Cui T, Matveev V, Doody T, Hodgen M and Ahmad ME (20</w:t>
      </w:r>
      <w:r w:rsidR="00176856" w:rsidRPr="00176856">
        <w:t>14</w:t>
      </w:r>
      <w:r w:rsidR="005E1B62">
        <w:t xml:space="preserve">) </w:t>
      </w:r>
      <w:r w:rsidR="00176856" w:rsidRPr="00176856">
        <w:t>Context statement for the Clarence-Moreton bioregion. Product 1.1 from the Clarence-Moreton Bioregional Assessment. Department of the Environment, Bureau of Meteorology, CSIRO and Geoscience Australia, Australia.</w:t>
      </w:r>
    </w:p>
    <w:p w14:paraId="223BD483" w14:textId="5C091665" w:rsidR="00174635" w:rsidRPr="00AA00C4" w:rsidRDefault="00174635" w:rsidP="00174635">
      <w:pPr>
        <w:pStyle w:val="References"/>
      </w:pPr>
      <w:r w:rsidRPr="00AA00C4">
        <w:t>Ra</w:t>
      </w:r>
      <w:r w:rsidR="00EC4EE6">
        <w:t>ymond</w:t>
      </w:r>
      <w:r w:rsidRPr="009A5D99">
        <w:t xml:space="preserve"> O</w:t>
      </w:r>
      <w:r w:rsidR="00EC4EE6">
        <w:t>L</w:t>
      </w:r>
      <w:r w:rsidRPr="009A5D99">
        <w:t xml:space="preserve"> (Coordinator)</w:t>
      </w:r>
      <w:r w:rsidR="00EC4EE6">
        <w:t xml:space="preserve"> (20</w:t>
      </w:r>
      <w:r w:rsidRPr="009A5D99">
        <w:t>09</w:t>
      </w:r>
      <w:r w:rsidR="005E1B62">
        <w:t xml:space="preserve">) </w:t>
      </w:r>
      <w:r w:rsidRPr="009A5D99">
        <w:t>Surface geology of Australia 1:1 million scale digital geology data: Geoscience</w:t>
      </w:r>
      <w:r w:rsidR="001B3EB2">
        <w:t xml:space="preserve"> Australia, Digital Geology Map. Viewed </w:t>
      </w:r>
      <w:r w:rsidR="00E724F1">
        <w:t xml:space="preserve">16/01/2018, </w:t>
      </w:r>
      <w:r w:rsidR="001B3EB2">
        <w:t>&lt;</w:t>
      </w:r>
      <w:hyperlink r:id="rId125" w:tooltip="Link to Geoscience Australia website" w:history="1">
        <w:r w:rsidRPr="00AA00C4">
          <w:rPr>
            <w:rStyle w:val="Hyperlink"/>
          </w:rPr>
          <w:t>https://www.ga.gov.au/products/servlet/controller?event=GEOCAT_DETAILS&amp;catno=69455</w:t>
        </w:r>
      </w:hyperlink>
      <w:r w:rsidR="00E724F1">
        <w:rPr>
          <w:rStyle w:val="Hyperlink"/>
        </w:rPr>
        <w:t>&gt;.</w:t>
      </w:r>
      <w:r w:rsidR="005F6F81">
        <w:t xml:space="preserve">  </w:t>
      </w:r>
    </w:p>
    <w:p w14:paraId="337538F3" w14:textId="7F085A15" w:rsidR="008A502D" w:rsidRDefault="00EC4EE6" w:rsidP="008A502D">
      <w:pPr>
        <w:pStyle w:val="References"/>
      </w:pPr>
      <w:r>
        <w:t>Raymond OL, Gallagher R and Highet LM (20</w:t>
      </w:r>
      <w:r w:rsidR="008A502D">
        <w:t>12</w:t>
      </w:r>
      <w:r w:rsidR="005E1B62">
        <w:t xml:space="preserve">) </w:t>
      </w:r>
      <w:r w:rsidR="008A502D">
        <w:t>Surface geology of Australia, 1:2 500 00 scale, 2012 edition.</w:t>
      </w:r>
      <w:r w:rsidR="00E724F1">
        <w:t xml:space="preserve"> Geoscience Australia, Canberra</w:t>
      </w:r>
      <w:r w:rsidR="001B3EB2">
        <w:t>. Viewed</w:t>
      </w:r>
      <w:r w:rsidR="008A502D">
        <w:t xml:space="preserve"> </w:t>
      </w:r>
      <w:r w:rsidR="00E724F1">
        <w:t xml:space="preserve">16/01/2018, </w:t>
      </w:r>
      <w:r w:rsidR="001B3EB2">
        <w:t>&lt;</w:t>
      </w:r>
      <w:hyperlink r:id="rId126" w:anchor="!b4088aa1-f875-2444-e044-00144fdd4fa6" w:history="1">
        <w:r w:rsidR="008A502D" w:rsidRPr="00A576A0">
          <w:rPr>
            <w:rStyle w:val="Hyperlink"/>
          </w:rPr>
          <w:t>https://ecat.ga.gov.au/geonetwork/srv/eng/search#!b4088aa1-f875-2444-e044-00144fdd4fa6</w:t>
        </w:r>
      </w:hyperlink>
      <w:r w:rsidR="00E724F1">
        <w:rPr>
          <w:rStyle w:val="Hyperlink"/>
        </w:rPr>
        <w:t>&gt;.</w:t>
      </w:r>
      <w:r w:rsidR="005F6F81">
        <w:t xml:space="preserve"> </w:t>
      </w:r>
      <w:r w:rsidR="001C3950">
        <w:t xml:space="preserve"> </w:t>
      </w:r>
    </w:p>
    <w:p w14:paraId="223BD484" w14:textId="57BDEBBB" w:rsidR="00174635" w:rsidRPr="00116B50" w:rsidRDefault="00174635" w:rsidP="00174635">
      <w:pPr>
        <w:pStyle w:val="References"/>
      </w:pPr>
      <w:r w:rsidRPr="00116B50">
        <w:t>Revie D</w:t>
      </w:r>
      <w:r w:rsidR="00EC4EE6">
        <w:t xml:space="preserve"> (20</w:t>
      </w:r>
      <w:r w:rsidRPr="00116B50">
        <w:t>17a</w:t>
      </w:r>
      <w:r w:rsidR="005E1B62">
        <w:t xml:space="preserve">) </w:t>
      </w:r>
      <w:r w:rsidRPr="00116B50">
        <w:t>Unconventional petroleum resources of the Roper Group, McArthur Basin. Northern Territory Geological Survey, Record 2017-002.</w:t>
      </w:r>
    </w:p>
    <w:p w14:paraId="223BD485" w14:textId="7D3252A4" w:rsidR="00174635" w:rsidRPr="00116B50" w:rsidRDefault="00174635" w:rsidP="00174635">
      <w:pPr>
        <w:pStyle w:val="References"/>
      </w:pPr>
      <w:r w:rsidRPr="00116B50">
        <w:t>Revie D</w:t>
      </w:r>
      <w:r w:rsidR="00EC4EE6">
        <w:t xml:space="preserve"> (20</w:t>
      </w:r>
      <w:r w:rsidRPr="00116B50">
        <w:t>17b</w:t>
      </w:r>
      <w:r w:rsidR="005E1B62">
        <w:t xml:space="preserve">) </w:t>
      </w:r>
      <w:r w:rsidRPr="00231EFC">
        <w:t>Volumetric resource assessment of the lower Kyalla and middle Velkerri formations of the McArthur Basin</w:t>
      </w:r>
      <w:r>
        <w:t>. AGES conference, Alice Springs, March 2017.</w:t>
      </w:r>
    </w:p>
    <w:p w14:paraId="223BD486" w14:textId="380137F4" w:rsidR="00174635" w:rsidRDefault="00174635" w:rsidP="00174635">
      <w:pPr>
        <w:pStyle w:val="References"/>
      </w:pPr>
      <w:r>
        <w:t>Santos</w:t>
      </w:r>
      <w:r w:rsidR="00EC4EE6">
        <w:t xml:space="preserve"> (20</w:t>
      </w:r>
      <w:r>
        <w:t>12</w:t>
      </w:r>
      <w:r w:rsidR="005E1B62">
        <w:t xml:space="preserve">) </w:t>
      </w:r>
      <w:r>
        <w:t>Cooper Basin unconventional gas oppo</w:t>
      </w:r>
      <w:r w:rsidR="001B3EB2">
        <w:t>rtunities and commercialisation. Viewed</w:t>
      </w:r>
      <w:r>
        <w:t xml:space="preserve"> </w:t>
      </w:r>
      <w:r w:rsidR="00EE4C7F">
        <w:t xml:space="preserve">16/01/2018, </w:t>
      </w:r>
      <w:r w:rsidR="001B3EB2">
        <w:t>&lt;</w:t>
      </w:r>
      <w:hyperlink r:id="rId127" w:history="1">
        <w:r w:rsidRPr="00C40D71">
          <w:rPr>
            <w:rStyle w:val="Hyperlink"/>
          </w:rPr>
          <w:t>https://www.santos.com/media-centre/announcements/cooper-basin-unconventional-gas-opportunities-and-commercialisation/</w:t>
        </w:r>
      </w:hyperlink>
      <w:r w:rsidR="001B3EB2">
        <w:rPr>
          <w:rStyle w:val="Hyperlink"/>
        </w:rPr>
        <w:t>&gt;</w:t>
      </w:r>
      <w:r w:rsidR="00EE4C7F">
        <w:rPr>
          <w:rStyle w:val="Hyperlink"/>
        </w:rPr>
        <w:t>.</w:t>
      </w:r>
    </w:p>
    <w:p w14:paraId="223BD487" w14:textId="24806DAD" w:rsidR="00174635" w:rsidRPr="00150F31" w:rsidRDefault="00EC4EE6" w:rsidP="00174635">
      <w:pPr>
        <w:pStyle w:val="References"/>
      </w:pPr>
      <w:r>
        <w:t>Schmoker JW</w:t>
      </w:r>
      <w:r w:rsidR="00174635" w:rsidRPr="00150F31">
        <w:t xml:space="preserve"> </w:t>
      </w:r>
      <w:r>
        <w:t>(</w:t>
      </w:r>
      <w:r w:rsidR="00174635" w:rsidRPr="001C3950">
        <w:t>1995</w:t>
      </w:r>
      <w:r w:rsidR="005E1B62">
        <w:t xml:space="preserve">) </w:t>
      </w:r>
      <w:r w:rsidR="00174635" w:rsidRPr="001C3950">
        <w:t>Method for assessing continuous-type (unconventional) hydrocarbon accumulations. In: Gautier</w:t>
      </w:r>
      <w:r w:rsidR="00174635" w:rsidRPr="00150F31">
        <w:t xml:space="preserve"> DL, Dolton</w:t>
      </w:r>
      <w:r w:rsidR="001B3EB2">
        <w:t xml:space="preserve"> </w:t>
      </w:r>
      <w:r w:rsidR="00174635" w:rsidRPr="00150F31">
        <w:t>G</w:t>
      </w:r>
      <w:r w:rsidR="001B3EB2">
        <w:t>L,</w:t>
      </w:r>
      <w:r w:rsidR="00174635" w:rsidRPr="00150F31">
        <w:t xml:space="preserve"> Takahashi KI and Varnes KL (eds</w:t>
      </w:r>
      <w:r w:rsidR="005E1B62">
        <w:t xml:space="preserve">) </w:t>
      </w:r>
      <w:r w:rsidR="00174635" w:rsidRPr="00150F31">
        <w:t>National assessment of United States oil and gas resources—results, methodology, and supporting data: U.S. Geological Survey Digital Data Series DDS-30, 1 CD-ROM.</w:t>
      </w:r>
    </w:p>
    <w:p w14:paraId="223BD488" w14:textId="03B3AE59" w:rsidR="00174635" w:rsidRPr="00150F31" w:rsidRDefault="00EC4EE6" w:rsidP="00174635">
      <w:pPr>
        <w:pStyle w:val="References"/>
      </w:pPr>
      <w:r>
        <w:t>Schmoker JW (20</w:t>
      </w:r>
      <w:r w:rsidR="00174635" w:rsidRPr="00150F31">
        <w:t>02</w:t>
      </w:r>
      <w:r w:rsidR="005E1B62">
        <w:t xml:space="preserve">) </w:t>
      </w:r>
      <w:r w:rsidR="00174635" w:rsidRPr="00150F31">
        <w:t>Resource assessment perspectives for unconventional gas systems. AAPG Bulletin, 86(11), 1993–1999.</w:t>
      </w:r>
    </w:p>
    <w:p w14:paraId="15CA2AA2" w14:textId="23C73D90" w:rsidR="00FE6BB2" w:rsidRPr="00487C1E" w:rsidRDefault="00C6378C" w:rsidP="00FE6BB2">
      <w:pPr>
        <w:pStyle w:val="References"/>
      </w:pPr>
      <w:r w:rsidRPr="00C6378C">
        <w:t>Scientific Inquiry into Hydraulic Fracturing in the Northern Territory (2018) Scientific Inquiry into Hydraulic Fracturing in the Northern Territory: Final Report, March 2018. Viewed 23/04/2018, &lt;https://frackinginquiry.nt.gov.au/inquiry-reports?a=494286&gt;.</w:t>
      </w:r>
      <w:r w:rsidR="005F6F81">
        <w:t xml:space="preserve"> </w:t>
      </w:r>
      <w:r w:rsidR="001C3950">
        <w:t xml:space="preserve"> </w:t>
      </w:r>
    </w:p>
    <w:p w14:paraId="40E83F3D" w14:textId="7BB418C3" w:rsidR="004704E0" w:rsidRDefault="004704E0" w:rsidP="004704E0">
      <w:pPr>
        <w:pStyle w:val="References"/>
      </w:pPr>
      <w:r>
        <w:t>Sinclair Knight Merz</w:t>
      </w:r>
      <w:r w:rsidR="00EC4EE6">
        <w:t xml:space="preserve"> (20</w:t>
      </w:r>
      <w:r>
        <w:t>09</w:t>
      </w:r>
      <w:r w:rsidR="005E1B62">
        <w:t xml:space="preserve">) </w:t>
      </w:r>
      <w:r>
        <w:t>Hydrogeological mapping of southern Victoria. Report for Southern Rural Water. SKM, Melbourne.</w:t>
      </w:r>
    </w:p>
    <w:p w14:paraId="223BD489" w14:textId="38622E21" w:rsidR="00B94AE4" w:rsidRDefault="00EC4EE6" w:rsidP="00174635">
      <w:pPr>
        <w:pStyle w:val="References"/>
      </w:pPr>
      <w:r>
        <w:t>Smith M, Karim F, Sparrow A, Cassel R and Hall L (20</w:t>
      </w:r>
      <w:r w:rsidR="00B94AE4" w:rsidRPr="00B94AE4">
        <w:t>15</w:t>
      </w:r>
      <w:r w:rsidR="005E1B62">
        <w:t xml:space="preserve">) </w:t>
      </w:r>
      <w:r w:rsidR="00B94AE4" w:rsidRPr="00B94AE4">
        <w:t>Context statement for the Cooper subregion. Product 1.1 for the Cooper subregion from the Lake Eyre Basin Bioregional Assessment. Bioregional Assessment Programme, Department of the Environment, Bureau of Meteorology, CSIRO and Geoscience Australia, Australia</w:t>
      </w:r>
      <w:r w:rsidR="00B94AE4">
        <w:t>.</w:t>
      </w:r>
    </w:p>
    <w:p w14:paraId="223BD48A" w14:textId="2533B1D3" w:rsidR="00174635" w:rsidRPr="00487C1E" w:rsidRDefault="00174635" w:rsidP="00174635">
      <w:pPr>
        <w:pStyle w:val="References"/>
      </w:pPr>
      <w:r w:rsidRPr="00487C1E">
        <w:t>South Australian Department for Manufacturing, Innovation, Trade, Resources and Energy</w:t>
      </w:r>
      <w:r w:rsidR="00EC4EE6">
        <w:t xml:space="preserve"> (20</w:t>
      </w:r>
      <w:r>
        <w:t>12</w:t>
      </w:r>
      <w:r w:rsidR="005E1B62">
        <w:t xml:space="preserve">) </w:t>
      </w:r>
      <w:r w:rsidRPr="00487C1E">
        <w:t>Unconventional gas in South Australia – Shale gas, tight gas, coal seam gas and regulation of activities, South Australia Earth Resources Information Sheet P11, May 2012</w:t>
      </w:r>
    </w:p>
    <w:p w14:paraId="79BB6F4B" w14:textId="7CB4657E" w:rsidR="006D6686" w:rsidRDefault="00FF2DCA" w:rsidP="006D6686">
      <w:pPr>
        <w:pStyle w:val="References"/>
      </w:pPr>
      <w:r>
        <w:t>Southgate PN, Bradshaw BE, Domagala J, Jackson MJ, Idnurm M, Krassay AA, Page RS, Sami TT, Scott DL, Lindsay JF, McConachie BA and Tarlowski C</w:t>
      </w:r>
      <w:r w:rsidR="00EC4EE6">
        <w:t xml:space="preserve"> (20</w:t>
      </w:r>
      <w:r w:rsidR="006D6686">
        <w:t>00</w:t>
      </w:r>
      <w:r w:rsidR="005E1B62">
        <w:t xml:space="preserve">) </w:t>
      </w:r>
      <w:r w:rsidR="006D6686">
        <w:t>Chronostratigraphic basin framework for Palaeoproterozoic rocks (1730–1575 Ma) in northern Australia and implications for mineralisation. Australian Journal of Earth Sciences, 47, 461–85.</w:t>
      </w:r>
    </w:p>
    <w:p w14:paraId="223BD48B" w14:textId="4A35BDC4" w:rsidR="00174635" w:rsidRPr="00E70BDF" w:rsidRDefault="00FF2DCA" w:rsidP="00174635">
      <w:pPr>
        <w:pStyle w:val="References"/>
        <w:rPr>
          <w:rStyle w:val="Hyperlink"/>
        </w:rPr>
      </w:pPr>
      <w:r>
        <w:t>Stewart AJ, Raymond OL, Totterdell JM, Zhang W and Gallagher R</w:t>
      </w:r>
      <w:r w:rsidR="00EC4EE6">
        <w:t xml:space="preserve"> (20</w:t>
      </w:r>
      <w:r w:rsidR="00174635">
        <w:t>13</w:t>
      </w:r>
      <w:r w:rsidR="005E1B62">
        <w:t xml:space="preserve">) </w:t>
      </w:r>
      <w:r w:rsidR="00174635">
        <w:t>Australian Geological Provinces, 2013.01 edition, scale 1:2 500 000.</w:t>
      </w:r>
      <w:r w:rsidR="006055FC">
        <w:t xml:space="preserve"> Geoscience Australia, Canberra. Viewed</w:t>
      </w:r>
      <w:r w:rsidR="00174635">
        <w:t xml:space="preserve"> </w:t>
      </w:r>
      <w:r w:rsidR="00C3360B">
        <w:t>16/01/2018, &lt;</w:t>
      </w:r>
      <w:hyperlink r:id="rId128" w:anchor="!2680f4bb-8494-14fc-e053-10a3070a4107" w:history="1">
        <w:r w:rsidR="006055FC" w:rsidRPr="0065740D">
          <w:rPr>
            <w:rStyle w:val="Hyperlink"/>
          </w:rPr>
          <w:t>https://ecat.ga.gov.au/geonetwork/srv/eng/search#!2680f4bb-8494-14fc-e053-10a3070a4107</w:t>
        </w:r>
      </w:hyperlink>
      <w:r w:rsidR="00C3360B">
        <w:rPr>
          <w:rStyle w:val="Hyperlink"/>
        </w:rPr>
        <w:t>&gt;.</w:t>
      </w:r>
      <w:r w:rsidR="001C3950">
        <w:t xml:space="preserve"> </w:t>
      </w:r>
    </w:p>
    <w:p w14:paraId="48A3DBDC" w14:textId="269BE7C0" w:rsidR="002462CA" w:rsidRDefault="00B31B6A" w:rsidP="002462CA">
      <w:pPr>
        <w:pStyle w:val="References"/>
      </w:pPr>
      <w:r>
        <w:t>Tasmanian Government</w:t>
      </w:r>
      <w:r w:rsidR="00EC4EE6">
        <w:t xml:space="preserve"> (20</w:t>
      </w:r>
      <w:r w:rsidR="002462CA" w:rsidRPr="001B1318">
        <w:t>15</w:t>
      </w:r>
      <w:r w:rsidR="005E1B62">
        <w:t xml:space="preserve">) </w:t>
      </w:r>
      <w:r w:rsidRPr="00B31B6A">
        <w:t>Tasmanian Government Policy Statement on Hydraulic Fracturing (Fracking) 2015</w:t>
      </w:r>
      <w:r w:rsidR="006055FC">
        <w:t xml:space="preserve">. Viewed </w:t>
      </w:r>
      <w:r w:rsidR="00C3360B">
        <w:t xml:space="preserve">16/01/2018, </w:t>
      </w:r>
      <w:r w:rsidR="006055FC">
        <w:t>&lt;</w:t>
      </w:r>
      <w:hyperlink r:id="rId129" w:history="1">
        <w:r w:rsidRPr="002C6079">
          <w:rPr>
            <w:rStyle w:val="Hyperlink"/>
          </w:rPr>
          <w:t>http://dpipwe.tas.gov.au/Documents/Tasmanian%20Fracking%20Policy%20Statement_26-2-15.pdf</w:t>
        </w:r>
      </w:hyperlink>
      <w:r w:rsidR="006055FC">
        <w:rPr>
          <w:rStyle w:val="Hyperlink"/>
        </w:rPr>
        <w:t>&gt;</w:t>
      </w:r>
      <w:r w:rsidR="00C3360B">
        <w:t>.</w:t>
      </w:r>
    </w:p>
    <w:p w14:paraId="5E8D4982" w14:textId="4AD2956C" w:rsidR="002462CA" w:rsidRDefault="00174635" w:rsidP="002462CA">
      <w:pPr>
        <w:pStyle w:val="References"/>
      </w:pPr>
      <w:r w:rsidRPr="00487C1E">
        <w:t>Victorian Legislative Council</w:t>
      </w:r>
      <w:r w:rsidR="007402A2">
        <w:t xml:space="preserve"> </w:t>
      </w:r>
      <w:r w:rsidRPr="00487C1E">
        <w:t>Environment and Planning Committee</w:t>
      </w:r>
      <w:r w:rsidR="00EC4EE6">
        <w:t xml:space="preserve"> (20</w:t>
      </w:r>
      <w:r w:rsidRPr="00487C1E">
        <w:t>15</w:t>
      </w:r>
      <w:r w:rsidR="005E1B62">
        <w:t xml:space="preserve">) </w:t>
      </w:r>
      <w:r w:rsidRPr="00487C1E">
        <w:t>Inquiry into onshore unconventional gas in Victoria: Final Report, Environment and Planning Committee, Legislative Council, Parliament of Victoria, December 2015, Melbourne</w:t>
      </w:r>
      <w:r w:rsidR="00C06458">
        <w:t>.</w:t>
      </w:r>
      <w:bookmarkStart w:id="161" w:name="_Toc494277026"/>
    </w:p>
    <w:p w14:paraId="27A98129" w14:textId="06E2DBD5" w:rsidR="002462CA" w:rsidRDefault="002462CA" w:rsidP="002462CA">
      <w:pPr>
        <w:pStyle w:val="References"/>
      </w:pPr>
      <w:r>
        <w:t>Victorian Government</w:t>
      </w:r>
      <w:r w:rsidR="00EC4EE6">
        <w:t xml:space="preserve"> (20</w:t>
      </w:r>
      <w:r>
        <w:t>17</w:t>
      </w:r>
      <w:r w:rsidR="005E1B62">
        <w:t xml:space="preserve">) </w:t>
      </w:r>
      <w:r>
        <w:t xml:space="preserve">Media release March 2017. </w:t>
      </w:r>
      <w:r w:rsidR="006055FC">
        <w:t xml:space="preserve">Viewed </w:t>
      </w:r>
      <w:r w:rsidR="00C3360B">
        <w:t xml:space="preserve">16/01/2018, </w:t>
      </w:r>
      <w:r w:rsidR="006055FC">
        <w:t>&lt;</w:t>
      </w:r>
      <w:hyperlink r:id="rId130" w:history="1">
        <w:r w:rsidRPr="00D407BA">
          <w:rPr>
            <w:rStyle w:val="Hyperlink"/>
          </w:rPr>
          <w:t>http://www.premier.vic.gov.au/fracking-banned-in-victoria-giving-certainty-to-farmers/</w:t>
        </w:r>
      </w:hyperlink>
      <w:r w:rsidR="006055FC">
        <w:rPr>
          <w:rStyle w:val="Hyperlink"/>
        </w:rPr>
        <w:t>&gt;</w:t>
      </w:r>
      <w:r w:rsidR="00C3360B">
        <w:t>.</w:t>
      </w:r>
      <w:r w:rsidR="005F6F81">
        <w:t xml:space="preserve"> </w:t>
      </w:r>
      <w:r>
        <w:t xml:space="preserve"> </w:t>
      </w:r>
    </w:p>
    <w:p w14:paraId="0086F427" w14:textId="0D4A9843" w:rsidR="00F47FB1" w:rsidRPr="00147CAE" w:rsidRDefault="00FF2DCA" w:rsidP="00F47FB1">
      <w:pPr>
        <w:pStyle w:val="References"/>
      </w:pPr>
      <w:r>
        <w:t>Warner D, Ambrose G</w:t>
      </w:r>
      <w:r w:rsidR="00F47FB1" w:rsidRPr="00147CAE">
        <w:t xml:space="preserve"> a</w:t>
      </w:r>
      <w:r>
        <w:t>nd Heugh J</w:t>
      </w:r>
      <w:r w:rsidR="00EC4EE6">
        <w:t xml:space="preserve"> (20</w:t>
      </w:r>
      <w:r w:rsidR="00F47FB1" w:rsidRPr="00147CAE">
        <w:t>12</w:t>
      </w:r>
      <w:r w:rsidR="005E1B62">
        <w:t xml:space="preserve">) </w:t>
      </w:r>
      <w:r w:rsidR="00F47FB1" w:rsidRPr="00147CAE">
        <w:t>Potential for unconventional plays in the Lower Larapinta Petroleum System of</w:t>
      </w:r>
      <w:r>
        <w:t xml:space="preserve"> the Amadeus Basin. In: Ambrose GJ and Scott J</w:t>
      </w:r>
      <w:r w:rsidR="00F47FB1" w:rsidRPr="00147CAE">
        <w:t xml:space="preserve"> (</w:t>
      </w:r>
      <w:r>
        <w:t>eds</w:t>
      </w:r>
      <w:r w:rsidR="00F47FB1" w:rsidRPr="00147CAE">
        <w:t>), Central Australian Basins Symposium III. Petroleum Exploration Society of Australia, Special Publication, 7 pp.</w:t>
      </w:r>
    </w:p>
    <w:p w14:paraId="113686D2" w14:textId="3B82AD64" w:rsidR="00503819" w:rsidRDefault="00503819" w:rsidP="00503819">
      <w:pPr>
        <w:pStyle w:val="References"/>
      </w:pPr>
      <w:r>
        <w:t>Weatherford Laboratories</w:t>
      </w:r>
      <w:r w:rsidR="00EC4EE6">
        <w:t xml:space="preserve"> (20</w:t>
      </w:r>
      <w:r>
        <w:t>17</w:t>
      </w:r>
      <w:r w:rsidR="005E1B62">
        <w:t xml:space="preserve">) </w:t>
      </w:r>
      <w:r>
        <w:t>Kyalla and middle Velkerri Resource Assessment: Gorrie, Beetaloo, OT Downs, and Broadmere Sub-basins. Study Project No. AB.74329. Northern Territory Geological Survey, Record 2017.003.</w:t>
      </w:r>
    </w:p>
    <w:p w14:paraId="5C22E692" w14:textId="436BBF56" w:rsidR="00052807" w:rsidRDefault="00052807" w:rsidP="002462CA">
      <w:pPr>
        <w:pStyle w:val="References"/>
      </w:pPr>
      <w:r>
        <w:t>Wells AJ and O’Brien PE (eds) (1994) Geology and petroleum potential of the Clarence-Moreton Basin, New South Wales and Queensland</w:t>
      </w:r>
      <w:r w:rsidRPr="00C30F1D">
        <w:t>. Australian Geological Survey Organisation, Bulletin</w:t>
      </w:r>
      <w:r>
        <w:t>, 241.</w:t>
      </w:r>
    </w:p>
    <w:p w14:paraId="122C3C3D" w14:textId="1C39EF5F" w:rsidR="002462CA" w:rsidRDefault="00FF2DCA" w:rsidP="002462CA">
      <w:pPr>
        <w:pStyle w:val="References"/>
      </w:pPr>
      <w:r>
        <w:t>Welsh W, Herron N</w:t>
      </w:r>
      <w:r w:rsidR="002462CA" w:rsidRPr="002462CA">
        <w:t xml:space="preserve">, </w:t>
      </w:r>
      <w:r>
        <w:t>Rohead-O’Brien H, Ransley T, Aryal S, Mitchell P, Buckerfield S and Marshall</w:t>
      </w:r>
      <w:r w:rsidR="002462CA" w:rsidRPr="002462CA">
        <w:t xml:space="preserve"> S.</w:t>
      </w:r>
      <w:r w:rsidR="00EC4EE6">
        <w:t xml:space="preserve"> (20</w:t>
      </w:r>
      <w:r w:rsidR="002462CA" w:rsidRPr="002462CA">
        <w:t>14</w:t>
      </w:r>
      <w:r w:rsidR="005E1B62">
        <w:t xml:space="preserve">) </w:t>
      </w:r>
      <w:r w:rsidR="002462CA" w:rsidRPr="002462CA">
        <w:t>Context statement for the Maranoa-Balonne-Condamine subregion. Product 1.1 for the Maranoa-Balonne-Condamine from the Northern Inland Catchments Bioregional Assessment. Department of the Environment, Bureau of Meteorology, CSIRO and Geoscience Australia, Australia.</w:t>
      </w:r>
    </w:p>
    <w:p w14:paraId="0B9F8A3C" w14:textId="1CED3A4A" w:rsidR="001E2DAE" w:rsidRPr="0045199C" w:rsidRDefault="00FF2DCA" w:rsidP="001E2DAE">
      <w:pPr>
        <w:pStyle w:val="References"/>
      </w:pPr>
      <w:r>
        <w:t>Willink R and Allison M</w:t>
      </w:r>
      <w:r w:rsidR="00EC4EE6">
        <w:t xml:space="preserve"> (20</w:t>
      </w:r>
      <w:r w:rsidR="001E2DAE" w:rsidRPr="0045199C">
        <w:t>15</w:t>
      </w:r>
      <w:r w:rsidR="005E1B62">
        <w:t xml:space="preserve">) </w:t>
      </w:r>
      <w:r w:rsidR="001E2DAE" w:rsidRPr="00147CAE">
        <w:t xml:space="preserve">Exploring unconventional plays in the Georgina Basin, central Australia: will the real Arthur Creek Formation hot shale please stand up! The </w:t>
      </w:r>
      <w:r w:rsidR="001E2DAE" w:rsidRPr="0045199C">
        <w:t xml:space="preserve">APPEA Journal and Conference Proceedings, DVD 55, extended abstract, 8 pp. </w:t>
      </w:r>
    </w:p>
    <w:p w14:paraId="544214B2" w14:textId="1E90C7AA" w:rsidR="00160FE3" w:rsidRPr="00160FE3" w:rsidRDefault="00160FE3" w:rsidP="00160FE3">
      <w:pPr>
        <w:pStyle w:val="References"/>
      </w:pPr>
      <w:r w:rsidRPr="00160FE3">
        <w:t>Wyoming State Geological Survey (2018)</w:t>
      </w:r>
      <w:r>
        <w:t xml:space="preserve"> </w:t>
      </w:r>
      <w:r w:rsidRPr="00160FE3">
        <w:t>Wyoming's Oil &amp; Gas Resources</w:t>
      </w:r>
      <w:r>
        <w:t xml:space="preserve"> - </w:t>
      </w:r>
      <w:r w:rsidRPr="00160FE3">
        <w:t>Unconventional Reservoirs</w:t>
      </w:r>
      <w:r>
        <w:t xml:space="preserve">. Viewed 12/03/2018. </w:t>
      </w:r>
      <w:r w:rsidRPr="00160FE3">
        <w:t>http://www.wsgs.wyo.gov/energy/oil-gas-resources</w:t>
      </w:r>
      <w:r w:rsidR="007671DA">
        <w:t>.</w:t>
      </w:r>
    </w:p>
    <w:p w14:paraId="63E4C340" w14:textId="1FC32E10" w:rsidR="004704E0" w:rsidRDefault="00FF2DCA" w:rsidP="004704E0">
      <w:pPr>
        <w:pStyle w:val="References"/>
      </w:pPr>
      <w:r>
        <w:t>Yates G, Doody T, Pritchard J, Walker K, Karim F, Carey H, Wallace L, Galinec V and Sundaram</w:t>
      </w:r>
      <w:r w:rsidR="004704E0">
        <w:t xml:space="preserve"> B.</w:t>
      </w:r>
      <w:r w:rsidR="00EC4EE6">
        <w:t xml:space="preserve"> (20</w:t>
      </w:r>
      <w:r w:rsidR="004704E0">
        <w:t>15</w:t>
      </w:r>
      <w:r w:rsidR="005E1B62">
        <w:t xml:space="preserve">) </w:t>
      </w:r>
      <w:r w:rsidR="004704E0">
        <w:t>Context statement for the Gippsland Basin bioregion. Product 1.1 from the Gippsland Basin Bioregional Assessment. Department of the Environment, Bureau of Meteorology, CSIRO and Geoscience Australia, Australia.</w:t>
      </w:r>
    </w:p>
    <w:p w14:paraId="2D4FA7CA" w14:textId="77777777" w:rsidR="004704E0" w:rsidRPr="004704E0" w:rsidRDefault="004704E0" w:rsidP="004704E0">
      <w:pPr>
        <w:pStyle w:val="BodyText"/>
      </w:pPr>
    </w:p>
    <w:p w14:paraId="3BC1E125" w14:textId="77777777" w:rsidR="00356B4D" w:rsidRDefault="00356B4D" w:rsidP="00CE5CFF">
      <w:pPr>
        <w:pStyle w:val="Heading1noTOC"/>
        <w:sectPr w:rsidR="00356B4D" w:rsidSect="00BF497D">
          <w:headerReference w:type="even" r:id="rId131"/>
          <w:headerReference w:type="default" r:id="rId132"/>
          <w:headerReference w:type="first" r:id="rId133"/>
          <w:pgSz w:w="11906" w:h="16838" w:code="9"/>
          <w:pgMar w:top="1247" w:right="1134" w:bottom="1134" w:left="1134" w:header="510" w:footer="624" w:gutter="0"/>
          <w:cols w:space="284"/>
          <w:docGrid w:linePitch="360"/>
        </w:sectPr>
      </w:pPr>
    </w:p>
    <w:p w14:paraId="223BD48F" w14:textId="3382CB66" w:rsidR="00174635" w:rsidRDefault="00174635" w:rsidP="00CE5CFF">
      <w:pPr>
        <w:pStyle w:val="Heading1noTOC"/>
      </w:pPr>
      <w:r>
        <w:t>List of shortened forms</w:t>
      </w:r>
      <w:bookmarkEnd w:id="161"/>
    </w:p>
    <w:p w14:paraId="223BD490" w14:textId="77777777" w:rsidR="00174635" w:rsidRPr="00AB6721" w:rsidRDefault="00174635" w:rsidP="00174635">
      <w:pPr>
        <w:pStyle w:val="TableTitle"/>
      </w:pPr>
      <w:bookmarkStart w:id="162" w:name="_Toc517101465"/>
      <w:r w:rsidRPr="00AB6721">
        <w:t xml:space="preserve">Table </w:t>
      </w:r>
      <w:fldSimple w:instr=" STYLEREF 1 \s ">
        <w:r w:rsidR="004A16F5">
          <w:rPr>
            <w:noProof/>
          </w:rPr>
          <w:t>6</w:t>
        </w:r>
      </w:fldSimple>
      <w:r w:rsidRPr="00AB6721">
        <w:noBreakHyphen/>
      </w:r>
      <w:fldSimple w:instr=" SEQ Table \* ARABIC \s 1 ">
        <w:r w:rsidR="004A16F5">
          <w:rPr>
            <w:noProof/>
          </w:rPr>
          <w:t>2</w:t>
        </w:r>
      </w:fldSimple>
      <w:r w:rsidRPr="00AB6721">
        <w:t>: List of shortened forms.</w:t>
      </w:r>
      <w:bookmarkEnd w:id="162"/>
    </w:p>
    <w:tbl>
      <w:tblPr>
        <w:tblStyle w:val="TableBAHeaderRow"/>
        <w:tblW w:w="9072" w:type="dxa"/>
        <w:tblLook w:val="04A0" w:firstRow="1" w:lastRow="0" w:firstColumn="1" w:lastColumn="0" w:noHBand="0" w:noVBand="1"/>
      </w:tblPr>
      <w:tblGrid>
        <w:gridCol w:w="1701"/>
        <w:gridCol w:w="7371"/>
      </w:tblGrid>
      <w:tr w:rsidR="00174635" w14:paraId="223BD493" w14:textId="77777777" w:rsidTr="008454B0">
        <w:trPr>
          <w:cnfStyle w:val="100000000000" w:firstRow="1" w:lastRow="0" w:firstColumn="0" w:lastColumn="0" w:oddVBand="0" w:evenVBand="0" w:oddHBand="0" w:evenHBand="0" w:firstRowFirstColumn="0" w:firstRowLastColumn="0" w:lastRowFirstColumn="0" w:lastRowLastColumn="0"/>
        </w:trPr>
        <w:tc>
          <w:tcPr>
            <w:tcW w:w="1701" w:type="dxa"/>
          </w:tcPr>
          <w:p w14:paraId="223BD491" w14:textId="77777777" w:rsidR="00174635" w:rsidRPr="00767154" w:rsidRDefault="00174635" w:rsidP="00760658">
            <w:pPr>
              <w:pStyle w:val="TableTextLeft"/>
            </w:pPr>
            <w:r>
              <w:t>Short Form</w:t>
            </w:r>
          </w:p>
        </w:tc>
        <w:tc>
          <w:tcPr>
            <w:tcW w:w="7371" w:type="dxa"/>
          </w:tcPr>
          <w:p w14:paraId="223BD492" w14:textId="77777777" w:rsidR="00174635" w:rsidRPr="00767154" w:rsidRDefault="00174635" w:rsidP="00760658">
            <w:pPr>
              <w:pStyle w:val="TableTextLeft"/>
            </w:pPr>
            <w:r>
              <w:t>Long Form</w:t>
            </w:r>
            <w:r w:rsidRPr="00767154">
              <w:t xml:space="preserve"> </w:t>
            </w:r>
          </w:p>
        </w:tc>
      </w:tr>
      <w:tr w:rsidR="00174635" w14:paraId="223BD496"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94" w14:textId="77777777" w:rsidR="00174635" w:rsidRPr="00767154" w:rsidRDefault="00174635" w:rsidP="00760658">
            <w:pPr>
              <w:pStyle w:val="TableTextLeft"/>
            </w:pPr>
            <w:r w:rsidRPr="00767154">
              <w:t xml:space="preserve">ABARES </w:t>
            </w:r>
          </w:p>
        </w:tc>
        <w:tc>
          <w:tcPr>
            <w:tcW w:w="7371" w:type="dxa"/>
          </w:tcPr>
          <w:p w14:paraId="223BD495" w14:textId="77777777" w:rsidR="00174635" w:rsidRPr="00767154" w:rsidRDefault="00174635" w:rsidP="00760658">
            <w:pPr>
              <w:pStyle w:val="TableTextLeft"/>
            </w:pPr>
            <w:r w:rsidRPr="00767154">
              <w:t xml:space="preserve">Australian Bureau of Agricultural and Resource Economics and Sciences </w:t>
            </w:r>
          </w:p>
        </w:tc>
      </w:tr>
      <w:tr w:rsidR="00174635" w14:paraId="223BD499"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97" w14:textId="77777777" w:rsidR="00174635" w:rsidRPr="00767154" w:rsidRDefault="00174635" w:rsidP="00760658">
            <w:pPr>
              <w:pStyle w:val="TableTextLeft"/>
            </w:pPr>
            <w:r w:rsidRPr="00767154">
              <w:t xml:space="preserve">ABS </w:t>
            </w:r>
          </w:p>
        </w:tc>
        <w:tc>
          <w:tcPr>
            <w:tcW w:w="7371" w:type="dxa"/>
          </w:tcPr>
          <w:p w14:paraId="223BD498" w14:textId="77777777" w:rsidR="00174635" w:rsidRPr="00767154" w:rsidRDefault="00174635" w:rsidP="00760658">
            <w:pPr>
              <w:pStyle w:val="TableTextLeft"/>
            </w:pPr>
            <w:r w:rsidRPr="00767154">
              <w:t xml:space="preserve">Australian Bureau of Statistics </w:t>
            </w:r>
          </w:p>
        </w:tc>
      </w:tr>
      <w:tr w:rsidR="00861F87" w14:paraId="223BD49C"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9A" w14:textId="77777777" w:rsidR="00861F87" w:rsidRPr="00767154" w:rsidRDefault="00861F87" w:rsidP="00760658">
            <w:pPr>
              <w:pStyle w:val="TableTextLeft"/>
            </w:pPr>
            <w:r>
              <w:t>ACCC</w:t>
            </w:r>
          </w:p>
        </w:tc>
        <w:tc>
          <w:tcPr>
            <w:tcW w:w="7371" w:type="dxa"/>
          </w:tcPr>
          <w:p w14:paraId="223BD49B" w14:textId="77777777" w:rsidR="00861F87" w:rsidRPr="00767154" w:rsidRDefault="00861F87" w:rsidP="00760658">
            <w:pPr>
              <w:pStyle w:val="TableTextLeft"/>
            </w:pPr>
            <w:r w:rsidRPr="00861F87">
              <w:t>Australian Competition and Consumer Commission</w:t>
            </w:r>
          </w:p>
        </w:tc>
      </w:tr>
      <w:tr w:rsidR="00861F87" w14:paraId="223BD49F"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9D" w14:textId="77777777" w:rsidR="00861F87" w:rsidRPr="00767154" w:rsidRDefault="00861F87" w:rsidP="00760658">
            <w:pPr>
              <w:pStyle w:val="TableTextLeft"/>
            </w:pPr>
            <w:r>
              <w:t>AER</w:t>
            </w:r>
          </w:p>
        </w:tc>
        <w:tc>
          <w:tcPr>
            <w:tcW w:w="7371" w:type="dxa"/>
          </w:tcPr>
          <w:p w14:paraId="223BD49E" w14:textId="77777777" w:rsidR="00861F87" w:rsidRPr="00767154" w:rsidRDefault="00861F87" w:rsidP="00760658">
            <w:pPr>
              <w:pStyle w:val="TableTextLeft"/>
            </w:pPr>
            <w:r w:rsidRPr="00861F87">
              <w:t>Australian Energy Regulator</w:t>
            </w:r>
          </w:p>
        </w:tc>
      </w:tr>
      <w:tr w:rsidR="00861F87" w14:paraId="223BD4A2"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A0" w14:textId="77777777" w:rsidR="00861F87" w:rsidRDefault="00861F87" w:rsidP="00760658">
            <w:pPr>
              <w:pStyle w:val="TableTextLeft"/>
            </w:pPr>
            <w:r>
              <w:t>AERA</w:t>
            </w:r>
          </w:p>
        </w:tc>
        <w:tc>
          <w:tcPr>
            <w:tcW w:w="7371" w:type="dxa"/>
          </w:tcPr>
          <w:p w14:paraId="223BD4A1" w14:textId="77777777" w:rsidR="00861F87" w:rsidRPr="00767154" w:rsidRDefault="00861F87" w:rsidP="00760658">
            <w:pPr>
              <w:pStyle w:val="TableTextLeft"/>
            </w:pPr>
            <w:r w:rsidRPr="00861F87">
              <w:t>Australian Energy Resources Assessment</w:t>
            </w:r>
          </w:p>
        </w:tc>
      </w:tr>
      <w:tr w:rsidR="00352D46" w14:paraId="223BD4A5"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A3" w14:textId="77777777" w:rsidR="00352D46" w:rsidRDefault="00352D46" w:rsidP="00760658">
            <w:pPr>
              <w:pStyle w:val="TableTextLeft"/>
            </w:pPr>
            <w:r>
              <w:t>ASX</w:t>
            </w:r>
          </w:p>
        </w:tc>
        <w:tc>
          <w:tcPr>
            <w:tcW w:w="7371" w:type="dxa"/>
          </w:tcPr>
          <w:p w14:paraId="223BD4A4" w14:textId="77777777" w:rsidR="00352D46" w:rsidRPr="00861F87" w:rsidRDefault="00352D46" w:rsidP="00760658">
            <w:pPr>
              <w:pStyle w:val="TableTextLeft"/>
            </w:pPr>
            <w:r>
              <w:t>Australian Securities Exchange</w:t>
            </w:r>
          </w:p>
        </w:tc>
      </w:tr>
      <w:tr w:rsidR="00134D6E" w14:paraId="223BD4AB"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A9" w14:textId="77777777" w:rsidR="00134D6E" w:rsidRPr="00767154" w:rsidRDefault="00134D6E" w:rsidP="00760658">
            <w:pPr>
              <w:pStyle w:val="TableTextLeft"/>
            </w:pPr>
            <w:r>
              <w:t>BoM</w:t>
            </w:r>
          </w:p>
        </w:tc>
        <w:tc>
          <w:tcPr>
            <w:tcW w:w="7371" w:type="dxa"/>
          </w:tcPr>
          <w:p w14:paraId="223BD4AA" w14:textId="77777777" w:rsidR="00134D6E" w:rsidRPr="00767154" w:rsidRDefault="00134D6E" w:rsidP="00760658">
            <w:pPr>
              <w:pStyle w:val="TableTextLeft"/>
            </w:pPr>
            <w:r w:rsidRPr="00134D6E">
              <w:t>Bureau of Meteorology</w:t>
            </w:r>
          </w:p>
        </w:tc>
      </w:tr>
      <w:tr w:rsidR="00174635" w14:paraId="223BD4AE"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AC" w14:textId="77777777" w:rsidR="00174635" w:rsidRPr="00767154" w:rsidRDefault="00174635" w:rsidP="00760658">
            <w:pPr>
              <w:pStyle w:val="TableTextLeft"/>
            </w:pPr>
            <w:r w:rsidRPr="00767154">
              <w:t xml:space="preserve">CAPAD </w:t>
            </w:r>
          </w:p>
        </w:tc>
        <w:tc>
          <w:tcPr>
            <w:tcW w:w="7371" w:type="dxa"/>
          </w:tcPr>
          <w:p w14:paraId="223BD4AD" w14:textId="77777777" w:rsidR="00174635" w:rsidRPr="00767154" w:rsidRDefault="00174635" w:rsidP="00760658">
            <w:pPr>
              <w:pStyle w:val="TableTextLeft"/>
            </w:pPr>
            <w:r w:rsidRPr="00767154">
              <w:t xml:space="preserve">Collaborative Australia Protected Areas Database </w:t>
            </w:r>
          </w:p>
        </w:tc>
      </w:tr>
      <w:tr w:rsidR="00174635" w14:paraId="223BD4B1"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AF" w14:textId="77777777" w:rsidR="00174635" w:rsidRPr="00767154" w:rsidRDefault="00174635" w:rsidP="00760658">
            <w:pPr>
              <w:pStyle w:val="TableTextLeft"/>
            </w:pPr>
            <w:r w:rsidRPr="00767154">
              <w:t xml:space="preserve">CSG </w:t>
            </w:r>
          </w:p>
        </w:tc>
        <w:tc>
          <w:tcPr>
            <w:tcW w:w="7371" w:type="dxa"/>
          </w:tcPr>
          <w:p w14:paraId="223BD4B0" w14:textId="77777777" w:rsidR="00174635" w:rsidRPr="00767154" w:rsidRDefault="00174635" w:rsidP="00760658">
            <w:pPr>
              <w:pStyle w:val="TableTextLeft"/>
            </w:pPr>
            <w:r w:rsidRPr="00767154">
              <w:t xml:space="preserve">coal seam gas </w:t>
            </w:r>
          </w:p>
        </w:tc>
      </w:tr>
      <w:tr w:rsidR="00174635" w14:paraId="223BD4B4"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B2" w14:textId="77777777" w:rsidR="00174635" w:rsidRPr="00767154" w:rsidRDefault="00174635" w:rsidP="00760658">
            <w:pPr>
              <w:pStyle w:val="TableTextLeft"/>
            </w:pPr>
            <w:r w:rsidRPr="00767154">
              <w:t xml:space="preserve">CSIRO </w:t>
            </w:r>
          </w:p>
        </w:tc>
        <w:tc>
          <w:tcPr>
            <w:tcW w:w="7371" w:type="dxa"/>
          </w:tcPr>
          <w:p w14:paraId="223BD4B3" w14:textId="77777777" w:rsidR="00174635" w:rsidRPr="00767154" w:rsidRDefault="00174635" w:rsidP="00760658">
            <w:pPr>
              <w:pStyle w:val="TableTextLeft"/>
            </w:pPr>
            <w:r w:rsidRPr="00767154">
              <w:t xml:space="preserve">Commonwealth Scientific and Industrial Research Organisation </w:t>
            </w:r>
          </w:p>
        </w:tc>
      </w:tr>
      <w:tr w:rsidR="001672A6" w14:paraId="135B1B43"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02080E39" w14:textId="4FADB67E" w:rsidR="001672A6" w:rsidRPr="00767154" w:rsidRDefault="001672A6" w:rsidP="00760658">
            <w:pPr>
              <w:pStyle w:val="TableTextLeft"/>
            </w:pPr>
            <w:r>
              <w:rPr>
                <w:rFonts w:eastAsiaTheme="minorHAnsi"/>
                <w:lang w:eastAsia="en-US"/>
              </w:rPr>
              <w:t>DELWP</w:t>
            </w:r>
          </w:p>
        </w:tc>
        <w:tc>
          <w:tcPr>
            <w:tcW w:w="7371" w:type="dxa"/>
          </w:tcPr>
          <w:p w14:paraId="0A1644D3" w14:textId="563EE0CE" w:rsidR="001672A6" w:rsidRPr="00767154" w:rsidRDefault="001672A6" w:rsidP="00760658">
            <w:pPr>
              <w:pStyle w:val="TableTextLeft"/>
            </w:pPr>
            <w:r>
              <w:rPr>
                <w:rFonts w:eastAsiaTheme="minorHAnsi"/>
                <w:lang w:eastAsia="en-US"/>
              </w:rPr>
              <w:t>Department of Environment, Land, Water and Planning</w:t>
            </w:r>
          </w:p>
        </w:tc>
      </w:tr>
      <w:tr w:rsidR="00174635" w14:paraId="223BD4B7"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B5" w14:textId="77777777" w:rsidR="00174635" w:rsidRPr="00767154" w:rsidRDefault="00174635" w:rsidP="00760658">
            <w:pPr>
              <w:pStyle w:val="TableTextLeft"/>
            </w:pPr>
            <w:r w:rsidRPr="00767154">
              <w:t xml:space="preserve">DIWA </w:t>
            </w:r>
          </w:p>
        </w:tc>
        <w:tc>
          <w:tcPr>
            <w:tcW w:w="7371" w:type="dxa"/>
          </w:tcPr>
          <w:p w14:paraId="223BD4B6" w14:textId="77777777" w:rsidR="00174635" w:rsidRPr="00767154" w:rsidRDefault="00174635" w:rsidP="00760658">
            <w:pPr>
              <w:pStyle w:val="TableTextLeft"/>
            </w:pPr>
            <w:r w:rsidRPr="00767154">
              <w:t xml:space="preserve">Directory of Important Wetlands in Australia </w:t>
            </w:r>
          </w:p>
        </w:tc>
      </w:tr>
      <w:tr w:rsidR="00134D6E" w14:paraId="223BD4BA"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B8" w14:textId="77777777" w:rsidR="00134D6E" w:rsidRPr="00767154" w:rsidRDefault="00134D6E" w:rsidP="00760658">
            <w:pPr>
              <w:pStyle w:val="TableTextLeft"/>
            </w:pPr>
            <w:r>
              <w:t>DNRM</w:t>
            </w:r>
          </w:p>
        </w:tc>
        <w:tc>
          <w:tcPr>
            <w:tcW w:w="7371" w:type="dxa"/>
          </w:tcPr>
          <w:p w14:paraId="223BD4B9" w14:textId="77777777" w:rsidR="00134D6E" w:rsidRPr="00767154" w:rsidRDefault="00134D6E" w:rsidP="00134D6E">
            <w:pPr>
              <w:pStyle w:val="TableTextLeft"/>
            </w:pPr>
            <w:r>
              <w:t>Department of Natural Resources and Mines (Queensland)</w:t>
            </w:r>
          </w:p>
        </w:tc>
      </w:tr>
      <w:tr w:rsidR="000F3B30" w14:paraId="64B94D41"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768A8CFF" w14:textId="1556C58D" w:rsidR="000F3B30" w:rsidRPr="00134D6E" w:rsidRDefault="000F3B30" w:rsidP="00760658">
            <w:pPr>
              <w:pStyle w:val="TableTextLeft"/>
            </w:pPr>
            <w:r>
              <w:t>DNRME</w:t>
            </w:r>
          </w:p>
        </w:tc>
        <w:tc>
          <w:tcPr>
            <w:tcW w:w="7371" w:type="dxa"/>
          </w:tcPr>
          <w:p w14:paraId="3C500414" w14:textId="1ED8546E" w:rsidR="000F3B30" w:rsidRPr="00134D6E" w:rsidRDefault="000F3B30" w:rsidP="000F3B30">
            <w:pPr>
              <w:pStyle w:val="TableTextLeft"/>
            </w:pPr>
            <w:r>
              <w:t>Department of Natural Resources, Mines and Energy (Queensland)</w:t>
            </w:r>
          </w:p>
        </w:tc>
      </w:tr>
      <w:tr w:rsidR="000F3B30" w14:paraId="223BD4C0"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BE" w14:textId="77777777" w:rsidR="000F3B30" w:rsidRPr="00134D6E" w:rsidRDefault="000F3B30" w:rsidP="00D95251">
            <w:pPr>
              <w:pStyle w:val="TableTextLeft"/>
            </w:pPr>
            <w:r>
              <w:t>DPCSA</w:t>
            </w:r>
          </w:p>
        </w:tc>
        <w:tc>
          <w:tcPr>
            <w:tcW w:w="7371" w:type="dxa"/>
          </w:tcPr>
          <w:p w14:paraId="223BD4BF" w14:textId="77777777" w:rsidR="000F3B30" w:rsidRPr="00134D6E" w:rsidRDefault="000F3B30" w:rsidP="00D95251">
            <w:pPr>
              <w:pStyle w:val="TableTextLeft"/>
            </w:pPr>
            <w:r w:rsidRPr="00134D6E">
              <w:t>Department of the Premier and Cabinet, South Australia</w:t>
            </w:r>
          </w:p>
        </w:tc>
      </w:tr>
      <w:tr w:rsidR="00764FE7" w14:paraId="3B417CDD"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0788DF89" w14:textId="181923CA" w:rsidR="00764FE7" w:rsidRDefault="00764FE7" w:rsidP="00764FE7">
            <w:pPr>
              <w:pStyle w:val="TableTextLeft"/>
            </w:pPr>
            <w:r>
              <w:t>DREMP</w:t>
            </w:r>
          </w:p>
        </w:tc>
        <w:tc>
          <w:tcPr>
            <w:tcW w:w="7371" w:type="dxa"/>
          </w:tcPr>
          <w:p w14:paraId="28F4327C" w14:textId="2D417426" w:rsidR="00764FE7" w:rsidRPr="00134D6E" w:rsidRDefault="00764FE7" w:rsidP="00D95251">
            <w:pPr>
              <w:pStyle w:val="TableTextLeft"/>
            </w:pPr>
            <w:r>
              <w:t>Division of Resources and Energy, Minerals and Petroleum, New South Wales</w:t>
            </w:r>
          </w:p>
        </w:tc>
      </w:tr>
      <w:tr w:rsidR="000F3B30" w14:paraId="223BD4C3"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C1" w14:textId="77777777" w:rsidR="000F3B30" w:rsidRPr="00767154" w:rsidRDefault="000F3B30" w:rsidP="00760658">
            <w:pPr>
              <w:pStyle w:val="TableTextLeft"/>
            </w:pPr>
            <w:r>
              <w:t>DoEE</w:t>
            </w:r>
          </w:p>
        </w:tc>
        <w:tc>
          <w:tcPr>
            <w:tcW w:w="7371" w:type="dxa"/>
          </w:tcPr>
          <w:p w14:paraId="223BD4C2" w14:textId="77777777" w:rsidR="000F3B30" w:rsidRPr="00767154" w:rsidRDefault="000F3B30" w:rsidP="00760658">
            <w:pPr>
              <w:pStyle w:val="TableTextLeft"/>
            </w:pPr>
            <w:r>
              <w:t>Department of the Environment and Energy</w:t>
            </w:r>
          </w:p>
        </w:tc>
      </w:tr>
      <w:tr w:rsidR="000F3B30" w14:paraId="223BD4C6"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C4" w14:textId="77777777" w:rsidR="000F3B30" w:rsidRPr="00767154" w:rsidRDefault="000F3B30" w:rsidP="00760658">
            <w:pPr>
              <w:pStyle w:val="TableTextLeft"/>
            </w:pPr>
            <w:r w:rsidRPr="00767154">
              <w:t xml:space="preserve">GA </w:t>
            </w:r>
          </w:p>
        </w:tc>
        <w:tc>
          <w:tcPr>
            <w:tcW w:w="7371" w:type="dxa"/>
          </w:tcPr>
          <w:p w14:paraId="223BD4C5" w14:textId="77777777" w:rsidR="000F3B30" w:rsidRPr="00767154" w:rsidRDefault="000F3B30" w:rsidP="00760658">
            <w:pPr>
              <w:pStyle w:val="TableTextLeft"/>
            </w:pPr>
            <w:r w:rsidRPr="00767154">
              <w:t xml:space="preserve">Geoscience Australia </w:t>
            </w:r>
          </w:p>
        </w:tc>
      </w:tr>
      <w:tr w:rsidR="000F3B30" w14:paraId="223BD4C9"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C7" w14:textId="77777777" w:rsidR="000F3B30" w:rsidRPr="00767154" w:rsidRDefault="000F3B30" w:rsidP="00760658">
            <w:pPr>
              <w:pStyle w:val="TableTextLeft"/>
            </w:pPr>
            <w:r w:rsidRPr="00767154">
              <w:t xml:space="preserve">GAB </w:t>
            </w:r>
          </w:p>
        </w:tc>
        <w:tc>
          <w:tcPr>
            <w:tcW w:w="7371" w:type="dxa"/>
          </w:tcPr>
          <w:p w14:paraId="223BD4C8" w14:textId="77777777" w:rsidR="000F3B30" w:rsidRPr="00767154" w:rsidRDefault="000F3B30" w:rsidP="00760658">
            <w:pPr>
              <w:pStyle w:val="TableTextLeft"/>
            </w:pPr>
            <w:r w:rsidRPr="00767154">
              <w:t xml:space="preserve">Great Artesian Basin </w:t>
            </w:r>
          </w:p>
        </w:tc>
      </w:tr>
      <w:tr w:rsidR="000F3B30" w14:paraId="223BD4CC"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CA" w14:textId="77777777" w:rsidR="000F3B30" w:rsidRPr="00767154" w:rsidRDefault="000F3B30" w:rsidP="00760658">
            <w:pPr>
              <w:pStyle w:val="TableTextLeft"/>
            </w:pPr>
            <w:r w:rsidRPr="00767154">
              <w:t xml:space="preserve">GDE(s) </w:t>
            </w:r>
          </w:p>
        </w:tc>
        <w:tc>
          <w:tcPr>
            <w:tcW w:w="7371" w:type="dxa"/>
          </w:tcPr>
          <w:p w14:paraId="223BD4CB" w14:textId="77777777" w:rsidR="000F3B30" w:rsidRPr="00767154" w:rsidRDefault="000F3B30" w:rsidP="00760658">
            <w:pPr>
              <w:pStyle w:val="TableTextLeft"/>
            </w:pPr>
            <w:r w:rsidRPr="00767154">
              <w:t xml:space="preserve">groundwater-dependent ecosystem(s) </w:t>
            </w:r>
          </w:p>
        </w:tc>
      </w:tr>
      <w:tr w:rsidR="006D5CC9" w14:paraId="474848F2"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64BE0E9" w14:textId="3B233E43" w:rsidR="006D5CC9" w:rsidRPr="00767154" w:rsidRDefault="006D5CC9" w:rsidP="00760658">
            <w:pPr>
              <w:pStyle w:val="TableTextLeft"/>
            </w:pPr>
            <w:r>
              <w:t>GIP</w:t>
            </w:r>
          </w:p>
        </w:tc>
        <w:tc>
          <w:tcPr>
            <w:tcW w:w="7371" w:type="dxa"/>
          </w:tcPr>
          <w:p w14:paraId="48001C3E" w14:textId="7CE3B704" w:rsidR="006D5CC9" w:rsidRPr="00767154" w:rsidRDefault="006D5CC9" w:rsidP="00760658">
            <w:pPr>
              <w:pStyle w:val="TableTextLeft"/>
            </w:pPr>
            <w:r>
              <w:t>gas-in-place</w:t>
            </w:r>
          </w:p>
        </w:tc>
      </w:tr>
      <w:tr w:rsidR="000F3B30" w14:paraId="223BD4CF"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CD" w14:textId="77777777" w:rsidR="000F3B30" w:rsidRPr="00767154" w:rsidRDefault="000F3B30" w:rsidP="00760658">
            <w:pPr>
              <w:pStyle w:val="TableTextLeft"/>
            </w:pPr>
            <w:r w:rsidRPr="00767154">
              <w:t xml:space="preserve">GIS </w:t>
            </w:r>
          </w:p>
        </w:tc>
        <w:tc>
          <w:tcPr>
            <w:tcW w:w="7371" w:type="dxa"/>
          </w:tcPr>
          <w:p w14:paraId="223BD4CE" w14:textId="77777777" w:rsidR="000F3B30" w:rsidRPr="00767154" w:rsidRDefault="000F3B30" w:rsidP="00760658">
            <w:pPr>
              <w:pStyle w:val="TableTextLeft"/>
            </w:pPr>
            <w:r w:rsidRPr="00767154">
              <w:t xml:space="preserve">geographic information system </w:t>
            </w:r>
          </w:p>
        </w:tc>
      </w:tr>
      <w:tr w:rsidR="00764FE7" w14:paraId="15ABCA6A"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3A6E67B3" w14:textId="14CD265B" w:rsidR="00764FE7" w:rsidRPr="00767154" w:rsidRDefault="00764FE7" w:rsidP="00764FE7">
            <w:pPr>
              <w:pStyle w:val="TableTextLeft"/>
            </w:pPr>
            <w:r w:rsidRPr="0047157F">
              <w:t xml:space="preserve">GSNSW </w:t>
            </w:r>
          </w:p>
        </w:tc>
        <w:tc>
          <w:tcPr>
            <w:tcW w:w="7371" w:type="dxa"/>
          </w:tcPr>
          <w:p w14:paraId="388D0955" w14:textId="011DCC74" w:rsidR="00764FE7" w:rsidRPr="00767154" w:rsidRDefault="00764FE7" w:rsidP="00760658">
            <w:pPr>
              <w:pStyle w:val="TableTextLeft"/>
            </w:pPr>
            <w:r w:rsidRPr="0047157F">
              <w:t>Geological Survey New South Wale</w:t>
            </w:r>
            <w:r>
              <w:t>s</w:t>
            </w:r>
          </w:p>
        </w:tc>
      </w:tr>
      <w:tr w:rsidR="00764FE7" w14:paraId="223BD4D2"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D0" w14:textId="77777777" w:rsidR="00764FE7" w:rsidRPr="00767154" w:rsidRDefault="00764FE7" w:rsidP="00760658">
            <w:pPr>
              <w:pStyle w:val="TableTextLeft"/>
            </w:pPr>
            <w:r>
              <w:t>GSV</w:t>
            </w:r>
          </w:p>
        </w:tc>
        <w:tc>
          <w:tcPr>
            <w:tcW w:w="7371" w:type="dxa"/>
          </w:tcPr>
          <w:p w14:paraId="223BD4D1" w14:textId="63F16D3A" w:rsidR="00764FE7" w:rsidRPr="00767154" w:rsidRDefault="00764FE7" w:rsidP="00760658">
            <w:pPr>
              <w:pStyle w:val="TableTextLeft"/>
            </w:pPr>
            <w:r w:rsidRPr="00134D6E">
              <w:t>Geological Survey</w:t>
            </w:r>
            <w:r w:rsidR="005F6F81">
              <w:t xml:space="preserve"> </w:t>
            </w:r>
            <w:r>
              <w:t xml:space="preserve">of </w:t>
            </w:r>
            <w:r w:rsidRPr="00134D6E">
              <w:t>Victoria</w:t>
            </w:r>
          </w:p>
        </w:tc>
      </w:tr>
      <w:tr w:rsidR="00764FE7" w14:paraId="223BD4D5"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D3" w14:textId="77777777" w:rsidR="00764FE7" w:rsidRPr="00767154" w:rsidRDefault="00764FE7" w:rsidP="00760658">
            <w:pPr>
              <w:pStyle w:val="TableTextLeft"/>
            </w:pPr>
            <w:r>
              <w:t>LNG</w:t>
            </w:r>
          </w:p>
        </w:tc>
        <w:tc>
          <w:tcPr>
            <w:tcW w:w="7371" w:type="dxa"/>
          </w:tcPr>
          <w:p w14:paraId="223BD4D4" w14:textId="7D5007ED" w:rsidR="00764FE7" w:rsidRPr="00767154" w:rsidRDefault="00817685" w:rsidP="00783CD7">
            <w:pPr>
              <w:pStyle w:val="TableTextLeft"/>
            </w:pPr>
            <w:r>
              <w:t>liquefied</w:t>
            </w:r>
            <w:r w:rsidR="00764FE7">
              <w:t xml:space="preserve"> natural gas</w:t>
            </w:r>
          </w:p>
        </w:tc>
      </w:tr>
      <w:tr w:rsidR="00764FE7" w14:paraId="223BD4D8"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D6" w14:textId="77777777" w:rsidR="00764FE7" w:rsidRPr="00767154" w:rsidRDefault="00764FE7" w:rsidP="00D95251">
            <w:pPr>
              <w:pStyle w:val="TableTextLeft"/>
            </w:pPr>
            <w:r w:rsidRPr="00134D6E">
              <w:t>NHMRC</w:t>
            </w:r>
          </w:p>
        </w:tc>
        <w:tc>
          <w:tcPr>
            <w:tcW w:w="7371" w:type="dxa"/>
          </w:tcPr>
          <w:p w14:paraId="223BD4D7" w14:textId="77777777" w:rsidR="00764FE7" w:rsidRPr="00767154" w:rsidRDefault="00764FE7" w:rsidP="00D95251">
            <w:pPr>
              <w:pStyle w:val="TableTextLeft"/>
            </w:pPr>
            <w:r w:rsidRPr="00134D6E">
              <w:t>National Health an</w:t>
            </w:r>
            <w:r>
              <w:t>d Medical Research Council</w:t>
            </w:r>
          </w:p>
        </w:tc>
      </w:tr>
      <w:tr w:rsidR="00764FE7" w14:paraId="4882DB7C"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18C1190E" w14:textId="745FA86C" w:rsidR="00764FE7" w:rsidRPr="00134D6E" w:rsidRDefault="00764FE7" w:rsidP="00D95251">
            <w:pPr>
              <w:pStyle w:val="TableTextLeft"/>
            </w:pPr>
            <w:r>
              <w:t>NNTT</w:t>
            </w:r>
          </w:p>
        </w:tc>
        <w:tc>
          <w:tcPr>
            <w:tcW w:w="7371" w:type="dxa"/>
          </w:tcPr>
          <w:p w14:paraId="42EAE5E8" w14:textId="7DBBDF63" w:rsidR="00764FE7" w:rsidRPr="00134D6E" w:rsidRDefault="00764FE7" w:rsidP="00D95251">
            <w:pPr>
              <w:pStyle w:val="TableTextLeft"/>
            </w:pPr>
            <w:r>
              <w:t>National Native Title Tribunal</w:t>
            </w:r>
          </w:p>
        </w:tc>
      </w:tr>
      <w:tr w:rsidR="00764FE7" w14:paraId="223BD4DE"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DC" w14:textId="77777777" w:rsidR="00764FE7" w:rsidRPr="00767154" w:rsidRDefault="00764FE7" w:rsidP="00760658">
            <w:pPr>
              <w:pStyle w:val="TableTextLeft"/>
            </w:pPr>
            <w:r w:rsidRPr="00767154">
              <w:t xml:space="preserve">NRM region(s) </w:t>
            </w:r>
          </w:p>
        </w:tc>
        <w:tc>
          <w:tcPr>
            <w:tcW w:w="7371" w:type="dxa"/>
          </w:tcPr>
          <w:p w14:paraId="223BD4DD" w14:textId="77777777" w:rsidR="00764FE7" w:rsidRPr="00767154" w:rsidRDefault="00764FE7" w:rsidP="00760658">
            <w:pPr>
              <w:pStyle w:val="TableTextLeft"/>
            </w:pPr>
            <w:r w:rsidRPr="00767154">
              <w:t xml:space="preserve">natural resource management region(s) </w:t>
            </w:r>
          </w:p>
        </w:tc>
      </w:tr>
      <w:tr w:rsidR="00764FE7" w14:paraId="223BD4E1"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223BD4DF" w14:textId="77777777" w:rsidR="00764FE7" w:rsidRPr="00767154" w:rsidRDefault="00764FE7" w:rsidP="00760658">
            <w:pPr>
              <w:pStyle w:val="TableTextLeft"/>
            </w:pPr>
            <w:r w:rsidRPr="00134D6E">
              <w:t>NRMMC</w:t>
            </w:r>
          </w:p>
        </w:tc>
        <w:tc>
          <w:tcPr>
            <w:tcW w:w="7371" w:type="dxa"/>
          </w:tcPr>
          <w:p w14:paraId="223BD4E0" w14:textId="77777777" w:rsidR="00764FE7" w:rsidRPr="00767154" w:rsidRDefault="00764FE7" w:rsidP="00760658">
            <w:pPr>
              <w:pStyle w:val="TableTextLeft"/>
            </w:pPr>
            <w:r w:rsidRPr="00134D6E">
              <w:t xml:space="preserve">National Resource </w:t>
            </w:r>
            <w:r>
              <w:t>Management Ministerial Council</w:t>
            </w:r>
          </w:p>
        </w:tc>
      </w:tr>
      <w:tr w:rsidR="00764FE7" w14:paraId="435A603E"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1F8B75DB" w14:textId="7D2AF00E" w:rsidR="00764FE7" w:rsidRPr="00767154" w:rsidRDefault="00764FE7" w:rsidP="00760658">
            <w:pPr>
              <w:pStyle w:val="TableTextLeft"/>
            </w:pPr>
            <w:r>
              <w:t>NTGS</w:t>
            </w:r>
          </w:p>
        </w:tc>
        <w:tc>
          <w:tcPr>
            <w:tcW w:w="7371" w:type="dxa"/>
          </w:tcPr>
          <w:p w14:paraId="44351459" w14:textId="73483880" w:rsidR="00764FE7" w:rsidRPr="00767154" w:rsidRDefault="00764FE7" w:rsidP="00760658">
            <w:pPr>
              <w:pStyle w:val="TableTextLeft"/>
            </w:pPr>
            <w:r>
              <w:t>Northern Territory Geological Survey</w:t>
            </w:r>
          </w:p>
        </w:tc>
      </w:tr>
      <w:tr w:rsidR="00764FE7" w14:paraId="3B47DEBE" w14:textId="77777777" w:rsidTr="008454B0">
        <w:trPr>
          <w:cnfStyle w:val="000000100000" w:firstRow="0" w:lastRow="0" w:firstColumn="0" w:lastColumn="0" w:oddVBand="0" w:evenVBand="0" w:oddHBand="1" w:evenHBand="0" w:firstRowFirstColumn="0" w:firstRowLastColumn="0" w:lastRowFirstColumn="0" w:lastRowLastColumn="0"/>
        </w:trPr>
        <w:tc>
          <w:tcPr>
            <w:tcW w:w="1701" w:type="dxa"/>
          </w:tcPr>
          <w:p w14:paraId="58774FF0" w14:textId="063A7728" w:rsidR="00764FE7" w:rsidRDefault="00764FE7" w:rsidP="00764FE7">
            <w:pPr>
              <w:pStyle w:val="TableTextLeft"/>
            </w:pPr>
            <w:r>
              <w:t>OGIA</w:t>
            </w:r>
          </w:p>
        </w:tc>
        <w:tc>
          <w:tcPr>
            <w:tcW w:w="7371" w:type="dxa"/>
          </w:tcPr>
          <w:p w14:paraId="7442A1D8" w14:textId="4B21F85D" w:rsidR="00764FE7" w:rsidRDefault="00764FE7" w:rsidP="00760658">
            <w:pPr>
              <w:pStyle w:val="TableTextLeft"/>
            </w:pPr>
            <w:r w:rsidRPr="00176856">
              <w:t>Office of Groundwater Impact Assessment</w:t>
            </w:r>
          </w:p>
        </w:tc>
      </w:tr>
      <w:tr w:rsidR="00764FE7" w14:paraId="223BD4E7" w14:textId="77777777" w:rsidTr="008454B0">
        <w:trPr>
          <w:cnfStyle w:val="000000010000" w:firstRow="0" w:lastRow="0" w:firstColumn="0" w:lastColumn="0" w:oddVBand="0" w:evenVBand="0" w:oddHBand="0" w:evenHBand="1" w:firstRowFirstColumn="0" w:firstRowLastColumn="0" w:lastRowFirstColumn="0" w:lastRowLastColumn="0"/>
        </w:trPr>
        <w:tc>
          <w:tcPr>
            <w:tcW w:w="1701" w:type="dxa"/>
          </w:tcPr>
          <w:p w14:paraId="223BD4E5" w14:textId="77777777" w:rsidR="00764FE7" w:rsidRPr="00767154" w:rsidRDefault="00764FE7" w:rsidP="00760658">
            <w:pPr>
              <w:pStyle w:val="TableTextLeft"/>
            </w:pPr>
            <w:r w:rsidRPr="00134D6E">
              <w:t>PRMS</w:t>
            </w:r>
          </w:p>
        </w:tc>
        <w:tc>
          <w:tcPr>
            <w:tcW w:w="7371" w:type="dxa"/>
          </w:tcPr>
          <w:p w14:paraId="223BD4E6" w14:textId="77777777" w:rsidR="00764FE7" w:rsidRPr="00767154" w:rsidRDefault="00764FE7" w:rsidP="00760658">
            <w:pPr>
              <w:pStyle w:val="TableTextLeft"/>
            </w:pPr>
            <w:r>
              <w:t>Petroleum Resource Management System</w:t>
            </w:r>
          </w:p>
        </w:tc>
      </w:tr>
    </w:tbl>
    <w:p w14:paraId="223BD4F1" w14:textId="77777777" w:rsidR="00174635" w:rsidRDefault="00174635" w:rsidP="00E8799B">
      <w:pPr>
        <w:pStyle w:val="BodyText"/>
      </w:pPr>
    </w:p>
    <w:p w14:paraId="223BD4F2" w14:textId="77777777" w:rsidR="00174635" w:rsidRDefault="00174635" w:rsidP="00CE5CFF">
      <w:pPr>
        <w:pStyle w:val="Heading1noTOC"/>
        <w:rPr>
          <w:lang w:val="en-US"/>
        </w:rPr>
      </w:pPr>
      <w:bookmarkStart w:id="163" w:name="_Toc494277027"/>
      <w:r>
        <w:rPr>
          <w:lang w:val="en-US"/>
        </w:rPr>
        <w:t>Energy measurement and conversion factors</w:t>
      </w:r>
      <w:bookmarkEnd w:id="163"/>
    </w:p>
    <w:p w14:paraId="223BD4F3" w14:textId="6A5128AA" w:rsidR="00174635" w:rsidRDefault="00174635" w:rsidP="00174635">
      <w:pPr>
        <w:pStyle w:val="BodyText"/>
        <w:rPr>
          <w:lang w:val="en-US"/>
        </w:rPr>
      </w:pPr>
      <w:r>
        <w:rPr>
          <w:lang w:val="en-US"/>
        </w:rPr>
        <w:t>The following text provides back ground information on energy measurements and conversion factors (from AERA, 201</w:t>
      </w:r>
      <w:r w:rsidR="001E66BE">
        <w:rPr>
          <w:lang w:val="en-US"/>
        </w:rPr>
        <w:t>8</w:t>
      </w:r>
      <w:r>
        <w:rPr>
          <w:lang w:val="en-US"/>
        </w:rPr>
        <w:t>).</w:t>
      </w:r>
    </w:p>
    <w:p w14:paraId="223BD4F4" w14:textId="016DB12A" w:rsidR="00174635" w:rsidRPr="00E70BDF" w:rsidRDefault="00174635" w:rsidP="00174635">
      <w:pPr>
        <w:pStyle w:val="BodyText"/>
      </w:pPr>
      <w:r>
        <w:rPr>
          <w:lang w:val="en-US"/>
        </w:rPr>
        <w:t>Energy is the ability to do work. The International System of Units (SI) unit of energy across all energy types is the Joule (J</w:t>
      </w:r>
      <w:r w:rsidR="005E1B62">
        <w:rPr>
          <w:lang w:val="en-US"/>
        </w:rPr>
        <w:t>)</w:t>
      </w:r>
      <w:r w:rsidR="00C074A3">
        <w:rPr>
          <w:lang w:val="en-US"/>
        </w:rPr>
        <w:t>.</w:t>
      </w:r>
      <w:r w:rsidR="005E1B62">
        <w:rPr>
          <w:lang w:val="en-US"/>
        </w:rPr>
        <w:t xml:space="preserve"> </w:t>
      </w:r>
      <w:r>
        <w:rPr>
          <w:lang w:val="en-US"/>
        </w:rPr>
        <w:t xml:space="preserve">It is defined as the amount of work done by a force of one newton exerted over </w:t>
      </w:r>
      <w:r w:rsidRPr="00E70BDF">
        <w:t>a distance of one metre.</w:t>
      </w:r>
    </w:p>
    <w:p w14:paraId="223BD4F5" w14:textId="2678880B" w:rsidR="00174635" w:rsidRPr="00E70BDF" w:rsidRDefault="00174635" w:rsidP="00174635">
      <w:pPr>
        <w:pStyle w:val="BodyText"/>
      </w:pPr>
      <w:r w:rsidRPr="00E70BDF">
        <w:t>Power is the rate at which work is delivered. The SI unit of power is the watt (W</w:t>
      </w:r>
      <w:r w:rsidR="005E1B62">
        <w:t xml:space="preserve">) </w:t>
      </w:r>
      <w:r w:rsidRPr="00E70BDF">
        <w:t>One watt is equal to one joule per second (1 W = 1 J/sec</w:t>
      </w:r>
      <w:r w:rsidR="005E1B62">
        <w:t xml:space="preserve">) </w:t>
      </w:r>
      <w:r w:rsidRPr="00E70BDF">
        <w:t>Watt is the common unit for electrical power (sometimes expressed as We) although may be used for thermal power (Wt).</w:t>
      </w:r>
    </w:p>
    <w:p w14:paraId="223BD4F6" w14:textId="77777777" w:rsidR="00174635" w:rsidRPr="00E70BDF" w:rsidRDefault="00174635" w:rsidP="00174635">
      <w:pPr>
        <w:pStyle w:val="BodyText"/>
      </w:pPr>
      <w:r w:rsidRPr="00E70BDF">
        <w:t>Consumption of electric energy is measured in kilowatt-hours (kWh), which is equal to the power in kilowatts (kW) times the time period (hours (h)).</w:t>
      </w:r>
    </w:p>
    <w:p w14:paraId="223BD4F7" w14:textId="77777777" w:rsidR="00174635" w:rsidRPr="00E70BDF" w:rsidRDefault="00174635" w:rsidP="00174635">
      <w:pPr>
        <w:pStyle w:val="BodyText"/>
      </w:pPr>
      <w:r w:rsidRPr="00E70BDF">
        <w:t>energy (kWh) = power (kW) x time (h)</w:t>
      </w:r>
    </w:p>
    <w:p w14:paraId="223BD4F8" w14:textId="3CD4CB41" w:rsidR="00174635" w:rsidRPr="00E70BDF" w:rsidRDefault="00174635" w:rsidP="00174635">
      <w:pPr>
        <w:pStyle w:val="BodyText"/>
      </w:pPr>
      <w:r w:rsidRPr="00E70BDF">
        <w:t>The average annual energy production or consumption can be expressed in kilowatt-hours per year (kWh/year</w:t>
      </w:r>
      <w:r w:rsidR="005E1B62">
        <w:t xml:space="preserve">) </w:t>
      </w:r>
      <w:r w:rsidRPr="00E70BDF">
        <w:t>For example, a power plant with a capacity of one MW produces 1000 kWh when the plant runs consistently for one hour. If the power plant runs consistently with no downtime for a year (8760 hours), the generator produces 8 760 000 kWh (8 760 MWh) in a year.</w:t>
      </w:r>
    </w:p>
    <w:p w14:paraId="223BD4F9" w14:textId="77777777" w:rsidR="00174635" w:rsidRPr="00B115B0" w:rsidRDefault="00174635" w:rsidP="00174635">
      <w:pPr>
        <w:pStyle w:val="BodyText"/>
        <w:rPr>
          <w:lang w:val="en-US"/>
        </w:rPr>
      </w:pPr>
      <w:r>
        <w:rPr>
          <w:lang w:val="en-US"/>
        </w:rPr>
        <w:t>Both Joules and Watts are more commonly recorded in multiples.</w:t>
      </w:r>
    </w:p>
    <w:tbl>
      <w:tblPr>
        <w:tblStyle w:val="TableBAHeaderRow"/>
        <w:tblW w:w="5000" w:type="pct"/>
        <w:tblLook w:val="04A0" w:firstRow="1" w:lastRow="0" w:firstColumn="1" w:lastColumn="0" w:noHBand="0" w:noVBand="1"/>
      </w:tblPr>
      <w:tblGrid>
        <w:gridCol w:w="1525"/>
        <w:gridCol w:w="8113"/>
      </w:tblGrid>
      <w:tr w:rsidR="00174635" w14:paraId="223BD4FC" w14:textId="77777777" w:rsidTr="008454B0">
        <w:trPr>
          <w:cnfStyle w:val="100000000000" w:firstRow="1" w:lastRow="0" w:firstColumn="0" w:lastColumn="0" w:oddVBand="0" w:evenVBand="0" w:oddHBand="0" w:evenHBand="0" w:firstRowFirstColumn="0" w:firstRowLastColumn="0" w:lastRowFirstColumn="0" w:lastRowLastColumn="0"/>
        </w:trPr>
        <w:tc>
          <w:tcPr>
            <w:tcW w:w="791" w:type="pct"/>
            <w:hideMark/>
          </w:tcPr>
          <w:p w14:paraId="223BD4FA" w14:textId="77777777" w:rsidR="00174635" w:rsidRDefault="00174635" w:rsidP="00760658">
            <w:pPr>
              <w:pStyle w:val="TableTextLeft"/>
              <w:rPr>
                <w:sz w:val="24"/>
                <w:szCs w:val="24"/>
              </w:rPr>
            </w:pPr>
            <w:r>
              <w:t>EJ</w:t>
            </w:r>
          </w:p>
        </w:tc>
        <w:tc>
          <w:tcPr>
            <w:tcW w:w="4209" w:type="pct"/>
            <w:hideMark/>
          </w:tcPr>
          <w:p w14:paraId="223BD4FB" w14:textId="77777777" w:rsidR="00174635" w:rsidRDefault="00174635" w:rsidP="00760658">
            <w:pPr>
              <w:pStyle w:val="TableTextLeft"/>
              <w:rPr>
                <w:sz w:val="24"/>
                <w:szCs w:val="24"/>
              </w:rPr>
            </w:pPr>
            <w:r>
              <w:t>Exajoule - 10</w:t>
            </w:r>
            <w:r w:rsidRPr="00C30F1D">
              <w:rPr>
                <w:rStyle w:val="Superscript"/>
              </w:rPr>
              <w:t>18</w:t>
            </w:r>
            <w:r>
              <w:t xml:space="preserve"> joules</w:t>
            </w:r>
          </w:p>
        </w:tc>
      </w:tr>
      <w:tr w:rsidR="00174635" w14:paraId="223BD4FF" w14:textId="77777777" w:rsidTr="008454B0">
        <w:trPr>
          <w:cnfStyle w:val="000000100000" w:firstRow="0" w:lastRow="0" w:firstColumn="0" w:lastColumn="0" w:oddVBand="0" w:evenVBand="0" w:oddHBand="1" w:evenHBand="0" w:firstRowFirstColumn="0" w:firstRowLastColumn="0" w:lastRowFirstColumn="0" w:lastRowLastColumn="0"/>
        </w:trPr>
        <w:tc>
          <w:tcPr>
            <w:tcW w:w="791" w:type="pct"/>
            <w:hideMark/>
          </w:tcPr>
          <w:p w14:paraId="223BD4FD" w14:textId="77777777" w:rsidR="00174635" w:rsidRDefault="00174635" w:rsidP="00760658">
            <w:pPr>
              <w:pStyle w:val="TableTextLeft"/>
              <w:rPr>
                <w:sz w:val="24"/>
                <w:szCs w:val="24"/>
              </w:rPr>
            </w:pPr>
            <w:r>
              <w:t>GJ</w:t>
            </w:r>
          </w:p>
        </w:tc>
        <w:tc>
          <w:tcPr>
            <w:tcW w:w="4209" w:type="pct"/>
            <w:hideMark/>
          </w:tcPr>
          <w:p w14:paraId="223BD4FE" w14:textId="77777777" w:rsidR="00174635" w:rsidRDefault="00174635" w:rsidP="00760658">
            <w:pPr>
              <w:pStyle w:val="TableTextLeft"/>
              <w:rPr>
                <w:sz w:val="24"/>
                <w:szCs w:val="24"/>
              </w:rPr>
            </w:pPr>
            <w:r>
              <w:t>Gigajoule - 10</w:t>
            </w:r>
            <w:r w:rsidRPr="00C30F1D">
              <w:rPr>
                <w:rStyle w:val="Superscript"/>
              </w:rPr>
              <w:t>9</w:t>
            </w:r>
            <w:r>
              <w:t xml:space="preserve"> joules </w:t>
            </w:r>
          </w:p>
        </w:tc>
      </w:tr>
      <w:tr w:rsidR="00174635" w14:paraId="223BD502" w14:textId="77777777" w:rsidTr="008454B0">
        <w:trPr>
          <w:cnfStyle w:val="000000010000" w:firstRow="0" w:lastRow="0" w:firstColumn="0" w:lastColumn="0" w:oddVBand="0" w:evenVBand="0" w:oddHBand="0" w:evenHBand="1" w:firstRowFirstColumn="0" w:firstRowLastColumn="0" w:lastRowFirstColumn="0" w:lastRowLastColumn="0"/>
        </w:trPr>
        <w:tc>
          <w:tcPr>
            <w:tcW w:w="791" w:type="pct"/>
            <w:hideMark/>
          </w:tcPr>
          <w:p w14:paraId="223BD500" w14:textId="77777777" w:rsidR="00174635" w:rsidRDefault="00174635" w:rsidP="00760658">
            <w:pPr>
              <w:pStyle w:val="TableTextLeft"/>
              <w:rPr>
                <w:sz w:val="24"/>
                <w:szCs w:val="24"/>
              </w:rPr>
            </w:pPr>
            <w:r>
              <w:t>Gt</w:t>
            </w:r>
          </w:p>
        </w:tc>
        <w:tc>
          <w:tcPr>
            <w:tcW w:w="4209" w:type="pct"/>
            <w:hideMark/>
          </w:tcPr>
          <w:p w14:paraId="223BD501" w14:textId="77777777" w:rsidR="00174635" w:rsidRDefault="00174635" w:rsidP="00760658">
            <w:pPr>
              <w:pStyle w:val="TableTextLeft"/>
              <w:rPr>
                <w:sz w:val="24"/>
                <w:szCs w:val="24"/>
              </w:rPr>
            </w:pPr>
            <w:r>
              <w:t>Gigatonne - 10</w:t>
            </w:r>
            <w:r w:rsidRPr="00C30F1D">
              <w:rPr>
                <w:rStyle w:val="Superscript"/>
              </w:rPr>
              <w:t>9</w:t>
            </w:r>
            <w:r>
              <w:t xml:space="preserve"> tonnes</w:t>
            </w:r>
          </w:p>
        </w:tc>
      </w:tr>
      <w:tr w:rsidR="00174635" w14:paraId="223BD505" w14:textId="77777777" w:rsidTr="008454B0">
        <w:trPr>
          <w:cnfStyle w:val="000000100000" w:firstRow="0" w:lastRow="0" w:firstColumn="0" w:lastColumn="0" w:oddVBand="0" w:evenVBand="0" w:oddHBand="1" w:evenHBand="0" w:firstRowFirstColumn="0" w:firstRowLastColumn="0" w:lastRowFirstColumn="0" w:lastRowLastColumn="0"/>
        </w:trPr>
        <w:tc>
          <w:tcPr>
            <w:tcW w:w="791" w:type="pct"/>
            <w:hideMark/>
          </w:tcPr>
          <w:p w14:paraId="223BD503" w14:textId="77777777" w:rsidR="00174635" w:rsidRDefault="00174635" w:rsidP="00760658">
            <w:pPr>
              <w:pStyle w:val="TableTextLeft"/>
              <w:rPr>
                <w:sz w:val="24"/>
                <w:szCs w:val="24"/>
              </w:rPr>
            </w:pPr>
            <w:r>
              <w:t>GW</w:t>
            </w:r>
          </w:p>
        </w:tc>
        <w:tc>
          <w:tcPr>
            <w:tcW w:w="4209" w:type="pct"/>
            <w:hideMark/>
          </w:tcPr>
          <w:p w14:paraId="223BD504" w14:textId="77777777" w:rsidR="00174635" w:rsidRDefault="00174635" w:rsidP="00760658">
            <w:pPr>
              <w:pStyle w:val="TableTextLeft"/>
              <w:rPr>
                <w:sz w:val="24"/>
                <w:szCs w:val="24"/>
              </w:rPr>
            </w:pPr>
            <w:r>
              <w:t>Gigawatt - 10</w:t>
            </w:r>
            <w:r w:rsidRPr="00C30F1D">
              <w:rPr>
                <w:rStyle w:val="Superscript"/>
              </w:rPr>
              <w:t>9</w:t>
            </w:r>
            <w:r>
              <w:t xml:space="preserve"> watts</w:t>
            </w:r>
          </w:p>
        </w:tc>
      </w:tr>
      <w:tr w:rsidR="00174635" w14:paraId="223BD508" w14:textId="77777777" w:rsidTr="008454B0">
        <w:trPr>
          <w:cnfStyle w:val="000000010000" w:firstRow="0" w:lastRow="0" w:firstColumn="0" w:lastColumn="0" w:oddVBand="0" w:evenVBand="0" w:oddHBand="0" w:evenHBand="1" w:firstRowFirstColumn="0" w:firstRowLastColumn="0" w:lastRowFirstColumn="0" w:lastRowLastColumn="0"/>
        </w:trPr>
        <w:tc>
          <w:tcPr>
            <w:tcW w:w="791" w:type="pct"/>
            <w:hideMark/>
          </w:tcPr>
          <w:p w14:paraId="223BD506" w14:textId="77777777" w:rsidR="00174635" w:rsidRDefault="00174635" w:rsidP="00760658">
            <w:pPr>
              <w:pStyle w:val="TableTextLeft"/>
              <w:rPr>
                <w:sz w:val="24"/>
                <w:szCs w:val="24"/>
              </w:rPr>
            </w:pPr>
            <w:r>
              <w:t>kt</w:t>
            </w:r>
          </w:p>
        </w:tc>
        <w:tc>
          <w:tcPr>
            <w:tcW w:w="4209" w:type="pct"/>
            <w:hideMark/>
          </w:tcPr>
          <w:p w14:paraId="223BD507" w14:textId="77777777" w:rsidR="00174635" w:rsidRDefault="00174635" w:rsidP="00760658">
            <w:pPr>
              <w:pStyle w:val="TableTextLeft"/>
              <w:rPr>
                <w:sz w:val="24"/>
                <w:szCs w:val="24"/>
              </w:rPr>
            </w:pPr>
            <w:r>
              <w:t>Kilotonne - thousand (10</w:t>
            </w:r>
            <w:r w:rsidRPr="00C30F1D">
              <w:rPr>
                <w:rStyle w:val="Superscript"/>
              </w:rPr>
              <w:t>3</w:t>
            </w:r>
            <w:r>
              <w:t>) tonnes</w:t>
            </w:r>
          </w:p>
        </w:tc>
      </w:tr>
      <w:tr w:rsidR="00174635" w14:paraId="223BD50B" w14:textId="77777777" w:rsidTr="008454B0">
        <w:trPr>
          <w:cnfStyle w:val="000000100000" w:firstRow="0" w:lastRow="0" w:firstColumn="0" w:lastColumn="0" w:oddVBand="0" w:evenVBand="0" w:oddHBand="1" w:evenHBand="0" w:firstRowFirstColumn="0" w:firstRowLastColumn="0" w:lastRowFirstColumn="0" w:lastRowLastColumn="0"/>
        </w:trPr>
        <w:tc>
          <w:tcPr>
            <w:tcW w:w="791" w:type="pct"/>
            <w:hideMark/>
          </w:tcPr>
          <w:p w14:paraId="223BD509" w14:textId="77777777" w:rsidR="00174635" w:rsidRDefault="00174635" w:rsidP="00760658">
            <w:pPr>
              <w:pStyle w:val="TableTextLeft"/>
              <w:rPr>
                <w:sz w:val="24"/>
                <w:szCs w:val="24"/>
              </w:rPr>
            </w:pPr>
            <w:r>
              <w:t>kW</w:t>
            </w:r>
          </w:p>
        </w:tc>
        <w:tc>
          <w:tcPr>
            <w:tcW w:w="4209" w:type="pct"/>
            <w:hideMark/>
          </w:tcPr>
          <w:p w14:paraId="223BD50A" w14:textId="77777777" w:rsidR="00174635" w:rsidRDefault="00174635" w:rsidP="00760658">
            <w:pPr>
              <w:pStyle w:val="TableTextLeft"/>
              <w:rPr>
                <w:sz w:val="24"/>
                <w:szCs w:val="24"/>
              </w:rPr>
            </w:pPr>
            <w:r>
              <w:t>Kilowatt - thousand (10</w:t>
            </w:r>
            <w:r w:rsidRPr="00C30F1D">
              <w:rPr>
                <w:rStyle w:val="Superscript"/>
              </w:rPr>
              <w:t>3</w:t>
            </w:r>
            <w:r>
              <w:t>) watts</w:t>
            </w:r>
          </w:p>
        </w:tc>
      </w:tr>
      <w:tr w:rsidR="00174635" w14:paraId="223BD50E" w14:textId="77777777" w:rsidTr="008454B0">
        <w:trPr>
          <w:cnfStyle w:val="000000010000" w:firstRow="0" w:lastRow="0" w:firstColumn="0" w:lastColumn="0" w:oddVBand="0" w:evenVBand="0" w:oddHBand="0" w:evenHBand="1" w:firstRowFirstColumn="0" w:firstRowLastColumn="0" w:lastRowFirstColumn="0" w:lastRowLastColumn="0"/>
        </w:trPr>
        <w:tc>
          <w:tcPr>
            <w:tcW w:w="791" w:type="pct"/>
            <w:hideMark/>
          </w:tcPr>
          <w:p w14:paraId="223BD50C" w14:textId="77777777" w:rsidR="00174635" w:rsidRDefault="00174635" w:rsidP="00760658">
            <w:pPr>
              <w:pStyle w:val="TableTextLeft"/>
              <w:rPr>
                <w:sz w:val="24"/>
                <w:szCs w:val="24"/>
              </w:rPr>
            </w:pPr>
            <w:r>
              <w:t>kWh</w:t>
            </w:r>
          </w:p>
        </w:tc>
        <w:tc>
          <w:tcPr>
            <w:tcW w:w="4209" w:type="pct"/>
            <w:hideMark/>
          </w:tcPr>
          <w:p w14:paraId="223BD50D" w14:textId="77777777" w:rsidR="00174635" w:rsidRDefault="00174635" w:rsidP="00760658">
            <w:pPr>
              <w:pStyle w:val="TableTextLeft"/>
              <w:rPr>
                <w:sz w:val="24"/>
                <w:szCs w:val="24"/>
              </w:rPr>
            </w:pPr>
            <w:r>
              <w:t>Kilowatt-hours - thousand (10</w:t>
            </w:r>
            <w:r w:rsidRPr="00C30F1D">
              <w:rPr>
                <w:rStyle w:val="Superscript"/>
              </w:rPr>
              <w:t>3</w:t>
            </w:r>
            <w:r>
              <w:t>) watt-hours</w:t>
            </w:r>
          </w:p>
        </w:tc>
      </w:tr>
      <w:tr w:rsidR="00174635" w14:paraId="223BD511" w14:textId="77777777" w:rsidTr="008454B0">
        <w:trPr>
          <w:cnfStyle w:val="000000100000" w:firstRow="0" w:lastRow="0" w:firstColumn="0" w:lastColumn="0" w:oddVBand="0" w:evenVBand="0" w:oddHBand="1" w:evenHBand="0" w:firstRowFirstColumn="0" w:firstRowLastColumn="0" w:lastRowFirstColumn="0" w:lastRowLastColumn="0"/>
        </w:trPr>
        <w:tc>
          <w:tcPr>
            <w:tcW w:w="791" w:type="pct"/>
            <w:hideMark/>
          </w:tcPr>
          <w:p w14:paraId="223BD50F" w14:textId="77777777" w:rsidR="00174635" w:rsidRDefault="00174635" w:rsidP="00760658">
            <w:pPr>
              <w:pStyle w:val="TableTextLeft"/>
              <w:rPr>
                <w:sz w:val="24"/>
                <w:szCs w:val="24"/>
              </w:rPr>
            </w:pPr>
            <w:r>
              <w:t>ML</w:t>
            </w:r>
          </w:p>
        </w:tc>
        <w:tc>
          <w:tcPr>
            <w:tcW w:w="4209" w:type="pct"/>
            <w:hideMark/>
          </w:tcPr>
          <w:p w14:paraId="223BD510" w14:textId="77777777" w:rsidR="00174635" w:rsidRDefault="00174635" w:rsidP="00760658">
            <w:pPr>
              <w:pStyle w:val="TableTextLeft"/>
              <w:rPr>
                <w:sz w:val="24"/>
                <w:szCs w:val="24"/>
              </w:rPr>
            </w:pPr>
            <w:r>
              <w:t>Megalitre - million (10</w:t>
            </w:r>
            <w:r w:rsidRPr="00C30F1D">
              <w:rPr>
                <w:rStyle w:val="Superscript"/>
              </w:rPr>
              <w:t>6</w:t>
            </w:r>
            <w:r>
              <w:t>) litres</w:t>
            </w:r>
          </w:p>
        </w:tc>
      </w:tr>
      <w:tr w:rsidR="00174635" w14:paraId="223BD514" w14:textId="77777777" w:rsidTr="008454B0">
        <w:trPr>
          <w:cnfStyle w:val="000000010000" w:firstRow="0" w:lastRow="0" w:firstColumn="0" w:lastColumn="0" w:oddVBand="0" w:evenVBand="0" w:oddHBand="0" w:evenHBand="1" w:firstRowFirstColumn="0" w:firstRowLastColumn="0" w:lastRowFirstColumn="0" w:lastRowLastColumn="0"/>
        </w:trPr>
        <w:tc>
          <w:tcPr>
            <w:tcW w:w="791" w:type="pct"/>
            <w:hideMark/>
          </w:tcPr>
          <w:p w14:paraId="223BD512" w14:textId="77777777" w:rsidR="00174635" w:rsidRDefault="00174635" w:rsidP="00760658">
            <w:pPr>
              <w:pStyle w:val="TableTextLeft"/>
              <w:rPr>
                <w:sz w:val="24"/>
                <w:szCs w:val="24"/>
              </w:rPr>
            </w:pPr>
            <w:r>
              <w:t>mmbbl</w:t>
            </w:r>
          </w:p>
        </w:tc>
        <w:tc>
          <w:tcPr>
            <w:tcW w:w="4209" w:type="pct"/>
            <w:hideMark/>
          </w:tcPr>
          <w:p w14:paraId="223BD513" w14:textId="77777777" w:rsidR="00174635" w:rsidRDefault="00174635" w:rsidP="00760658">
            <w:pPr>
              <w:pStyle w:val="TableTextLeft"/>
              <w:rPr>
                <w:sz w:val="24"/>
                <w:szCs w:val="24"/>
              </w:rPr>
            </w:pPr>
            <w:r>
              <w:t>Million (10</w:t>
            </w:r>
            <w:r w:rsidRPr="00C30F1D">
              <w:rPr>
                <w:rStyle w:val="Superscript"/>
              </w:rPr>
              <w:t>6</w:t>
            </w:r>
            <w:r>
              <w:t>) barrels</w:t>
            </w:r>
          </w:p>
        </w:tc>
      </w:tr>
      <w:tr w:rsidR="00174635" w14:paraId="223BD517" w14:textId="77777777" w:rsidTr="008454B0">
        <w:trPr>
          <w:cnfStyle w:val="000000100000" w:firstRow="0" w:lastRow="0" w:firstColumn="0" w:lastColumn="0" w:oddVBand="0" w:evenVBand="0" w:oddHBand="1" w:evenHBand="0" w:firstRowFirstColumn="0" w:firstRowLastColumn="0" w:lastRowFirstColumn="0" w:lastRowLastColumn="0"/>
        </w:trPr>
        <w:tc>
          <w:tcPr>
            <w:tcW w:w="791" w:type="pct"/>
            <w:hideMark/>
          </w:tcPr>
          <w:p w14:paraId="223BD515" w14:textId="77777777" w:rsidR="00174635" w:rsidRDefault="00174635" w:rsidP="00760658">
            <w:pPr>
              <w:pStyle w:val="TableTextLeft"/>
              <w:rPr>
                <w:sz w:val="24"/>
                <w:szCs w:val="24"/>
              </w:rPr>
            </w:pPr>
            <w:r>
              <w:t>Mt</w:t>
            </w:r>
          </w:p>
        </w:tc>
        <w:tc>
          <w:tcPr>
            <w:tcW w:w="4209" w:type="pct"/>
            <w:hideMark/>
          </w:tcPr>
          <w:p w14:paraId="223BD516" w14:textId="77777777" w:rsidR="00174635" w:rsidRDefault="00174635" w:rsidP="00760658">
            <w:pPr>
              <w:pStyle w:val="TableTextLeft"/>
              <w:rPr>
                <w:sz w:val="24"/>
                <w:szCs w:val="24"/>
              </w:rPr>
            </w:pPr>
            <w:r>
              <w:t>Million (10</w:t>
            </w:r>
            <w:r w:rsidRPr="00C30F1D">
              <w:rPr>
                <w:rStyle w:val="Superscript"/>
              </w:rPr>
              <w:t>6</w:t>
            </w:r>
            <w:r>
              <w:t>) tonnes</w:t>
            </w:r>
          </w:p>
        </w:tc>
      </w:tr>
      <w:tr w:rsidR="00174635" w14:paraId="223BD51A" w14:textId="77777777" w:rsidTr="008454B0">
        <w:trPr>
          <w:cnfStyle w:val="000000010000" w:firstRow="0" w:lastRow="0" w:firstColumn="0" w:lastColumn="0" w:oddVBand="0" w:evenVBand="0" w:oddHBand="0" w:evenHBand="1" w:firstRowFirstColumn="0" w:firstRowLastColumn="0" w:lastRowFirstColumn="0" w:lastRowLastColumn="0"/>
        </w:trPr>
        <w:tc>
          <w:tcPr>
            <w:tcW w:w="791" w:type="pct"/>
            <w:hideMark/>
          </w:tcPr>
          <w:p w14:paraId="223BD518" w14:textId="77777777" w:rsidR="00174635" w:rsidRDefault="00174635" w:rsidP="00760658">
            <w:pPr>
              <w:pStyle w:val="TableTextLeft"/>
              <w:rPr>
                <w:sz w:val="24"/>
                <w:szCs w:val="24"/>
              </w:rPr>
            </w:pPr>
            <w:r>
              <w:t>MW</w:t>
            </w:r>
          </w:p>
        </w:tc>
        <w:tc>
          <w:tcPr>
            <w:tcW w:w="4209" w:type="pct"/>
            <w:hideMark/>
          </w:tcPr>
          <w:p w14:paraId="223BD519" w14:textId="77777777" w:rsidR="00174635" w:rsidRDefault="00174635" w:rsidP="00760658">
            <w:pPr>
              <w:pStyle w:val="TableTextLeft"/>
              <w:rPr>
                <w:sz w:val="24"/>
                <w:szCs w:val="24"/>
              </w:rPr>
            </w:pPr>
            <w:r>
              <w:t>Megawatts - 10</w:t>
            </w:r>
            <w:r w:rsidRPr="00C30F1D">
              <w:rPr>
                <w:rStyle w:val="Superscript"/>
              </w:rPr>
              <w:t>6</w:t>
            </w:r>
            <w:r>
              <w:t xml:space="preserve"> watts</w:t>
            </w:r>
          </w:p>
        </w:tc>
      </w:tr>
      <w:tr w:rsidR="00174635" w14:paraId="223BD51D" w14:textId="77777777" w:rsidTr="008454B0">
        <w:trPr>
          <w:cnfStyle w:val="000000100000" w:firstRow="0" w:lastRow="0" w:firstColumn="0" w:lastColumn="0" w:oddVBand="0" w:evenVBand="0" w:oddHBand="1" w:evenHBand="0" w:firstRowFirstColumn="0" w:firstRowLastColumn="0" w:lastRowFirstColumn="0" w:lastRowLastColumn="0"/>
        </w:trPr>
        <w:tc>
          <w:tcPr>
            <w:tcW w:w="791" w:type="pct"/>
            <w:hideMark/>
          </w:tcPr>
          <w:p w14:paraId="223BD51B" w14:textId="77777777" w:rsidR="00174635" w:rsidRDefault="00174635" w:rsidP="00760658">
            <w:pPr>
              <w:pStyle w:val="TableTextLeft"/>
              <w:rPr>
                <w:sz w:val="24"/>
                <w:szCs w:val="24"/>
              </w:rPr>
            </w:pPr>
            <w:r>
              <w:t>MWh</w:t>
            </w:r>
          </w:p>
        </w:tc>
        <w:tc>
          <w:tcPr>
            <w:tcW w:w="4209" w:type="pct"/>
            <w:hideMark/>
          </w:tcPr>
          <w:p w14:paraId="223BD51C" w14:textId="77777777" w:rsidR="00174635" w:rsidRDefault="00174635" w:rsidP="00760658">
            <w:pPr>
              <w:pStyle w:val="TableTextLeft"/>
              <w:rPr>
                <w:sz w:val="24"/>
                <w:szCs w:val="24"/>
              </w:rPr>
            </w:pPr>
            <w:r>
              <w:t>Megawatt-hours - 10</w:t>
            </w:r>
            <w:r w:rsidRPr="00C30F1D">
              <w:rPr>
                <w:rStyle w:val="Superscript"/>
              </w:rPr>
              <w:t>6</w:t>
            </w:r>
            <w:r>
              <w:t xml:space="preserve"> watt-hours</w:t>
            </w:r>
          </w:p>
        </w:tc>
      </w:tr>
      <w:tr w:rsidR="00174635" w14:paraId="223BD520" w14:textId="77777777" w:rsidTr="008454B0">
        <w:trPr>
          <w:cnfStyle w:val="000000010000" w:firstRow="0" w:lastRow="0" w:firstColumn="0" w:lastColumn="0" w:oddVBand="0" w:evenVBand="0" w:oddHBand="0" w:evenHBand="1" w:firstRowFirstColumn="0" w:firstRowLastColumn="0" w:lastRowFirstColumn="0" w:lastRowLastColumn="0"/>
        </w:trPr>
        <w:tc>
          <w:tcPr>
            <w:tcW w:w="791" w:type="pct"/>
            <w:hideMark/>
          </w:tcPr>
          <w:p w14:paraId="223BD51E" w14:textId="77777777" w:rsidR="00174635" w:rsidRDefault="00174635" w:rsidP="00760658">
            <w:pPr>
              <w:pStyle w:val="TableTextLeft"/>
              <w:rPr>
                <w:sz w:val="24"/>
                <w:szCs w:val="24"/>
              </w:rPr>
            </w:pPr>
            <w:r>
              <w:t>PJ</w:t>
            </w:r>
          </w:p>
        </w:tc>
        <w:tc>
          <w:tcPr>
            <w:tcW w:w="4209" w:type="pct"/>
            <w:hideMark/>
          </w:tcPr>
          <w:p w14:paraId="223BD51F" w14:textId="77777777" w:rsidR="00174635" w:rsidRDefault="00174635" w:rsidP="00760658">
            <w:pPr>
              <w:pStyle w:val="TableTextLeft"/>
              <w:rPr>
                <w:sz w:val="24"/>
                <w:szCs w:val="24"/>
              </w:rPr>
            </w:pPr>
            <w:r>
              <w:t>Petajoules - 10</w:t>
            </w:r>
            <w:r w:rsidRPr="00C30F1D">
              <w:rPr>
                <w:rStyle w:val="Superscript"/>
              </w:rPr>
              <w:t>15</w:t>
            </w:r>
            <w:r>
              <w:t xml:space="preserve"> joules</w:t>
            </w:r>
          </w:p>
        </w:tc>
      </w:tr>
      <w:tr w:rsidR="00174635" w14:paraId="223BD523" w14:textId="77777777" w:rsidTr="008454B0">
        <w:trPr>
          <w:cnfStyle w:val="000000100000" w:firstRow="0" w:lastRow="0" w:firstColumn="0" w:lastColumn="0" w:oddVBand="0" w:evenVBand="0" w:oddHBand="1" w:evenHBand="0" w:firstRowFirstColumn="0" w:firstRowLastColumn="0" w:lastRowFirstColumn="0" w:lastRowLastColumn="0"/>
        </w:trPr>
        <w:tc>
          <w:tcPr>
            <w:tcW w:w="791" w:type="pct"/>
            <w:hideMark/>
          </w:tcPr>
          <w:p w14:paraId="223BD521" w14:textId="77777777" w:rsidR="00174635" w:rsidRDefault="00174635" w:rsidP="00760658">
            <w:pPr>
              <w:pStyle w:val="TableTextLeft"/>
              <w:rPr>
                <w:sz w:val="24"/>
                <w:szCs w:val="24"/>
              </w:rPr>
            </w:pPr>
            <w:r>
              <w:t>Tcf</w:t>
            </w:r>
          </w:p>
        </w:tc>
        <w:tc>
          <w:tcPr>
            <w:tcW w:w="4209" w:type="pct"/>
            <w:hideMark/>
          </w:tcPr>
          <w:p w14:paraId="223BD522" w14:textId="77777777" w:rsidR="00174635" w:rsidRDefault="00174635" w:rsidP="00760658">
            <w:pPr>
              <w:pStyle w:val="TableTextLeft"/>
              <w:rPr>
                <w:sz w:val="24"/>
                <w:szCs w:val="24"/>
              </w:rPr>
            </w:pPr>
            <w:r>
              <w:t>Trillion (10</w:t>
            </w:r>
            <w:r w:rsidRPr="00C30F1D">
              <w:rPr>
                <w:rStyle w:val="Superscript"/>
              </w:rPr>
              <w:t>12</w:t>
            </w:r>
            <w:r>
              <w:t>) cubic feet</w:t>
            </w:r>
          </w:p>
        </w:tc>
      </w:tr>
      <w:tr w:rsidR="00174635" w14:paraId="223BD526" w14:textId="77777777" w:rsidTr="008454B0">
        <w:trPr>
          <w:cnfStyle w:val="000000010000" w:firstRow="0" w:lastRow="0" w:firstColumn="0" w:lastColumn="0" w:oddVBand="0" w:evenVBand="0" w:oddHBand="0" w:evenHBand="1" w:firstRowFirstColumn="0" w:firstRowLastColumn="0" w:lastRowFirstColumn="0" w:lastRowLastColumn="0"/>
        </w:trPr>
        <w:tc>
          <w:tcPr>
            <w:tcW w:w="791" w:type="pct"/>
            <w:hideMark/>
          </w:tcPr>
          <w:p w14:paraId="223BD524" w14:textId="77777777" w:rsidR="00174635" w:rsidRDefault="00174635" w:rsidP="00760658">
            <w:pPr>
              <w:pStyle w:val="TableTextLeft"/>
              <w:rPr>
                <w:sz w:val="24"/>
                <w:szCs w:val="24"/>
              </w:rPr>
            </w:pPr>
            <w:r>
              <w:t>TJ</w:t>
            </w:r>
          </w:p>
        </w:tc>
        <w:tc>
          <w:tcPr>
            <w:tcW w:w="4209" w:type="pct"/>
            <w:hideMark/>
          </w:tcPr>
          <w:p w14:paraId="223BD525" w14:textId="77777777" w:rsidR="00174635" w:rsidRDefault="00174635" w:rsidP="00760658">
            <w:pPr>
              <w:pStyle w:val="TableTextLeft"/>
              <w:rPr>
                <w:sz w:val="24"/>
                <w:szCs w:val="24"/>
              </w:rPr>
            </w:pPr>
            <w:r>
              <w:t>Terajoules - 10</w:t>
            </w:r>
            <w:r w:rsidRPr="00C30F1D">
              <w:rPr>
                <w:rStyle w:val="Superscript"/>
              </w:rPr>
              <w:t>12</w:t>
            </w:r>
            <w:r>
              <w:t xml:space="preserve"> joules</w:t>
            </w:r>
          </w:p>
        </w:tc>
      </w:tr>
      <w:tr w:rsidR="00174635" w14:paraId="223BD529" w14:textId="77777777" w:rsidTr="008454B0">
        <w:trPr>
          <w:cnfStyle w:val="000000100000" w:firstRow="0" w:lastRow="0" w:firstColumn="0" w:lastColumn="0" w:oddVBand="0" w:evenVBand="0" w:oddHBand="1" w:evenHBand="0" w:firstRowFirstColumn="0" w:firstRowLastColumn="0" w:lastRowFirstColumn="0" w:lastRowLastColumn="0"/>
        </w:trPr>
        <w:tc>
          <w:tcPr>
            <w:tcW w:w="791" w:type="pct"/>
            <w:hideMark/>
          </w:tcPr>
          <w:p w14:paraId="223BD527" w14:textId="77777777" w:rsidR="00174635" w:rsidRDefault="00174635" w:rsidP="00760658">
            <w:pPr>
              <w:pStyle w:val="TableTextLeft"/>
              <w:rPr>
                <w:sz w:val="24"/>
                <w:szCs w:val="24"/>
              </w:rPr>
            </w:pPr>
            <w:r>
              <w:t>TWh</w:t>
            </w:r>
          </w:p>
        </w:tc>
        <w:tc>
          <w:tcPr>
            <w:tcW w:w="4209" w:type="pct"/>
            <w:hideMark/>
          </w:tcPr>
          <w:p w14:paraId="223BD528" w14:textId="77777777" w:rsidR="00174635" w:rsidRDefault="00174635" w:rsidP="00760658">
            <w:pPr>
              <w:pStyle w:val="TableTextLeft"/>
              <w:rPr>
                <w:sz w:val="24"/>
                <w:szCs w:val="24"/>
              </w:rPr>
            </w:pPr>
            <w:r>
              <w:t>Terawatt-hours - 10</w:t>
            </w:r>
            <w:r w:rsidRPr="00C30F1D">
              <w:rPr>
                <w:rStyle w:val="Superscript"/>
              </w:rPr>
              <w:t>12</w:t>
            </w:r>
            <w:r>
              <w:t xml:space="preserve"> watt-hours</w:t>
            </w:r>
          </w:p>
        </w:tc>
      </w:tr>
    </w:tbl>
    <w:p w14:paraId="223BD52A" w14:textId="77777777" w:rsidR="00174635" w:rsidRPr="00B115B0" w:rsidRDefault="00174635" w:rsidP="00CE5CFF">
      <w:pPr>
        <w:pStyle w:val="Heading3notnumbered"/>
      </w:pPr>
      <w:bookmarkStart w:id="164" w:name="_Toc494277028"/>
      <w:bookmarkStart w:id="165" w:name="_Toc517101436"/>
      <w:r w:rsidRPr="00B115B0">
        <w:t>Decimal numbering system</w:t>
      </w:r>
      <w:bookmarkEnd w:id="164"/>
      <w:bookmarkEnd w:id="165"/>
    </w:p>
    <w:p w14:paraId="223BD52B" w14:textId="77777777" w:rsidR="00174635" w:rsidRDefault="00174635" w:rsidP="00174635">
      <w:pPr>
        <w:pStyle w:val="BodyText"/>
        <w:rPr>
          <w:lang w:val="en-US"/>
        </w:rPr>
      </w:pPr>
      <w:r>
        <w:rPr>
          <w:lang w:val="en-US"/>
        </w:rPr>
        <w:t>Multiples of energy measurements in Australia are expressed in standard international decimal classification terms:</w:t>
      </w:r>
    </w:p>
    <w:tbl>
      <w:tblPr>
        <w:tblStyle w:val="TableBAHeaderRow"/>
        <w:tblW w:w="5000" w:type="pct"/>
        <w:tblLook w:val="04A0" w:firstRow="1" w:lastRow="0" w:firstColumn="1" w:lastColumn="0" w:noHBand="0" w:noVBand="1"/>
      </w:tblPr>
      <w:tblGrid>
        <w:gridCol w:w="2304"/>
        <w:gridCol w:w="3130"/>
        <w:gridCol w:w="1334"/>
        <w:gridCol w:w="2870"/>
      </w:tblGrid>
      <w:tr w:rsidR="00174635" w14:paraId="223BD530" w14:textId="77777777" w:rsidTr="008454B0">
        <w:trPr>
          <w:cnfStyle w:val="100000000000" w:firstRow="1" w:lastRow="0" w:firstColumn="0" w:lastColumn="0" w:oddVBand="0" w:evenVBand="0" w:oddHBand="0" w:evenHBand="0" w:firstRowFirstColumn="0" w:firstRowLastColumn="0" w:lastRowFirstColumn="0" w:lastRowLastColumn="0"/>
        </w:trPr>
        <w:tc>
          <w:tcPr>
            <w:tcW w:w="1195" w:type="pct"/>
            <w:hideMark/>
          </w:tcPr>
          <w:p w14:paraId="223BD52C" w14:textId="77777777" w:rsidR="00174635" w:rsidRDefault="00174635" w:rsidP="00760658">
            <w:pPr>
              <w:pStyle w:val="TableTextLeft"/>
              <w:rPr>
                <w:sz w:val="24"/>
                <w:szCs w:val="24"/>
              </w:rPr>
            </w:pPr>
            <w:r>
              <w:t>Multiple</w:t>
            </w:r>
          </w:p>
        </w:tc>
        <w:tc>
          <w:tcPr>
            <w:tcW w:w="1624" w:type="pct"/>
            <w:hideMark/>
          </w:tcPr>
          <w:p w14:paraId="223BD52D" w14:textId="77777777" w:rsidR="00174635" w:rsidRDefault="00174635" w:rsidP="00760658">
            <w:pPr>
              <w:pStyle w:val="TableTextLeft"/>
              <w:rPr>
                <w:sz w:val="24"/>
                <w:szCs w:val="24"/>
              </w:rPr>
            </w:pPr>
            <w:r>
              <w:t>Scientific exp.</w:t>
            </w:r>
          </w:p>
        </w:tc>
        <w:tc>
          <w:tcPr>
            <w:tcW w:w="692" w:type="pct"/>
            <w:hideMark/>
          </w:tcPr>
          <w:p w14:paraId="223BD52E" w14:textId="77777777" w:rsidR="00174635" w:rsidRDefault="00174635" w:rsidP="00760658">
            <w:pPr>
              <w:pStyle w:val="TableTextLeft"/>
              <w:rPr>
                <w:sz w:val="24"/>
                <w:szCs w:val="24"/>
              </w:rPr>
            </w:pPr>
            <w:r>
              <w:t>Term</w:t>
            </w:r>
          </w:p>
        </w:tc>
        <w:tc>
          <w:tcPr>
            <w:tcW w:w="1489" w:type="pct"/>
            <w:hideMark/>
          </w:tcPr>
          <w:p w14:paraId="223BD52F" w14:textId="77777777" w:rsidR="00174635" w:rsidRDefault="00174635" w:rsidP="00760658">
            <w:pPr>
              <w:pStyle w:val="TableTextLeft"/>
              <w:rPr>
                <w:sz w:val="24"/>
                <w:szCs w:val="24"/>
              </w:rPr>
            </w:pPr>
            <w:r>
              <w:t>Abbreviation</w:t>
            </w:r>
          </w:p>
        </w:tc>
      </w:tr>
      <w:tr w:rsidR="00174635" w14:paraId="223BD535" w14:textId="77777777" w:rsidTr="008454B0">
        <w:trPr>
          <w:cnfStyle w:val="000000100000" w:firstRow="0" w:lastRow="0" w:firstColumn="0" w:lastColumn="0" w:oddVBand="0" w:evenVBand="0" w:oddHBand="1" w:evenHBand="0" w:firstRowFirstColumn="0" w:firstRowLastColumn="0" w:lastRowFirstColumn="0" w:lastRowLastColumn="0"/>
        </w:trPr>
        <w:tc>
          <w:tcPr>
            <w:tcW w:w="1195" w:type="pct"/>
            <w:hideMark/>
          </w:tcPr>
          <w:p w14:paraId="223BD531" w14:textId="77777777" w:rsidR="00174635" w:rsidRDefault="00174635" w:rsidP="00760658">
            <w:pPr>
              <w:pStyle w:val="TableTextLeft"/>
              <w:rPr>
                <w:sz w:val="24"/>
                <w:szCs w:val="24"/>
              </w:rPr>
            </w:pPr>
            <w:r>
              <w:t>Thousand</w:t>
            </w:r>
          </w:p>
        </w:tc>
        <w:tc>
          <w:tcPr>
            <w:tcW w:w="1624" w:type="pct"/>
            <w:hideMark/>
          </w:tcPr>
          <w:p w14:paraId="223BD532" w14:textId="77777777" w:rsidR="00174635" w:rsidRDefault="00174635" w:rsidP="00760658">
            <w:pPr>
              <w:pStyle w:val="TableTextLeft"/>
              <w:rPr>
                <w:sz w:val="24"/>
                <w:szCs w:val="24"/>
              </w:rPr>
            </w:pPr>
            <w:r>
              <w:t>10</w:t>
            </w:r>
            <w:r w:rsidRPr="00C30F1D">
              <w:rPr>
                <w:rStyle w:val="Superscript"/>
              </w:rPr>
              <w:t>3</w:t>
            </w:r>
          </w:p>
        </w:tc>
        <w:tc>
          <w:tcPr>
            <w:tcW w:w="692" w:type="pct"/>
            <w:hideMark/>
          </w:tcPr>
          <w:p w14:paraId="223BD533" w14:textId="77777777" w:rsidR="00174635" w:rsidRDefault="00174635" w:rsidP="00760658">
            <w:pPr>
              <w:pStyle w:val="TableTextLeft"/>
              <w:rPr>
                <w:sz w:val="24"/>
                <w:szCs w:val="24"/>
              </w:rPr>
            </w:pPr>
            <w:r>
              <w:t>Kilo</w:t>
            </w:r>
          </w:p>
        </w:tc>
        <w:tc>
          <w:tcPr>
            <w:tcW w:w="1489" w:type="pct"/>
            <w:hideMark/>
          </w:tcPr>
          <w:p w14:paraId="223BD534" w14:textId="77777777" w:rsidR="00174635" w:rsidRDefault="00174635" w:rsidP="00760658">
            <w:pPr>
              <w:pStyle w:val="TableTextLeft"/>
              <w:rPr>
                <w:sz w:val="24"/>
                <w:szCs w:val="24"/>
              </w:rPr>
            </w:pPr>
            <w:r>
              <w:t>k</w:t>
            </w:r>
          </w:p>
        </w:tc>
      </w:tr>
      <w:tr w:rsidR="00174635" w14:paraId="223BD53A" w14:textId="77777777" w:rsidTr="008454B0">
        <w:trPr>
          <w:cnfStyle w:val="000000010000" w:firstRow="0" w:lastRow="0" w:firstColumn="0" w:lastColumn="0" w:oddVBand="0" w:evenVBand="0" w:oddHBand="0" w:evenHBand="1" w:firstRowFirstColumn="0" w:firstRowLastColumn="0" w:lastRowFirstColumn="0" w:lastRowLastColumn="0"/>
        </w:trPr>
        <w:tc>
          <w:tcPr>
            <w:tcW w:w="1195" w:type="pct"/>
            <w:hideMark/>
          </w:tcPr>
          <w:p w14:paraId="223BD536" w14:textId="77777777" w:rsidR="00174635" w:rsidRDefault="00174635" w:rsidP="00760658">
            <w:pPr>
              <w:pStyle w:val="TableTextLeft"/>
              <w:rPr>
                <w:sz w:val="24"/>
                <w:szCs w:val="24"/>
              </w:rPr>
            </w:pPr>
            <w:r>
              <w:t>Million</w:t>
            </w:r>
          </w:p>
        </w:tc>
        <w:tc>
          <w:tcPr>
            <w:tcW w:w="1624" w:type="pct"/>
            <w:hideMark/>
          </w:tcPr>
          <w:p w14:paraId="223BD537" w14:textId="77777777" w:rsidR="00174635" w:rsidRDefault="00174635" w:rsidP="00760658">
            <w:pPr>
              <w:pStyle w:val="TableTextLeft"/>
              <w:rPr>
                <w:sz w:val="24"/>
                <w:szCs w:val="24"/>
              </w:rPr>
            </w:pPr>
            <w:r>
              <w:t>10</w:t>
            </w:r>
            <w:r w:rsidRPr="00C30F1D">
              <w:rPr>
                <w:rStyle w:val="Superscript"/>
              </w:rPr>
              <w:t>6</w:t>
            </w:r>
          </w:p>
        </w:tc>
        <w:tc>
          <w:tcPr>
            <w:tcW w:w="692" w:type="pct"/>
            <w:hideMark/>
          </w:tcPr>
          <w:p w14:paraId="223BD538" w14:textId="77777777" w:rsidR="00174635" w:rsidRDefault="00174635" w:rsidP="00760658">
            <w:pPr>
              <w:pStyle w:val="TableTextLeft"/>
              <w:rPr>
                <w:sz w:val="24"/>
                <w:szCs w:val="24"/>
              </w:rPr>
            </w:pPr>
            <w:r>
              <w:t>Mega</w:t>
            </w:r>
          </w:p>
        </w:tc>
        <w:tc>
          <w:tcPr>
            <w:tcW w:w="1489" w:type="pct"/>
            <w:hideMark/>
          </w:tcPr>
          <w:p w14:paraId="223BD539" w14:textId="77777777" w:rsidR="00174635" w:rsidRDefault="00174635" w:rsidP="00760658">
            <w:pPr>
              <w:pStyle w:val="TableTextLeft"/>
              <w:rPr>
                <w:sz w:val="24"/>
                <w:szCs w:val="24"/>
              </w:rPr>
            </w:pPr>
            <w:r>
              <w:t>M</w:t>
            </w:r>
          </w:p>
        </w:tc>
      </w:tr>
      <w:tr w:rsidR="00174635" w14:paraId="223BD53F" w14:textId="77777777" w:rsidTr="008454B0">
        <w:trPr>
          <w:cnfStyle w:val="000000100000" w:firstRow="0" w:lastRow="0" w:firstColumn="0" w:lastColumn="0" w:oddVBand="0" w:evenVBand="0" w:oddHBand="1" w:evenHBand="0" w:firstRowFirstColumn="0" w:firstRowLastColumn="0" w:lastRowFirstColumn="0" w:lastRowLastColumn="0"/>
        </w:trPr>
        <w:tc>
          <w:tcPr>
            <w:tcW w:w="1195" w:type="pct"/>
            <w:hideMark/>
          </w:tcPr>
          <w:p w14:paraId="223BD53B" w14:textId="77777777" w:rsidR="00174635" w:rsidRDefault="00174635" w:rsidP="00760658">
            <w:pPr>
              <w:pStyle w:val="TableTextLeft"/>
              <w:rPr>
                <w:sz w:val="24"/>
                <w:szCs w:val="24"/>
              </w:rPr>
            </w:pPr>
            <w:r>
              <w:t>Billion</w:t>
            </w:r>
          </w:p>
        </w:tc>
        <w:tc>
          <w:tcPr>
            <w:tcW w:w="1624" w:type="pct"/>
            <w:hideMark/>
          </w:tcPr>
          <w:p w14:paraId="223BD53C" w14:textId="77777777" w:rsidR="00174635" w:rsidRDefault="00174635" w:rsidP="00760658">
            <w:pPr>
              <w:pStyle w:val="TableTextLeft"/>
              <w:rPr>
                <w:sz w:val="24"/>
                <w:szCs w:val="24"/>
              </w:rPr>
            </w:pPr>
            <w:r>
              <w:t>10</w:t>
            </w:r>
            <w:r w:rsidRPr="00C30F1D">
              <w:rPr>
                <w:rStyle w:val="Superscript"/>
              </w:rPr>
              <w:t>9</w:t>
            </w:r>
          </w:p>
        </w:tc>
        <w:tc>
          <w:tcPr>
            <w:tcW w:w="692" w:type="pct"/>
            <w:hideMark/>
          </w:tcPr>
          <w:p w14:paraId="223BD53D" w14:textId="77777777" w:rsidR="00174635" w:rsidRDefault="00174635" w:rsidP="00760658">
            <w:pPr>
              <w:pStyle w:val="TableTextLeft"/>
              <w:rPr>
                <w:sz w:val="24"/>
                <w:szCs w:val="24"/>
              </w:rPr>
            </w:pPr>
            <w:r>
              <w:t>Giga</w:t>
            </w:r>
          </w:p>
        </w:tc>
        <w:tc>
          <w:tcPr>
            <w:tcW w:w="1489" w:type="pct"/>
            <w:hideMark/>
          </w:tcPr>
          <w:p w14:paraId="223BD53E" w14:textId="77777777" w:rsidR="00174635" w:rsidRDefault="00174635" w:rsidP="00760658">
            <w:pPr>
              <w:pStyle w:val="TableTextLeft"/>
              <w:rPr>
                <w:sz w:val="24"/>
                <w:szCs w:val="24"/>
              </w:rPr>
            </w:pPr>
            <w:r>
              <w:t>G</w:t>
            </w:r>
          </w:p>
        </w:tc>
      </w:tr>
      <w:tr w:rsidR="00174635" w14:paraId="223BD544" w14:textId="77777777" w:rsidTr="008454B0">
        <w:trPr>
          <w:cnfStyle w:val="000000010000" w:firstRow="0" w:lastRow="0" w:firstColumn="0" w:lastColumn="0" w:oddVBand="0" w:evenVBand="0" w:oddHBand="0" w:evenHBand="1" w:firstRowFirstColumn="0" w:firstRowLastColumn="0" w:lastRowFirstColumn="0" w:lastRowLastColumn="0"/>
        </w:trPr>
        <w:tc>
          <w:tcPr>
            <w:tcW w:w="1195" w:type="pct"/>
            <w:hideMark/>
          </w:tcPr>
          <w:p w14:paraId="223BD540" w14:textId="77777777" w:rsidR="00174635" w:rsidRDefault="00174635" w:rsidP="00760658">
            <w:pPr>
              <w:pStyle w:val="TableTextLeft"/>
              <w:rPr>
                <w:sz w:val="24"/>
                <w:szCs w:val="24"/>
              </w:rPr>
            </w:pPr>
            <w:r>
              <w:t>Trillion</w:t>
            </w:r>
          </w:p>
        </w:tc>
        <w:tc>
          <w:tcPr>
            <w:tcW w:w="1624" w:type="pct"/>
            <w:hideMark/>
          </w:tcPr>
          <w:p w14:paraId="223BD541" w14:textId="77777777" w:rsidR="00174635" w:rsidRDefault="00174635" w:rsidP="00760658">
            <w:pPr>
              <w:pStyle w:val="TableTextLeft"/>
              <w:rPr>
                <w:sz w:val="24"/>
                <w:szCs w:val="24"/>
              </w:rPr>
            </w:pPr>
            <w:r>
              <w:t>10</w:t>
            </w:r>
            <w:r w:rsidRPr="00C30F1D">
              <w:rPr>
                <w:rStyle w:val="Superscript"/>
              </w:rPr>
              <w:t>12</w:t>
            </w:r>
          </w:p>
        </w:tc>
        <w:tc>
          <w:tcPr>
            <w:tcW w:w="692" w:type="pct"/>
            <w:hideMark/>
          </w:tcPr>
          <w:p w14:paraId="223BD542" w14:textId="77777777" w:rsidR="00174635" w:rsidRDefault="00174635" w:rsidP="00760658">
            <w:pPr>
              <w:pStyle w:val="TableTextLeft"/>
              <w:rPr>
                <w:sz w:val="24"/>
                <w:szCs w:val="24"/>
              </w:rPr>
            </w:pPr>
            <w:r>
              <w:t>Tera</w:t>
            </w:r>
          </w:p>
        </w:tc>
        <w:tc>
          <w:tcPr>
            <w:tcW w:w="1489" w:type="pct"/>
            <w:hideMark/>
          </w:tcPr>
          <w:p w14:paraId="223BD543" w14:textId="77777777" w:rsidR="00174635" w:rsidRDefault="00174635" w:rsidP="00760658">
            <w:pPr>
              <w:pStyle w:val="TableTextLeft"/>
              <w:rPr>
                <w:sz w:val="24"/>
                <w:szCs w:val="24"/>
              </w:rPr>
            </w:pPr>
            <w:r>
              <w:t>T</w:t>
            </w:r>
          </w:p>
        </w:tc>
      </w:tr>
      <w:tr w:rsidR="00174635" w14:paraId="223BD549" w14:textId="77777777" w:rsidTr="008454B0">
        <w:trPr>
          <w:cnfStyle w:val="000000100000" w:firstRow="0" w:lastRow="0" w:firstColumn="0" w:lastColumn="0" w:oddVBand="0" w:evenVBand="0" w:oddHBand="1" w:evenHBand="0" w:firstRowFirstColumn="0" w:firstRowLastColumn="0" w:lastRowFirstColumn="0" w:lastRowLastColumn="0"/>
        </w:trPr>
        <w:tc>
          <w:tcPr>
            <w:tcW w:w="1195" w:type="pct"/>
            <w:hideMark/>
          </w:tcPr>
          <w:p w14:paraId="223BD545" w14:textId="77777777" w:rsidR="00174635" w:rsidRDefault="00174635" w:rsidP="00760658">
            <w:pPr>
              <w:pStyle w:val="TableTextLeft"/>
              <w:rPr>
                <w:sz w:val="24"/>
                <w:szCs w:val="24"/>
              </w:rPr>
            </w:pPr>
            <w:r>
              <w:t>Quadrillion</w:t>
            </w:r>
          </w:p>
        </w:tc>
        <w:tc>
          <w:tcPr>
            <w:tcW w:w="1624" w:type="pct"/>
            <w:hideMark/>
          </w:tcPr>
          <w:p w14:paraId="223BD546" w14:textId="77777777" w:rsidR="00174635" w:rsidRDefault="00174635" w:rsidP="00760658">
            <w:pPr>
              <w:pStyle w:val="TableTextLeft"/>
              <w:rPr>
                <w:sz w:val="24"/>
                <w:szCs w:val="24"/>
              </w:rPr>
            </w:pPr>
            <w:r>
              <w:t>10</w:t>
            </w:r>
            <w:r w:rsidRPr="00C30F1D">
              <w:rPr>
                <w:rStyle w:val="Superscript"/>
              </w:rPr>
              <w:t>15</w:t>
            </w:r>
          </w:p>
        </w:tc>
        <w:tc>
          <w:tcPr>
            <w:tcW w:w="692" w:type="pct"/>
            <w:hideMark/>
          </w:tcPr>
          <w:p w14:paraId="223BD547" w14:textId="77777777" w:rsidR="00174635" w:rsidRDefault="00174635" w:rsidP="00760658">
            <w:pPr>
              <w:pStyle w:val="TableTextLeft"/>
              <w:rPr>
                <w:sz w:val="24"/>
                <w:szCs w:val="24"/>
              </w:rPr>
            </w:pPr>
            <w:r>
              <w:t>Peta</w:t>
            </w:r>
          </w:p>
        </w:tc>
        <w:tc>
          <w:tcPr>
            <w:tcW w:w="1489" w:type="pct"/>
            <w:hideMark/>
          </w:tcPr>
          <w:p w14:paraId="223BD548" w14:textId="77777777" w:rsidR="00174635" w:rsidRDefault="00174635" w:rsidP="00760658">
            <w:pPr>
              <w:pStyle w:val="TableTextLeft"/>
              <w:rPr>
                <w:sz w:val="24"/>
                <w:szCs w:val="24"/>
              </w:rPr>
            </w:pPr>
            <w:r>
              <w:t>P</w:t>
            </w:r>
          </w:p>
        </w:tc>
      </w:tr>
      <w:tr w:rsidR="00174635" w14:paraId="223BD54E" w14:textId="77777777" w:rsidTr="008454B0">
        <w:trPr>
          <w:cnfStyle w:val="000000010000" w:firstRow="0" w:lastRow="0" w:firstColumn="0" w:lastColumn="0" w:oddVBand="0" w:evenVBand="0" w:oddHBand="0" w:evenHBand="1" w:firstRowFirstColumn="0" w:firstRowLastColumn="0" w:lastRowFirstColumn="0" w:lastRowLastColumn="0"/>
        </w:trPr>
        <w:tc>
          <w:tcPr>
            <w:tcW w:w="1195" w:type="pct"/>
            <w:hideMark/>
          </w:tcPr>
          <w:p w14:paraId="223BD54A" w14:textId="77777777" w:rsidR="00174635" w:rsidRDefault="00174635" w:rsidP="00760658">
            <w:pPr>
              <w:pStyle w:val="TableTextLeft"/>
              <w:rPr>
                <w:sz w:val="24"/>
                <w:szCs w:val="24"/>
              </w:rPr>
            </w:pPr>
            <w:r>
              <w:t>Quintillion</w:t>
            </w:r>
          </w:p>
        </w:tc>
        <w:tc>
          <w:tcPr>
            <w:tcW w:w="1624" w:type="pct"/>
            <w:hideMark/>
          </w:tcPr>
          <w:p w14:paraId="223BD54B" w14:textId="77777777" w:rsidR="00174635" w:rsidRDefault="00174635" w:rsidP="00760658">
            <w:pPr>
              <w:pStyle w:val="TableTextLeft"/>
              <w:rPr>
                <w:sz w:val="24"/>
                <w:szCs w:val="24"/>
              </w:rPr>
            </w:pPr>
            <w:r>
              <w:t>10</w:t>
            </w:r>
            <w:r w:rsidRPr="00C30F1D">
              <w:rPr>
                <w:rStyle w:val="Superscript"/>
              </w:rPr>
              <w:t>18</w:t>
            </w:r>
          </w:p>
        </w:tc>
        <w:tc>
          <w:tcPr>
            <w:tcW w:w="692" w:type="pct"/>
            <w:hideMark/>
          </w:tcPr>
          <w:p w14:paraId="223BD54C" w14:textId="77777777" w:rsidR="00174635" w:rsidRDefault="00174635" w:rsidP="00760658">
            <w:pPr>
              <w:pStyle w:val="TableTextLeft"/>
              <w:rPr>
                <w:sz w:val="24"/>
                <w:szCs w:val="24"/>
              </w:rPr>
            </w:pPr>
            <w:r>
              <w:t>Exa</w:t>
            </w:r>
          </w:p>
        </w:tc>
        <w:tc>
          <w:tcPr>
            <w:tcW w:w="1489" w:type="pct"/>
            <w:hideMark/>
          </w:tcPr>
          <w:p w14:paraId="223BD54D" w14:textId="77777777" w:rsidR="00174635" w:rsidRDefault="00174635" w:rsidP="00760658">
            <w:pPr>
              <w:pStyle w:val="TableTextLeft"/>
              <w:rPr>
                <w:sz w:val="24"/>
                <w:szCs w:val="24"/>
              </w:rPr>
            </w:pPr>
            <w:r>
              <w:t>E</w:t>
            </w:r>
          </w:p>
        </w:tc>
      </w:tr>
    </w:tbl>
    <w:p w14:paraId="223BD54F" w14:textId="77777777" w:rsidR="00174635" w:rsidRPr="00B115B0" w:rsidRDefault="00174635" w:rsidP="00CE5CFF">
      <w:pPr>
        <w:pStyle w:val="Heading3notnumbered"/>
      </w:pPr>
      <w:bookmarkStart w:id="166" w:name="_Toc494277029"/>
      <w:bookmarkStart w:id="167" w:name="_Toc517101437"/>
      <w:r w:rsidRPr="00B115B0">
        <w:t>Energy measurement</w:t>
      </w:r>
      <w:bookmarkEnd w:id="166"/>
      <w:bookmarkEnd w:id="167"/>
    </w:p>
    <w:p w14:paraId="223BD550" w14:textId="77777777" w:rsidR="00174635" w:rsidRDefault="00174635" w:rsidP="00174635">
      <w:pPr>
        <w:pStyle w:val="BodyText"/>
        <w:rPr>
          <w:lang w:val="en-US"/>
        </w:rPr>
      </w:pPr>
      <w:r>
        <w:rPr>
          <w:lang w:val="en-US"/>
        </w:rPr>
        <w:t>Energy production and consumption are typically reported in the SI unit as petajoules (PJ) as used here but in some cases are reported in barrels of oil equivalent (BOE) and million tonnes of oil equivalent (MTOE).</w:t>
      </w:r>
    </w:p>
    <w:p w14:paraId="223BD551" w14:textId="77777777" w:rsidR="00174635" w:rsidRDefault="00174635" w:rsidP="00174635">
      <w:pPr>
        <w:pStyle w:val="BodyText"/>
        <w:rPr>
          <w:lang w:val="en-US"/>
        </w:rPr>
      </w:pPr>
      <w:r>
        <w:rPr>
          <w:lang w:val="en-US"/>
        </w:rPr>
        <w:t>Individual energy resources are commonly reported according to prevailing industry conventions. Petroleum is reported by volume and weight according to either the SI or the United States system as used by the American Petroleum Institute.</w:t>
      </w:r>
    </w:p>
    <w:p w14:paraId="223BD552" w14:textId="77777777" w:rsidR="00174635" w:rsidRDefault="00174635" w:rsidP="00174635">
      <w:pPr>
        <w:pStyle w:val="BodyText"/>
        <w:rPr>
          <w:lang w:val="en-US"/>
        </w:rPr>
      </w:pPr>
    </w:p>
    <w:tbl>
      <w:tblPr>
        <w:tblStyle w:val="TableBAHeaderRow"/>
        <w:tblW w:w="0" w:type="auto"/>
        <w:tblLook w:val="04A0" w:firstRow="1" w:lastRow="0" w:firstColumn="1" w:lastColumn="0" w:noHBand="0" w:noVBand="1"/>
      </w:tblPr>
      <w:tblGrid>
        <w:gridCol w:w="1456"/>
        <w:gridCol w:w="6771"/>
        <w:gridCol w:w="1354"/>
      </w:tblGrid>
      <w:tr w:rsidR="00174635" w14:paraId="223BD556" w14:textId="77777777" w:rsidTr="008454B0">
        <w:trPr>
          <w:cnfStyle w:val="100000000000" w:firstRow="1" w:lastRow="0" w:firstColumn="0" w:lastColumn="0" w:oddVBand="0" w:evenVBand="0" w:oddHBand="0" w:evenHBand="0" w:firstRowFirstColumn="0" w:firstRowLastColumn="0" w:lastRowFirstColumn="0" w:lastRowLastColumn="0"/>
        </w:trPr>
        <w:tc>
          <w:tcPr>
            <w:tcW w:w="0" w:type="auto"/>
            <w:hideMark/>
          </w:tcPr>
          <w:p w14:paraId="223BD553" w14:textId="77777777" w:rsidR="00174635" w:rsidRDefault="00174635" w:rsidP="00760658">
            <w:pPr>
              <w:pStyle w:val="TableTextLeft"/>
              <w:rPr>
                <w:sz w:val="24"/>
                <w:szCs w:val="24"/>
              </w:rPr>
            </w:pPr>
            <w:r>
              <w:t>Energy resource</w:t>
            </w:r>
          </w:p>
        </w:tc>
        <w:tc>
          <w:tcPr>
            <w:tcW w:w="0" w:type="auto"/>
            <w:hideMark/>
          </w:tcPr>
          <w:p w14:paraId="223BD554" w14:textId="77777777" w:rsidR="00174635" w:rsidRDefault="00174635" w:rsidP="00760658">
            <w:pPr>
              <w:pStyle w:val="TableTextLeft"/>
              <w:rPr>
                <w:sz w:val="24"/>
                <w:szCs w:val="24"/>
              </w:rPr>
            </w:pPr>
            <w:r>
              <w:t>Measure</w:t>
            </w:r>
          </w:p>
        </w:tc>
        <w:tc>
          <w:tcPr>
            <w:tcW w:w="0" w:type="auto"/>
            <w:hideMark/>
          </w:tcPr>
          <w:p w14:paraId="223BD555" w14:textId="77777777" w:rsidR="00174635" w:rsidRDefault="00174635" w:rsidP="00760658">
            <w:pPr>
              <w:pStyle w:val="TableTextLeft"/>
              <w:rPr>
                <w:sz w:val="24"/>
                <w:szCs w:val="24"/>
              </w:rPr>
            </w:pPr>
            <w:r>
              <w:t>Abbreviation</w:t>
            </w:r>
          </w:p>
        </w:tc>
      </w:tr>
      <w:tr w:rsidR="00174635" w14:paraId="223BD55A"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hideMark/>
          </w:tcPr>
          <w:p w14:paraId="223BD557" w14:textId="77777777" w:rsidR="00174635" w:rsidRDefault="00174635" w:rsidP="00760658">
            <w:pPr>
              <w:pStyle w:val="TableTextLeft"/>
              <w:rPr>
                <w:sz w:val="24"/>
                <w:szCs w:val="24"/>
              </w:rPr>
            </w:pPr>
            <w:r>
              <w:t>Oil and condensate</w:t>
            </w:r>
          </w:p>
        </w:tc>
        <w:tc>
          <w:tcPr>
            <w:tcW w:w="0" w:type="auto"/>
            <w:hideMark/>
          </w:tcPr>
          <w:p w14:paraId="223BD558" w14:textId="77777777" w:rsidR="00174635" w:rsidRDefault="00174635" w:rsidP="00760658">
            <w:pPr>
              <w:pStyle w:val="TableTextLeft"/>
              <w:rPr>
                <w:sz w:val="24"/>
                <w:szCs w:val="24"/>
              </w:rPr>
            </w:pPr>
            <w:r w:rsidRPr="00C30F1D">
              <w:t>Production, reserves</w:t>
            </w:r>
            <w:r>
              <w:t>: Litres (usually millions or billions)or barrels (usually thousands or millions)</w:t>
            </w:r>
            <w:r>
              <w:br/>
            </w:r>
            <w:r w:rsidRPr="00C30F1D">
              <w:t>Refinery throughput/capacity</w:t>
            </w:r>
            <w:r>
              <w:t>: Litres (usually thousands or millions) or barrels per day (usually thousands or millions)</w:t>
            </w:r>
          </w:p>
        </w:tc>
        <w:tc>
          <w:tcPr>
            <w:tcW w:w="0" w:type="auto"/>
            <w:hideMark/>
          </w:tcPr>
          <w:p w14:paraId="223BD559" w14:textId="77777777" w:rsidR="00174635" w:rsidRDefault="00174635" w:rsidP="00760658">
            <w:pPr>
              <w:pStyle w:val="TableTextLeft"/>
              <w:rPr>
                <w:sz w:val="24"/>
                <w:szCs w:val="24"/>
              </w:rPr>
            </w:pPr>
            <w:r>
              <w:t>L, ML, GL</w:t>
            </w:r>
            <w:r>
              <w:br/>
              <w:t>bbl, kbbl, mmbbl</w:t>
            </w:r>
            <w:r>
              <w:br/>
              <w:t>ML, GL per day</w:t>
            </w:r>
            <w:r>
              <w:br/>
              <w:t>bd, kbd, mmbd</w:t>
            </w:r>
          </w:p>
        </w:tc>
      </w:tr>
      <w:tr w:rsidR="00174635" w14:paraId="223BD55E" w14:textId="77777777" w:rsidTr="008454B0">
        <w:trPr>
          <w:cnfStyle w:val="000000010000" w:firstRow="0" w:lastRow="0" w:firstColumn="0" w:lastColumn="0" w:oddVBand="0" w:evenVBand="0" w:oddHBand="0" w:evenHBand="1" w:firstRowFirstColumn="0" w:firstRowLastColumn="0" w:lastRowFirstColumn="0" w:lastRowLastColumn="0"/>
        </w:trPr>
        <w:tc>
          <w:tcPr>
            <w:tcW w:w="0" w:type="auto"/>
            <w:hideMark/>
          </w:tcPr>
          <w:p w14:paraId="223BD55B" w14:textId="77777777" w:rsidR="00174635" w:rsidRDefault="00174635" w:rsidP="00760658">
            <w:pPr>
              <w:pStyle w:val="TableTextLeft"/>
              <w:rPr>
                <w:sz w:val="24"/>
                <w:szCs w:val="24"/>
              </w:rPr>
            </w:pPr>
            <w:r>
              <w:t>Natural gas</w:t>
            </w:r>
          </w:p>
        </w:tc>
        <w:tc>
          <w:tcPr>
            <w:tcW w:w="0" w:type="auto"/>
            <w:hideMark/>
          </w:tcPr>
          <w:p w14:paraId="223BD55C" w14:textId="77777777" w:rsidR="00174635" w:rsidRDefault="00174635" w:rsidP="00760658">
            <w:pPr>
              <w:pStyle w:val="TableTextLeft"/>
              <w:rPr>
                <w:sz w:val="24"/>
                <w:szCs w:val="24"/>
              </w:rPr>
            </w:pPr>
            <w:r>
              <w:t>Cubic feet (usually billions or trillions)Or cubic metres (usually millions or billions of cubic metres)</w:t>
            </w:r>
          </w:p>
        </w:tc>
        <w:tc>
          <w:tcPr>
            <w:tcW w:w="0" w:type="auto"/>
            <w:hideMark/>
          </w:tcPr>
          <w:p w14:paraId="223BD55D" w14:textId="77777777" w:rsidR="00174635" w:rsidRDefault="00174635" w:rsidP="00760658">
            <w:pPr>
              <w:pStyle w:val="TableTextLeft"/>
              <w:rPr>
                <w:sz w:val="24"/>
                <w:szCs w:val="24"/>
              </w:rPr>
            </w:pPr>
            <w:r>
              <w:t>Bcf, Tcf</w:t>
            </w:r>
            <w:r>
              <w:br/>
              <w:t>m</w:t>
            </w:r>
            <w:r w:rsidRPr="00C30F1D">
              <w:rPr>
                <w:rStyle w:val="Superscript"/>
              </w:rPr>
              <w:t>3</w:t>
            </w:r>
            <w:r>
              <w:t>, mcm, bcm</w:t>
            </w:r>
          </w:p>
        </w:tc>
      </w:tr>
      <w:tr w:rsidR="00174635" w14:paraId="223BD562"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hideMark/>
          </w:tcPr>
          <w:p w14:paraId="223BD55F" w14:textId="77777777" w:rsidR="00174635" w:rsidRDefault="00174635" w:rsidP="00760658">
            <w:pPr>
              <w:pStyle w:val="TableTextLeft"/>
              <w:rPr>
                <w:sz w:val="24"/>
                <w:szCs w:val="24"/>
              </w:rPr>
            </w:pPr>
            <w:r>
              <w:t>LNG</w:t>
            </w:r>
          </w:p>
        </w:tc>
        <w:tc>
          <w:tcPr>
            <w:tcW w:w="0" w:type="auto"/>
            <w:hideMark/>
          </w:tcPr>
          <w:p w14:paraId="223BD560" w14:textId="77777777" w:rsidR="00174635" w:rsidRDefault="00174635" w:rsidP="00760658">
            <w:pPr>
              <w:pStyle w:val="TableTextLeft"/>
              <w:rPr>
                <w:sz w:val="24"/>
                <w:szCs w:val="24"/>
              </w:rPr>
            </w:pPr>
            <w:r>
              <w:t>Tonnes (usually millions)</w:t>
            </w:r>
            <w:r>
              <w:br/>
            </w:r>
            <w:r w:rsidRPr="00C30F1D">
              <w:t>Production rate</w:t>
            </w:r>
            <w:r>
              <w:t>: Million tonnes per year</w:t>
            </w:r>
          </w:p>
        </w:tc>
        <w:tc>
          <w:tcPr>
            <w:tcW w:w="0" w:type="auto"/>
            <w:hideMark/>
          </w:tcPr>
          <w:p w14:paraId="223BD561" w14:textId="77777777" w:rsidR="00174635" w:rsidRDefault="00174635" w:rsidP="00760658">
            <w:pPr>
              <w:pStyle w:val="TableTextLeft"/>
              <w:rPr>
                <w:sz w:val="24"/>
                <w:szCs w:val="24"/>
              </w:rPr>
            </w:pPr>
            <w:r>
              <w:t>t, Mt</w:t>
            </w:r>
            <w:r>
              <w:br/>
              <w:t>Mtpa</w:t>
            </w:r>
          </w:p>
        </w:tc>
      </w:tr>
      <w:tr w:rsidR="00174635" w14:paraId="223BD566" w14:textId="77777777" w:rsidTr="008454B0">
        <w:trPr>
          <w:cnfStyle w:val="000000010000" w:firstRow="0" w:lastRow="0" w:firstColumn="0" w:lastColumn="0" w:oddVBand="0" w:evenVBand="0" w:oddHBand="0" w:evenHBand="1" w:firstRowFirstColumn="0" w:firstRowLastColumn="0" w:lastRowFirstColumn="0" w:lastRowLastColumn="0"/>
        </w:trPr>
        <w:tc>
          <w:tcPr>
            <w:tcW w:w="0" w:type="auto"/>
            <w:hideMark/>
          </w:tcPr>
          <w:p w14:paraId="223BD563" w14:textId="77777777" w:rsidR="00174635" w:rsidRDefault="00174635" w:rsidP="00760658">
            <w:pPr>
              <w:pStyle w:val="TableTextLeft"/>
              <w:rPr>
                <w:sz w:val="24"/>
                <w:szCs w:val="24"/>
              </w:rPr>
            </w:pPr>
            <w:r>
              <w:t>LPG</w:t>
            </w:r>
          </w:p>
        </w:tc>
        <w:tc>
          <w:tcPr>
            <w:tcW w:w="0" w:type="auto"/>
            <w:hideMark/>
          </w:tcPr>
          <w:p w14:paraId="223BD564" w14:textId="77777777" w:rsidR="00174635" w:rsidRDefault="00174635" w:rsidP="00760658">
            <w:pPr>
              <w:pStyle w:val="TableTextLeft"/>
              <w:rPr>
                <w:sz w:val="24"/>
                <w:szCs w:val="24"/>
              </w:rPr>
            </w:pPr>
            <w:r>
              <w:t>Litres (usually megalitres) or barrels (usually millions)</w:t>
            </w:r>
          </w:p>
        </w:tc>
        <w:tc>
          <w:tcPr>
            <w:tcW w:w="0" w:type="auto"/>
            <w:hideMark/>
          </w:tcPr>
          <w:p w14:paraId="223BD565" w14:textId="77777777" w:rsidR="00174635" w:rsidRDefault="00174635" w:rsidP="00760658">
            <w:pPr>
              <w:pStyle w:val="TableTextLeft"/>
              <w:rPr>
                <w:sz w:val="24"/>
                <w:szCs w:val="24"/>
              </w:rPr>
            </w:pPr>
            <w:r>
              <w:t>L, ML</w:t>
            </w:r>
            <w:r>
              <w:br/>
              <w:t>bbl, mmbl</w:t>
            </w:r>
          </w:p>
        </w:tc>
      </w:tr>
      <w:tr w:rsidR="00174635" w14:paraId="223BD56A"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hideMark/>
          </w:tcPr>
          <w:p w14:paraId="223BD567" w14:textId="77777777" w:rsidR="00174635" w:rsidRDefault="00174635" w:rsidP="00760658">
            <w:pPr>
              <w:pStyle w:val="TableTextLeft"/>
              <w:rPr>
                <w:sz w:val="24"/>
                <w:szCs w:val="24"/>
              </w:rPr>
            </w:pPr>
            <w:r>
              <w:t>Coal</w:t>
            </w:r>
          </w:p>
        </w:tc>
        <w:tc>
          <w:tcPr>
            <w:tcW w:w="0" w:type="auto"/>
            <w:hideMark/>
          </w:tcPr>
          <w:p w14:paraId="223BD568" w14:textId="77777777" w:rsidR="00174635" w:rsidRDefault="00174635" w:rsidP="00760658">
            <w:pPr>
              <w:pStyle w:val="TableTextLeft"/>
              <w:rPr>
                <w:sz w:val="24"/>
                <w:szCs w:val="24"/>
              </w:rPr>
            </w:pPr>
            <w:r>
              <w:t>Tonnes (usually millions or billions)</w:t>
            </w:r>
            <w:r>
              <w:br/>
            </w:r>
            <w:r w:rsidRPr="00C30F1D">
              <w:t>Production rate</w:t>
            </w:r>
            <w:r>
              <w:t>: tonnes per year (usually kilotonnesor million tonnes per year)</w:t>
            </w:r>
          </w:p>
        </w:tc>
        <w:tc>
          <w:tcPr>
            <w:tcW w:w="0" w:type="auto"/>
            <w:hideMark/>
          </w:tcPr>
          <w:p w14:paraId="223BD569" w14:textId="77777777" w:rsidR="00174635" w:rsidRDefault="00174635" w:rsidP="00760658">
            <w:pPr>
              <w:pStyle w:val="TableTextLeft"/>
              <w:rPr>
                <w:sz w:val="24"/>
                <w:szCs w:val="24"/>
              </w:rPr>
            </w:pPr>
            <w:r>
              <w:t>t, Mt, Gt</w:t>
            </w:r>
            <w:r>
              <w:br/>
              <w:t>tpa, Mtpa</w:t>
            </w:r>
          </w:p>
        </w:tc>
      </w:tr>
      <w:tr w:rsidR="00174635" w14:paraId="223BD56E" w14:textId="77777777" w:rsidTr="008454B0">
        <w:trPr>
          <w:cnfStyle w:val="000000010000" w:firstRow="0" w:lastRow="0" w:firstColumn="0" w:lastColumn="0" w:oddVBand="0" w:evenVBand="0" w:oddHBand="0" w:evenHBand="1" w:firstRowFirstColumn="0" w:firstRowLastColumn="0" w:lastRowFirstColumn="0" w:lastRowLastColumn="0"/>
        </w:trPr>
        <w:tc>
          <w:tcPr>
            <w:tcW w:w="0" w:type="auto"/>
            <w:hideMark/>
          </w:tcPr>
          <w:p w14:paraId="223BD56B" w14:textId="77777777" w:rsidR="00174635" w:rsidRDefault="00174635" w:rsidP="00760658">
            <w:pPr>
              <w:pStyle w:val="TableTextLeft"/>
              <w:rPr>
                <w:sz w:val="24"/>
                <w:szCs w:val="24"/>
              </w:rPr>
            </w:pPr>
            <w:r>
              <w:t>Uranium</w:t>
            </w:r>
          </w:p>
        </w:tc>
        <w:tc>
          <w:tcPr>
            <w:tcW w:w="0" w:type="auto"/>
            <w:hideMark/>
          </w:tcPr>
          <w:p w14:paraId="223BD56C" w14:textId="77777777" w:rsidR="00174635" w:rsidRDefault="00174635" w:rsidP="00760658">
            <w:pPr>
              <w:pStyle w:val="TableTextLeft"/>
              <w:rPr>
                <w:sz w:val="24"/>
                <w:szCs w:val="24"/>
              </w:rPr>
            </w:pPr>
            <w:r>
              <w:t>Tonnes (usually kilotonnes) of uranium or of uranium oxide</w:t>
            </w:r>
          </w:p>
        </w:tc>
        <w:tc>
          <w:tcPr>
            <w:tcW w:w="0" w:type="auto"/>
            <w:hideMark/>
          </w:tcPr>
          <w:p w14:paraId="223BD56D" w14:textId="77777777" w:rsidR="00174635" w:rsidRDefault="00174635" w:rsidP="00760658">
            <w:pPr>
              <w:pStyle w:val="TableTextLeft"/>
              <w:rPr>
                <w:sz w:val="24"/>
                <w:szCs w:val="24"/>
              </w:rPr>
            </w:pPr>
            <w:r>
              <w:t>t U; kt U</w:t>
            </w:r>
            <w:r>
              <w:br/>
              <w:t>t U</w:t>
            </w:r>
            <w:r w:rsidRPr="00C30F1D">
              <w:rPr>
                <w:rStyle w:val="Subscript"/>
              </w:rPr>
              <w:t>3</w:t>
            </w:r>
            <w:r>
              <w:t>O</w:t>
            </w:r>
            <w:r w:rsidRPr="00C30F1D">
              <w:rPr>
                <w:rStyle w:val="Subscript"/>
              </w:rPr>
              <w:t>8</w:t>
            </w:r>
            <w:r>
              <w:t>; kt U</w:t>
            </w:r>
            <w:r w:rsidRPr="00C30F1D">
              <w:rPr>
                <w:rStyle w:val="Subscript"/>
              </w:rPr>
              <w:t>3</w:t>
            </w:r>
            <w:r>
              <w:t>O</w:t>
            </w:r>
            <w:r w:rsidRPr="00C30F1D">
              <w:rPr>
                <w:rStyle w:val="Subscript"/>
              </w:rPr>
              <w:t>8</w:t>
            </w:r>
          </w:p>
        </w:tc>
      </w:tr>
      <w:tr w:rsidR="00174635" w14:paraId="223BD572" w14:textId="77777777" w:rsidTr="008454B0">
        <w:trPr>
          <w:cnfStyle w:val="000000100000" w:firstRow="0" w:lastRow="0" w:firstColumn="0" w:lastColumn="0" w:oddVBand="0" w:evenVBand="0" w:oddHBand="1" w:evenHBand="0" w:firstRowFirstColumn="0" w:firstRowLastColumn="0" w:lastRowFirstColumn="0" w:lastRowLastColumn="0"/>
        </w:trPr>
        <w:tc>
          <w:tcPr>
            <w:tcW w:w="0" w:type="auto"/>
            <w:hideMark/>
          </w:tcPr>
          <w:p w14:paraId="223BD56F" w14:textId="77777777" w:rsidR="00174635" w:rsidRDefault="00174635" w:rsidP="00760658">
            <w:pPr>
              <w:pStyle w:val="TableTextLeft"/>
              <w:rPr>
                <w:sz w:val="24"/>
                <w:szCs w:val="24"/>
              </w:rPr>
            </w:pPr>
            <w:r>
              <w:t>Electricity</w:t>
            </w:r>
          </w:p>
        </w:tc>
        <w:tc>
          <w:tcPr>
            <w:tcW w:w="0" w:type="auto"/>
            <w:hideMark/>
          </w:tcPr>
          <w:p w14:paraId="223BD570" w14:textId="77777777" w:rsidR="00174635" w:rsidRDefault="00174635" w:rsidP="00760658">
            <w:pPr>
              <w:pStyle w:val="TableTextLeft"/>
              <w:rPr>
                <w:sz w:val="24"/>
                <w:szCs w:val="24"/>
              </w:rPr>
            </w:pPr>
            <w:r w:rsidRPr="00C30F1D">
              <w:t>Capacity</w:t>
            </w:r>
            <w:r>
              <w:t>: watts, kilowatts, etc</w:t>
            </w:r>
            <w:r>
              <w:br/>
            </w:r>
            <w:r w:rsidRPr="00C30F1D">
              <w:t>Production or use</w:t>
            </w:r>
            <w:r>
              <w:t>: watt-hours, kilowatt-hours, etc</w:t>
            </w:r>
          </w:p>
        </w:tc>
        <w:tc>
          <w:tcPr>
            <w:tcW w:w="0" w:type="auto"/>
            <w:hideMark/>
          </w:tcPr>
          <w:p w14:paraId="223BD571" w14:textId="77777777" w:rsidR="00174635" w:rsidRDefault="00174635" w:rsidP="00760658">
            <w:pPr>
              <w:pStyle w:val="TableTextLeft"/>
              <w:rPr>
                <w:sz w:val="24"/>
                <w:szCs w:val="24"/>
              </w:rPr>
            </w:pPr>
            <w:r>
              <w:t>W, kW, MW</w:t>
            </w:r>
            <w:r>
              <w:br/>
              <w:t>Wh, kWh, MWh</w:t>
            </w:r>
          </w:p>
        </w:tc>
      </w:tr>
      <w:tr w:rsidR="00174635" w14:paraId="223BD577" w14:textId="77777777" w:rsidTr="008454B0">
        <w:trPr>
          <w:cnfStyle w:val="000000010000" w:firstRow="0" w:lastRow="0" w:firstColumn="0" w:lastColumn="0" w:oddVBand="0" w:evenVBand="0" w:oddHBand="0" w:evenHBand="1" w:firstRowFirstColumn="0" w:firstRowLastColumn="0" w:lastRowFirstColumn="0" w:lastRowLastColumn="0"/>
        </w:trPr>
        <w:tc>
          <w:tcPr>
            <w:tcW w:w="0" w:type="auto"/>
            <w:hideMark/>
          </w:tcPr>
          <w:p w14:paraId="223BD573" w14:textId="77777777" w:rsidR="00174635" w:rsidRDefault="00174635" w:rsidP="00760658">
            <w:pPr>
              <w:pStyle w:val="TableTextLeft"/>
            </w:pPr>
            <w:r>
              <w:t>Bioenergy</w:t>
            </w:r>
          </w:p>
          <w:p w14:paraId="223BD574" w14:textId="77777777" w:rsidR="00174635" w:rsidRDefault="00174635" w:rsidP="00760658">
            <w:pPr>
              <w:pStyle w:val="TableTextLeft"/>
              <w:rPr>
                <w:sz w:val="24"/>
                <w:szCs w:val="24"/>
              </w:rPr>
            </w:pPr>
            <w:r>
              <w:t>bagasse, biomass</w:t>
            </w:r>
          </w:p>
        </w:tc>
        <w:tc>
          <w:tcPr>
            <w:tcW w:w="0" w:type="auto"/>
            <w:hideMark/>
          </w:tcPr>
          <w:p w14:paraId="223BD575" w14:textId="77777777" w:rsidR="00174635" w:rsidRDefault="00174635" w:rsidP="00760658">
            <w:pPr>
              <w:pStyle w:val="TableTextLeft"/>
              <w:rPr>
                <w:sz w:val="24"/>
                <w:szCs w:val="24"/>
              </w:rPr>
            </w:pPr>
            <w:r>
              <w:t>Tonnes (or thousands of tonnes)</w:t>
            </w:r>
          </w:p>
        </w:tc>
        <w:tc>
          <w:tcPr>
            <w:tcW w:w="0" w:type="auto"/>
            <w:hideMark/>
          </w:tcPr>
          <w:p w14:paraId="223BD576" w14:textId="77777777" w:rsidR="00174635" w:rsidRDefault="00174635" w:rsidP="00760658">
            <w:pPr>
              <w:pStyle w:val="TableTextLeft"/>
              <w:rPr>
                <w:sz w:val="24"/>
                <w:szCs w:val="24"/>
              </w:rPr>
            </w:pPr>
            <w:r>
              <w:t>t, kt</w:t>
            </w:r>
          </w:p>
        </w:tc>
      </w:tr>
    </w:tbl>
    <w:p w14:paraId="1C258EEA" w14:textId="77777777" w:rsidR="00085CB9" w:rsidRDefault="00085CB9">
      <w:pPr>
        <w:spacing w:after="180"/>
        <w:rPr>
          <w:rFonts w:asciiTheme="majorHAnsi" w:eastAsia="Times New Roman" w:hAnsiTheme="majorHAnsi"/>
          <w:b/>
          <w:i/>
          <w:color w:val="000000" w:themeColor="text1"/>
          <w:sz w:val="28"/>
          <w:szCs w:val="72"/>
        </w:rPr>
      </w:pPr>
      <w:bookmarkStart w:id="168" w:name="_Toc494277030"/>
      <w:r>
        <w:br w:type="page"/>
      </w:r>
    </w:p>
    <w:p w14:paraId="223BD579" w14:textId="77777777" w:rsidR="00174635" w:rsidRPr="00B115B0" w:rsidRDefault="00174635" w:rsidP="00CE5CFF">
      <w:pPr>
        <w:pStyle w:val="Heading3notnumbered"/>
      </w:pPr>
      <w:bookmarkStart w:id="169" w:name="_Toc517101438"/>
      <w:r w:rsidRPr="00B115B0">
        <w:t>Fuel-specific to standard unit conversion factors</w:t>
      </w:r>
      <w:bookmarkEnd w:id="168"/>
      <w:bookmarkEnd w:id="169"/>
    </w:p>
    <w:tbl>
      <w:tblPr>
        <w:tblStyle w:val="TableBAHeaderRow"/>
        <w:tblW w:w="5000" w:type="pct"/>
        <w:tblLook w:val="04A0" w:firstRow="1" w:lastRow="0" w:firstColumn="1" w:lastColumn="0" w:noHBand="0" w:noVBand="1"/>
      </w:tblPr>
      <w:tblGrid>
        <w:gridCol w:w="3813"/>
        <w:gridCol w:w="2596"/>
        <w:gridCol w:w="314"/>
        <w:gridCol w:w="2915"/>
      </w:tblGrid>
      <w:tr w:rsidR="00174635" w14:paraId="223BD57E" w14:textId="77777777" w:rsidTr="008454B0">
        <w:trPr>
          <w:cnfStyle w:val="100000000000" w:firstRow="1" w:lastRow="0" w:firstColumn="0" w:lastColumn="0" w:oddVBand="0" w:evenVBand="0" w:oddHBand="0" w:evenHBand="0" w:firstRowFirstColumn="0" w:firstRowLastColumn="0" w:lastRowFirstColumn="0" w:lastRowLastColumn="0"/>
        </w:trPr>
        <w:tc>
          <w:tcPr>
            <w:tcW w:w="1978" w:type="pct"/>
            <w:hideMark/>
          </w:tcPr>
          <w:p w14:paraId="223BD57A" w14:textId="77777777" w:rsidR="00174635" w:rsidRPr="00C30F1D" w:rsidRDefault="00174635" w:rsidP="00760658">
            <w:pPr>
              <w:pStyle w:val="TableTextLeft"/>
            </w:pPr>
            <w:r w:rsidRPr="00C30F1D">
              <w:rPr>
                <w:rStyle w:val="Strong"/>
              </w:rPr>
              <w:t>Oil and condensate</w:t>
            </w:r>
          </w:p>
        </w:tc>
        <w:tc>
          <w:tcPr>
            <w:tcW w:w="1347" w:type="pct"/>
            <w:hideMark/>
          </w:tcPr>
          <w:p w14:paraId="223BD57B" w14:textId="77777777" w:rsidR="00174635" w:rsidRDefault="00174635" w:rsidP="00760658">
            <w:pPr>
              <w:pStyle w:val="TableTextLeft"/>
              <w:rPr>
                <w:sz w:val="24"/>
                <w:szCs w:val="24"/>
              </w:rPr>
            </w:pPr>
            <w:r>
              <w:t>1 barrel</w:t>
            </w:r>
          </w:p>
        </w:tc>
        <w:tc>
          <w:tcPr>
            <w:tcW w:w="163" w:type="pct"/>
            <w:hideMark/>
          </w:tcPr>
          <w:p w14:paraId="223BD57C" w14:textId="77777777" w:rsidR="00174635" w:rsidRDefault="00174635" w:rsidP="00760658">
            <w:pPr>
              <w:pStyle w:val="TableTextLeft"/>
              <w:rPr>
                <w:sz w:val="24"/>
                <w:szCs w:val="24"/>
              </w:rPr>
            </w:pPr>
            <w:r>
              <w:t>=</w:t>
            </w:r>
          </w:p>
        </w:tc>
        <w:tc>
          <w:tcPr>
            <w:tcW w:w="1512" w:type="pct"/>
            <w:hideMark/>
          </w:tcPr>
          <w:p w14:paraId="223BD57D" w14:textId="77777777" w:rsidR="00174635" w:rsidRDefault="00174635" w:rsidP="00760658">
            <w:pPr>
              <w:pStyle w:val="TableTextLeft"/>
              <w:rPr>
                <w:sz w:val="24"/>
                <w:szCs w:val="24"/>
              </w:rPr>
            </w:pPr>
            <w:r>
              <w:t>158.987 litres</w:t>
            </w:r>
          </w:p>
        </w:tc>
      </w:tr>
      <w:tr w:rsidR="00174635" w14:paraId="223BD583" w14:textId="77777777" w:rsidTr="008454B0">
        <w:trPr>
          <w:cnfStyle w:val="000000100000" w:firstRow="0" w:lastRow="0" w:firstColumn="0" w:lastColumn="0" w:oddVBand="0" w:evenVBand="0" w:oddHBand="1" w:evenHBand="0" w:firstRowFirstColumn="0" w:firstRowLastColumn="0" w:lastRowFirstColumn="0" w:lastRowLastColumn="0"/>
        </w:trPr>
        <w:tc>
          <w:tcPr>
            <w:tcW w:w="1978" w:type="pct"/>
            <w:hideMark/>
          </w:tcPr>
          <w:p w14:paraId="223BD57F" w14:textId="77777777" w:rsidR="00174635" w:rsidRPr="00C30F1D" w:rsidRDefault="00174635" w:rsidP="00760658">
            <w:pPr>
              <w:pStyle w:val="TableTextLeft"/>
            </w:pPr>
          </w:p>
        </w:tc>
        <w:tc>
          <w:tcPr>
            <w:tcW w:w="1347" w:type="pct"/>
            <w:hideMark/>
          </w:tcPr>
          <w:p w14:paraId="223BD580" w14:textId="77777777" w:rsidR="00174635" w:rsidRDefault="00174635" w:rsidP="00760658">
            <w:pPr>
              <w:pStyle w:val="TableTextLeft"/>
              <w:rPr>
                <w:sz w:val="24"/>
                <w:szCs w:val="24"/>
              </w:rPr>
            </w:pPr>
            <w:r>
              <w:t>1 gigalitre (GL)</w:t>
            </w:r>
          </w:p>
        </w:tc>
        <w:tc>
          <w:tcPr>
            <w:tcW w:w="163" w:type="pct"/>
            <w:hideMark/>
          </w:tcPr>
          <w:p w14:paraId="223BD581" w14:textId="77777777" w:rsidR="00174635" w:rsidRDefault="00174635" w:rsidP="00760658">
            <w:pPr>
              <w:pStyle w:val="TableTextLeft"/>
              <w:rPr>
                <w:sz w:val="24"/>
                <w:szCs w:val="24"/>
              </w:rPr>
            </w:pPr>
            <w:r>
              <w:t>=</w:t>
            </w:r>
          </w:p>
        </w:tc>
        <w:tc>
          <w:tcPr>
            <w:tcW w:w="1512" w:type="pct"/>
            <w:hideMark/>
          </w:tcPr>
          <w:p w14:paraId="223BD582" w14:textId="77777777" w:rsidR="00174635" w:rsidRDefault="00174635" w:rsidP="00760658">
            <w:pPr>
              <w:pStyle w:val="TableTextLeft"/>
              <w:rPr>
                <w:sz w:val="24"/>
                <w:szCs w:val="24"/>
              </w:rPr>
            </w:pPr>
            <w:r>
              <w:t>6.2898 million barrels</w:t>
            </w:r>
          </w:p>
        </w:tc>
      </w:tr>
      <w:tr w:rsidR="00174635" w14:paraId="223BD588" w14:textId="77777777" w:rsidTr="008454B0">
        <w:trPr>
          <w:cnfStyle w:val="000000010000" w:firstRow="0" w:lastRow="0" w:firstColumn="0" w:lastColumn="0" w:oddVBand="0" w:evenVBand="0" w:oddHBand="0" w:evenHBand="1" w:firstRowFirstColumn="0" w:firstRowLastColumn="0" w:lastRowFirstColumn="0" w:lastRowLastColumn="0"/>
        </w:trPr>
        <w:tc>
          <w:tcPr>
            <w:tcW w:w="1978" w:type="pct"/>
            <w:hideMark/>
          </w:tcPr>
          <w:p w14:paraId="223BD584" w14:textId="77777777" w:rsidR="00174635" w:rsidRPr="00C30F1D" w:rsidRDefault="00174635" w:rsidP="00760658">
            <w:pPr>
              <w:pStyle w:val="TableTextLeft"/>
            </w:pPr>
          </w:p>
        </w:tc>
        <w:tc>
          <w:tcPr>
            <w:tcW w:w="1347" w:type="pct"/>
            <w:hideMark/>
          </w:tcPr>
          <w:p w14:paraId="223BD585" w14:textId="77777777" w:rsidR="00174635" w:rsidRDefault="00174635" w:rsidP="00760658">
            <w:pPr>
              <w:pStyle w:val="TableTextLeft"/>
              <w:rPr>
                <w:sz w:val="24"/>
                <w:szCs w:val="24"/>
              </w:rPr>
            </w:pPr>
            <w:r>
              <w:t>1 tonne (t)</w:t>
            </w:r>
          </w:p>
        </w:tc>
        <w:tc>
          <w:tcPr>
            <w:tcW w:w="163" w:type="pct"/>
            <w:hideMark/>
          </w:tcPr>
          <w:p w14:paraId="223BD586" w14:textId="77777777" w:rsidR="00174635" w:rsidRDefault="00174635" w:rsidP="00760658">
            <w:pPr>
              <w:pStyle w:val="TableTextLeft"/>
              <w:rPr>
                <w:sz w:val="24"/>
                <w:szCs w:val="24"/>
              </w:rPr>
            </w:pPr>
            <w:r>
              <w:t>=</w:t>
            </w:r>
          </w:p>
        </w:tc>
        <w:tc>
          <w:tcPr>
            <w:tcW w:w="1512" w:type="pct"/>
            <w:hideMark/>
          </w:tcPr>
          <w:p w14:paraId="223BD587" w14:textId="77777777" w:rsidR="00174635" w:rsidRDefault="00174635" w:rsidP="00760658">
            <w:pPr>
              <w:pStyle w:val="TableTextLeft"/>
              <w:rPr>
                <w:sz w:val="24"/>
                <w:szCs w:val="24"/>
              </w:rPr>
            </w:pPr>
            <w:r>
              <w:t>1250 litres (indigenous)/</w:t>
            </w:r>
            <w:r>
              <w:br/>
              <w:t>1160 litres (imported)</w:t>
            </w:r>
          </w:p>
        </w:tc>
      </w:tr>
      <w:tr w:rsidR="00174635" w14:paraId="223BD58D" w14:textId="77777777" w:rsidTr="008454B0">
        <w:trPr>
          <w:cnfStyle w:val="000000100000" w:firstRow="0" w:lastRow="0" w:firstColumn="0" w:lastColumn="0" w:oddVBand="0" w:evenVBand="0" w:oddHBand="1" w:evenHBand="0" w:firstRowFirstColumn="0" w:firstRowLastColumn="0" w:lastRowFirstColumn="0" w:lastRowLastColumn="0"/>
        </w:trPr>
        <w:tc>
          <w:tcPr>
            <w:tcW w:w="1978" w:type="pct"/>
            <w:hideMark/>
          </w:tcPr>
          <w:p w14:paraId="223BD589" w14:textId="77777777" w:rsidR="00174635" w:rsidRPr="00C30F1D" w:rsidRDefault="00174635" w:rsidP="00760658">
            <w:pPr>
              <w:pStyle w:val="TableTextLeft"/>
            </w:pPr>
            <w:r w:rsidRPr="00C30F1D">
              <w:rPr>
                <w:rStyle w:val="Strong"/>
              </w:rPr>
              <w:t>Ethanol</w:t>
            </w:r>
          </w:p>
        </w:tc>
        <w:tc>
          <w:tcPr>
            <w:tcW w:w="1347" w:type="pct"/>
            <w:hideMark/>
          </w:tcPr>
          <w:p w14:paraId="223BD58A" w14:textId="77777777" w:rsidR="00174635" w:rsidRDefault="00174635" w:rsidP="00760658">
            <w:pPr>
              <w:pStyle w:val="TableTextLeft"/>
              <w:rPr>
                <w:sz w:val="24"/>
                <w:szCs w:val="24"/>
              </w:rPr>
            </w:pPr>
            <w:r>
              <w:t>1 tonne</w:t>
            </w:r>
          </w:p>
        </w:tc>
        <w:tc>
          <w:tcPr>
            <w:tcW w:w="163" w:type="pct"/>
            <w:hideMark/>
          </w:tcPr>
          <w:p w14:paraId="223BD58B" w14:textId="77777777" w:rsidR="00174635" w:rsidRDefault="00174635" w:rsidP="00760658">
            <w:pPr>
              <w:pStyle w:val="TableTextLeft"/>
              <w:rPr>
                <w:sz w:val="24"/>
                <w:szCs w:val="24"/>
              </w:rPr>
            </w:pPr>
            <w:r>
              <w:t>=</w:t>
            </w:r>
          </w:p>
        </w:tc>
        <w:tc>
          <w:tcPr>
            <w:tcW w:w="1512" w:type="pct"/>
            <w:hideMark/>
          </w:tcPr>
          <w:p w14:paraId="223BD58C" w14:textId="77777777" w:rsidR="00174635" w:rsidRDefault="00174635" w:rsidP="00760658">
            <w:pPr>
              <w:pStyle w:val="TableTextLeft"/>
              <w:rPr>
                <w:sz w:val="24"/>
                <w:szCs w:val="24"/>
              </w:rPr>
            </w:pPr>
            <w:r>
              <w:t>1266 litres</w:t>
            </w:r>
          </w:p>
        </w:tc>
      </w:tr>
      <w:tr w:rsidR="00174635" w14:paraId="223BD592" w14:textId="77777777" w:rsidTr="008454B0">
        <w:trPr>
          <w:cnfStyle w:val="000000010000" w:firstRow="0" w:lastRow="0" w:firstColumn="0" w:lastColumn="0" w:oddVBand="0" w:evenVBand="0" w:oddHBand="0" w:evenHBand="1" w:firstRowFirstColumn="0" w:firstRowLastColumn="0" w:lastRowFirstColumn="0" w:lastRowLastColumn="0"/>
        </w:trPr>
        <w:tc>
          <w:tcPr>
            <w:tcW w:w="1978" w:type="pct"/>
            <w:hideMark/>
          </w:tcPr>
          <w:p w14:paraId="223BD58E" w14:textId="77777777" w:rsidR="00174635" w:rsidRPr="00C30F1D" w:rsidRDefault="00174635" w:rsidP="00760658">
            <w:pPr>
              <w:pStyle w:val="TableTextLeft"/>
            </w:pPr>
            <w:r w:rsidRPr="00C30F1D">
              <w:rPr>
                <w:rStyle w:val="Strong"/>
              </w:rPr>
              <w:t>Methanol</w:t>
            </w:r>
          </w:p>
        </w:tc>
        <w:tc>
          <w:tcPr>
            <w:tcW w:w="1347" w:type="pct"/>
            <w:hideMark/>
          </w:tcPr>
          <w:p w14:paraId="223BD58F" w14:textId="77777777" w:rsidR="00174635" w:rsidRDefault="00174635" w:rsidP="00760658">
            <w:pPr>
              <w:pStyle w:val="TableTextLeft"/>
              <w:rPr>
                <w:sz w:val="24"/>
                <w:szCs w:val="24"/>
              </w:rPr>
            </w:pPr>
            <w:r>
              <w:t>1 tonne</w:t>
            </w:r>
          </w:p>
        </w:tc>
        <w:tc>
          <w:tcPr>
            <w:tcW w:w="163" w:type="pct"/>
            <w:hideMark/>
          </w:tcPr>
          <w:p w14:paraId="223BD590" w14:textId="77777777" w:rsidR="00174635" w:rsidRDefault="00174635" w:rsidP="00760658">
            <w:pPr>
              <w:pStyle w:val="TableTextLeft"/>
              <w:rPr>
                <w:sz w:val="24"/>
                <w:szCs w:val="24"/>
              </w:rPr>
            </w:pPr>
            <w:r>
              <w:t>=</w:t>
            </w:r>
          </w:p>
        </w:tc>
        <w:tc>
          <w:tcPr>
            <w:tcW w:w="1512" w:type="pct"/>
            <w:hideMark/>
          </w:tcPr>
          <w:p w14:paraId="223BD591" w14:textId="77777777" w:rsidR="00174635" w:rsidRDefault="00174635" w:rsidP="00760658">
            <w:pPr>
              <w:pStyle w:val="TableTextLeft"/>
              <w:rPr>
                <w:sz w:val="24"/>
                <w:szCs w:val="24"/>
              </w:rPr>
            </w:pPr>
            <w:r>
              <w:t>1263 litres</w:t>
            </w:r>
          </w:p>
        </w:tc>
      </w:tr>
      <w:tr w:rsidR="00174635" w14:paraId="223BD594" w14:textId="77777777" w:rsidTr="008454B0">
        <w:trPr>
          <w:cnfStyle w:val="000000100000" w:firstRow="0" w:lastRow="0" w:firstColumn="0" w:lastColumn="0" w:oddVBand="0" w:evenVBand="0" w:oddHBand="1" w:evenHBand="0" w:firstRowFirstColumn="0" w:firstRowLastColumn="0" w:lastRowFirstColumn="0" w:lastRowLastColumn="0"/>
        </w:trPr>
        <w:tc>
          <w:tcPr>
            <w:tcW w:w="5000" w:type="pct"/>
            <w:gridSpan w:val="4"/>
            <w:hideMark/>
          </w:tcPr>
          <w:p w14:paraId="223BD593" w14:textId="77777777" w:rsidR="00174635" w:rsidRPr="00C30F1D" w:rsidRDefault="00174635" w:rsidP="00760658">
            <w:pPr>
              <w:pStyle w:val="TableTextLeft"/>
            </w:pPr>
            <w:r w:rsidRPr="00C30F1D">
              <w:rPr>
                <w:rStyle w:val="Strong"/>
              </w:rPr>
              <w:t>LPG</w:t>
            </w:r>
          </w:p>
        </w:tc>
      </w:tr>
      <w:tr w:rsidR="00174635" w14:paraId="223BD599" w14:textId="77777777" w:rsidTr="008454B0">
        <w:trPr>
          <w:cnfStyle w:val="000000010000" w:firstRow="0" w:lastRow="0" w:firstColumn="0" w:lastColumn="0" w:oddVBand="0" w:evenVBand="0" w:oddHBand="0" w:evenHBand="1" w:firstRowFirstColumn="0" w:firstRowLastColumn="0" w:lastRowFirstColumn="0" w:lastRowLastColumn="0"/>
        </w:trPr>
        <w:tc>
          <w:tcPr>
            <w:tcW w:w="1978" w:type="pct"/>
            <w:hideMark/>
          </w:tcPr>
          <w:p w14:paraId="223BD595" w14:textId="77777777" w:rsidR="00174635" w:rsidRPr="00C30F1D" w:rsidRDefault="00174635" w:rsidP="00760658">
            <w:pPr>
              <w:pStyle w:val="TableTextLeft"/>
            </w:pPr>
            <w:r w:rsidRPr="00C30F1D">
              <w:t>average</w:t>
            </w:r>
          </w:p>
        </w:tc>
        <w:tc>
          <w:tcPr>
            <w:tcW w:w="1347" w:type="pct"/>
            <w:hideMark/>
          </w:tcPr>
          <w:p w14:paraId="223BD596" w14:textId="77777777" w:rsidR="00174635" w:rsidRDefault="00174635" w:rsidP="00760658">
            <w:pPr>
              <w:pStyle w:val="TableTextLeft"/>
              <w:rPr>
                <w:sz w:val="24"/>
                <w:szCs w:val="24"/>
              </w:rPr>
            </w:pPr>
            <w:r>
              <w:t>1 tonne</w:t>
            </w:r>
          </w:p>
        </w:tc>
        <w:tc>
          <w:tcPr>
            <w:tcW w:w="163" w:type="pct"/>
            <w:hideMark/>
          </w:tcPr>
          <w:p w14:paraId="223BD597" w14:textId="77777777" w:rsidR="00174635" w:rsidRDefault="00174635" w:rsidP="00760658">
            <w:pPr>
              <w:pStyle w:val="TableTextLeft"/>
              <w:rPr>
                <w:sz w:val="24"/>
                <w:szCs w:val="24"/>
              </w:rPr>
            </w:pPr>
            <w:r>
              <w:t>=</w:t>
            </w:r>
          </w:p>
        </w:tc>
        <w:tc>
          <w:tcPr>
            <w:tcW w:w="1512" w:type="pct"/>
            <w:hideMark/>
          </w:tcPr>
          <w:p w14:paraId="223BD598" w14:textId="77777777" w:rsidR="00174635" w:rsidRDefault="00174635" w:rsidP="00760658">
            <w:pPr>
              <w:pStyle w:val="TableTextLeft"/>
              <w:rPr>
                <w:sz w:val="24"/>
                <w:szCs w:val="24"/>
              </w:rPr>
            </w:pPr>
            <w:r>
              <w:t>1760 - 1960 litres</w:t>
            </w:r>
          </w:p>
        </w:tc>
      </w:tr>
      <w:tr w:rsidR="00174635" w14:paraId="223BD59E" w14:textId="77777777" w:rsidTr="008454B0">
        <w:trPr>
          <w:cnfStyle w:val="000000100000" w:firstRow="0" w:lastRow="0" w:firstColumn="0" w:lastColumn="0" w:oddVBand="0" w:evenVBand="0" w:oddHBand="1" w:evenHBand="0" w:firstRowFirstColumn="0" w:firstRowLastColumn="0" w:lastRowFirstColumn="0" w:lastRowLastColumn="0"/>
        </w:trPr>
        <w:tc>
          <w:tcPr>
            <w:tcW w:w="1978" w:type="pct"/>
            <w:hideMark/>
          </w:tcPr>
          <w:p w14:paraId="223BD59A" w14:textId="77777777" w:rsidR="00174635" w:rsidRPr="00C30F1D" w:rsidRDefault="00174635" w:rsidP="00760658">
            <w:pPr>
              <w:pStyle w:val="TableTextLeft"/>
            </w:pPr>
            <w:r w:rsidRPr="00C30F1D">
              <w:t>naturally occurring</w:t>
            </w:r>
          </w:p>
        </w:tc>
        <w:tc>
          <w:tcPr>
            <w:tcW w:w="1347" w:type="pct"/>
            <w:hideMark/>
          </w:tcPr>
          <w:p w14:paraId="223BD59B" w14:textId="77777777" w:rsidR="00174635" w:rsidRDefault="00174635" w:rsidP="00760658">
            <w:pPr>
              <w:pStyle w:val="TableTextLeft"/>
              <w:rPr>
                <w:sz w:val="24"/>
                <w:szCs w:val="24"/>
              </w:rPr>
            </w:pPr>
            <w:r>
              <w:t>1 tonne</w:t>
            </w:r>
          </w:p>
        </w:tc>
        <w:tc>
          <w:tcPr>
            <w:tcW w:w="163" w:type="pct"/>
            <w:hideMark/>
          </w:tcPr>
          <w:p w14:paraId="223BD59C" w14:textId="77777777" w:rsidR="00174635" w:rsidRDefault="00174635" w:rsidP="00760658">
            <w:pPr>
              <w:pStyle w:val="TableTextLeft"/>
              <w:rPr>
                <w:sz w:val="24"/>
                <w:szCs w:val="24"/>
              </w:rPr>
            </w:pPr>
            <w:r>
              <w:t>=</w:t>
            </w:r>
          </w:p>
        </w:tc>
        <w:tc>
          <w:tcPr>
            <w:tcW w:w="1512" w:type="pct"/>
            <w:hideMark/>
          </w:tcPr>
          <w:p w14:paraId="223BD59D" w14:textId="77777777" w:rsidR="00174635" w:rsidRDefault="00174635" w:rsidP="00760658">
            <w:pPr>
              <w:pStyle w:val="TableTextLeft"/>
              <w:rPr>
                <w:sz w:val="24"/>
                <w:szCs w:val="24"/>
              </w:rPr>
            </w:pPr>
            <w:r>
              <w:t>1866 litres</w:t>
            </w:r>
          </w:p>
        </w:tc>
      </w:tr>
      <w:tr w:rsidR="00174635" w14:paraId="223BD5A3" w14:textId="77777777" w:rsidTr="008454B0">
        <w:trPr>
          <w:cnfStyle w:val="000000010000" w:firstRow="0" w:lastRow="0" w:firstColumn="0" w:lastColumn="0" w:oddVBand="0" w:evenVBand="0" w:oddHBand="0" w:evenHBand="1" w:firstRowFirstColumn="0" w:firstRowLastColumn="0" w:lastRowFirstColumn="0" w:lastRowLastColumn="0"/>
        </w:trPr>
        <w:tc>
          <w:tcPr>
            <w:tcW w:w="1978" w:type="pct"/>
            <w:hideMark/>
          </w:tcPr>
          <w:p w14:paraId="223BD59F" w14:textId="77777777" w:rsidR="00174635" w:rsidRPr="00C30F1D" w:rsidRDefault="00174635" w:rsidP="00760658">
            <w:pPr>
              <w:pStyle w:val="TableTextLeft"/>
            </w:pPr>
            <w:r w:rsidRPr="00C30F1D">
              <w:rPr>
                <w:rStyle w:val="Strong"/>
              </w:rPr>
              <w:t>Natural gas</w:t>
            </w:r>
          </w:p>
        </w:tc>
        <w:tc>
          <w:tcPr>
            <w:tcW w:w="1347" w:type="pct"/>
            <w:hideMark/>
          </w:tcPr>
          <w:p w14:paraId="223BD5A0" w14:textId="77777777" w:rsidR="00174635" w:rsidRDefault="00174635" w:rsidP="00760658">
            <w:pPr>
              <w:pStyle w:val="TableTextLeft"/>
              <w:rPr>
                <w:sz w:val="24"/>
                <w:szCs w:val="24"/>
              </w:rPr>
            </w:pPr>
            <w:r>
              <w:t>1 cubic metre (m</w:t>
            </w:r>
            <w:r w:rsidRPr="00C30F1D">
              <w:rPr>
                <w:rStyle w:val="Superscript"/>
              </w:rPr>
              <w:t>3</w:t>
            </w:r>
            <w:r>
              <w:t>)</w:t>
            </w:r>
          </w:p>
        </w:tc>
        <w:tc>
          <w:tcPr>
            <w:tcW w:w="163" w:type="pct"/>
            <w:hideMark/>
          </w:tcPr>
          <w:p w14:paraId="223BD5A1" w14:textId="77777777" w:rsidR="00174635" w:rsidRDefault="00174635" w:rsidP="00760658">
            <w:pPr>
              <w:pStyle w:val="TableTextLeft"/>
              <w:rPr>
                <w:sz w:val="24"/>
                <w:szCs w:val="24"/>
              </w:rPr>
            </w:pPr>
            <w:r>
              <w:t>=</w:t>
            </w:r>
          </w:p>
        </w:tc>
        <w:tc>
          <w:tcPr>
            <w:tcW w:w="1512" w:type="pct"/>
            <w:hideMark/>
          </w:tcPr>
          <w:p w14:paraId="223BD5A2" w14:textId="77777777" w:rsidR="00174635" w:rsidRDefault="00174635" w:rsidP="00760658">
            <w:pPr>
              <w:pStyle w:val="TableTextLeft"/>
              <w:rPr>
                <w:sz w:val="24"/>
                <w:szCs w:val="24"/>
              </w:rPr>
            </w:pPr>
            <w:r>
              <w:t>35.315 cubic feet (cf)</w:t>
            </w:r>
          </w:p>
        </w:tc>
      </w:tr>
      <w:tr w:rsidR="00174635" w14:paraId="223BD5A8" w14:textId="77777777" w:rsidTr="008454B0">
        <w:trPr>
          <w:cnfStyle w:val="000000100000" w:firstRow="0" w:lastRow="0" w:firstColumn="0" w:lastColumn="0" w:oddVBand="0" w:evenVBand="0" w:oddHBand="1" w:evenHBand="0" w:firstRowFirstColumn="0" w:firstRowLastColumn="0" w:lastRowFirstColumn="0" w:lastRowLastColumn="0"/>
        </w:trPr>
        <w:tc>
          <w:tcPr>
            <w:tcW w:w="1978" w:type="pct"/>
            <w:hideMark/>
          </w:tcPr>
          <w:p w14:paraId="223BD5A4" w14:textId="77777777" w:rsidR="00174635" w:rsidRPr="00C30F1D" w:rsidRDefault="00174635" w:rsidP="00760658">
            <w:pPr>
              <w:pStyle w:val="TableTextLeft"/>
            </w:pPr>
            <w:r w:rsidRPr="00C30F1D">
              <w:rPr>
                <w:rStyle w:val="Strong"/>
              </w:rPr>
              <w:t>Liquefied natural gas</w:t>
            </w:r>
          </w:p>
        </w:tc>
        <w:tc>
          <w:tcPr>
            <w:tcW w:w="1347" w:type="pct"/>
            <w:hideMark/>
          </w:tcPr>
          <w:p w14:paraId="223BD5A5" w14:textId="77777777" w:rsidR="00174635" w:rsidRDefault="00174635" w:rsidP="00760658">
            <w:pPr>
              <w:pStyle w:val="TableTextLeft"/>
              <w:rPr>
                <w:sz w:val="24"/>
                <w:szCs w:val="24"/>
              </w:rPr>
            </w:pPr>
            <w:r>
              <w:t>1 tonne</w:t>
            </w:r>
          </w:p>
        </w:tc>
        <w:tc>
          <w:tcPr>
            <w:tcW w:w="163" w:type="pct"/>
            <w:hideMark/>
          </w:tcPr>
          <w:p w14:paraId="223BD5A6" w14:textId="77777777" w:rsidR="00174635" w:rsidRDefault="00174635" w:rsidP="00760658">
            <w:pPr>
              <w:pStyle w:val="TableTextLeft"/>
              <w:rPr>
                <w:sz w:val="24"/>
                <w:szCs w:val="24"/>
              </w:rPr>
            </w:pPr>
            <w:r>
              <w:t>=</w:t>
            </w:r>
          </w:p>
        </w:tc>
        <w:tc>
          <w:tcPr>
            <w:tcW w:w="1512" w:type="pct"/>
            <w:hideMark/>
          </w:tcPr>
          <w:p w14:paraId="223BD5A7" w14:textId="77777777" w:rsidR="00174635" w:rsidRDefault="00174635" w:rsidP="00760658">
            <w:pPr>
              <w:pStyle w:val="TableTextLeft"/>
              <w:rPr>
                <w:sz w:val="24"/>
                <w:szCs w:val="24"/>
              </w:rPr>
            </w:pPr>
            <w:r>
              <w:t>2174 litres</w:t>
            </w:r>
          </w:p>
        </w:tc>
      </w:tr>
      <w:tr w:rsidR="00174635" w14:paraId="223BD5AD" w14:textId="77777777" w:rsidTr="008454B0">
        <w:trPr>
          <w:cnfStyle w:val="000000010000" w:firstRow="0" w:lastRow="0" w:firstColumn="0" w:lastColumn="0" w:oddVBand="0" w:evenVBand="0" w:oddHBand="0" w:evenHBand="1" w:firstRowFirstColumn="0" w:firstRowLastColumn="0" w:lastRowFirstColumn="0" w:lastRowLastColumn="0"/>
        </w:trPr>
        <w:tc>
          <w:tcPr>
            <w:tcW w:w="1978" w:type="pct"/>
            <w:hideMark/>
          </w:tcPr>
          <w:p w14:paraId="223BD5A9" w14:textId="77777777" w:rsidR="00174635" w:rsidRPr="00C30F1D" w:rsidRDefault="00174635" w:rsidP="00760658">
            <w:pPr>
              <w:pStyle w:val="TableTextLeft"/>
            </w:pPr>
            <w:r w:rsidRPr="00C30F1D">
              <w:rPr>
                <w:rStyle w:val="Strong"/>
              </w:rPr>
              <w:t>Electricity</w:t>
            </w:r>
          </w:p>
        </w:tc>
        <w:tc>
          <w:tcPr>
            <w:tcW w:w="1347" w:type="pct"/>
            <w:hideMark/>
          </w:tcPr>
          <w:p w14:paraId="223BD5AA" w14:textId="77777777" w:rsidR="00174635" w:rsidRDefault="00174635" w:rsidP="00760658">
            <w:pPr>
              <w:pStyle w:val="TableTextLeft"/>
              <w:rPr>
                <w:sz w:val="24"/>
                <w:szCs w:val="24"/>
              </w:rPr>
            </w:pPr>
            <w:r>
              <w:t>1 kilowatt-hour (kWh)</w:t>
            </w:r>
          </w:p>
        </w:tc>
        <w:tc>
          <w:tcPr>
            <w:tcW w:w="163" w:type="pct"/>
            <w:hideMark/>
          </w:tcPr>
          <w:p w14:paraId="223BD5AB" w14:textId="77777777" w:rsidR="00174635" w:rsidRDefault="00174635" w:rsidP="00760658">
            <w:pPr>
              <w:pStyle w:val="TableTextLeft"/>
              <w:rPr>
                <w:sz w:val="24"/>
                <w:szCs w:val="24"/>
              </w:rPr>
            </w:pPr>
            <w:r>
              <w:t>=</w:t>
            </w:r>
          </w:p>
        </w:tc>
        <w:tc>
          <w:tcPr>
            <w:tcW w:w="1512" w:type="pct"/>
            <w:hideMark/>
          </w:tcPr>
          <w:p w14:paraId="223BD5AC" w14:textId="77777777" w:rsidR="00174635" w:rsidRDefault="00174635" w:rsidP="00760658">
            <w:pPr>
              <w:pStyle w:val="TableTextLeft"/>
              <w:rPr>
                <w:sz w:val="24"/>
                <w:szCs w:val="24"/>
              </w:rPr>
            </w:pPr>
            <w:r>
              <w:t>3.6 megajoules (MJ)</w:t>
            </w:r>
          </w:p>
        </w:tc>
      </w:tr>
    </w:tbl>
    <w:p w14:paraId="223BD5AE" w14:textId="77777777" w:rsidR="00174635" w:rsidRPr="00B115B0" w:rsidRDefault="00174635" w:rsidP="00CE5CFF">
      <w:pPr>
        <w:pStyle w:val="Heading3notnumbered"/>
      </w:pPr>
      <w:bookmarkStart w:id="170" w:name="_Toc494277031"/>
      <w:bookmarkStart w:id="171" w:name="_Toc517101439"/>
      <w:r w:rsidRPr="00B115B0">
        <w:t>Energy content conversion factors</w:t>
      </w:r>
      <w:bookmarkEnd w:id="170"/>
      <w:bookmarkEnd w:id="171"/>
    </w:p>
    <w:p w14:paraId="223BD5AF" w14:textId="77777777" w:rsidR="00174635" w:rsidRPr="00B115B0" w:rsidRDefault="00174635" w:rsidP="00174635">
      <w:pPr>
        <w:pStyle w:val="BodyText"/>
        <w:rPr>
          <w:lang w:val="en-US"/>
        </w:rPr>
      </w:pPr>
      <w:r>
        <w:rPr>
          <w:lang w:val="en-US"/>
        </w:rPr>
        <w:t>The energy content of individual resources may vary, depending on the source, the quality of the resource, impurities content, extent of pre-processing, technologies used, and so on. The following table provides a range of measured energy contents for gas fuels and, where appropriate, the accepted average conversion factor.</w:t>
      </w:r>
    </w:p>
    <w:tbl>
      <w:tblPr>
        <w:tblStyle w:val="TableBAHeaderRow"/>
        <w:tblW w:w="5000" w:type="pct"/>
        <w:tblLook w:val="04A0" w:firstRow="1" w:lastRow="0" w:firstColumn="1" w:lastColumn="0" w:noHBand="0" w:noVBand="1"/>
      </w:tblPr>
      <w:tblGrid>
        <w:gridCol w:w="6770"/>
        <w:gridCol w:w="1482"/>
        <w:gridCol w:w="1386"/>
      </w:tblGrid>
      <w:tr w:rsidR="00174635" w14:paraId="223BD5B3" w14:textId="77777777" w:rsidTr="008454B0">
        <w:trPr>
          <w:cnfStyle w:val="100000000000" w:firstRow="1" w:lastRow="0" w:firstColumn="0" w:lastColumn="0" w:oddVBand="0" w:evenVBand="0" w:oddHBand="0" w:evenHBand="0" w:firstRowFirstColumn="0" w:firstRowLastColumn="0" w:lastRowFirstColumn="0" w:lastRowLastColumn="0"/>
        </w:trPr>
        <w:tc>
          <w:tcPr>
            <w:tcW w:w="3512" w:type="pct"/>
            <w:hideMark/>
          </w:tcPr>
          <w:p w14:paraId="223BD5B0" w14:textId="77777777" w:rsidR="00174635" w:rsidRDefault="00174635" w:rsidP="00760658">
            <w:pPr>
              <w:pStyle w:val="TableTextLeft"/>
            </w:pPr>
          </w:p>
        </w:tc>
        <w:tc>
          <w:tcPr>
            <w:tcW w:w="769" w:type="pct"/>
            <w:hideMark/>
          </w:tcPr>
          <w:p w14:paraId="223BD5B1" w14:textId="77777777" w:rsidR="00174635" w:rsidRPr="00C30F1D" w:rsidRDefault="00174635" w:rsidP="00760658">
            <w:pPr>
              <w:pStyle w:val="TableTextLeft"/>
            </w:pPr>
            <w:r w:rsidRPr="00C30F1D">
              <w:t>PJ/Bcf</w:t>
            </w:r>
          </w:p>
        </w:tc>
        <w:tc>
          <w:tcPr>
            <w:tcW w:w="719" w:type="pct"/>
            <w:hideMark/>
          </w:tcPr>
          <w:p w14:paraId="223BD5B2" w14:textId="77777777" w:rsidR="00174635" w:rsidRDefault="00174635" w:rsidP="00760658">
            <w:pPr>
              <w:pStyle w:val="TableTextLeft"/>
            </w:pPr>
            <w:r w:rsidRPr="00C30F1D">
              <w:t>MJ/m</w:t>
            </w:r>
            <w:r w:rsidRPr="00C30F1D">
              <w:rPr>
                <w:rStyle w:val="Superscript"/>
              </w:rPr>
              <w:t>3</w:t>
            </w:r>
          </w:p>
        </w:tc>
      </w:tr>
      <w:tr w:rsidR="00174635" w14:paraId="223BD5B5" w14:textId="77777777" w:rsidTr="008454B0">
        <w:trPr>
          <w:cnfStyle w:val="000000100000" w:firstRow="0" w:lastRow="0" w:firstColumn="0" w:lastColumn="0" w:oddVBand="0" w:evenVBand="0" w:oddHBand="1" w:evenHBand="0" w:firstRowFirstColumn="0" w:firstRowLastColumn="0" w:lastRowFirstColumn="0" w:lastRowLastColumn="0"/>
        </w:trPr>
        <w:tc>
          <w:tcPr>
            <w:tcW w:w="5000" w:type="pct"/>
            <w:gridSpan w:val="3"/>
            <w:hideMark/>
          </w:tcPr>
          <w:p w14:paraId="223BD5B4" w14:textId="77777777" w:rsidR="00174635" w:rsidRPr="00C30F1D" w:rsidRDefault="00174635" w:rsidP="00760658">
            <w:pPr>
              <w:pStyle w:val="TableTextLeft"/>
            </w:pPr>
            <w:r w:rsidRPr="00C30F1D">
              <w:rPr>
                <w:rStyle w:val="Strong"/>
              </w:rPr>
              <w:t>Natural gas</w:t>
            </w:r>
          </w:p>
        </w:tc>
      </w:tr>
      <w:tr w:rsidR="00174635" w14:paraId="223BD5B9" w14:textId="77777777" w:rsidTr="008454B0">
        <w:trPr>
          <w:cnfStyle w:val="000000010000" w:firstRow="0" w:lastRow="0" w:firstColumn="0" w:lastColumn="0" w:oddVBand="0" w:evenVBand="0" w:oddHBand="0" w:evenHBand="1" w:firstRowFirstColumn="0" w:firstRowLastColumn="0" w:lastRowFirstColumn="0" w:lastRowLastColumn="0"/>
        </w:trPr>
        <w:tc>
          <w:tcPr>
            <w:tcW w:w="3512" w:type="pct"/>
            <w:hideMark/>
          </w:tcPr>
          <w:p w14:paraId="223BD5B6" w14:textId="77777777" w:rsidR="00174635" w:rsidRDefault="00174635" w:rsidP="00174635">
            <w:pPr>
              <w:pStyle w:val="TableTextBulletL1"/>
            </w:pPr>
            <w:r>
              <w:t>Victoria</w:t>
            </w:r>
          </w:p>
        </w:tc>
        <w:tc>
          <w:tcPr>
            <w:tcW w:w="769" w:type="pct"/>
            <w:hideMark/>
          </w:tcPr>
          <w:p w14:paraId="223BD5B7" w14:textId="77777777" w:rsidR="00174635" w:rsidRDefault="00174635" w:rsidP="00760658">
            <w:pPr>
              <w:pStyle w:val="TableTextLeft"/>
            </w:pPr>
            <w:r>
              <w:t>1.0987</w:t>
            </w:r>
          </w:p>
        </w:tc>
        <w:tc>
          <w:tcPr>
            <w:tcW w:w="719" w:type="pct"/>
            <w:hideMark/>
          </w:tcPr>
          <w:p w14:paraId="223BD5B8" w14:textId="77777777" w:rsidR="00174635" w:rsidRDefault="00174635" w:rsidP="00760658">
            <w:pPr>
              <w:pStyle w:val="TableTextLeft"/>
            </w:pPr>
            <w:r>
              <w:t>38.8</w:t>
            </w:r>
          </w:p>
        </w:tc>
      </w:tr>
      <w:tr w:rsidR="00174635" w14:paraId="223BD5BD" w14:textId="77777777" w:rsidTr="008454B0">
        <w:trPr>
          <w:cnfStyle w:val="000000100000" w:firstRow="0" w:lastRow="0" w:firstColumn="0" w:lastColumn="0" w:oddVBand="0" w:evenVBand="0" w:oddHBand="1" w:evenHBand="0" w:firstRowFirstColumn="0" w:firstRowLastColumn="0" w:lastRowFirstColumn="0" w:lastRowLastColumn="0"/>
        </w:trPr>
        <w:tc>
          <w:tcPr>
            <w:tcW w:w="3512" w:type="pct"/>
            <w:hideMark/>
          </w:tcPr>
          <w:p w14:paraId="223BD5BA" w14:textId="77777777" w:rsidR="00174635" w:rsidRDefault="00174635" w:rsidP="00174635">
            <w:pPr>
              <w:pStyle w:val="TableTextBulletL1"/>
            </w:pPr>
            <w:r>
              <w:t>Queensland</w:t>
            </w:r>
          </w:p>
        </w:tc>
        <w:tc>
          <w:tcPr>
            <w:tcW w:w="769" w:type="pct"/>
            <w:hideMark/>
          </w:tcPr>
          <w:p w14:paraId="223BD5BB" w14:textId="77777777" w:rsidR="00174635" w:rsidRDefault="00174635" w:rsidP="00760658">
            <w:pPr>
              <w:pStyle w:val="TableTextLeft"/>
            </w:pPr>
            <w:r>
              <w:t>1.1185</w:t>
            </w:r>
          </w:p>
        </w:tc>
        <w:tc>
          <w:tcPr>
            <w:tcW w:w="719" w:type="pct"/>
            <w:hideMark/>
          </w:tcPr>
          <w:p w14:paraId="223BD5BC" w14:textId="77777777" w:rsidR="00174635" w:rsidRDefault="00174635" w:rsidP="00760658">
            <w:pPr>
              <w:pStyle w:val="TableTextLeft"/>
            </w:pPr>
            <w:r>
              <w:t>39.5</w:t>
            </w:r>
          </w:p>
        </w:tc>
      </w:tr>
      <w:tr w:rsidR="00174635" w14:paraId="223BD5C1" w14:textId="77777777" w:rsidTr="008454B0">
        <w:trPr>
          <w:cnfStyle w:val="000000010000" w:firstRow="0" w:lastRow="0" w:firstColumn="0" w:lastColumn="0" w:oddVBand="0" w:evenVBand="0" w:oddHBand="0" w:evenHBand="1" w:firstRowFirstColumn="0" w:firstRowLastColumn="0" w:lastRowFirstColumn="0" w:lastRowLastColumn="0"/>
        </w:trPr>
        <w:tc>
          <w:tcPr>
            <w:tcW w:w="3512" w:type="pct"/>
            <w:hideMark/>
          </w:tcPr>
          <w:p w14:paraId="223BD5BE" w14:textId="77777777" w:rsidR="00174635" w:rsidRDefault="00174635" w:rsidP="00174635">
            <w:pPr>
              <w:pStyle w:val="TableTextBulletL1"/>
            </w:pPr>
            <w:r>
              <w:t>Western Australia</w:t>
            </w:r>
          </w:p>
        </w:tc>
        <w:tc>
          <w:tcPr>
            <w:tcW w:w="769" w:type="pct"/>
            <w:hideMark/>
          </w:tcPr>
          <w:p w14:paraId="223BD5BF" w14:textId="77777777" w:rsidR="00174635" w:rsidRDefault="00174635" w:rsidP="00760658">
            <w:pPr>
              <w:pStyle w:val="TableTextLeft"/>
            </w:pPr>
            <w:r>
              <w:t>1.1751</w:t>
            </w:r>
          </w:p>
        </w:tc>
        <w:tc>
          <w:tcPr>
            <w:tcW w:w="719" w:type="pct"/>
            <w:hideMark/>
          </w:tcPr>
          <w:p w14:paraId="223BD5C0" w14:textId="77777777" w:rsidR="00174635" w:rsidRDefault="00174635" w:rsidP="00760658">
            <w:pPr>
              <w:pStyle w:val="TableTextLeft"/>
            </w:pPr>
            <w:r>
              <w:t>41.5</w:t>
            </w:r>
          </w:p>
        </w:tc>
      </w:tr>
      <w:tr w:rsidR="00174635" w14:paraId="223BD5C5" w14:textId="77777777" w:rsidTr="008454B0">
        <w:trPr>
          <w:cnfStyle w:val="000000100000" w:firstRow="0" w:lastRow="0" w:firstColumn="0" w:lastColumn="0" w:oddVBand="0" w:evenVBand="0" w:oddHBand="1" w:evenHBand="0" w:firstRowFirstColumn="0" w:firstRowLastColumn="0" w:lastRowFirstColumn="0" w:lastRowLastColumn="0"/>
        </w:trPr>
        <w:tc>
          <w:tcPr>
            <w:tcW w:w="3512" w:type="pct"/>
            <w:hideMark/>
          </w:tcPr>
          <w:p w14:paraId="223BD5C2" w14:textId="77777777" w:rsidR="00174635" w:rsidRDefault="00174635" w:rsidP="00174635">
            <w:pPr>
              <w:pStyle w:val="TableTextBulletL1"/>
            </w:pPr>
            <w:r>
              <w:t>South Australia, New South Wales</w:t>
            </w:r>
          </w:p>
        </w:tc>
        <w:tc>
          <w:tcPr>
            <w:tcW w:w="769" w:type="pct"/>
            <w:hideMark/>
          </w:tcPr>
          <w:p w14:paraId="223BD5C3" w14:textId="77777777" w:rsidR="00174635" w:rsidRDefault="00174635" w:rsidP="00760658">
            <w:pPr>
              <w:pStyle w:val="TableTextLeft"/>
            </w:pPr>
            <w:r>
              <w:t>1.0845</w:t>
            </w:r>
          </w:p>
        </w:tc>
        <w:tc>
          <w:tcPr>
            <w:tcW w:w="719" w:type="pct"/>
            <w:hideMark/>
          </w:tcPr>
          <w:p w14:paraId="223BD5C4" w14:textId="77777777" w:rsidR="00174635" w:rsidRDefault="00174635" w:rsidP="00760658">
            <w:pPr>
              <w:pStyle w:val="TableTextLeft"/>
            </w:pPr>
            <w:r>
              <w:t>38.3</w:t>
            </w:r>
          </w:p>
        </w:tc>
      </w:tr>
      <w:tr w:rsidR="00174635" w14:paraId="223BD5C9" w14:textId="77777777" w:rsidTr="008454B0">
        <w:trPr>
          <w:cnfStyle w:val="000000010000" w:firstRow="0" w:lastRow="0" w:firstColumn="0" w:lastColumn="0" w:oddVBand="0" w:evenVBand="0" w:oddHBand="0" w:evenHBand="1" w:firstRowFirstColumn="0" w:firstRowLastColumn="0" w:lastRowFirstColumn="0" w:lastRowLastColumn="0"/>
        </w:trPr>
        <w:tc>
          <w:tcPr>
            <w:tcW w:w="3512" w:type="pct"/>
            <w:hideMark/>
          </w:tcPr>
          <w:p w14:paraId="223BD5C6" w14:textId="77777777" w:rsidR="00174635" w:rsidRDefault="00174635" w:rsidP="00174635">
            <w:pPr>
              <w:pStyle w:val="TableTextBulletL1"/>
            </w:pPr>
            <w:r>
              <w:t>Northern Territory</w:t>
            </w:r>
          </w:p>
        </w:tc>
        <w:tc>
          <w:tcPr>
            <w:tcW w:w="769" w:type="pct"/>
            <w:hideMark/>
          </w:tcPr>
          <w:p w14:paraId="223BD5C7" w14:textId="77777777" w:rsidR="00174635" w:rsidRDefault="00174635" w:rsidP="00760658">
            <w:pPr>
              <w:pStyle w:val="TableTextLeft"/>
            </w:pPr>
            <w:r>
              <w:t>1.1468</w:t>
            </w:r>
          </w:p>
        </w:tc>
        <w:tc>
          <w:tcPr>
            <w:tcW w:w="719" w:type="pct"/>
            <w:hideMark/>
          </w:tcPr>
          <w:p w14:paraId="223BD5C8" w14:textId="77777777" w:rsidR="00174635" w:rsidRDefault="00174635" w:rsidP="00760658">
            <w:pPr>
              <w:pStyle w:val="TableTextLeft"/>
            </w:pPr>
            <w:r>
              <w:t>40.5</w:t>
            </w:r>
          </w:p>
        </w:tc>
      </w:tr>
      <w:tr w:rsidR="00174635" w14:paraId="223BD5CD" w14:textId="77777777" w:rsidTr="008454B0">
        <w:trPr>
          <w:cnfStyle w:val="000000100000" w:firstRow="0" w:lastRow="0" w:firstColumn="0" w:lastColumn="0" w:oddVBand="0" w:evenVBand="0" w:oddHBand="1" w:evenHBand="0" w:firstRowFirstColumn="0" w:firstRowLastColumn="0" w:lastRowFirstColumn="0" w:lastRowLastColumn="0"/>
        </w:trPr>
        <w:tc>
          <w:tcPr>
            <w:tcW w:w="3512" w:type="pct"/>
            <w:hideMark/>
          </w:tcPr>
          <w:p w14:paraId="223BD5CA" w14:textId="77777777" w:rsidR="00174635" w:rsidRPr="00C30F1D" w:rsidRDefault="00174635" w:rsidP="00760658">
            <w:pPr>
              <w:pStyle w:val="TableTextLeft"/>
            </w:pPr>
            <w:r w:rsidRPr="00C30F1D">
              <w:t>Average</w:t>
            </w:r>
          </w:p>
        </w:tc>
        <w:tc>
          <w:tcPr>
            <w:tcW w:w="769" w:type="pct"/>
            <w:hideMark/>
          </w:tcPr>
          <w:p w14:paraId="223BD5CB" w14:textId="77777777" w:rsidR="00174635" w:rsidRDefault="00174635" w:rsidP="00760658">
            <w:pPr>
              <w:pStyle w:val="TableTextLeft"/>
            </w:pPr>
            <w:r>
              <w:t>1.6282</w:t>
            </w:r>
          </w:p>
        </w:tc>
        <w:tc>
          <w:tcPr>
            <w:tcW w:w="719" w:type="pct"/>
            <w:hideMark/>
          </w:tcPr>
          <w:p w14:paraId="223BD5CC" w14:textId="77777777" w:rsidR="00174635" w:rsidRDefault="00174635" w:rsidP="00760658">
            <w:pPr>
              <w:pStyle w:val="TableTextLeft"/>
            </w:pPr>
            <w:r>
              <w:t>57.5</w:t>
            </w:r>
          </w:p>
        </w:tc>
      </w:tr>
      <w:tr w:rsidR="00174635" w14:paraId="223BD5D1" w14:textId="77777777" w:rsidTr="008454B0">
        <w:trPr>
          <w:cnfStyle w:val="000000010000" w:firstRow="0" w:lastRow="0" w:firstColumn="0" w:lastColumn="0" w:oddVBand="0" w:evenVBand="0" w:oddHBand="0" w:evenHBand="1" w:firstRowFirstColumn="0" w:firstRowLastColumn="0" w:lastRowFirstColumn="0" w:lastRowLastColumn="0"/>
        </w:trPr>
        <w:tc>
          <w:tcPr>
            <w:tcW w:w="3512" w:type="pct"/>
            <w:hideMark/>
          </w:tcPr>
          <w:p w14:paraId="223BD5CE" w14:textId="77777777" w:rsidR="00174635" w:rsidRPr="00C30F1D" w:rsidRDefault="00174635" w:rsidP="00760658">
            <w:pPr>
              <w:pStyle w:val="TableTextLeft"/>
            </w:pPr>
            <w:r w:rsidRPr="00C30F1D">
              <w:rPr>
                <w:rStyle w:val="Strong"/>
              </w:rPr>
              <w:t>Ethane (average)</w:t>
            </w:r>
          </w:p>
        </w:tc>
        <w:tc>
          <w:tcPr>
            <w:tcW w:w="769" w:type="pct"/>
            <w:hideMark/>
          </w:tcPr>
          <w:p w14:paraId="223BD5CF" w14:textId="77777777" w:rsidR="00174635" w:rsidRDefault="00174635" w:rsidP="00760658">
            <w:pPr>
              <w:pStyle w:val="TableTextLeft"/>
            </w:pPr>
            <w:r>
              <w:t>1.6282</w:t>
            </w:r>
          </w:p>
        </w:tc>
        <w:tc>
          <w:tcPr>
            <w:tcW w:w="719" w:type="pct"/>
            <w:hideMark/>
          </w:tcPr>
          <w:p w14:paraId="223BD5D0" w14:textId="77777777" w:rsidR="00174635" w:rsidRDefault="00174635" w:rsidP="00760658">
            <w:pPr>
              <w:pStyle w:val="TableTextLeft"/>
            </w:pPr>
            <w:r>
              <w:t>57.5</w:t>
            </w:r>
          </w:p>
        </w:tc>
      </w:tr>
      <w:tr w:rsidR="00174635" w14:paraId="223BD5D3" w14:textId="77777777" w:rsidTr="008454B0">
        <w:trPr>
          <w:cnfStyle w:val="000000100000" w:firstRow="0" w:lastRow="0" w:firstColumn="0" w:lastColumn="0" w:oddVBand="0" w:evenVBand="0" w:oddHBand="1" w:evenHBand="0" w:firstRowFirstColumn="0" w:firstRowLastColumn="0" w:lastRowFirstColumn="0" w:lastRowLastColumn="0"/>
        </w:trPr>
        <w:tc>
          <w:tcPr>
            <w:tcW w:w="5000" w:type="pct"/>
            <w:gridSpan w:val="3"/>
            <w:hideMark/>
          </w:tcPr>
          <w:p w14:paraId="223BD5D2" w14:textId="77777777" w:rsidR="00174635" w:rsidRPr="00C30F1D" w:rsidRDefault="00174635" w:rsidP="00760658">
            <w:pPr>
              <w:pStyle w:val="TableTextLeft"/>
            </w:pPr>
            <w:r w:rsidRPr="00C30F1D">
              <w:rPr>
                <w:rStyle w:val="Strong"/>
              </w:rPr>
              <w:t>Town gas</w:t>
            </w:r>
          </w:p>
        </w:tc>
      </w:tr>
      <w:tr w:rsidR="00174635" w14:paraId="223BD5D7" w14:textId="77777777" w:rsidTr="008454B0">
        <w:trPr>
          <w:cnfStyle w:val="000000010000" w:firstRow="0" w:lastRow="0" w:firstColumn="0" w:lastColumn="0" w:oddVBand="0" w:evenVBand="0" w:oddHBand="0" w:evenHBand="1" w:firstRowFirstColumn="0" w:firstRowLastColumn="0" w:lastRowFirstColumn="0" w:lastRowLastColumn="0"/>
        </w:trPr>
        <w:tc>
          <w:tcPr>
            <w:tcW w:w="3512" w:type="pct"/>
            <w:hideMark/>
          </w:tcPr>
          <w:p w14:paraId="223BD5D4" w14:textId="77777777" w:rsidR="00174635" w:rsidRDefault="00174635" w:rsidP="00174635">
            <w:pPr>
              <w:pStyle w:val="TableTextBulletL1"/>
            </w:pPr>
            <w:r>
              <w:t>synthetic natural gas</w:t>
            </w:r>
          </w:p>
        </w:tc>
        <w:tc>
          <w:tcPr>
            <w:tcW w:w="769" w:type="pct"/>
            <w:hideMark/>
          </w:tcPr>
          <w:p w14:paraId="223BD5D5" w14:textId="77777777" w:rsidR="00174635" w:rsidRDefault="00174635" w:rsidP="00760658">
            <w:pPr>
              <w:pStyle w:val="TableTextLeft"/>
            </w:pPr>
            <w:r>
              <w:t>1.1043</w:t>
            </w:r>
          </w:p>
        </w:tc>
        <w:tc>
          <w:tcPr>
            <w:tcW w:w="719" w:type="pct"/>
            <w:hideMark/>
          </w:tcPr>
          <w:p w14:paraId="223BD5D6" w14:textId="77777777" w:rsidR="00174635" w:rsidRDefault="00174635" w:rsidP="00760658">
            <w:pPr>
              <w:pStyle w:val="TableTextLeft"/>
            </w:pPr>
            <w:r>
              <w:t>39.0</w:t>
            </w:r>
          </w:p>
        </w:tc>
      </w:tr>
      <w:tr w:rsidR="00174635" w14:paraId="223BD5DB" w14:textId="77777777" w:rsidTr="008454B0">
        <w:trPr>
          <w:cnfStyle w:val="000000100000" w:firstRow="0" w:lastRow="0" w:firstColumn="0" w:lastColumn="0" w:oddVBand="0" w:evenVBand="0" w:oddHBand="1" w:evenHBand="0" w:firstRowFirstColumn="0" w:firstRowLastColumn="0" w:lastRowFirstColumn="0" w:lastRowLastColumn="0"/>
        </w:trPr>
        <w:tc>
          <w:tcPr>
            <w:tcW w:w="3512" w:type="pct"/>
            <w:hideMark/>
          </w:tcPr>
          <w:p w14:paraId="223BD5D8" w14:textId="77777777" w:rsidR="00174635" w:rsidRDefault="00174635" w:rsidP="00174635">
            <w:pPr>
              <w:pStyle w:val="TableTextBulletL1"/>
            </w:pPr>
            <w:r>
              <w:t>other town gas</w:t>
            </w:r>
          </w:p>
        </w:tc>
        <w:tc>
          <w:tcPr>
            <w:tcW w:w="769" w:type="pct"/>
            <w:hideMark/>
          </w:tcPr>
          <w:p w14:paraId="223BD5D9" w14:textId="77777777" w:rsidR="00174635" w:rsidRDefault="00174635" w:rsidP="00760658">
            <w:pPr>
              <w:pStyle w:val="TableTextLeft"/>
            </w:pPr>
            <w:r>
              <w:t>0.7079</w:t>
            </w:r>
          </w:p>
        </w:tc>
        <w:tc>
          <w:tcPr>
            <w:tcW w:w="719" w:type="pct"/>
            <w:hideMark/>
          </w:tcPr>
          <w:p w14:paraId="223BD5DA" w14:textId="77777777" w:rsidR="00174635" w:rsidRDefault="00174635" w:rsidP="00760658">
            <w:pPr>
              <w:pStyle w:val="TableTextLeft"/>
            </w:pPr>
            <w:r>
              <w:t>25.0</w:t>
            </w:r>
          </w:p>
        </w:tc>
      </w:tr>
      <w:tr w:rsidR="00174635" w14:paraId="223BD5DF" w14:textId="77777777" w:rsidTr="008454B0">
        <w:trPr>
          <w:cnfStyle w:val="000000010000" w:firstRow="0" w:lastRow="0" w:firstColumn="0" w:lastColumn="0" w:oddVBand="0" w:evenVBand="0" w:oddHBand="0" w:evenHBand="1" w:firstRowFirstColumn="0" w:firstRowLastColumn="0" w:lastRowFirstColumn="0" w:lastRowLastColumn="0"/>
        </w:trPr>
        <w:tc>
          <w:tcPr>
            <w:tcW w:w="3512" w:type="pct"/>
            <w:hideMark/>
          </w:tcPr>
          <w:p w14:paraId="223BD5DC" w14:textId="77777777" w:rsidR="00174635" w:rsidRDefault="00174635" w:rsidP="00174635">
            <w:pPr>
              <w:pStyle w:val="TableTextBulletL1"/>
            </w:pPr>
            <w:r>
              <w:t>Coke oven gas</w:t>
            </w:r>
          </w:p>
        </w:tc>
        <w:tc>
          <w:tcPr>
            <w:tcW w:w="769" w:type="pct"/>
            <w:hideMark/>
          </w:tcPr>
          <w:p w14:paraId="223BD5DD" w14:textId="77777777" w:rsidR="00174635" w:rsidRDefault="00174635" w:rsidP="00760658">
            <w:pPr>
              <w:pStyle w:val="TableTextLeft"/>
            </w:pPr>
            <w:r>
              <w:t>0.5125</w:t>
            </w:r>
          </w:p>
        </w:tc>
        <w:tc>
          <w:tcPr>
            <w:tcW w:w="719" w:type="pct"/>
            <w:hideMark/>
          </w:tcPr>
          <w:p w14:paraId="223BD5DE" w14:textId="77777777" w:rsidR="00174635" w:rsidRDefault="00174635" w:rsidP="00760658">
            <w:pPr>
              <w:pStyle w:val="TableTextLeft"/>
            </w:pPr>
            <w:r>
              <w:t>18.1</w:t>
            </w:r>
          </w:p>
        </w:tc>
      </w:tr>
      <w:tr w:rsidR="00174635" w14:paraId="223BD5E3" w14:textId="77777777" w:rsidTr="008454B0">
        <w:trPr>
          <w:cnfStyle w:val="000000100000" w:firstRow="0" w:lastRow="0" w:firstColumn="0" w:lastColumn="0" w:oddVBand="0" w:evenVBand="0" w:oddHBand="1" w:evenHBand="0" w:firstRowFirstColumn="0" w:firstRowLastColumn="0" w:lastRowFirstColumn="0" w:lastRowLastColumn="0"/>
        </w:trPr>
        <w:tc>
          <w:tcPr>
            <w:tcW w:w="3512" w:type="pct"/>
            <w:hideMark/>
          </w:tcPr>
          <w:p w14:paraId="223BD5E0" w14:textId="77777777" w:rsidR="00174635" w:rsidRDefault="00174635" w:rsidP="00174635">
            <w:pPr>
              <w:pStyle w:val="TableTextBulletL1"/>
            </w:pPr>
            <w:r>
              <w:t>Blast furnace gas</w:t>
            </w:r>
          </w:p>
        </w:tc>
        <w:tc>
          <w:tcPr>
            <w:tcW w:w="769" w:type="pct"/>
            <w:hideMark/>
          </w:tcPr>
          <w:p w14:paraId="223BD5E1" w14:textId="77777777" w:rsidR="00174635" w:rsidRDefault="00174635" w:rsidP="00760658">
            <w:pPr>
              <w:pStyle w:val="TableTextLeft"/>
            </w:pPr>
            <w:r>
              <w:t>0.1133</w:t>
            </w:r>
          </w:p>
        </w:tc>
        <w:tc>
          <w:tcPr>
            <w:tcW w:w="719" w:type="pct"/>
            <w:hideMark/>
          </w:tcPr>
          <w:p w14:paraId="223BD5E2" w14:textId="77777777" w:rsidR="00174635" w:rsidRDefault="00174635" w:rsidP="00760658">
            <w:pPr>
              <w:pStyle w:val="TableTextLeft"/>
            </w:pPr>
            <w:r>
              <w:t>4.0</w:t>
            </w:r>
          </w:p>
        </w:tc>
      </w:tr>
      <w:bookmarkEnd w:id="10"/>
      <w:bookmarkEnd w:id="9"/>
    </w:tbl>
    <w:p w14:paraId="223BD5E4" w14:textId="77777777" w:rsidR="008B4858" w:rsidRDefault="008B4858" w:rsidP="00D1044D">
      <w:pPr>
        <w:sectPr w:rsidR="008B4858" w:rsidSect="00356B4D">
          <w:headerReference w:type="even" r:id="rId134"/>
          <w:headerReference w:type="default" r:id="rId135"/>
          <w:type w:val="continuous"/>
          <w:pgSz w:w="11906" w:h="16838" w:code="9"/>
          <w:pgMar w:top="1247" w:right="1134" w:bottom="1134" w:left="1134" w:header="510" w:footer="624" w:gutter="0"/>
          <w:cols w:space="284"/>
          <w:docGrid w:linePitch="360"/>
        </w:sectPr>
      </w:pPr>
    </w:p>
    <w:sdt>
      <w:sdtPr>
        <w:id w:val="5606899"/>
        <w:docPartObj>
          <w:docPartGallery w:val="Cover Pages"/>
        </w:docPartObj>
      </w:sdtPr>
      <w:sdtEndPr/>
      <w:sdtContent>
        <w:p w14:paraId="223BD5E5" w14:textId="77777777" w:rsidR="000F047C" w:rsidRDefault="000F047C" w:rsidP="000F047C">
          <w:pPr>
            <w:pStyle w:val="BodyText"/>
          </w:pPr>
          <w:r>
            <w:rPr>
              <w:noProof/>
            </w:rPr>
            <w:drawing>
              <wp:anchor distT="0" distB="0" distL="114300" distR="114300" simplePos="0" relativeHeight="251658244" behindDoc="0" locked="1" layoutInCell="1" allowOverlap="1" wp14:anchorId="223BD61F" wp14:editId="223BD620">
                <wp:simplePos x="0" y="0"/>
                <wp:positionH relativeFrom="page">
                  <wp:posOffset>2540</wp:posOffset>
                </wp:positionH>
                <wp:positionV relativeFrom="page">
                  <wp:posOffset>-31115</wp:posOffset>
                </wp:positionV>
                <wp:extent cx="7590790" cy="2353945"/>
                <wp:effectExtent l="0" t="0" r="0" b="825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223BD5E6" w14:textId="77777777" w:rsidR="000F047C" w:rsidRPr="000F047C" w:rsidRDefault="00A3211E" w:rsidP="000F047C">
      <w:pPr>
        <w:pStyle w:val="BackCoverText"/>
      </w:pPr>
      <w:hyperlink r:id="rId136" w:tooltip="Bioregional Assessments Programme website" w:history="1">
        <w:r w:rsidR="000F047C">
          <w:rPr>
            <w:rStyle w:val="Hyperlink"/>
          </w:rPr>
          <w:t>www.bioregionalassessments.gov.au</w:t>
        </w:r>
      </w:hyperlink>
    </w:p>
    <w:p w14:paraId="223BD5E7" w14:textId="77777777" w:rsidR="000F047C" w:rsidRDefault="000F047C" w:rsidP="000F047C">
      <w:pPr>
        <w:pStyle w:val="BodyText"/>
      </w:pPr>
      <w:r>
        <w:rPr>
          <w:noProof/>
        </w:rPr>
        <w:drawing>
          <wp:anchor distT="0" distB="0" distL="114300" distR="114300" simplePos="0" relativeHeight="251658245" behindDoc="0" locked="1" layoutInCell="1" allowOverlap="1" wp14:anchorId="223BD621" wp14:editId="223BD622">
            <wp:simplePos x="0" y="0"/>
            <wp:positionH relativeFrom="margin">
              <wp:posOffset>-735330</wp:posOffset>
            </wp:positionH>
            <wp:positionV relativeFrom="margin">
              <wp:posOffset>5073015</wp:posOffset>
            </wp:positionV>
            <wp:extent cx="7593965" cy="5629910"/>
            <wp:effectExtent l="0" t="0" r="6985" b="889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7593965" cy="5629910"/>
                    </a:xfrm>
                    <a:prstGeom prst="rect">
                      <a:avLst/>
                    </a:prstGeom>
                    <a:noFill/>
                  </pic:spPr>
                </pic:pic>
              </a:graphicData>
            </a:graphic>
          </wp:anchor>
        </w:drawing>
      </w:r>
    </w:p>
    <w:p w14:paraId="223BD5E8" w14:textId="77777777" w:rsidR="00952575" w:rsidRPr="00952575" w:rsidRDefault="00CB712C" w:rsidP="0070099A">
      <w:pPr>
        <w:pStyle w:val="BackCoverLogos"/>
        <w:rPr>
          <w:rStyle w:val="Glossaryhyperlink"/>
        </w:rPr>
      </w:pPr>
      <w:r>
        <mc:AlternateContent>
          <mc:Choice Requires="wpg">
            <w:drawing>
              <wp:anchor distT="0" distB="0" distL="114300" distR="114300" simplePos="0" relativeHeight="251658247" behindDoc="1" locked="0" layoutInCell="1" allowOverlap="1" wp14:anchorId="223BD623" wp14:editId="223BD624">
                <wp:simplePos x="0" y="0"/>
                <wp:positionH relativeFrom="column">
                  <wp:posOffset>-1519555</wp:posOffset>
                </wp:positionH>
                <wp:positionV relativeFrom="page">
                  <wp:posOffset>7427595</wp:posOffset>
                </wp:positionV>
                <wp:extent cx="14799310" cy="397065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60" name=""/>
                        <wps:cNvSpPr/>
                        <wps:spPr>
                          <a:xfrm>
                            <a:off x="0" y="5584169"/>
                            <a:ext cx="14799310" cy="3970655"/>
                          </a:xfrm>
                          <a:prstGeom prst="rect">
                            <a:avLst/>
                          </a:prstGeom>
                          <a:noFill/>
                        </wps:spPr>
                        <wps:bodyPr/>
                      </wps:wsp>
                      <wps:wsp>
                        <wps:cNvPr id="61" name=""/>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3BD65C" w14:textId="77777777" w:rsidR="002D2A2F" w:rsidRDefault="002D2A2F" w:rsidP="000F047C">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3BD623" id="Group 59" o:spid="_x0000_s1026" alt="background image" style="position:absolute;left:0;text-align:left;margin-left:-119.65pt;margin-top:584.85pt;width:1165.3pt;height:312.65pt;z-index:-251658233;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">
                <v:rect id="Rectangle 60" o:spid="_x0000_s1027" style="position:absolute;top:55841;width:147993;height:39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EYsIA&#10;AADbAAAADwAAAGRycy9kb3ducmV2LnhtbERPTWuDQBC9F/Iflgn0Upq1OUix2UgQQiQUQk2a8+BO&#10;VeLOqrtV8++zh0KPj/e9SWfTipEG11hW8LaKQBCXVjdcKbic96/vIJxH1thaJgV3cpBuF08bTLSd&#10;+IvGwlcihLBLUEHtfZdI6cqaDLqV7YgD92MHgz7AoZJ6wCmEm1auoyiWBhsODTV2lNVU3opfo2Aq&#10;T+P1/HmQp5drbrnP+6z4Pir1vJx3HyA8zf5f/OfOtYI4rA9fw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oRiwgAAANsAAAAPAAAAAAAAAAAAAAAAAJgCAABkcnMvZG93&#10;bnJldi54bWxQSwUGAAAAAAQABAD1AAAAhwMAAAAA&#10;" filled="f" stroked="f"/>
                <v:shape id="Freeform 61" o:spid="_x0000_s1028" style="position:absolute;left:8025;width:136843;height:2806;visibility:visible;mso-wrap-style:square;v-text-anchor:top" coordsize="4233,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70qsUA&#10;AADbAAAADwAAAGRycy9kb3ducmV2LnhtbESPQWvCQBSE74X+h+UVems2tqKSukoJBCqIoLbg8TX7&#10;TILZt+nuGuO/dwsFj8PMfMPMl4NpRU/ON5YVjJIUBHFpdcOVgq998TID4QOyxtYyKbiSh+Xi8WGO&#10;mbYX3lK/C5WIEPYZKqhD6DIpfVmTQZ/Yjjh6R+sMhihdJbXDS4SbVr6m6UQabDgu1NhRXlN52p2N&#10;gt58u0Ox+fktp+e83XYrP7Zva6Wen4aPdxCBhnAP/7c/tYLJCP6+xB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vSqxQAAANsAAAAPAAAAAAAAAAAAAAAAAJgCAABkcnMv&#10;ZG93bnJldi54bWxQSwUGAAAAAAQABAD1AAAAigM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223BD65C" w14:textId="77777777" w:rsidR="002D2A2F" w:rsidRDefault="002D2A2F" w:rsidP="000F047C">
                        <w:pPr>
                          <w:rPr>
                            <w:rFonts w:eastAsia="Times New Roman"/>
                          </w:rPr>
                        </w:pPr>
                      </w:p>
                    </w:txbxContent>
                  </v:textbox>
                </v:shape>
                <w10:wrap anchory="page"/>
              </v:group>
            </w:pict>
          </mc:Fallback>
        </mc:AlternateContent>
      </w:r>
      <w:r>
        <mc:AlternateContent>
          <mc:Choice Requires="wpc">
            <w:drawing>
              <wp:anchor distT="0" distB="0" distL="114300" distR="114300" simplePos="0" relativeHeight="251658246" behindDoc="1" locked="0" layoutInCell="1" allowOverlap="1" wp14:anchorId="223BD625" wp14:editId="223BD626">
                <wp:simplePos x="0" y="0"/>
                <wp:positionH relativeFrom="column">
                  <wp:posOffset>-1519555</wp:posOffset>
                </wp:positionH>
                <wp:positionV relativeFrom="page">
                  <wp:posOffset>7427595</wp:posOffset>
                </wp:positionV>
                <wp:extent cx="14799310" cy="3970655"/>
                <wp:effectExtent l="0" t="0" r="0" b="0"/>
                <wp:wrapNone/>
                <wp:docPr id="8" name="Canvas 10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C37DDEB" id="Canvas 1072" o:spid="_x0000_s1026" editas="canvas" alt="background image" style="position:absolute;margin-left:-119.65pt;margin-top:584.85pt;width:1165.3pt;height:312.65pt;z-index:-251658234;mso-position-vertical-relative:page" coordsize="147993,3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background image" style="position:absolute;width:147993;height:39706;visibility:visible;mso-wrap-style:square">
                  <v:fill o:detectmouseclick="t"/>
                  <v:path o:connecttype="none"/>
                </v:shape>
                <v:shape id="Freeform 52" o:spid="_x0000_s1028" style="position:absolute;left:31;top:18434;width:136843;height:2806;visibility:visible;mso-wrap-style:square;v-text-anchor:top" coordsize="42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AXMUA&#10;AADbAAAADwAAAGRycy9kb3ducmV2LnhtbESPT2sCMRTE70K/Q3gFb5qtoujWKP5piwcvtYXS2+vm&#10;dbN087Ik0V2/fSMIHoeZ+Q2zWHW2FmfyoXKs4GmYgSAunK64VPD58TqYgQgRWWPtmBRcKMBq+dBb&#10;YK5dy+90PsZSJAiHHBWYGJtcylAYshiGriFO3q/zFmOSvpTaY5vgtpajLJtKixWnBYMNbQ0Vf8eT&#10;VfC1O7xg+7Mt/PdsMm9av9Fva6NU/7FbP4OI1MV7+NbeawXjOVy/pB8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EBcxQAAANsAAAAPAAAAAAAAAAAAAAAAAJgCAABkcnMv&#10;ZG93bnJldi54bWxQSwUGAAAAAAQABAD1AAAAigMAAAAA&#10;" path="m4080,87v93,,127,-28,153,-37c4192,26,4159,,4082,,,,,,,,,87,,87,,87r4080,xe" stroked="f">
                  <v:path arrowok="t" o:connecttype="custom" o:connectlocs="2147483646,905254307;2147483646,520262393;2147483646,0;0,0;0,905254307;2147483646,905254307" o:connectangles="0,0,0,0,0,0"/>
                </v:shape>
                <w10:wrap anchory="page"/>
              </v:group>
            </w:pict>
          </mc:Fallback>
        </mc:AlternateContent>
      </w:r>
    </w:p>
    <w:sectPr w:rsidR="00952575" w:rsidRPr="00952575" w:rsidSect="005C0B56">
      <w:headerReference w:type="even" r:id="rId137"/>
      <w:headerReference w:type="default" r:id="rId138"/>
      <w:footerReference w:type="even" r:id="rId139"/>
      <w:headerReference w:type="first" r:id="rId140"/>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211D88" w14:textId="77777777" w:rsidR="002D2A2F" w:rsidRDefault="002D2A2F" w:rsidP="009964E7">
      <w:r>
        <w:separator/>
      </w:r>
    </w:p>
  </w:endnote>
  <w:endnote w:type="continuationSeparator" w:id="0">
    <w:p w14:paraId="614D5FDF" w14:textId="77777777" w:rsidR="002D2A2F" w:rsidRDefault="002D2A2F" w:rsidP="009964E7">
      <w:r>
        <w:continuationSeparator/>
      </w:r>
    </w:p>
  </w:endnote>
  <w:endnote w:type="continuationNotice" w:id="1">
    <w:p w14:paraId="407AD669" w14:textId="77777777" w:rsidR="002D2A2F" w:rsidRDefault="002D2A2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auto"/>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Gotham Light">
    <w:altName w:val="Gotham Ligh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829878"/>
      <w:docPartObj>
        <w:docPartGallery w:val="Page Numbers (Bottom of Page)"/>
        <w:docPartUnique/>
      </w:docPartObj>
    </w:sdtPr>
    <w:sdtEndPr>
      <w:rPr>
        <w:noProof/>
      </w:rPr>
    </w:sdtEndPr>
    <w:sdtContent>
      <w:p w14:paraId="354B0300" w14:textId="4A4D3AC1" w:rsidR="002D2A2F" w:rsidRDefault="002D2A2F">
        <w:pPr>
          <w:pStyle w:val="Footer"/>
          <w:jc w:val="right"/>
        </w:pPr>
        <w:r>
          <w:fldChar w:fldCharType="begin"/>
        </w:r>
        <w:r>
          <w:instrText xml:space="preserve"> PAGE   \* MERGEFORMAT </w:instrText>
        </w:r>
        <w:r>
          <w:fldChar w:fldCharType="separate"/>
        </w:r>
        <w:r w:rsidR="00A3211E">
          <w:rPr>
            <w:noProof/>
          </w:rPr>
          <w:t>iv</w:t>
        </w:r>
        <w:r>
          <w:rPr>
            <w:noProof/>
          </w:rPr>
          <w:fldChar w:fldCharType="end"/>
        </w:r>
      </w:p>
    </w:sdtContent>
  </w:sdt>
  <w:p w14:paraId="223BD62E" w14:textId="77777777" w:rsidR="002D2A2F" w:rsidRDefault="002D2A2F" w:rsidP="00AE0D97">
    <w:pPr>
      <w:pStyle w:val="Footer"/>
      <w:tabs>
        <w:tab w:val="clear" w:pos="4513"/>
        <w:tab w:val="clear" w:pos="90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7468815"/>
      <w:docPartObj>
        <w:docPartGallery w:val="Page Numbers (Bottom of Page)"/>
        <w:docPartUnique/>
      </w:docPartObj>
    </w:sdtPr>
    <w:sdtEndPr>
      <w:rPr>
        <w:noProof/>
      </w:rPr>
    </w:sdtEndPr>
    <w:sdtContent>
      <w:p w14:paraId="79947F46" w14:textId="48E0C9CD" w:rsidR="002D2A2F" w:rsidRDefault="002D2A2F">
        <w:pPr>
          <w:pStyle w:val="Footer"/>
          <w:jc w:val="right"/>
        </w:pPr>
        <w:r>
          <w:fldChar w:fldCharType="begin"/>
        </w:r>
        <w:r>
          <w:instrText xml:space="preserve"> PAGE   \* MERGEFORMAT </w:instrText>
        </w:r>
        <w:r>
          <w:fldChar w:fldCharType="separate"/>
        </w:r>
        <w:r w:rsidR="00A3211E">
          <w:rPr>
            <w:noProof/>
          </w:rPr>
          <w:t>iii</w:t>
        </w:r>
        <w:r>
          <w:rPr>
            <w:noProof/>
          </w:rPr>
          <w:fldChar w:fldCharType="end"/>
        </w:r>
      </w:p>
    </w:sdtContent>
  </w:sdt>
  <w:p w14:paraId="7A1B73E8" w14:textId="77777777" w:rsidR="002D2A2F" w:rsidRDefault="002D2A2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BD62F" w14:textId="77777777" w:rsidR="002D2A2F" w:rsidRPr="00D6286D" w:rsidRDefault="002D2A2F" w:rsidP="00EE62F5">
    <w:pPr>
      <w:pStyle w:val="CoverFooter"/>
    </w:pPr>
    <w:r w:rsidRPr="00A50514">
      <w:t>A scientific collaboration between the Departmen</w:t>
    </w:r>
    <w:r>
      <w:t>t of the Environment and Energy</w:t>
    </w:r>
    <w:r w:rsidRPr="00A50514">
      <w:t xml:space="preserve"> </w:t>
    </w:r>
    <w:r>
      <w:br/>
    </w:r>
    <w:r w:rsidRPr="00A50514">
      <w:t>and Geoscience Australia</w:t>
    </w:r>
    <w:r w:rsidRPr="00D6286D">
      <w:rPr>
        <w:noProof/>
      </w:rPr>
      <w:drawing>
        <wp:anchor distT="0" distB="0" distL="114300" distR="114300" simplePos="0" relativeHeight="251658241" behindDoc="1" locked="1" layoutInCell="1" allowOverlap="1" wp14:anchorId="223BD644" wp14:editId="756BB5B5">
          <wp:simplePos x="0" y="0"/>
          <wp:positionH relativeFrom="page">
            <wp:posOffset>0</wp:posOffset>
          </wp:positionH>
          <wp:positionV relativeFrom="page">
            <wp:posOffset>9157335</wp:posOffset>
          </wp:positionV>
          <wp:extent cx="7570470" cy="1838325"/>
          <wp:effectExtent l="0" t="0" r="0"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70470" cy="183832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B1296" w14:textId="77777777" w:rsidR="002D2A2F" w:rsidRDefault="002D2A2F"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A3211E">
      <w:rPr>
        <w:rStyle w:val="PageNumber"/>
        <w:noProof/>
      </w:rPr>
      <w:t>12</w:t>
    </w:r>
    <w:r>
      <w:rPr>
        <w:rStyle w:val="PageNumber"/>
      </w:rPr>
      <w:fldChar w:fldCharType="end"/>
    </w:r>
    <w:r>
      <w:rPr>
        <w:rStyle w:val="PageNumber"/>
      </w:rPr>
      <w:t xml:space="preserve"> | </w:t>
    </w:r>
    <w:fldSimple w:instr=" STYLEREF  CoverTitle ">
      <w:r w:rsidR="00A3211E">
        <w:rPr>
          <w:noProof/>
        </w:rPr>
        <w:t>Rapid regional prioritisation for tight and shale gas potential of eastern and northern Australian basins</w:t>
      </w:r>
    </w:fldSimple>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9048C1" w14:textId="77777777" w:rsidR="002D2A2F" w:rsidRPr="00C0099E" w:rsidRDefault="009F41E4" w:rsidP="00FA79DE">
    <w:pPr>
      <w:pStyle w:val="Footer"/>
      <w:jc w:val="right"/>
    </w:pPr>
    <w:fldSimple w:instr=" STYLEREF  CoverTitle ">
      <w:r w:rsidR="00A3211E">
        <w:rPr>
          <w:noProof/>
        </w:rPr>
        <w:t>Rapid regional prioritisation for tight and shale gas potential of eastern and northern Australian basins</w:t>
      </w:r>
    </w:fldSimple>
    <w:r w:rsidR="002D2A2F" w:rsidRPr="00C0099E">
      <w:t xml:space="preserve"> | </w:t>
    </w:r>
    <w:r w:rsidR="002D2A2F" w:rsidRPr="00C0099E">
      <w:rPr>
        <w:rStyle w:val="PageNumber"/>
        <w:sz w:val="18"/>
      </w:rPr>
      <w:fldChar w:fldCharType="begin"/>
    </w:r>
    <w:r w:rsidR="002D2A2F" w:rsidRPr="00C0099E">
      <w:rPr>
        <w:rStyle w:val="PageNumber"/>
        <w:sz w:val="18"/>
      </w:rPr>
      <w:instrText xml:space="preserve"> PAGE </w:instrText>
    </w:r>
    <w:r w:rsidR="002D2A2F" w:rsidRPr="00C0099E">
      <w:rPr>
        <w:rStyle w:val="PageNumber"/>
        <w:sz w:val="18"/>
      </w:rPr>
      <w:fldChar w:fldCharType="separate"/>
    </w:r>
    <w:r w:rsidR="00A3211E">
      <w:rPr>
        <w:rStyle w:val="PageNumber"/>
        <w:noProof/>
        <w:sz w:val="18"/>
      </w:rPr>
      <w:t>11</w:t>
    </w:r>
    <w:r w:rsidR="002D2A2F" w:rsidRPr="00C0099E">
      <w:rPr>
        <w:rStyle w:val="PageNumber"/>
        <w:sz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BD643" w14:textId="77777777" w:rsidR="002D2A2F" w:rsidRDefault="002D2A2F" w:rsidP="00AE0D97">
    <w:pPr>
      <w:pStyle w:val="Footer"/>
      <w:tabs>
        <w:tab w:val="clear" w:pos="4513"/>
        <w:tab w:val="clear" w:pos="9026"/>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EE564E" w14:textId="77777777" w:rsidR="002D2A2F" w:rsidRDefault="002D2A2F">
      <w:r>
        <w:separator/>
      </w:r>
    </w:p>
  </w:footnote>
  <w:footnote w:type="continuationSeparator" w:id="0">
    <w:p w14:paraId="695AD283" w14:textId="77777777" w:rsidR="002D2A2F" w:rsidRDefault="002D2A2F">
      <w:r>
        <w:continuationSeparator/>
      </w:r>
    </w:p>
  </w:footnote>
  <w:footnote w:type="continuationNotice" w:id="1">
    <w:p w14:paraId="40532748" w14:textId="77777777" w:rsidR="002D2A2F" w:rsidRDefault="002D2A2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BB91CE" w14:textId="559BE8AB" w:rsidR="002D2A2F" w:rsidRPr="002A4BED" w:rsidRDefault="009F41E4" w:rsidP="001F4181">
    <w:pPr>
      <w:pStyle w:val="HeaderSection"/>
    </w:pPr>
    <w:fldSimple w:instr=" STYLEREF  &quot;Heading 1&quot; \r  \* MERGEFORMAT ">
      <w:r w:rsidR="00A3211E">
        <w:rPr>
          <w:noProof/>
        </w:rPr>
        <w:t>1</w:t>
      </w:r>
    </w:fldSimple>
    <w:r w:rsidR="002D2A2F">
      <w:t xml:space="preserve"> </w:t>
    </w:r>
    <w:fldSimple w:instr=" STYLEREF  &quot;Heading 1&quot; ">
      <w:r w:rsidR="00A3211E">
        <w:rPr>
          <w:noProof/>
        </w:rPr>
        <w:t>Introduction</w:t>
      </w:r>
    </w:fldSimple>
    <w:r w:rsidR="002D2A2F">
      <w:rPr>
        <w:noProof/>
      </w:rPr>
      <mc:AlternateContent>
        <mc:Choice Requires="wps">
          <w:drawing>
            <wp:anchor distT="0" distB="0" distL="114300" distR="114300" simplePos="0" relativeHeight="251658247" behindDoc="0" locked="1" layoutInCell="1" allowOverlap="1" wp14:anchorId="6BAAC7F9" wp14:editId="4026DD83">
              <wp:simplePos x="0" y="0"/>
              <wp:positionH relativeFrom="column">
                <wp:posOffset>-774065</wp:posOffset>
              </wp:positionH>
              <wp:positionV relativeFrom="margin">
                <wp:posOffset>0</wp:posOffset>
              </wp:positionV>
              <wp:extent cx="683895" cy="7479030"/>
              <wp:effectExtent l="0" t="0" r="0" b="0"/>
              <wp:wrapNone/>
              <wp:docPr id="2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98CEF" w14:textId="77777777" w:rsidR="002D2A2F" w:rsidRPr="001565E5" w:rsidRDefault="002D2A2F" w:rsidP="002A4BED">
                          <w:pPr>
                            <w:pStyle w:val="HeaderComponent"/>
                            <w:rPr>
                              <w:color w:val="E87521" w:themeColor="accent3"/>
                            </w:rPr>
                          </w:pPr>
                          <w:r w:rsidRPr="001565E5">
                            <w:rPr>
                              <w:color w:val="E87521" w:themeColor="accent3"/>
                            </w:rPr>
                            <w:t>Stage 1: Rapid regional prioritisation</w:t>
                          </w:r>
                        </w:p>
                        <w:p w14:paraId="68F09532" w14:textId="77777777" w:rsidR="002D2A2F" w:rsidRPr="005C0B56" w:rsidRDefault="002D2A2F" w:rsidP="002A4BED">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AAC7F9" id="_x0000_t202" coordsize="21600,21600" o:spt="202" path="m,l,21600r21600,l21600,xe">
              <v:stroke joinstyle="miter"/>
              <v:path gradientshapeok="t" o:connecttype="rect"/>
            </v:shapetype>
            <v:shape id="Text Box 15" o:spid="_x0000_s1029" type="#_x0000_t202" style="position:absolute;margin-left:-60.95pt;margin-top:0;width:53.85pt;height:588.9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" filled="f" stroked="f">
              <v:textbox style="layout-flow:vertical;mso-layout-flow-alt:bottom-to-top">
                <w:txbxContent>
                  <w:p w14:paraId="65898CEF" w14:textId="77777777" w:rsidR="002D2A2F" w:rsidRPr="001565E5" w:rsidRDefault="002D2A2F" w:rsidP="002A4BED">
                    <w:pPr>
                      <w:pStyle w:val="HeaderComponent"/>
                      <w:rPr>
                        <w:color w:val="E87521" w:themeColor="accent3"/>
                      </w:rPr>
                    </w:pPr>
                    <w:r w:rsidRPr="001565E5">
                      <w:rPr>
                        <w:color w:val="E87521" w:themeColor="accent3"/>
                      </w:rPr>
                      <w:t>Stage 1: Rapid regional prioritisation</w:t>
                    </w:r>
                  </w:p>
                  <w:p w14:paraId="68F09532" w14:textId="77777777" w:rsidR="002D2A2F" w:rsidRPr="005C0B56" w:rsidRDefault="002D2A2F" w:rsidP="002A4BED">
                    <w:pPr>
                      <w:pStyle w:val="HeaderComponent"/>
                      <w:rPr>
                        <w:color w:val="0093CD" w:themeColor="accent1"/>
                      </w:rPr>
                    </w:pPr>
                  </w:p>
                </w:txbxContent>
              </v:textbox>
              <w10:wrap anchory="margin"/>
              <w10:anchorlock/>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0DE1F9" w14:textId="10272B66" w:rsidR="002D2A2F" w:rsidRDefault="009F41E4" w:rsidP="005E0FA1">
    <w:pPr>
      <w:pStyle w:val="HeaderSection"/>
    </w:pPr>
    <w:fldSimple w:instr=" STYLEREF  &quot;Heading 1&quot; \r  \* MERGEFORMAT ">
      <w:r w:rsidR="00A3211E">
        <w:rPr>
          <w:noProof/>
        </w:rPr>
        <w:t>5</w:t>
      </w:r>
    </w:fldSimple>
    <w:r w:rsidR="002D2A2F">
      <w:t xml:space="preserve"> </w:t>
    </w:r>
    <w:fldSimple w:instr=" STYLEREF  &quot;Heading 1&quot; ">
      <w:r w:rsidR="00A3211E">
        <w:rPr>
          <w:noProof/>
        </w:rPr>
        <w:t>Rapid regional basin prioritisation</w:t>
      </w:r>
    </w:fldSimple>
    <w:r w:rsidR="002D2A2F">
      <w:rPr>
        <w:noProof/>
      </w:rPr>
      <mc:AlternateContent>
        <mc:Choice Requires="wps">
          <w:drawing>
            <wp:anchor distT="0" distB="0" distL="114300" distR="114300" simplePos="0" relativeHeight="251658258" behindDoc="0" locked="1" layoutInCell="1" allowOverlap="1" wp14:anchorId="39AA9380" wp14:editId="524FEA32">
              <wp:simplePos x="0" y="0"/>
              <wp:positionH relativeFrom="column">
                <wp:posOffset>-774065</wp:posOffset>
              </wp:positionH>
              <wp:positionV relativeFrom="margin">
                <wp:posOffset>0</wp:posOffset>
              </wp:positionV>
              <wp:extent cx="683895" cy="7479030"/>
              <wp:effectExtent l="0" t="0" r="0" b="0"/>
              <wp:wrapNone/>
              <wp:docPr id="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33920" w14:textId="77777777" w:rsidR="002D2A2F" w:rsidRPr="001565E5" w:rsidRDefault="002D2A2F" w:rsidP="00843A25">
                          <w:pPr>
                            <w:pStyle w:val="HeaderComponent"/>
                            <w:rPr>
                              <w:color w:val="E87521" w:themeColor="accent3"/>
                            </w:rPr>
                          </w:pPr>
                          <w:r w:rsidRPr="001565E5">
                            <w:rPr>
                              <w:color w:val="E87521" w:themeColor="accent3"/>
                            </w:rPr>
                            <w:t>Stage 1: Rapid regional prioritisation</w:t>
                          </w:r>
                        </w:p>
                        <w:p w14:paraId="79A364A7" w14:textId="77777777" w:rsidR="002D2A2F" w:rsidRPr="005C0B56" w:rsidRDefault="002D2A2F" w:rsidP="00843A25">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AA9380" id="_x0000_t202" coordsize="21600,21600" o:spt="202" path="m,l,21600r21600,l21600,xe">
              <v:stroke joinstyle="miter"/>
              <v:path gradientshapeok="t" o:connecttype="rect"/>
            </v:shapetype>
            <v:shape id="_x0000_s1036" type="#_x0000_t202" style="position:absolute;margin-left:-60.95pt;margin-top:0;width:53.85pt;height:588.9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" filled="f" stroked="f">
              <v:textbox style="layout-flow:vertical;mso-layout-flow-alt:bottom-to-top">
                <w:txbxContent>
                  <w:p w14:paraId="5FB33920" w14:textId="77777777" w:rsidR="002D2A2F" w:rsidRPr="001565E5" w:rsidRDefault="002D2A2F" w:rsidP="00843A25">
                    <w:pPr>
                      <w:pStyle w:val="HeaderComponent"/>
                      <w:rPr>
                        <w:color w:val="E87521" w:themeColor="accent3"/>
                      </w:rPr>
                    </w:pPr>
                    <w:r w:rsidRPr="001565E5">
                      <w:rPr>
                        <w:color w:val="E87521" w:themeColor="accent3"/>
                      </w:rPr>
                      <w:t>Stage 1: Rapid regional prioritisation</w:t>
                    </w:r>
                  </w:p>
                  <w:p w14:paraId="79A364A7" w14:textId="77777777" w:rsidR="002D2A2F" w:rsidRPr="005C0B56" w:rsidRDefault="002D2A2F" w:rsidP="00843A25">
                    <w:pPr>
                      <w:pStyle w:val="HeaderComponent"/>
                      <w:rPr>
                        <w:color w:val="0093CD" w:themeColor="accent1"/>
                      </w:rPr>
                    </w:pPr>
                  </w:p>
                </w:txbxContent>
              </v:textbox>
              <w10:wrap anchory="margin"/>
              <w10:anchorlock/>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E2A30E" w14:textId="04B2DA32" w:rsidR="002D2A2F" w:rsidRPr="00595095" w:rsidRDefault="009F41E4" w:rsidP="008C6954">
    <w:pPr>
      <w:pStyle w:val="HeaderSection"/>
      <w:jc w:val="right"/>
      <w:rPr>
        <w:sz w:val="22"/>
      </w:rPr>
    </w:pPr>
    <w:fldSimple w:instr=" STYLEREF  &quot;Heading 1&quot; \r  \* MERGEFORMAT ">
      <w:r w:rsidR="00A3211E">
        <w:rPr>
          <w:noProof/>
        </w:rPr>
        <w:t>5</w:t>
      </w:r>
    </w:fldSimple>
    <w:r w:rsidR="002D2A2F" w:rsidRPr="00977621">
      <w:rPr>
        <w:bCs/>
      </w:rPr>
      <w:t xml:space="preserve"> </w:t>
    </w:r>
    <w:fldSimple w:instr=" STYLEREF  &quot;Heading 1&quot; ">
      <w:r w:rsidR="00A3211E">
        <w:rPr>
          <w:noProof/>
        </w:rPr>
        <w:t>Rapid regional basin prioritisation</w:t>
      </w:r>
    </w:fldSimple>
    <w:r w:rsidR="002D2A2F">
      <w:rPr>
        <w:noProof/>
      </w:rPr>
      <mc:AlternateContent>
        <mc:Choice Requires="wps">
          <w:drawing>
            <wp:anchor distT="0" distB="0" distL="114300" distR="114300" simplePos="0" relativeHeight="251658245" behindDoc="0" locked="1" layoutInCell="1" allowOverlap="1" wp14:anchorId="7A395EFA" wp14:editId="5ED858BA">
              <wp:simplePos x="0" y="0"/>
              <wp:positionH relativeFrom="column">
                <wp:posOffset>8983980</wp:posOffset>
              </wp:positionH>
              <wp:positionV relativeFrom="margin">
                <wp:posOffset>0</wp:posOffset>
              </wp:positionV>
              <wp:extent cx="683895" cy="7479030"/>
              <wp:effectExtent l="0" t="0" r="0" b="7620"/>
              <wp:wrapNone/>
              <wp:docPr id="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77455"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395EFA" id="_x0000_t202" coordsize="21600,21600" o:spt="202" path="m,l,21600r21600,l21600,xe">
              <v:stroke joinstyle="miter"/>
              <v:path gradientshapeok="t" o:connecttype="rect"/>
            </v:shapetype>
            <v:shape id="_x0000_s1037" type="#_x0000_t202" style="position:absolute;left:0;text-align:left;margin-left:707.4pt;margin-top:0;width:53.85pt;height:588.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67uQIAAME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" filled="f" stroked="f">
              <v:textbox style="layout-flow:vertical">
                <w:txbxContent>
                  <w:p w14:paraId="42077455"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46158D" w14:textId="77777777" w:rsidR="002D2A2F" w:rsidRDefault="00A3211E">
    <w:pPr>
      <w:pStyle w:val="Header"/>
    </w:pPr>
    <w:r>
      <w:rPr>
        <w:noProof/>
      </w:rPr>
      <w:pict w14:anchorId="75485B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61678" o:spid="_x0000_s2118" type="#_x0000_t136" style="position:absolute;margin-left:0;margin-top:0;width:424.65pt;height:254.75pt;rotation:315;z-index:-25165821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BDE8A9" w14:textId="102319F9" w:rsidR="002D2A2F" w:rsidRPr="002A4BED" w:rsidRDefault="009F41E4" w:rsidP="001F4181">
    <w:pPr>
      <w:pStyle w:val="HeaderSection"/>
    </w:pPr>
    <w:fldSimple w:instr=" STYLEREF  &quot;Heading 1&quot; \r  \* MERGEFORMAT ">
      <w:r w:rsidR="00A3211E">
        <w:rPr>
          <w:noProof/>
        </w:rPr>
        <w:t>6</w:t>
      </w:r>
    </w:fldSimple>
    <w:r w:rsidR="002D2A2F">
      <w:t xml:space="preserve"> </w:t>
    </w:r>
    <w:fldSimple w:instr=" STYLEREF  &quot;Heading 1&quot; ">
      <w:r w:rsidR="00A3211E">
        <w:rPr>
          <w:noProof/>
        </w:rPr>
        <w:t>Summary</w:t>
      </w:r>
    </w:fldSimple>
    <w:r w:rsidR="002D2A2F">
      <w:rPr>
        <w:noProof/>
      </w:rPr>
      <mc:AlternateContent>
        <mc:Choice Requires="wps">
          <w:drawing>
            <wp:anchor distT="0" distB="0" distL="114300" distR="114300" simplePos="0" relativeHeight="251658249" behindDoc="0" locked="1" layoutInCell="1" allowOverlap="1" wp14:anchorId="6B363B1A" wp14:editId="2CD0CC3C">
              <wp:simplePos x="0" y="0"/>
              <wp:positionH relativeFrom="column">
                <wp:posOffset>-774065</wp:posOffset>
              </wp:positionH>
              <wp:positionV relativeFrom="margin">
                <wp:posOffset>0</wp:posOffset>
              </wp:positionV>
              <wp:extent cx="683895" cy="7479030"/>
              <wp:effectExtent l="0" t="0" r="0" b="0"/>
              <wp:wrapNone/>
              <wp:docPr id="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6BAF2" w14:textId="77777777" w:rsidR="002D2A2F" w:rsidRPr="001565E5" w:rsidRDefault="002D2A2F" w:rsidP="002A4BED">
                          <w:pPr>
                            <w:pStyle w:val="HeaderComponent"/>
                            <w:rPr>
                              <w:color w:val="E87521" w:themeColor="accent3"/>
                            </w:rPr>
                          </w:pPr>
                          <w:r w:rsidRPr="001565E5">
                            <w:rPr>
                              <w:color w:val="E87521" w:themeColor="accent3"/>
                            </w:rPr>
                            <w:t>Stage 1: Rapid regional prioritisation</w:t>
                          </w:r>
                        </w:p>
                        <w:p w14:paraId="243E9621" w14:textId="77777777" w:rsidR="002D2A2F" w:rsidRPr="005C0B56" w:rsidRDefault="002D2A2F" w:rsidP="002A4BED">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363B1A" id="_x0000_t202" coordsize="21600,21600" o:spt="202" path="m,l,21600r21600,l21600,xe">
              <v:stroke joinstyle="miter"/>
              <v:path gradientshapeok="t" o:connecttype="rect"/>
            </v:shapetype>
            <v:shape id="_x0000_s1038" type="#_x0000_t202" style="position:absolute;margin-left:-60.95pt;margin-top:0;width:53.85pt;height:588.9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zpyvAIAAMU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" filled="f" stroked="f">
              <v:textbox style="layout-flow:vertical;mso-layout-flow-alt:bottom-to-top">
                <w:txbxContent>
                  <w:p w14:paraId="3306BAF2" w14:textId="77777777" w:rsidR="002D2A2F" w:rsidRPr="001565E5" w:rsidRDefault="002D2A2F" w:rsidP="002A4BED">
                    <w:pPr>
                      <w:pStyle w:val="HeaderComponent"/>
                      <w:rPr>
                        <w:color w:val="E87521" w:themeColor="accent3"/>
                      </w:rPr>
                    </w:pPr>
                    <w:r w:rsidRPr="001565E5">
                      <w:rPr>
                        <w:color w:val="E87521" w:themeColor="accent3"/>
                      </w:rPr>
                      <w:t>Stage 1: Rapid regional prioritisation</w:t>
                    </w:r>
                  </w:p>
                  <w:p w14:paraId="243E9621" w14:textId="77777777" w:rsidR="002D2A2F" w:rsidRPr="005C0B56" w:rsidRDefault="002D2A2F" w:rsidP="002A4BED">
                    <w:pPr>
                      <w:pStyle w:val="HeaderComponent"/>
                      <w:rPr>
                        <w:color w:val="0093CD" w:themeColor="accent1"/>
                      </w:rPr>
                    </w:pPr>
                  </w:p>
                </w:txbxContent>
              </v:textbox>
              <w10:wrap anchory="margin"/>
              <w10:anchorlock/>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E93FCD" w14:textId="22017D3F" w:rsidR="002D2A2F" w:rsidRPr="00595095" w:rsidRDefault="009F41E4" w:rsidP="008C6954">
    <w:pPr>
      <w:pStyle w:val="HeaderSection"/>
      <w:jc w:val="right"/>
      <w:rPr>
        <w:sz w:val="22"/>
      </w:rPr>
    </w:pPr>
    <w:fldSimple w:instr=" STYLEREF  &quot;Heading 1&quot; \r  \* MERGEFORMAT ">
      <w:r w:rsidR="00A3211E">
        <w:rPr>
          <w:noProof/>
        </w:rPr>
        <w:t>6</w:t>
      </w:r>
    </w:fldSimple>
    <w:r w:rsidR="002D2A2F" w:rsidRPr="00977621">
      <w:rPr>
        <w:bCs/>
      </w:rPr>
      <w:t xml:space="preserve"> </w:t>
    </w:r>
    <w:fldSimple w:instr=" STYLEREF  &quot;Heading 1&quot; ">
      <w:r w:rsidR="00A3211E">
        <w:rPr>
          <w:noProof/>
        </w:rPr>
        <w:t>Summary</w:t>
      </w:r>
    </w:fldSimple>
    <w:r w:rsidR="002D2A2F">
      <w:rPr>
        <w:noProof/>
      </w:rPr>
      <mc:AlternateContent>
        <mc:Choice Requires="wps">
          <w:drawing>
            <wp:anchor distT="0" distB="0" distL="114300" distR="114300" simplePos="0" relativeHeight="251658246" behindDoc="0" locked="1" layoutInCell="1" allowOverlap="1" wp14:anchorId="2D3C638F" wp14:editId="6137EC84">
              <wp:simplePos x="0" y="0"/>
              <wp:positionH relativeFrom="column">
                <wp:posOffset>6189345</wp:posOffset>
              </wp:positionH>
              <wp:positionV relativeFrom="margin">
                <wp:posOffset>58420</wp:posOffset>
              </wp:positionV>
              <wp:extent cx="684000" cy="7480800"/>
              <wp:effectExtent l="0" t="0" r="0" b="6350"/>
              <wp:wrapNone/>
              <wp:docPr id="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23D05"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3C638F" id="_x0000_t202" coordsize="21600,21600" o:spt="202" path="m,l,21600r21600,l21600,xe">
              <v:stroke joinstyle="miter"/>
              <v:path gradientshapeok="t" o:connecttype="rect"/>
            </v:shapetype>
            <v:shape id="_x0000_s1039" type="#_x0000_t202" style="position:absolute;left:0;text-align:left;margin-left:487.35pt;margin-top:4.6pt;width:53.85pt;height:589.0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" filled="f" stroked="f">
              <v:textbox style="layout-flow:vertical">
                <w:txbxContent>
                  <w:p w14:paraId="10123D05"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B7F7AC" w14:textId="77777777" w:rsidR="002D2A2F" w:rsidRDefault="00A3211E">
    <w:pPr>
      <w:pStyle w:val="Header"/>
    </w:pPr>
    <w:r>
      <w:rPr>
        <w:noProof/>
      </w:rPr>
      <w:pict w14:anchorId="3EAF48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61681" o:spid="_x0000_s2121" type="#_x0000_t136" style="position:absolute;margin-left:0;margin-top:0;width:424.65pt;height:254.75pt;rotation:315;z-index:-25165821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3CAA53" w14:textId="77777777" w:rsidR="002D2A2F" w:rsidRPr="00595095" w:rsidRDefault="009F41E4" w:rsidP="008C6954">
    <w:pPr>
      <w:pStyle w:val="HeaderSection"/>
      <w:jc w:val="right"/>
      <w:rPr>
        <w:sz w:val="22"/>
      </w:rPr>
    </w:pPr>
    <w:fldSimple w:instr=" STYLEREF  &quot;Heading 1&quot; \r  \* MERGEFORMAT ">
      <w:r w:rsidR="00A3211E">
        <w:rPr>
          <w:noProof/>
        </w:rPr>
        <w:t>6</w:t>
      </w:r>
    </w:fldSimple>
    <w:r w:rsidR="002D2A2F" w:rsidRPr="00977621">
      <w:rPr>
        <w:bCs/>
      </w:rPr>
      <w:t xml:space="preserve"> </w:t>
    </w:r>
    <w:fldSimple w:instr=" STYLEREF  &quot;Heading 1&quot; ">
      <w:r w:rsidR="00A3211E">
        <w:rPr>
          <w:noProof/>
        </w:rPr>
        <w:t>Summary</w:t>
      </w:r>
    </w:fldSimple>
    <w:r w:rsidR="002D2A2F">
      <w:rPr>
        <w:noProof/>
      </w:rPr>
      <mc:AlternateContent>
        <mc:Choice Requires="wps">
          <w:drawing>
            <wp:anchor distT="0" distB="0" distL="114300" distR="114300" simplePos="0" relativeHeight="251658266" behindDoc="0" locked="1" layoutInCell="1" allowOverlap="1" wp14:anchorId="2B5EFF1B" wp14:editId="3979722C">
              <wp:simplePos x="0" y="0"/>
              <wp:positionH relativeFrom="column">
                <wp:posOffset>8989060</wp:posOffset>
              </wp:positionH>
              <wp:positionV relativeFrom="margin">
                <wp:posOffset>-5080</wp:posOffset>
              </wp:positionV>
              <wp:extent cx="683895" cy="7479030"/>
              <wp:effectExtent l="0" t="0" r="0" b="7620"/>
              <wp:wrapNone/>
              <wp:docPr id="718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D56ED"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5EFF1B" id="_x0000_t202" coordsize="21600,21600" o:spt="202" path="m,l,21600r21600,l21600,xe">
              <v:stroke joinstyle="miter"/>
              <v:path gradientshapeok="t" o:connecttype="rect"/>
            </v:shapetype>
            <v:shape id="_x0000_s1040" type="#_x0000_t202" style="position:absolute;left:0;text-align:left;margin-left:707.8pt;margin-top:-.4pt;width:53.85pt;height:588.9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" filled="f" stroked="f">
              <v:textbox style="layout-flow:vertical">
                <w:txbxContent>
                  <w:p w14:paraId="753D56ED"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BD640" w14:textId="3E98038C" w:rsidR="002D2A2F" w:rsidRPr="002A4BED" w:rsidRDefault="009F41E4" w:rsidP="001F4181">
    <w:pPr>
      <w:pStyle w:val="HeaderSection"/>
    </w:pPr>
    <w:fldSimple w:instr=" STYLEREF  &quot;Heading 1&quot; \r  \* MERGEFORMAT ">
      <w:r w:rsidR="00A3211E">
        <w:rPr>
          <w:noProof/>
        </w:rPr>
        <w:t>6</w:t>
      </w:r>
    </w:fldSimple>
    <w:r w:rsidR="002D2A2F">
      <w:t xml:space="preserve"> </w:t>
    </w:r>
    <w:fldSimple w:instr=" STYLEREF  &quot;Heading 1&quot; ">
      <w:r w:rsidR="00A3211E">
        <w:rPr>
          <w:noProof/>
        </w:rPr>
        <w:t>Summary</w:t>
      </w:r>
    </w:fldSimple>
    <w:r w:rsidR="002D2A2F">
      <w:rPr>
        <w:noProof/>
      </w:rPr>
      <mc:AlternateContent>
        <mc:Choice Requires="wps">
          <w:drawing>
            <wp:anchor distT="0" distB="0" distL="114300" distR="114300" simplePos="0" relativeHeight="251658242" behindDoc="0" locked="1" layoutInCell="1" allowOverlap="1" wp14:anchorId="223BD658" wp14:editId="031DE33F">
              <wp:simplePos x="0" y="0"/>
              <wp:positionH relativeFrom="column">
                <wp:posOffset>-774065</wp:posOffset>
              </wp:positionH>
              <wp:positionV relativeFrom="margin">
                <wp:posOffset>0</wp:posOffset>
              </wp:positionV>
              <wp:extent cx="683895" cy="7479030"/>
              <wp:effectExtent l="0" t="0" r="0" b="0"/>
              <wp:wrapNone/>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BD669" w14:textId="77777777" w:rsidR="002D2A2F" w:rsidRPr="001565E5" w:rsidRDefault="002D2A2F" w:rsidP="002A4BED">
                          <w:pPr>
                            <w:pStyle w:val="HeaderComponent"/>
                            <w:rPr>
                              <w:color w:val="E87521" w:themeColor="accent3"/>
                            </w:rPr>
                          </w:pPr>
                          <w:r w:rsidRPr="001565E5">
                            <w:rPr>
                              <w:color w:val="E87521" w:themeColor="accent3"/>
                            </w:rPr>
                            <w:t>Stage 1: Rapid regional prioritisation</w:t>
                          </w:r>
                        </w:p>
                        <w:p w14:paraId="223BD66A" w14:textId="77777777" w:rsidR="002D2A2F" w:rsidRPr="005C0B56" w:rsidRDefault="002D2A2F" w:rsidP="002A4BED">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3BD658" id="_x0000_t202" coordsize="21600,21600" o:spt="202" path="m,l,21600r21600,l21600,xe">
              <v:stroke joinstyle="miter"/>
              <v:path gradientshapeok="t" o:connecttype="rect"/>
            </v:shapetype>
            <v:shape id="_x0000_s1041" type="#_x0000_t202" style="position:absolute;margin-left:-60.95pt;margin-top:0;width:53.85pt;height:588.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T5vAIAAMY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" filled="f" stroked="f">
              <v:textbox style="layout-flow:vertical;mso-layout-flow-alt:bottom-to-top">
                <w:txbxContent>
                  <w:p w14:paraId="223BD669" w14:textId="77777777" w:rsidR="002D2A2F" w:rsidRPr="001565E5" w:rsidRDefault="002D2A2F" w:rsidP="002A4BED">
                    <w:pPr>
                      <w:pStyle w:val="HeaderComponent"/>
                      <w:rPr>
                        <w:color w:val="E87521" w:themeColor="accent3"/>
                      </w:rPr>
                    </w:pPr>
                    <w:r w:rsidRPr="001565E5">
                      <w:rPr>
                        <w:color w:val="E87521" w:themeColor="accent3"/>
                      </w:rPr>
                      <w:t>Stage 1: Rapid regional prioritisation</w:t>
                    </w:r>
                  </w:p>
                  <w:p w14:paraId="223BD66A" w14:textId="77777777" w:rsidR="002D2A2F" w:rsidRPr="005C0B56" w:rsidRDefault="002D2A2F" w:rsidP="002A4BED">
                    <w:pPr>
                      <w:pStyle w:val="HeaderComponent"/>
                      <w:rPr>
                        <w:color w:val="0093CD" w:themeColor="accent1"/>
                      </w:rPr>
                    </w:pPr>
                  </w:p>
                </w:txbxContent>
              </v:textbox>
              <w10:wrap anchory="margin"/>
              <w10:anchorlock/>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BD641" w14:textId="50AAD14B" w:rsidR="002D2A2F" w:rsidRPr="00595095" w:rsidRDefault="009F41E4" w:rsidP="008C6954">
    <w:pPr>
      <w:pStyle w:val="HeaderSection"/>
      <w:jc w:val="right"/>
      <w:rPr>
        <w:sz w:val="22"/>
      </w:rPr>
    </w:pPr>
    <w:fldSimple w:instr=" STYLEREF  &quot;Heading 1&quot; \r  \* MERGEFORMAT ">
      <w:r w:rsidR="00A3211E">
        <w:rPr>
          <w:noProof/>
        </w:rPr>
        <w:t>6</w:t>
      </w:r>
    </w:fldSimple>
    <w:r w:rsidR="002D2A2F" w:rsidRPr="00977621">
      <w:rPr>
        <w:bCs/>
      </w:rPr>
      <w:t xml:space="preserve"> </w:t>
    </w:r>
    <w:fldSimple w:instr=" STYLEREF  &quot;Heading 1&quot; ">
      <w:r w:rsidR="00A3211E">
        <w:rPr>
          <w:noProof/>
        </w:rPr>
        <w:t>Summary</w:t>
      </w:r>
    </w:fldSimple>
    <w:r w:rsidR="002D2A2F">
      <w:rPr>
        <w:noProof/>
      </w:rPr>
      <mc:AlternateContent>
        <mc:Choice Requires="wps">
          <w:drawing>
            <wp:anchor distT="0" distB="0" distL="114300" distR="114300" simplePos="0" relativeHeight="251658240" behindDoc="0" locked="1" layoutInCell="1" allowOverlap="1" wp14:anchorId="223BD65A" wp14:editId="2CA39286">
              <wp:simplePos x="0" y="0"/>
              <wp:positionH relativeFrom="column">
                <wp:posOffset>6189345</wp:posOffset>
              </wp:positionH>
              <wp:positionV relativeFrom="margin">
                <wp:posOffset>0</wp:posOffset>
              </wp:positionV>
              <wp:extent cx="683895" cy="7479030"/>
              <wp:effectExtent l="0" t="0" r="0" b="0"/>
              <wp:wrapNone/>
              <wp:docPr id="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BD66B"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3BD65A" id="_x0000_t202" coordsize="21600,21600" o:spt="202" path="m,l,21600r21600,l21600,xe">
              <v:stroke joinstyle="miter"/>
              <v:path gradientshapeok="t" o:connecttype="rect"/>
            </v:shapetype>
            <v:shape id="_x0000_s1042" type="#_x0000_t202" style="position:absolute;left:0;text-align:left;margin-left:487.35pt;margin-top:0;width:53.85pt;height:58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PUuQIAAMI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" filled="f" stroked="f">
              <v:textbox style="layout-flow:vertical">
                <w:txbxContent>
                  <w:p w14:paraId="223BD66B"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6A35F3" w14:textId="4A24B5EF" w:rsidR="002D2A2F" w:rsidRDefault="00A3211E">
    <w:pPr>
      <w:pStyle w:val="Header"/>
    </w:pPr>
    <w:r>
      <w:rPr>
        <w:noProof/>
      </w:rPr>
      <w:pict w14:anchorId="5F5139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61687" o:spid="_x0000_s2082" type="#_x0000_t136" style="position:absolute;margin-left:0;margin-top:0;width:424.65pt;height:254.75pt;rotation:315;z-index:-2516582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F8BA12" w14:textId="4B99ABAB" w:rsidR="002D2A2F" w:rsidRPr="00595095" w:rsidRDefault="009F41E4" w:rsidP="008C6954">
    <w:pPr>
      <w:pStyle w:val="HeaderSection"/>
      <w:jc w:val="right"/>
      <w:rPr>
        <w:sz w:val="22"/>
      </w:rPr>
    </w:pPr>
    <w:fldSimple w:instr=" STYLEREF  &quot;Heading 1&quot; \r  \* MERGEFORMAT ">
      <w:r w:rsidR="00A3211E">
        <w:rPr>
          <w:noProof/>
        </w:rPr>
        <w:t>1</w:t>
      </w:r>
    </w:fldSimple>
    <w:r w:rsidR="002D2A2F" w:rsidRPr="00977621">
      <w:rPr>
        <w:bCs/>
      </w:rPr>
      <w:t xml:space="preserve"> </w:t>
    </w:r>
    <w:fldSimple w:instr=" STYLEREF  &quot;Heading 1&quot; ">
      <w:r w:rsidR="00A3211E">
        <w:rPr>
          <w:noProof/>
        </w:rPr>
        <w:t>Introduction</w:t>
      </w:r>
    </w:fldSimple>
    <w:r w:rsidR="002D2A2F">
      <w:rPr>
        <w:noProof/>
      </w:rPr>
      <mc:AlternateContent>
        <mc:Choice Requires="wps">
          <w:drawing>
            <wp:anchor distT="0" distB="0" distL="114300" distR="114300" simplePos="0" relativeHeight="251658243" behindDoc="0" locked="1" layoutInCell="1" allowOverlap="1" wp14:anchorId="06CDC7EE" wp14:editId="2E0CAEB3">
              <wp:simplePos x="0" y="0"/>
              <wp:positionH relativeFrom="column">
                <wp:posOffset>6189345</wp:posOffset>
              </wp:positionH>
              <wp:positionV relativeFrom="margin">
                <wp:posOffset>0</wp:posOffset>
              </wp:positionV>
              <wp:extent cx="683895" cy="7479030"/>
              <wp:effectExtent l="0" t="0" r="0" b="0"/>
              <wp:wrapNone/>
              <wp:docPr id="2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8A056"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CDC7EE" id="_x0000_t202" coordsize="21600,21600" o:spt="202" path="m,l,21600r21600,l21600,xe">
              <v:stroke joinstyle="miter"/>
              <v:path gradientshapeok="t" o:connecttype="rect"/>
            </v:shapetype>
            <v:shape id="Text Box 6" o:spid="_x0000_s1030" type="#_x0000_t202" style="position:absolute;left:0;text-align:left;margin-left:487.35pt;margin-top:0;width:53.85pt;height:588.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" filled="f" stroked="f">
              <v:textbox style="layout-flow:vertical">
                <w:txbxContent>
                  <w:p w14:paraId="7098A056"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59043" w14:textId="5D16BFA1" w:rsidR="002D2A2F" w:rsidRPr="002A4BED" w:rsidRDefault="002D2A2F" w:rsidP="001F4181">
    <w:pPr>
      <w:pStyle w:val="HeaderSection"/>
    </w:pPr>
    <w:r>
      <w:rPr>
        <w:noProof/>
      </w:rPr>
      <mc:AlternateContent>
        <mc:Choice Requires="wps">
          <w:drawing>
            <wp:anchor distT="0" distB="0" distL="114300" distR="114300" simplePos="0" relativeHeight="251658248" behindDoc="0" locked="1" layoutInCell="1" allowOverlap="1" wp14:anchorId="2DBC48DC" wp14:editId="1A38DFB9">
              <wp:simplePos x="0" y="0"/>
              <wp:positionH relativeFrom="column">
                <wp:posOffset>-774065</wp:posOffset>
              </wp:positionH>
              <wp:positionV relativeFrom="margin">
                <wp:posOffset>0</wp:posOffset>
              </wp:positionV>
              <wp:extent cx="683895" cy="7479030"/>
              <wp:effectExtent l="0" t="0" r="0" b="0"/>
              <wp:wrapNone/>
              <wp:docPr id="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1C9AF" w14:textId="77777777" w:rsidR="002D2A2F" w:rsidRPr="001565E5" w:rsidRDefault="002D2A2F" w:rsidP="002A4BED">
                          <w:pPr>
                            <w:pStyle w:val="HeaderComponent"/>
                            <w:rPr>
                              <w:color w:val="E87521" w:themeColor="accent3"/>
                            </w:rPr>
                          </w:pPr>
                          <w:r w:rsidRPr="001565E5">
                            <w:rPr>
                              <w:color w:val="E87521" w:themeColor="accent3"/>
                            </w:rPr>
                            <w:t>Stage 1: Rapid regional prioritisation</w:t>
                          </w:r>
                        </w:p>
                        <w:p w14:paraId="093307DC" w14:textId="77777777" w:rsidR="002D2A2F" w:rsidRPr="005C0B56" w:rsidRDefault="002D2A2F" w:rsidP="002A4BED">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BC48DC" id="_x0000_t202" coordsize="21600,21600" o:spt="202" path="m,l,21600r21600,l21600,xe">
              <v:stroke joinstyle="miter"/>
              <v:path gradientshapeok="t" o:connecttype="rect"/>
            </v:shapetype>
            <v:shape id="_x0000_s1043" type="#_x0000_t202" style="position:absolute;margin-left:-60.95pt;margin-top:0;width:53.85pt;height:588.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" filled="f" stroked="f">
              <v:textbox style="layout-flow:vertical;mso-layout-flow-alt:bottom-to-top">
                <w:txbxContent>
                  <w:p w14:paraId="16D1C9AF" w14:textId="77777777" w:rsidR="002D2A2F" w:rsidRPr="001565E5" w:rsidRDefault="002D2A2F" w:rsidP="002A4BED">
                    <w:pPr>
                      <w:pStyle w:val="HeaderComponent"/>
                      <w:rPr>
                        <w:color w:val="E87521" w:themeColor="accent3"/>
                      </w:rPr>
                    </w:pPr>
                    <w:r w:rsidRPr="001565E5">
                      <w:rPr>
                        <w:color w:val="E87521" w:themeColor="accent3"/>
                      </w:rPr>
                      <w:t>Stage 1: Rapid regional prioritisation</w:t>
                    </w:r>
                  </w:p>
                  <w:p w14:paraId="093307DC" w14:textId="77777777" w:rsidR="002D2A2F" w:rsidRPr="005C0B56" w:rsidRDefault="002D2A2F" w:rsidP="002A4BED">
                    <w:pPr>
                      <w:pStyle w:val="HeaderComponent"/>
                      <w:rPr>
                        <w:color w:val="0093CD" w:themeColor="accent1"/>
                      </w:rPr>
                    </w:pPr>
                  </w:p>
                </w:txbxContent>
              </v:textbox>
              <w10:wrap anchory="margin"/>
              <w10:anchorlock/>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3F3398" w14:textId="4CC2645F" w:rsidR="002D2A2F" w:rsidRPr="00595095" w:rsidRDefault="002D2A2F" w:rsidP="008C6954">
    <w:pPr>
      <w:pStyle w:val="HeaderSection"/>
      <w:jc w:val="right"/>
      <w:rPr>
        <w:sz w:val="22"/>
      </w:rPr>
    </w:pPr>
    <w:r>
      <w:rPr>
        <w:noProof/>
      </w:rPr>
      <mc:AlternateContent>
        <mc:Choice Requires="wps">
          <w:drawing>
            <wp:anchor distT="0" distB="0" distL="114300" distR="114300" simplePos="0" relativeHeight="251658250" behindDoc="0" locked="1" layoutInCell="1" allowOverlap="1" wp14:anchorId="41AB0657" wp14:editId="12EB79CD">
              <wp:simplePos x="0" y="0"/>
              <wp:positionH relativeFrom="column">
                <wp:posOffset>6189345</wp:posOffset>
              </wp:positionH>
              <wp:positionV relativeFrom="margin">
                <wp:posOffset>0</wp:posOffset>
              </wp:positionV>
              <wp:extent cx="683895" cy="747903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269B9"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B0657" id="_x0000_t202" coordsize="21600,21600" o:spt="202" path="m,l,21600r21600,l21600,xe">
              <v:stroke joinstyle="miter"/>
              <v:path gradientshapeok="t" o:connecttype="rect"/>
            </v:shapetype>
            <v:shape id="_x0000_s1044" type="#_x0000_t202" style="position:absolute;left:0;text-align:left;margin-left:487.35pt;margin-top:0;width:53.85pt;height:588.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K77uQIAAMI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" filled="f" stroked="f">
              <v:textbox style="layout-flow:vertical">
                <w:txbxContent>
                  <w:p w14:paraId="101269B9"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BD642" w14:textId="1A018221" w:rsidR="002D2A2F" w:rsidRPr="000902F6" w:rsidRDefault="002D2A2F" w:rsidP="000902F6">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07081F" w14:textId="25F446B4" w:rsidR="002D2A2F" w:rsidRDefault="00A3211E">
    <w:pPr>
      <w:pStyle w:val="Header"/>
    </w:pPr>
    <w:r>
      <w:rPr>
        <w:noProof/>
      </w:rPr>
      <w:pict w14:anchorId="1D6E27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61692" o:spid="_x0000_s2087" type="#_x0000_t136" style="position:absolute;margin-left:0;margin-top:0;width:424.65pt;height:254.75pt;rotation:315;z-index:-25165822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71983D" w14:textId="00219A3A" w:rsidR="002D2A2F" w:rsidRDefault="00A3211E">
    <w:pPr>
      <w:pStyle w:val="Header"/>
    </w:pPr>
    <w:r>
      <w:rPr>
        <w:noProof/>
      </w:rPr>
      <w:pict w14:anchorId="2BEEB8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61690" o:spid="_x0000_s2085" type="#_x0000_t136" style="position:absolute;margin-left:0;margin-top:0;width:424.65pt;height:254.75pt;rotation:315;z-index:-25165822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4B4D45" w14:textId="77777777" w:rsidR="002D2A2F" w:rsidRDefault="00A3211E">
    <w:pPr>
      <w:pStyle w:val="Header"/>
    </w:pPr>
    <w:r>
      <w:rPr>
        <w:noProof/>
      </w:rPr>
      <w:pict w14:anchorId="42D52A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61672" o:spid="_x0000_s2112" type="#_x0000_t136" style="position:absolute;margin-left:0;margin-top:0;width:424.65pt;height:254.75pt;rotation:315;z-index:-2516582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B9CA6A" w14:textId="3C2D7030" w:rsidR="002D2A2F" w:rsidRPr="00595095" w:rsidRDefault="009F41E4" w:rsidP="008C6954">
    <w:pPr>
      <w:pStyle w:val="HeaderSection"/>
      <w:jc w:val="right"/>
      <w:rPr>
        <w:sz w:val="22"/>
      </w:rPr>
    </w:pPr>
    <w:fldSimple w:instr=" STYLEREF  &quot;Heading 1&quot; \r  \* MERGEFORMAT ">
      <w:r w:rsidR="00A3211E">
        <w:rPr>
          <w:noProof/>
        </w:rPr>
        <w:t>5</w:t>
      </w:r>
    </w:fldSimple>
    <w:r w:rsidR="002D2A2F" w:rsidRPr="00977621">
      <w:rPr>
        <w:bCs/>
      </w:rPr>
      <w:t xml:space="preserve"> </w:t>
    </w:r>
    <w:fldSimple w:instr=" STYLEREF  &quot;Heading 1&quot; ">
      <w:r w:rsidR="00A3211E">
        <w:rPr>
          <w:noProof/>
        </w:rPr>
        <w:t>Rapid regional basin prioritisation</w:t>
      </w:r>
    </w:fldSimple>
    <w:r w:rsidR="002D2A2F">
      <w:rPr>
        <w:noProof/>
      </w:rPr>
      <mc:AlternateContent>
        <mc:Choice Requires="wps">
          <w:drawing>
            <wp:anchor distT="0" distB="0" distL="114300" distR="114300" simplePos="0" relativeHeight="251658264" behindDoc="0" locked="1" layoutInCell="1" allowOverlap="1" wp14:anchorId="5E972DB5" wp14:editId="3796E723">
              <wp:simplePos x="0" y="0"/>
              <wp:positionH relativeFrom="column">
                <wp:posOffset>9272905</wp:posOffset>
              </wp:positionH>
              <wp:positionV relativeFrom="margin">
                <wp:posOffset>0</wp:posOffset>
              </wp:positionV>
              <wp:extent cx="683895" cy="7479030"/>
              <wp:effectExtent l="0" t="0" r="0" b="7620"/>
              <wp:wrapNone/>
              <wp:docPr id="717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83C7E"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972DB5" id="_x0000_t202" coordsize="21600,21600" o:spt="202" path="m,l,21600r21600,l21600,xe">
              <v:stroke joinstyle="miter"/>
              <v:path gradientshapeok="t" o:connecttype="rect"/>
            </v:shapetype>
            <v:shape id="_x0000_s1031" type="#_x0000_t202" style="position:absolute;left:0;text-align:left;margin-left:730.15pt;margin-top:0;width:53.85pt;height:588.9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" filled="f" stroked="f">
              <v:textbox style="layout-flow:vertical">
                <w:txbxContent>
                  <w:p w14:paraId="69183C7E"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9B874F" w14:textId="57C6325A" w:rsidR="002D2A2F" w:rsidRPr="00595095" w:rsidRDefault="009F41E4" w:rsidP="008C6954">
    <w:pPr>
      <w:pStyle w:val="HeaderSection"/>
      <w:jc w:val="right"/>
      <w:rPr>
        <w:sz w:val="22"/>
      </w:rPr>
    </w:pPr>
    <w:fldSimple w:instr=" STYLEREF  &quot;Heading 1&quot; \r  \* MERGEFORMAT ">
      <w:r w:rsidR="00A3211E">
        <w:rPr>
          <w:noProof/>
        </w:rPr>
        <w:t>5</w:t>
      </w:r>
    </w:fldSimple>
    <w:r w:rsidR="002D2A2F" w:rsidRPr="00977621">
      <w:rPr>
        <w:bCs/>
      </w:rPr>
      <w:t xml:space="preserve"> </w:t>
    </w:r>
    <w:fldSimple w:instr=" STYLEREF  &quot;Heading 1&quot; ">
      <w:r w:rsidR="00A3211E">
        <w:rPr>
          <w:noProof/>
        </w:rPr>
        <w:t>Rapid regional basin prioritisation</w:t>
      </w:r>
    </w:fldSimple>
    <w:r w:rsidR="002D2A2F">
      <w:rPr>
        <w:noProof/>
      </w:rPr>
      <mc:AlternateContent>
        <mc:Choice Requires="wps">
          <w:drawing>
            <wp:anchor distT="0" distB="0" distL="114300" distR="114300" simplePos="0" relativeHeight="251658261" behindDoc="0" locked="1" layoutInCell="1" allowOverlap="1" wp14:anchorId="0AA29E18" wp14:editId="332E08F3">
              <wp:simplePos x="0" y="0"/>
              <wp:positionH relativeFrom="column">
                <wp:posOffset>6189345</wp:posOffset>
              </wp:positionH>
              <wp:positionV relativeFrom="margin">
                <wp:posOffset>0</wp:posOffset>
              </wp:positionV>
              <wp:extent cx="683895" cy="7479030"/>
              <wp:effectExtent l="0" t="0" r="0" b="0"/>
              <wp:wrapNone/>
              <wp:docPr id="717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32E8B"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A29E18" id="_x0000_t202" coordsize="21600,21600" o:spt="202" path="m,l,21600r21600,l21600,xe">
              <v:stroke joinstyle="miter"/>
              <v:path gradientshapeok="t" o:connecttype="rect"/>
            </v:shapetype>
            <v:shape id="_x0000_s1032" type="#_x0000_t202" style="position:absolute;left:0;text-align:left;margin-left:487.35pt;margin-top:0;width:53.85pt;height:588.9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fRTugIAAMM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" filled="f" stroked="f">
              <v:textbox style="layout-flow:vertical">
                <w:txbxContent>
                  <w:p w14:paraId="1FA32E8B"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025F3" w14:textId="6700E4D2" w:rsidR="002D2A2F" w:rsidRDefault="009F41E4" w:rsidP="005E0FA1">
    <w:pPr>
      <w:pStyle w:val="HeaderSection"/>
    </w:pPr>
    <w:fldSimple w:instr=" STYLEREF  &quot;Heading 1&quot; \r  \* MERGEFORMAT ">
      <w:r w:rsidR="00A3211E">
        <w:rPr>
          <w:noProof/>
        </w:rPr>
        <w:t>5</w:t>
      </w:r>
    </w:fldSimple>
    <w:r w:rsidR="002D2A2F">
      <w:t xml:space="preserve"> </w:t>
    </w:r>
    <w:fldSimple w:instr=" STYLEREF  &quot;Heading 1&quot; ">
      <w:r w:rsidR="00A3211E">
        <w:rPr>
          <w:noProof/>
        </w:rPr>
        <w:t>Rapid regional basin prioritisation</w:t>
      </w:r>
    </w:fldSimple>
    <w:r w:rsidR="002D2A2F">
      <w:rPr>
        <w:noProof/>
      </w:rPr>
      <mc:AlternateContent>
        <mc:Choice Requires="wps">
          <w:drawing>
            <wp:anchor distT="0" distB="0" distL="114300" distR="114300" simplePos="0" relativeHeight="251658255" behindDoc="0" locked="1" layoutInCell="1" allowOverlap="1" wp14:anchorId="42C3B9F2" wp14:editId="081A26F3">
              <wp:simplePos x="0" y="0"/>
              <wp:positionH relativeFrom="column">
                <wp:posOffset>-774065</wp:posOffset>
              </wp:positionH>
              <wp:positionV relativeFrom="margin">
                <wp:posOffset>0</wp:posOffset>
              </wp:positionV>
              <wp:extent cx="683895" cy="7479030"/>
              <wp:effectExtent l="0" t="0" r="0" b="0"/>
              <wp:wrapNone/>
              <wp:docPr id="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C7782" w14:textId="77777777" w:rsidR="002D2A2F" w:rsidRPr="001565E5" w:rsidRDefault="002D2A2F" w:rsidP="00843A25">
                          <w:pPr>
                            <w:pStyle w:val="HeaderComponent"/>
                            <w:rPr>
                              <w:color w:val="E87521" w:themeColor="accent3"/>
                            </w:rPr>
                          </w:pPr>
                          <w:r w:rsidRPr="001565E5">
                            <w:rPr>
                              <w:color w:val="E87521" w:themeColor="accent3"/>
                            </w:rPr>
                            <w:t>Stage 1: Rapid regional prioritisation</w:t>
                          </w:r>
                        </w:p>
                        <w:p w14:paraId="78417AA2" w14:textId="77777777" w:rsidR="002D2A2F" w:rsidRPr="005C0B56" w:rsidRDefault="002D2A2F" w:rsidP="00843A25">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C3B9F2" id="_x0000_t202" coordsize="21600,21600" o:spt="202" path="m,l,21600r21600,l21600,xe">
              <v:stroke joinstyle="miter"/>
              <v:path gradientshapeok="t" o:connecttype="rect"/>
            </v:shapetype>
            <v:shape id="_x0000_s1033" type="#_x0000_t202" style="position:absolute;margin-left:-60.95pt;margin-top:0;width:53.85pt;height:588.9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5cuwIAAMU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" filled="f" stroked="f">
              <v:textbox style="layout-flow:vertical;mso-layout-flow-alt:bottom-to-top">
                <w:txbxContent>
                  <w:p w14:paraId="2BBC7782" w14:textId="77777777" w:rsidR="002D2A2F" w:rsidRPr="001565E5" w:rsidRDefault="002D2A2F" w:rsidP="00843A25">
                    <w:pPr>
                      <w:pStyle w:val="HeaderComponent"/>
                      <w:rPr>
                        <w:color w:val="E87521" w:themeColor="accent3"/>
                      </w:rPr>
                    </w:pPr>
                    <w:r w:rsidRPr="001565E5">
                      <w:rPr>
                        <w:color w:val="E87521" w:themeColor="accent3"/>
                      </w:rPr>
                      <w:t>Stage 1: Rapid regional prioritisation</w:t>
                    </w:r>
                  </w:p>
                  <w:p w14:paraId="78417AA2" w14:textId="77777777" w:rsidR="002D2A2F" w:rsidRPr="005C0B56" w:rsidRDefault="002D2A2F" w:rsidP="00843A25">
                    <w:pPr>
                      <w:pStyle w:val="HeaderComponent"/>
                      <w:rPr>
                        <w:color w:val="0093CD" w:themeColor="accent1"/>
                      </w:rPr>
                    </w:pPr>
                  </w:p>
                </w:txbxContent>
              </v:textbox>
              <w10:wrap anchory="margin"/>
              <w10:anchorlock/>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CABE6" w14:textId="183C9013" w:rsidR="002D2A2F" w:rsidRPr="00595095" w:rsidRDefault="009F41E4" w:rsidP="008C6954">
    <w:pPr>
      <w:pStyle w:val="HeaderSection"/>
      <w:jc w:val="right"/>
      <w:rPr>
        <w:sz w:val="22"/>
      </w:rPr>
    </w:pPr>
    <w:fldSimple w:instr=" STYLEREF  &quot;Heading 1&quot; \r  \* MERGEFORMAT ">
      <w:r w:rsidR="00A3211E">
        <w:rPr>
          <w:noProof/>
        </w:rPr>
        <w:t>5</w:t>
      </w:r>
    </w:fldSimple>
    <w:r w:rsidR="002D2A2F" w:rsidRPr="00977621">
      <w:rPr>
        <w:bCs/>
      </w:rPr>
      <w:t xml:space="preserve"> </w:t>
    </w:r>
    <w:fldSimple w:instr=" STYLEREF  &quot;Heading 1&quot; ">
      <w:r w:rsidR="00A3211E">
        <w:rPr>
          <w:noProof/>
        </w:rPr>
        <w:t>Rapid regional basin prioritisation</w:t>
      </w:r>
    </w:fldSimple>
    <w:r w:rsidR="002D2A2F">
      <w:rPr>
        <w:noProof/>
      </w:rPr>
      <mc:AlternateContent>
        <mc:Choice Requires="wps">
          <w:drawing>
            <wp:anchor distT="0" distB="0" distL="114300" distR="114300" simplePos="0" relativeHeight="251658244" behindDoc="0" locked="1" layoutInCell="1" allowOverlap="1" wp14:anchorId="666BAC97" wp14:editId="6E54F57E">
              <wp:simplePos x="0" y="0"/>
              <wp:positionH relativeFrom="column">
                <wp:posOffset>9027795</wp:posOffset>
              </wp:positionH>
              <wp:positionV relativeFrom="margin">
                <wp:posOffset>0</wp:posOffset>
              </wp:positionV>
              <wp:extent cx="683895" cy="7479030"/>
              <wp:effectExtent l="0" t="0" r="0" b="7620"/>
              <wp:wrapNone/>
              <wp:docPr id="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C0924"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BAC97" id="_x0000_t202" coordsize="21600,21600" o:spt="202" path="m,l,21600r21600,l21600,xe">
              <v:stroke joinstyle="miter"/>
              <v:path gradientshapeok="t" o:connecttype="rect"/>
            </v:shapetype>
            <v:shape id="_x0000_s1034" type="#_x0000_t202" style="position:absolute;left:0;text-align:left;margin-left:710.85pt;margin-top:0;width:53.85pt;height:588.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DLJuQIAAME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" filled="f" stroked="f">
              <v:textbox style="layout-flow:vertical">
                <w:txbxContent>
                  <w:p w14:paraId="2A4C0924"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64E9BD" w14:textId="77777777" w:rsidR="002D2A2F" w:rsidRDefault="00A3211E">
    <w:pPr>
      <w:pStyle w:val="Header"/>
    </w:pPr>
    <w:r>
      <w:rPr>
        <w:noProof/>
      </w:rPr>
      <w:pict w14:anchorId="49764B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61675" o:spid="_x0000_s2115" type="#_x0000_t136" style="position:absolute;margin-left:0;margin-top:0;width:424.65pt;height:254.75pt;rotation:315;z-index:-25165821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715393" w14:textId="2B3125D0" w:rsidR="002D2A2F" w:rsidRPr="00595095" w:rsidRDefault="009F41E4" w:rsidP="008C6954">
    <w:pPr>
      <w:pStyle w:val="HeaderSection"/>
      <w:jc w:val="right"/>
      <w:rPr>
        <w:sz w:val="22"/>
      </w:rPr>
    </w:pPr>
    <w:fldSimple w:instr=" STYLEREF  &quot;Heading 1&quot; \r  \* MERGEFORMAT ">
      <w:r w:rsidR="00A3211E">
        <w:rPr>
          <w:noProof/>
        </w:rPr>
        <w:t>5</w:t>
      </w:r>
    </w:fldSimple>
    <w:r w:rsidR="002D2A2F" w:rsidRPr="00977621">
      <w:rPr>
        <w:bCs/>
      </w:rPr>
      <w:t xml:space="preserve"> </w:t>
    </w:r>
    <w:fldSimple w:instr=" STYLEREF  &quot;Heading 1&quot; ">
      <w:r w:rsidR="00A3211E">
        <w:rPr>
          <w:noProof/>
        </w:rPr>
        <w:t>Rapid regional basin prioritisation</w:t>
      </w:r>
    </w:fldSimple>
    <w:r w:rsidR="002D2A2F">
      <w:rPr>
        <w:noProof/>
      </w:rPr>
      <mc:AlternateContent>
        <mc:Choice Requires="wps">
          <w:drawing>
            <wp:anchor distT="0" distB="0" distL="114300" distR="114300" simplePos="0" relativeHeight="251658252" behindDoc="0" locked="1" layoutInCell="1" allowOverlap="1" wp14:anchorId="149FF4EA" wp14:editId="4C5ACBF9">
              <wp:simplePos x="0" y="0"/>
              <wp:positionH relativeFrom="column">
                <wp:posOffset>6189345</wp:posOffset>
              </wp:positionH>
              <wp:positionV relativeFrom="margin">
                <wp:posOffset>0</wp:posOffset>
              </wp:positionV>
              <wp:extent cx="684000" cy="7480800"/>
              <wp:effectExtent l="0" t="0" r="0" b="6350"/>
              <wp:wrapNone/>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748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70409"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9FF4EA" id="_x0000_t202" coordsize="21600,21600" o:spt="202" path="m,l,21600r21600,l21600,xe">
              <v:stroke joinstyle="miter"/>
              <v:path gradientshapeok="t" o:connecttype="rect"/>
            </v:shapetype>
            <v:shape id="_x0000_s1035" type="#_x0000_t202" style="position:absolute;left:0;text-align:left;margin-left:487.35pt;margin-top:0;width:53.85pt;height:589.0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" filled="f" stroked="f">
              <v:textbox style="layout-flow:vertical">
                <w:txbxContent>
                  <w:p w14:paraId="14670409" w14:textId="77777777" w:rsidR="002D2A2F" w:rsidRPr="001565E5" w:rsidRDefault="002D2A2F" w:rsidP="005C0B56">
                    <w:pPr>
                      <w:pStyle w:val="HeaderComponent"/>
                      <w:jc w:val="left"/>
                      <w:rPr>
                        <w:color w:val="E87521" w:themeColor="accent3"/>
                      </w:rPr>
                    </w:pPr>
                    <w:r w:rsidRPr="001565E5">
                      <w:rPr>
                        <w:color w:val="E87521" w:themeColor="accent3"/>
                      </w:rPr>
                      <w:t>Stage 1: Rapid regional prioritisation</w:t>
                    </w:r>
                  </w:p>
                </w:txbxContent>
              </v:textbox>
              <w10:wrap anchory="margin"/>
              <w10:anchorlock/>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909E9A70"/>
    <w:lvl w:ilvl="0">
      <w:start w:val="1"/>
      <w:numFmt w:val="decimal"/>
      <w:pStyle w:val="ListNumber5"/>
      <w:lvlText w:val="%1."/>
      <w:lvlJc w:val="left"/>
      <w:pPr>
        <w:tabs>
          <w:tab w:val="num" w:pos="-2478"/>
        </w:tabs>
        <w:ind w:left="-2478"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6" w15:restartNumberingAfterBreak="0">
    <w:nsid w:val="00D62FE1"/>
    <w:multiLevelType w:val="multilevel"/>
    <w:tmpl w:val="A4B8C762"/>
    <w:styleLink w:val="GAAppendices"/>
    <w:lvl w:ilvl="0">
      <w:start w:val="1"/>
      <w:numFmt w:val="upperLetter"/>
      <w:suff w:val="space"/>
      <w:lvlText w:val="Appendix %1"/>
      <w:lvlJc w:val="left"/>
      <w:pPr>
        <w:ind w:left="0" w:firstLine="0"/>
      </w:pPr>
      <w:rPr>
        <w:rFonts w:hint="default"/>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7"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 w15:restartNumberingAfterBreak="0">
    <w:nsid w:val="0207720D"/>
    <w:multiLevelType w:val="multilevel"/>
    <w:tmpl w:val="71DA1A00"/>
    <w:lvl w:ilvl="0">
      <w:start w:val="1"/>
      <w:numFmt w:val="decimal"/>
      <w:pStyle w:val="ListNumberedLevel1"/>
      <w:lvlText w:val="%1."/>
      <w:lvlJc w:val="left"/>
      <w:pPr>
        <w:tabs>
          <w:tab w:val="num" w:pos="312"/>
        </w:tabs>
        <w:ind w:left="312" w:hanging="312"/>
      </w:pPr>
      <w:rPr>
        <w:rFonts w:hint="default"/>
      </w:rPr>
    </w:lvl>
    <w:lvl w:ilvl="1">
      <w:start w:val="1"/>
      <w:numFmt w:val="lowerLetter"/>
      <w:pStyle w:val="ListNumberedLevel2"/>
      <w:lvlText w:val="%2."/>
      <w:lvlJc w:val="left"/>
      <w:pPr>
        <w:tabs>
          <w:tab w:val="num" w:pos="624"/>
        </w:tabs>
        <w:ind w:left="624" w:hanging="312"/>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9" w15:restartNumberingAfterBreak="0">
    <w:nsid w:val="0C217D5B"/>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CF37165"/>
    <w:multiLevelType w:val="hybridMultilevel"/>
    <w:tmpl w:val="FDAEC22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1" w15:restartNumberingAfterBreak="0">
    <w:nsid w:val="133F7D3F"/>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3" w15:restartNumberingAfterBreak="0">
    <w:nsid w:val="1AB36CC1"/>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5" w15:restartNumberingAfterBreak="0">
    <w:nsid w:val="1F71600B"/>
    <w:multiLevelType w:val="multilevel"/>
    <w:tmpl w:val="2CEA796A"/>
    <w:styleLink w:val="GAMultilevelList"/>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6"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45760CD"/>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2B1874B9"/>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31815089"/>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49354B7B"/>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4C3D07FA"/>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3" w15:restartNumberingAfterBreak="0">
    <w:nsid w:val="4EF31659"/>
    <w:multiLevelType w:val="hybridMultilevel"/>
    <w:tmpl w:val="96A010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15:restartNumberingAfterBreak="0">
    <w:nsid w:val="59444BE6"/>
    <w:multiLevelType w:val="multilevel"/>
    <w:tmpl w:val="71C88260"/>
    <w:lvl w:ilvl="0">
      <w:start w:val="1"/>
      <w:numFmt w:val="decimal"/>
      <w:pStyle w:val="Heading1"/>
      <w:lvlText w:val="%1"/>
      <w:lvlJc w:val="left"/>
      <w:pPr>
        <w:ind w:left="6238" w:hanging="2268"/>
      </w:pPr>
      <w:rPr>
        <w:rFonts w:cs="Times New Roman" w:hint="default"/>
        <w:color w:val="146692" w:themeColor="text2"/>
      </w:rPr>
    </w:lvl>
    <w:lvl w:ilvl="1">
      <w:start w:val="1"/>
      <w:numFmt w:val="decimal"/>
      <w:pStyle w:val="Heading2"/>
      <w:lvlText w:val="%1.%2"/>
      <w:lvlJc w:val="left"/>
      <w:pPr>
        <w:ind w:left="1418" w:hanging="1418"/>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pStyle w:val="Heading4"/>
      <w:lvlText w:val="%1.%2.%3.%4"/>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pStyle w:val="Heading5"/>
      <w:lvlText w:val="%1.%2.%3.%4.%5"/>
      <w:lvlJc w:val="left"/>
      <w:pPr>
        <w:ind w:left="1134" w:hanging="1134"/>
      </w:pPr>
      <w:rPr>
        <w:rFonts w:cs="Times New Roman" w:hint="default"/>
        <w:b/>
        <w:bCs w:val="0"/>
        <w:i/>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6" w15:restartNumberingAfterBreak="0">
    <w:nsid w:val="5BE538A6"/>
    <w:multiLevelType w:val="hybridMultilevel"/>
    <w:tmpl w:val="162ABBF6"/>
    <w:lvl w:ilvl="0" w:tplc="0C09000F">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27"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28" w15:restartNumberingAfterBreak="0">
    <w:nsid w:val="66063429"/>
    <w:multiLevelType w:val="multilevel"/>
    <w:tmpl w:val="5A4A4BE2"/>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pStyle w:val="AppendixHeading2"/>
      <w:lvlText w:val="%1.%2"/>
      <w:lvlJc w:val="left"/>
      <w:pPr>
        <w:ind w:left="1134" w:hanging="1134"/>
      </w:pPr>
      <w:rPr>
        <w:rFonts w:hint="default"/>
      </w:rPr>
    </w:lvl>
    <w:lvl w:ilvl="2">
      <w:start w:val="1"/>
      <w:numFmt w:val="decimal"/>
      <w:pStyle w:val="AppendixHeading3"/>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decimal"/>
      <w:pStyle w:val="AppendixHeading5"/>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9"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30" w15:restartNumberingAfterBreak="0">
    <w:nsid w:val="6FA31F47"/>
    <w:multiLevelType w:val="multilevel"/>
    <w:tmpl w:val="AEEAD722"/>
    <w:lvl w:ilvl="0">
      <w:start w:val="1"/>
      <w:numFmt w:val="bullet"/>
      <w:pStyle w:val="TableTextBulletL1"/>
      <w:lvlText w:val=""/>
      <w:lvlJc w:val="left"/>
      <w:pPr>
        <w:tabs>
          <w:tab w:val="num" w:pos="170"/>
        </w:tabs>
        <w:ind w:left="170" w:hanging="170"/>
      </w:pPr>
      <w:rPr>
        <w:rFonts w:ascii="Symbol" w:hAnsi="Symbol" w:hint="default"/>
        <w:sz w:val="16"/>
      </w:rPr>
    </w:lvl>
    <w:lvl w:ilvl="1">
      <w:start w:val="1"/>
      <w:numFmt w:val="bullet"/>
      <w:pStyle w:val="TableTextBulletL2"/>
      <w:lvlText w:val="-"/>
      <w:lvlJc w:val="left"/>
      <w:pPr>
        <w:tabs>
          <w:tab w:val="num" w:pos="340"/>
        </w:tabs>
        <w:ind w:left="340" w:hanging="17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71C44E81"/>
    <w:multiLevelType w:val="hybridMultilevel"/>
    <w:tmpl w:val="0D364038"/>
    <w:lvl w:ilvl="0" w:tplc="46CED8A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6"/>
  </w:num>
  <w:num w:numId="5">
    <w:abstractNumId w:val="25"/>
  </w:num>
  <w:num w:numId="6">
    <w:abstractNumId w:val="28"/>
  </w:num>
  <w:num w:numId="7">
    <w:abstractNumId w:val="7"/>
  </w:num>
  <w:num w:numId="8">
    <w:abstractNumId w:val="27"/>
  </w:num>
  <w:num w:numId="9">
    <w:abstractNumId w:val="14"/>
  </w:num>
  <w:num w:numId="10">
    <w:abstractNumId w:val="1"/>
  </w:num>
  <w:num w:numId="11">
    <w:abstractNumId w:val="0"/>
  </w:num>
  <w:num w:numId="12">
    <w:abstractNumId w:val="26"/>
  </w:num>
  <w:num w:numId="13">
    <w:abstractNumId w:val="29"/>
  </w:num>
  <w:num w:numId="14">
    <w:abstractNumId w:val="5"/>
  </w:num>
  <w:num w:numId="15">
    <w:abstractNumId w:val="22"/>
  </w:num>
  <w:num w:numId="16">
    <w:abstractNumId w:val="12"/>
  </w:num>
  <w:num w:numId="17">
    <w:abstractNumId w:val="24"/>
  </w:num>
  <w:num w:numId="18">
    <w:abstractNumId w:val="15"/>
  </w:num>
  <w:num w:numId="19">
    <w:abstractNumId w:val="6"/>
  </w:num>
  <w:num w:numId="20">
    <w:abstractNumId w:val="8"/>
  </w:num>
  <w:num w:numId="21">
    <w:abstractNumId w:val="30"/>
  </w:num>
  <w:num w:numId="22">
    <w:abstractNumId w:val="31"/>
  </w:num>
  <w:num w:numId="23">
    <w:abstractNumId w:val="9"/>
  </w:num>
  <w:num w:numId="24">
    <w:abstractNumId w:val="13"/>
  </w:num>
  <w:num w:numId="25">
    <w:abstractNumId w:val="20"/>
  </w:num>
  <w:num w:numId="26">
    <w:abstractNumId w:val="19"/>
  </w:num>
  <w:num w:numId="27">
    <w:abstractNumId w:val="11"/>
  </w:num>
  <w:num w:numId="28">
    <w:abstractNumId w:val="23"/>
  </w:num>
  <w:num w:numId="29">
    <w:abstractNumId w:val="21"/>
  </w:num>
  <w:num w:numId="30">
    <w:abstractNumId w:val="18"/>
  </w:num>
  <w:num w:numId="31">
    <w:abstractNumId w:val="17"/>
  </w:num>
  <w:num w:numId="32">
    <w:abstractNumId w:val="1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4704" w:allStyles="0" w:customStyles="0" w:latentStyles="1" w:stylesInUse="0" w:headingStyles="0" w:numberingStyles="0" w:tableStyles="0" w:directFormattingOnRuns="1" w:directFormattingOnParagraphs="1" w:directFormattingOnNumbering="1" w:directFormattingOnTables="0" w:clearFormatting="0" w:top3HeadingStyles="0" w:visibleStyles="1" w:alternateStyleNames="0"/>
  <w:defaultTabStop w:val="720"/>
  <w:evenAndOddHeaders/>
  <w:drawingGridHorizontalSpacing w:val="120"/>
  <w:displayHorizontalDrawingGridEvery w:val="2"/>
  <w:characterSpacingControl w:val="doNotCompress"/>
  <w:hdrShapeDefaults>
    <o:shapedefaults v:ext="edit" spidmax="2122" style="mso-position-horizontal-relative:margin;mso-position-vertical-relative:margin" fillcolor="white" stroke="f">
      <v:fill color="white" size="0,0" aspect="atLeast" origin="-32767f,-32767f" position="-32767f,-32767f" type="frame"/>
      <v:stroke on="f"/>
      <o:colormru v:ext="edit" colors="#ddd,#f8f8f8"/>
    </o:shapedefaults>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1BD"/>
    <w:rsid w:val="00000EEA"/>
    <w:rsid w:val="00001864"/>
    <w:rsid w:val="00002256"/>
    <w:rsid w:val="00002AA7"/>
    <w:rsid w:val="000031E1"/>
    <w:rsid w:val="00007B81"/>
    <w:rsid w:val="000109B6"/>
    <w:rsid w:val="00010D85"/>
    <w:rsid w:val="00011FC6"/>
    <w:rsid w:val="000126EB"/>
    <w:rsid w:val="00012858"/>
    <w:rsid w:val="00015E82"/>
    <w:rsid w:val="00016926"/>
    <w:rsid w:val="000171D1"/>
    <w:rsid w:val="0001775B"/>
    <w:rsid w:val="0002185E"/>
    <w:rsid w:val="00022AC3"/>
    <w:rsid w:val="00022CFC"/>
    <w:rsid w:val="00024CD8"/>
    <w:rsid w:val="00024F6E"/>
    <w:rsid w:val="00025FD5"/>
    <w:rsid w:val="0002686D"/>
    <w:rsid w:val="00030A53"/>
    <w:rsid w:val="000316D4"/>
    <w:rsid w:val="0003217B"/>
    <w:rsid w:val="000321E0"/>
    <w:rsid w:val="00032C10"/>
    <w:rsid w:val="000331D4"/>
    <w:rsid w:val="000426C5"/>
    <w:rsid w:val="00042A1A"/>
    <w:rsid w:val="00043876"/>
    <w:rsid w:val="000443E1"/>
    <w:rsid w:val="00046533"/>
    <w:rsid w:val="0005048B"/>
    <w:rsid w:val="00050FCF"/>
    <w:rsid w:val="00051219"/>
    <w:rsid w:val="00051456"/>
    <w:rsid w:val="00051BC3"/>
    <w:rsid w:val="0005226F"/>
    <w:rsid w:val="00052807"/>
    <w:rsid w:val="0005371F"/>
    <w:rsid w:val="00053E83"/>
    <w:rsid w:val="00056D3C"/>
    <w:rsid w:val="00056FD0"/>
    <w:rsid w:val="00063CD9"/>
    <w:rsid w:val="00064612"/>
    <w:rsid w:val="000656D6"/>
    <w:rsid w:val="00065AE6"/>
    <w:rsid w:val="000667A4"/>
    <w:rsid w:val="000731D9"/>
    <w:rsid w:val="00073BED"/>
    <w:rsid w:val="00074254"/>
    <w:rsid w:val="00074612"/>
    <w:rsid w:val="00074CDA"/>
    <w:rsid w:val="00074DC9"/>
    <w:rsid w:val="00074DFE"/>
    <w:rsid w:val="00075774"/>
    <w:rsid w:val="00075B0B"/>
    <w:rsid w:val="000811F5"/>
    <w:rsid w:val="000815C2"/>
    <w:rsid w:val="00083CBE"/>
    <w:rsid w:val="00083FBD"/>
    <w:rsid w:val="00085BED"/>
    <w:rsid w:val="00085CB9"/>
    <w:rsid w:val="00085DC0"/>
    <w:rsid w:val="00087ADA"/>
    <w:rsid w:val="00087E50"/>
    <w:rsid w:val="000902F6"/>
    <w:rsid w:val="00091715"/>
    <w:rsid w:val="00091EC9"/>
    <w:rsid w:val="0009451D"/>
    <w:rsid w:val="00094EE1"/>
    <w:rsid w:val="000979AD"/>
    <w:rsid w:val="000A0052"/>
    <w:rsid w:val="000A0567"/>
    <w:rsid w:val="000A09E4"/>
    <w:rsid w:val="000A0A6D"/>
    <w:rsid w:val="000A1464"/>
    <w:rsid w:val="000A5E40"/>
    <w:rsid w:val="000A6F40"/>
    <w:rsid w:val="000A76D3"/>
    <w:rsid w:val="000A7C31"/>
    <w:rsid w:val="000B067E"/>
    <w:rsid w:val="000B0A3D"/>
    <w:rsid w:val="000B1470"/>
    <w:rsid w:val="000B3486"/>
    <w:rsid w:val="000B3B62"/>
    <w:rsid w:val="000C02C0"/>
    <w:rsid w:val="000C055A"/>
    <w:rsid w:val="000C05F1"/>
    <w:rsid w:val="000C0940"/>
    <w:rsid w:val="000C0E41"/>
    <w:rsid w:val="000C2208"/>
    <w:rsid w:val="000C22F9"/>
    <w:rsid w:val="000C32BC"/>
    <w:rsid w:val="000C4051"/>
    <w:rsid w:val="000C45FA"/>
    <w:rsid w:val="000C5523"/>
    <w:rsid w:val="000C61C0"/>
    <w:rsid w:val="000C64CC"/>
    <w:rsid w:val="000C79AA"/>
    <w:rsid w:val="000C7D15"/>
    <w:rsid w:val="000D0298"/>
    <w:rsid w:val="000D19DE"/>
    <w:rsid w:val="000D1D8E"/>
    <w:rsid w:val="000D279E"/>
    <w:rsid w:val="000D3C89"/>
    <w:rsid w:val="000D436B"/>
    <w:rsid w:val="000D63D2"/>
    <w:rsid w:val="000D6D2F"/>
    <w:rsid w:val="000E1CF3"/>
    <w:rsid w:val="000E21C7"/>
    <w:rsid w:val="000E2422"/>
    <w:rsid w:val="000E249E"/>
    <w:rsid w:val="000E32E5"/>
    <w:rsid w:val="000E504C"/>
    <w:rsid w:val="000E599F"/>
    <w:rsid w:val="000E7656"/>
    <w:rsid w:val="000F047C"/>
    <w:rsid w:val="000F04B5"/>
    <w:rsid w:val="000F1264"/>
    <w:rsid w:val="000F1EC3"/>
    <w:rsid w:val="000F1FE4"/>
    <w:rsid w:val="000F29BA"/>
    <w:rsid w:val="000F3B30"/>
    <w:rsid w:val="000F6D27"/>
    <w:rsid w:val="00101621"/>
    <w:rsid w:val="00101A2A"/>
    <w:rsid w:val="0010474E"/>
    <w:rsid w:val="00104FBD"/>
    <w:rsid w:val="001067F0"/>
    <w:rsid w:val="001068F9"/>
    <w:rsid w:val="001074BE"/>
    <w:rsid w:val="001100D4"/>
    <w:rsid w:val="0011064F"/>
    <w:rsid w:val="001107E1"/>
    <w:rsid w:val="001116CC"/>
    <w:rsid w:val="0011346D"/>
    <w:rsid w:val="00113810"/>
    <w:rsid w:val="0011470B"/>
    <w:rsid w:val="00114B30"/>
    <w:rsid w:val="00114F91"/>
    <w:rsid w:val="00116331"/>
    <w:rsid w:val="00116C3E"/>
    <w:rsid w:val="00117E59"/>
    <w:rsid w:val="0012201E"/>
    <w:rsid w:val="001235BB"/>
    <w:rsid w:val="001236E1"/>
    <w:rsid w:val="00123BCC"/>
    <w:rsid w:val="00123FD7"/>
    <w:rsid w:val="001249CC"/>
    <w:rsid w:val="00124B05"/>
    <w:rsid w:val="00125986"/>
    <w:rsid w:val="00125ECC"/>
    <w:rsid w:val="0012745E"/>
    <w:rsid w:val="00127F80"/>
    <w:rsid w:val="0013089B"/>
    <w:rsid w:val="00131AA6"/>
    <w:rsid w:val="001325C4"/>
    <w:rsid w:val="00132AFF"/>
    <w:rsid w:val="00132F76"/>
    <w:rsid w:val="0013384F"/>
    <w:rsid w:val="0013472C"/>
    <w:rsid w:val="00134D6E"/>
    <w:rsid w:val="00134FC3"/>
    <w:rsid w:val="001359B2"/>
    <w:rsid w:val="001362D8"/>
    <w:rsid w:val="00136B7F"/>
    <w:rsid w:val="00141447"/>
    <w:rsid w:val="00141D5A"/>
    <w:rsid w:val="001434AC"/>
    <w:rsid w:val="00144EAD"/>
    <w:rsid w:val="00145160"/>
    <w:rsid w:val="001474C2"/>
    <w:rsid w:val="00152753"/>
    <w:rsid w:val="001530D7"/>
    <w:rsid w:val="00154168"/>
    <w:rsid w:val="0015605C"/>
    <w:rsid w:val="001565E5"/>
    <w:rsid w:val="00156E55"/>
    <w:rsid w:val="00157AAE"/>
    <w:rsid w:val="001600FD"/>
    <w:rsid w:val="0016026E"/>
    <w:rsid w:val="0016051B"/>
    <w:rsid w:val="00160FE3"/>
    <w:rsid w:val="00161BB6"/>
    <w:rsid w:val="0016383A"/>
    <w:rsid w:val="001672A6"/>
    <w:rsid w:val="00167626"/>
    <w:rsid w:val="0016786D"/>
    <w:rsid w:val="001706FA"/>
    <w:rsid w:val="001708B3"/>
    <w:rsid w:val="0017119F"/>
    <w:rsid w:val="00173C4D"/>
    <w:rsid w:val="001741F6"/>
    <w:rsid w:val="00174635"/>
    <w:rsid w:val="00174A49"/>
    <w:rsid w:val="001750A9"/>
    <w:rsid w:val="00175388"/>
    <w:rsid w:val="00175C32"/>
    <w:rsid w:val="00176856"/>
    <w:rsid w:val="00177270"/>
    <w:rsid w:val="001772D6"/>
    <w:rsid w:val="00177C73"/>
    <w:rsid w:val="00180676"/>
    <w:rsid w:val="00183B38"/>
    <w:rsid w:val="001901B1"/>
    <w:rsid w:val="001902E2"/>
    <w:rsid w:val="00190E0B"/>
    <w:rsid w:val="001924EC"/>
    <w:rsid w:val="00192E59"/>
    <w:rsid w:val="00193162"/>
    <w:rsid w:val="00193F5D"/>
    <w:rsid w:val="00194542"/>
    <w:rsid w:val="00195301"/>
    <w:rsid w:val="00196146"/>
    <w:rsid w:val="00196DF6"/>
    <w:rsid w:val="001A1020"/>
    <w:rsid w:val="001A17F7"/>
    <w:rsid w:val="001A246A"/>
    <w:rsid w:val="001A5533"/>
    <w:rsid w:val="001B00A0"/>
    <w:rsid w:val="001B054B"/>
    <w:rsid w:val="001B1B07"/>
    <w:rsid w:val="001B1E72"/>
    <w:rsid w:val="001B23ED"/>
    <w:rsid w:val="001B34DE"/>
    <w:rsid w:val="001B3EB2"/>
    <w:rsid w:val="001B5F4B"/>
    <w:rsid w:val="001B691A"/>
    <w:rsid w:val="001B6CB5"/>
    <w:rsid w:val="001B7447"/>
    <w:rsid w:val="001B79DA"/>
    <w:rsid w:val="001B7BF3"/>
    <w:rsid w:val="001C07F5"/>
    <w:rsid w:val="001C3137"/>
    <w:rsid w:val="001C3950"/>
    <w:rsid w:val="001C3E08"/>
    <w:rsid w:val="001C4272"/>
    <w:rsid w:val="001C537A"/>
    <w:rsid w:val="001C540A"/>
    <w:rsid w:val="001C5606"/>
    <w:rsid w:val="001C5CA5"/>
    <w:rsid w:val="001C6336"/>
    <w:rsid w:val="001C663B"/>
    <w:rsid w:val="001D1412"/>
    <w:rsid w:val="001D2737"/>
    <w:rsid w:val="001D36DC"/>
    <w:rsid w:val="001D3BB0"/>
    <w:rsid w:val="001D4D59"/>
    <w:rsid w:val="001D6E0E"/>
    <w:rsid w:val="001D712F"/>
    <w:rsid w:val="001D713C"/>
    <w:rsid w:val="001E0B4B"/>
    <w:rsid w:val="001E0EFE"/>
    <w:rsid w:val="001E13C9"/>
    <w:rsid w:val="001E1604"/>
    <w:rsid w:val="001E174C"/>
    <w:rsid w:val="001E2D97"/>
    <w:rsid w:val="001E2DAE"/>
    <w:rsid w:val="001E30E8"/>
    <w:rsid w:val="001E4C59"/>
    <w:rsid w:val="001E531C"/>
    <w:rsid w:val="001E66BE"/>
    <w:rsid w:val="001F0513"/>
    <w:rsid w:val="001F05B8"/>
    <w:rsid w:val="001F1582"/>
    <w:rsid w:val="001F2978"/>
    <w:rsid w:val="001F3174"/>
    <w:rsid w:val="001F4181"/>
    <w:rsid w:val="001F454E"/>
    <w:rsid w:val="0020034E"/>
    <w:rsid w:val="00201C06"/>
    <w:rsid w:val="00204B9B"/>
    <w:rsid w:val="002051DE"/>
    <w:rsid w:val="00207117"/>
    <w:rsid w:val="002077EE"/>
    <w:rsid w:val="002101A4"/>
    <w:rsid w:val="00210610"/>
    <w:rsid w:val="002109F9"/>
    <w:rsid w:val="00210B69"/>
    <w:rsid w:val="00211415"/>
    <w:rsid w:val="00212944"/>
    <w:rsid w:val="002137D2"/>
    <w:rsid w:val="00214440"/>
    <w:rsid w:val="00215132"/>
    <w:rsid w:val="002154A2"/>
    <w:rsid w:val="002156C8"/>
    <w:rsid w:val="00221A8F"/>
    <w:rsid w:val="00221D5A"/>
    <w:rsid w:val="0022229D"/>
    <w:rsid w:val="0022431B"/>
    <w:rsid w:val="002254A0"/>
    <w:rsid w:val="002256CA"/>
    <w:rsid w:val="002274F9"/>
    <w:rsid w:val="00227DF6"/>
    <w:rsid w:val="00231316"/>
    <w:rsid w:val="00232334"/>
    <w:rsid w:val="00232B56"/>
    <w:rsid w:val="00234A48"/>
    <w:rsid w:val="00237DB0"/>
    <w:rsid w:val="002406DF"/>
    <w:rsid w:val="00240E1E"/>
    <w:rsid w:val="002418DA"/>
    <w:rsid w:val="00241BAC"/>
    <w:rsid w:val="00241C1A"/>
    <w:rsid w:val="002421F2"/>
    <w:rsid w:val="00243A91"/>
    <w:rsid w:val="00245268"/>
    <w:rsid w:val="00245499"/>
    <w:rsid w:val="00245DB8"/>
    <w:rsid w:val="002462CA"/>
    <w:rsid w:val="002467EB"/>
    <w:rsid w:val="00250F87"/>
    <w:rsid w:val="00251416"/>
    <w:rsid w:val="0025177C"/>
    <w:rsid w:val="00251DDE"/>
    <w:rsid w:val="0025295D"/>
    <w:rsid w:val="00252CBB"/>
    <w:rsid w:val="002544ED"/>
    <w:rsid w:val="00255726"/>
    <w:rsid w:val="00257104"/>
    <w:rsid w:val="00257641"/>
    <w:rsid w:val="002579B2"/>
    <w:rsid w:val="00260CC9"/>
    <w:rsid w:val="00263A58"/>
    <w:rsid w:val="00265B73"/>
    <w:rsid w:val="00266200"/>
    <w:rsid w:val="00267364"/>
    <w:rsid w:val="0026739B"/>
    <w:rsid w:val="00270090"/>
    <w:rsid w:val="002706B7"/>
    <w:rsid w:val="00271D18"/>
    <w:rsid w:val="002723BB"/>
    <w:rsid w:val="00273A31"/>
    <w:rsid w:val="0027445F"/>
    <w:rsid w:val="00274483"/>
    <w:rsid w:val="002747DB"/>
    <w:rsid w:val="00274DF1"/>
    <w:rsid w:val="00274FEA"/>
    <w:rsid w:val="002768B6"/>
    <w:rsid w:val="00276E3E"/>
    <w:rsid w:val="00277240"/>
    <w:rsid w:val="00277610"/>
    <w:rsid w:val="00277A23"/>
    <w:rsid w:val="00280214"/>
    <w:rsid w:val="00280E4B"/>
    <w:rsid w:val="0028129E"/>
    <w:rsid w:val="00281BB0"/>
    <w:rsid w:val="0028520A"/>
    <w:rsid w:val="002852DB"/>
    <w:rsid w:val="00285F27"/>
    <w:rsid w:val="00287FBB"/>
    <w:rsid w:val="0029026E"/>
    <w:rsid w:val="002919AD"/>
    <w:rsid w:val="00293603"/>
    <w:rsid w:val="0029371B"/>
    <w:rsid w:val="00293EB0"/>
    <w:rsid w:val="00294C37"/>
    <w:rsid w:val="0029551E"/>
    <w:rsid w:val="002955B6"/>
    <w:rsid w:val="00295D01"/>
    <w:rsid w:val="00296871"/>
    <w:rsid w:val="002A16C6"/>
    <w:rsid w:val="002A3C26"/>
    <w:rsid w:val="002A47DB"/>
    <w:rsid w:val="002A4BED"/>
    <w:rsid w:val="002A5569"/>
    <w:rsid w:val="002A5A18"/>
    <w:rsid w:val="002A5D8F"/>
    <w:rsid w:val="002A658F"/>
    <w:rsid w:val="002B3DAF"/>
    <w:rsid w:val="002B3E6E"/>
    <w:rsid w:val="002B4524"/>
    <w:rsid w:val="002B60A9"/>
    <w:rsid w:val="002B6B0A"/>
    <w:rsid w:val="002C29BA"/>
    <w:rsid w:val="002C2CDB"/>
    <w:rsid w:val="002C54A6"/>
    <w:rsid w:val="002C566C"/>
    <w:rsid w:val="002C70FF"/>
    <w:rsid w:val="002C76F9"/>
    <w:rsid w:val="002D150E"/>
    <w:rsid w:val="002D19CD"/>
    <w:rsid w:val="002D1B9B"/>
    <w:rsid w:val="002D229B"/>
    <w:rsid w:val="002D2A2F"/>
    <w:rsid w:val="002D31FD"/>
    <w:rsid w:val="002D688F"/>
    <w:rsid w:val="002E00BA"/>
    <w:rsid w:val="002E08A4"/>
    <w:rsid w:val="002E0C1E"/>
    <w:rsid w:val="002E2F60"/>
    <w:rsid w:val="002E3B33"/>
    <w:rsid w:val="002E3BB0"/>
    <w:rsid w:val="002E523A"/>
    <w:rsid w:val="002E5728"/>
    <w:rsid w:val="002E5BB6"/>
    <w:rsid w:val="002E5C80"/>
    <w:rsid w:val="002E6619"/>
    <w:rsid w:val="002E7AB1"/>
    <w:rsid w:val="002E7DC9"/>
    <w:rsid w:val="002F0071"/>
    <w:rsid w:val="002F0444"/>
    <w:rsid w:val="002F06CC"/>
    <w:rsid w:val="002F498E"/>
    <w:rsid w:val="002F5445"/>
    <w:rsid w:val="002F5550"/>
    <w:rsid w:val="002F5B51"/>
    <w:rsid w:val="002F6563"/>
    <w:rsid w:val="002F7A19"/>
    <w:rsid w:val="00300A4C"/>
    <w:rsid w:val="00301954"/>
    <w:rsid w:val="00301C5C"/>
    <w:rsid w:val="003036A2"/>
    <w:rsid w:val="003053C7"/>
    <w:rsid w:val="003059EB"/>
    <w:rsid w:val="00306A4B"/>
    <w:rsid w:val="00307B3C"/>
    <w:rsid w:val="003102D0"/>
    <w:rsid w:val="00310421"/>
    <w:rsid w:val="003121DB"/>
    <w:rsid w:val="003122E7"/>
    <w:rsid w:val="003139EB"/>
    <w:rsid w:val="00313CAE"/>
    <w:rsid w:val="0031605A"/>
    <w:rsid w:val="0031689E"/>
    <w:rsid w:val="00317DBC"/>
    <w:rsid w:val="003203D2"/>
    <w:rsid w:val="003205B5"/>
    <w:rsid w:val="003209A7"/>
    <w:rsid w:val="00321113"/>
    <w:rsid w:val="00322BA1"/>
    <w:rsid w:val="00325A6D"/>
    <w:rsid w:val="0032662F"/>
    <w:rsid w:val="00326A36"/>
    <w:rsid w:val="00327466"/>
    <w:rsid w:val="0032796C"/>
    <w:rsid w:val="00330372"/>
    <w:rsid w:val="00331731"/>
    <w:rsid w:val="00333EED"/>
    <w:rsid w:val="0033445C"/>
    <w:rsid w:val="0033551F"/>
    <w:rsid w:val="00335AA8"/>
    <w:rsid w:val="00335D70"/>
    <w:rsid w:val="00340806"/>
    <w:rsid w:val="00341DC0"/>
    <w:rsid w:val="00341FFE"/>
    <w:rsid w:val="003421BE"/>
    <w:rsid w:val="003425BE"/>
    <w:rsid w:val="00343A2B"/>
    <w:rsid w:val="00343AAF"/>
    <w:rsid w:val="003450A8"/>
    <w:rsid w:val="003450C4"/>
    <w:rsid w:val="003461B2"/>
    <w:rsid w:val="00350E07"/>
    <w:rsid w:val="003519E1"/>
    <w:rsid w:val="00352411"/>
    <w:rsid w:val="00352D46"/>
    <w:rsid w:val="00353F52"/>
    <w:rsid w:val="003546C8"/>
    <w:rsid w:val="00355B43"/>
    <w:rsid w:val="0035663E"/>
    <w:rsid w:val="00356B4D"/>
    <w:rsid w:val="00356F92"/>
    <w:rsid w:val="00357251"/>
    <w:rsid w:val="003579A8"/>
    <w:rsid w:val="00357F24"/>
    <w:rsid w:val="00361EE2"/>
    <w:rsid w:val="0036279F"/>
    <w:rsid w:val="0036319D"/>
    <w:rsid w:val="003640CF"/>
    <w:rsid w:val="00365184"/>
    <w:rsid w:val="00365EB3"/>
    <w:rsid w:val="00366F81"/>
    <w:rsid w:val="00373A49"/>
    <w:rsid w:val="00373E92"/>
    <w:rsid w:val="003744F9"/>
    <w:rsid w:val="00374A47"/>
    <w:rsid w:val="00380096"/>
    <w:rsid w:val="00383ADF"/>
    <w:rsid w:val="00385363"/>
    <w:rsid w:val="003858AF"/>
    <w:rsid w:val="00386D56"/>
    <w:rsid w:val="00387974"/>
    <w:rsid w:val="00390015"/>
    <w:rsid w:val="0039122C"/>
    <w:rsid w:val="00392004"/>
    <w:rsid w:val="00392628"/>
    <w:rsid w:val="0039270B"/>
    <w:rsid w:val="003928F8"/>
    <w:rsid w:val="00393800"/>
    <w:rsid w:val="00393E73"/>
    <w:rsid w:val="00395EF5"/>
    <w:rsid w:val="00397285"/>
    <w:rsid w:val="0039729E"/>
    <w:rsid w:val="003A15C6"/>
    <w:rsid w:val="003A17A2"/>
    <w:rsid w:val="003A2E9A"/>
    <w:rsid w:val="003A2FF2"/>
    <w:rsid w:val="003A3052"/>
    <w:rsid w:val="003A323E"/>
    <w:rsid w:val="003A3919"/>
    <w:rsid w:val="003A476E"/>
    <w:rsid w:val="003A49B6"/>
    <w:rsid w:val="003A4AF4"/>
    <w:rsid w:val="003A4C4D"/>
    <w:rsid w:val="003A55B9"/>
    <w:rsid w:val="003A5A58"/>
    <w:rsid w:val="003A617A"/>
    <w:rsid w:val="003A647C"/>
    <w:rsid w:val="003A710E"/>
    <w:rsid w:val="003B1238"/>
    <w:rsid w:val="003B1A79"/>
    <w:rsid w:val="003B1D05"/>
    <w:rsid w:val="003B261B"/>
    <w:rsid w:val="003B4380"/>
    <w:rsid w:val="003B58A6"/>
    <w:rsid w:val="003C3782"/>
    <w:rsid w:val="003C40B6"/>
    <w:rsid w:val="003C6774"/>
    <w:rsid w:val="003C72DC"/>
    <w:rsid w:val="003D26A3"/>
    <w:rsid w:val="003D2AEC"/>
    <w:rsid w:val="003D4D83"/>
    <w:rsid w:val="003D4F86"/>
    <w:rsid w:val="003D62C9"/>
    <w:rsid w:val="003D641F"/>
    <w:rsid w:val="003D6565"/>
    <w:rsid w:val="003D73F5"/>
    <w:rsid w:val="003D7758"/>
    <w:rsid w:val="003D778D"/>
    <w:rsid w:val="003E0759"/>
    <w:rsid w:val="003E0F70"/>
    <w:rsid w:val="003E105B"/>
    <w:rsid w:val="003E135D"/>
    <w:rsid w:val="003E1EA3"/>
    <w:rsid w:val="003E27E2"/>
    <w:rsid w:val="003E3972"/>
    <w:rsid w:val="003E6D7E"/>
    <w:rsid w:val="003E7359"/>
    <w:rsid w:val="003E74F8"/>
    <w:rsid w:val="003E77C3"/>
    <w:rsid w:val="003F061A"/>
    <w:rsid w:val="003F1806"/>
    <w:rsid w:val="003F1FBD"/>
    <w:rsid w:val="003F29CE"/>
    <w:rsid w:val="003F41A9"/>
    <w:rsid w:val="003F49B6"/>
    <w:rsid w:val="003F5C0F"/>
    <w:rsid w:val="003F5D80"/>
    <w:rsid w:val="003F6938"/>
    <w:rsid w:val="003F6D03"/>
    <w:rsid w:val="003F6EAD"/>
    <w:rsid w:val="0040108B"/>
    <w:rsid w:val="0040116D"/>
    <w:rsid w:val="00401C9F"/>
    <w:rsid w:val="0040389D"/>
    <w:rsid w:val="00404F8C"/>
    <w:rsid w:val="004066A6"/>
    <w:rsid w:val="00406CFE"/>
    <w:rsid w:val="00406D8C"/>
    <w:rsid w:val="004070AA"/>
    <w:rsid w:val="004079EA"/>
    <w:rsid w:val="00410CB7"/>
    <w:rsid w:val="00411649"/>
    <w:rsid w:val="00411FA7"/>
    <w:rsid w:val="00412553"/>
    <w:rsid w:val="004134DD"/>
    <w:rsid w:val="004145A3"/>
    <w:rsid w:val="00414C80"/>
    <w:rsid w:val="0041517D"/>
    <w:rsid w:val="00416D62"/>
    <w:rsid w:val="00416DF7"/>
    <w:rsid w:val="00420CC0"/>
    <w:rsid w:val="00423679"/>
    <w:rsid w:val="00424289"/>
    <w:rsid w:val="00424552"/>
    <w:rsid w:val="00424719"/>
    <w:rsid w:val="00424E36"/>
    <w:rsid w:val="00425B20"/>
    <w:rsid w:val="00426140"/>
    <w:rsid w:val="004263C8"/>
    <w:rsid w:val="00426547"/>
    <w:rsid w:val="00426E97"/>
    <w:rsid w:val="00431BF0"/>
    <w:rsid w:val="00432D5D"/>
    <w:rsid w:val="00432EB2"/>
    <w:rsid w:val="004340F4"/>
    <w:rsid w:val="004362E3"/>
    <w:rsid w:val="00437476"/>
    <w:rsid w:val="00437CBE"/>
    <w:rsid w:val="00440CFE"/>
    <w:rsid w:val="00441D99"/>
    <w:rsid w:val="0044212D"/>
    <w:rsid w:val="0044257E"/>
    <w:rsid w:val="0044417C"/>
    <w:rsid w:val="00444967"/>
    <w:rsid w:val="00444BDC"/>
    <w:rsid w:val="00444D4A"/>
    <w:rsid w:val="00444E85"/>
    <w:rsid w:val="004459B1"/>
    <w:rsid w:val="00445E07"/>
    <w:rsid w:val="00450B7D"/>
    <w:rsid w:val="00450C41"/>
    <w:rsid w:val="00453EB5"/>
    <w:rsid w:val="00455807"/>
    <w:rsid w:val="004571FC"/>
    <w:rsid w:val="00457440"/>
    <w:rsid w:val="00457EEC"/>
    <w:rsid w:val="0046209B"/>
    <w:rsid w:val="00462182"/>
    <w:rsid w:val="00462753"/>
    <w:rsid w:val="00462A31"/>
    <w:rsid w:val="00463026"/>
    <w:rsid w:val="00463ED6"/>
    <w:rsid w:val="00466556"/>
    <w:rsid w:val="004666B7"/>
    <w:rsid w:val="00467438"/>
    <w:rsid w:val="004704E0"/>
    <w:rsid w:val="004712A8"/>
    <w:rsid w:val="00471DED"/>
    <w:rsid w:val="00472DD7"/>
    <w:rsid w:val="00473317"/>
    <w:rsid w:val="00475BB5"/>
    <w:rsid w:val="00475EB7"/>
    <w:rsid w:val="004766E5"/>
    <w:rsid w:val="004779D6"/>
    <w:rsid w:val="00480451"/>
    <w:rsid w:val="004826CF"/>
    <w:rsid w:val="00483F64"/>
    <w:rsid w:val="00484F18"/>
    <w:rsid w:val="004870D1"/>
    <w:rsid w:val="00487506"/>
    <w:rsid w:val="0048768F"/>
    <w:rsid w:val="00487861"/>
    <w:rsid w:val="00487D3D"/>
    <w:rsid w:val="004911F6"/>
    <w:rsid w:val="00491B05"/>
    <w:rsid w:val="004920F1"/>
    <w:rsid w:val="00492547"/>
    <w:rsid w:val="004933FB"/>
    <w:rsid w:val="004938A1"/>
    <w:rsid w:val="0049422A"/>
    <w:rsid w:val="00494587"/>
    <w:rsid w:val="00494743"/>
    <w:rsid w:val="004955AC"/>
    <w:rsid w:val="004962F8"/>
    <w:rsid w:val="004A00D5"/>
    <w:rsid w:val="004A067D"/>
    <w:rsid w:val="004A16F5"/>
    <w:rsid w:val="004A4028"/>
    <w:rsid w:val="004A4D75"/>
    <w:rsid w:val="004A575F"/>
    <w:rsid w:val="004A7BC6"/>
    <w:rsid w:val="004A7FA7"/>
    <w:rsid w:val="004B1330"/>
    <w:rsid w:val="004B2DAA"/>
    <w:rsid w:val="004B38AE"/>
    <w:rsid w:val="004B3A44"/>
    <w:rsid w:val="004B3E24"/>
    <w:rsid w:val="004B509E"/>
    <w:rsid w:val="004B5AC9"/>
    <w:rsid w:val="004B70B8"/>
    <w:rsid w:val="004B7A10"/>
    <w:rsid w:val="004C08B6"/>
    <w:rsid w:val="004C0C3A"/>
    <w:rsid w:val="004C0D00"/>
    <w:rsid w:val="004C14AB"/>
    <w:rsid w:val="004C28D4"/>
    <w:rsid w:val="004C331C"/>
    <w:rsid w:val="004C3462"/>
    <w:rsid w:val="004C5772"/>
    <w:rsid w:val="004C71B8"/>
    <w:rsid w:val="004D0A90"/>
    <w:rsid w:val="004D108B"/>
    <w:rsid w:val="004D11B0"/>
    <w:rsid w:val="004D139E"/>
    <w:rsid w:val="004D1CE2"/>
    <w:rsid w:val="004D3DB4"/>
    <w:rsid w:val="004D3F22"/>
    <w:rsid w:val="004D44AC"/>
    <w:rsid w:val="004D5ED7"/>
    <w:rsid w:val="004D7860"/>
    <w:rsid w:val="004D7D2E"/>
    <w:rsid w:val="004E1262"/>
    <w:rsid w:val="004E15AF"/>
    <w:rsid w:val="004E26ED"/>
    <w:rsid w:val="004E3049"/>
    <w:rsid w:val="004E31A2"/>
    <w:rsid w:val="004E411B"/>
    <w:rsid w:val="004E5109"/>
    <w:rsid w:val="004E5762"/>
    <w:rsid w:val="004E5C69"/>
    <w:rsid w:val="004E60D0"/>
    <w:rsid w:val="004E65A5"/>
    <w:rsid w:val="004E7BC0"/>
    <w:rsid w:val="004F115B"/>
    <w:rsid w:val="004F12A6"/>
    <w:rsid w:val="004F1565"/>
    <w:rsid w:val="004F1878"/>
    <w:rsid w:val="004F2304"/>
    <w:rsid w:val="004F26F8"/>
    <w:rsid w:val="004F2E3C"/>
    <w:rsid w:val="004F3DF3"/>
    <w:rsid w:val="004F48C5"/>
    <w:rsid w:val="004F4CC9"/>
    <w:rsid w:val="004F4D90"/>
    <w:rsid w:val="004F6A7D"/>
    <w:rsid w:val="004F6E1B"/>
    <w:rsid w:val="004F75D8"/>
    <w:rsid w:val="004F7FB8"/>
    <w:rsid w:val="00502429"/>
    <w:rsid w:val="005025FE"/>
    <w:rsid w:val="00503819"/>
    <w:rsid w:val="00504466"/>
    <w:rsid w:val="00504516"/>
    <w:rsid w:val="00504585"/>
    <w:rsid w:val="005049C5"/>
    <w:rsid w:val="005050EA"/>
    <w:rsid w:val="00505BC2"/>
    <w:rsid w:val="00506DAA"/>
    <w:rsid w:val="00506DDE"/>
    <w:rsid w:val="00511A01"/>
    <w:rsid w:val="00511BB8"/>
    <w:rsid w:val="005136AD"/>
    <w:rsid w:val="005138BA"/>
    <w:rsid w:val="00513923"/>
    <w:rsid w:val="00514EC4"/>
    <w:rsid w:val="00515577"/>
    <w:rsid w:val="00516657"/>
    <w:rsid w:val="00517E42"/>
    <w:rsid w:val="00517F64"/>
    <w:rsid w:val="00520C34"/>
    <w:rsid w:val="00520CB5"/>
    <w:rsid w:val="005210CC"/>
    <w:rsid w:val="005211AF"/>
    <w:rsid w:val="0052126B"/>
    <w:rsid w:val="005213E2"/>
    <w:rsid w:val="00521D0C"/>
    <w:rsid w:val="005235DC"/>
    <w:rsid w:val="005267F0"/>
    <w:rsid w:val="005276C2"/>
    <w:rsid w:val="00530B43"/>
    <w:rsid w:val="00535D0E"/>
    <w:rsid w:val="0053682E"/>
    <w:rsid w:val="00536B7A"/>
    <w:rsid w:val="00537C4C"/>
    <w:rsid w:val="005406F8"/>
    <w:rsid w:val="0054169B"/>
    <w:rsid w:val="005417D2"/>
    <w:rsid w:val="00541CD3"/>
    <w:rsid w:val="005422E4"/>
    <w:rsid w:val="00542E40"/>
    <w:rsid w:val="00543721"/>
    <w:rsid w:val="00544161"/>
    <w:rsid w:val="0054436C"/>
    <w:rsid w:val="00545CF8"/>
    <w:rsid w:val="00546B9D"/>
    <w:rsid w:val="005471B9"/>
    <w:rsid w:val="00550E4D"/>
    <w:rsid w:val="00550F69"/>
    <w:rsid w:val="005516C4"/>
    <w:rsid w:val="00551FA4"/>
    <w:rsid w:val="005523C6"/>
    <w:rsid w:val="005535C1"/>
    <w:rsid w:val="00555380"/>
    <w:rsid w:val="00556727"/>
    <w:rsid w:val="005569E7"/>
    <w:rsid w:val="005570BC"/>
    <w:rsid w:val="00560D6B"/>
    <w:rsid w:val="005613DF"/>
    <w:rsid w:val="005616AE"/>
    <w:rsid w:val="00566341"/>
    <w:rsid w:val="00567A5E"/>
    <w:rsid w:val="005705C5"/>
    <w:rsid w:val="0057060D"/>
    <w:rsid w:val="00571937"/>
    <w:rsid w:val="00571AAC"/>
    <w:rsid w:val="00571ADF"/>
    <w:rsid w:val="00571CEA"/>
    <w:rsid w:val="00571F91"/>
    <w:rsid w:val="00573C2F"/>
    <w:rsid w:val="005740FA"/>
    <w:rsid w:val="005742AE"/>
    <w:rsid w:val="0057516A"/>
    <w:rsid w:val="00575E75"/>
    <w:rsid w:val="005809CE"/>
    <w:rsid w:val="00580BE1"/>
    <w:rsid w:val="00581C8A"/>
    <w:rsid w:val="00583D53"/>
    <w:rsid w:val="00584406"/>
    <w:rsid w:val="00584717"/>
    <w:rsid w:val="005856BB"/>
    <w:rsid w:val="0058602B"/>
    <w:rsid w:val="00586AE1"/>
    <w:rsid w:val="00586B95"/>
    <w:rsid w:val="005871BD"/>
    <w:rsid w:val="005873A6"/>
    <w:rsid w:val="005900A1"/>
    <w:rsid w:val="00590B01"/>
    <w:rsid w:val="005912AC"/>
    <w:rsid w:val="00592F1A"/>
    <w:rsid w:val="00595095"/>
    <w:rsid w:val="00596709"/>
    <w:rsid w:val="005A0224"/>
    <w:rsid w:val="005A0BA6"/>
    <w:rsid w:val="005A1201"/>
    <w:rsid w:val="005A15E8"/>
    <w:rsid w:val="005A2330"/>
    <w:rsid w:val="005A273C"/>
    <w:rsid w:val="005A2CF1"/>
    <w:rsid w:val="005A35B2"/>
    <w:rsid w:val="005A3671"/>
    <w:rsid w:val="005A3B36"/>
    <w:rsid w:val="005A3F38"/>
    <w:rsid w:val="005A68C6"/>
    <w:rsid w:val="005A6C20"/>
    <w:rsid w:val="005A6F02"/>
    <w:rsid w:val="005A7D39"/>
    <w:rsid w:val="005B170A"/>
    <w:rsid w:val="005B2B2E"/>
    <w:rsid w:val="005B438A"/>
    <w:rsid w:val="005B4D96"/>
    <w:rsid w:val="005B4F3D"/>
    <w:rsid w:val="005B753C"/>
    <w:rsid w:val="005B77B6"/>
    <w:rsid w:val="005C0B56"/>
    <w:rsid w:val="005C1B4B"/>
    <w:rsid w:val="005C2541"/>
    <w:rsid w:val="005C3C9D"/>
    <w:rsid w:val="005C7123"/>
    <w:rsid w:val="005C71E9"/>
    <w:rsid w:val="005D0929"/>
    <w:rsid w:val="005D1E44"/>
    <w:rsid w:val="005D22AA"/>
    <w:rsid w:val="005D4586"/>
    <w:rsid w:val="005D5C51"/>
    <w:rsid w:val="005D5D01"/>
    <w:rsid w:val="005D7700"/>
    <w:rsid w:val="005D7892"/>
    <w:rsid w:val="005D78CF"/>
    <w:rsid w:val="005D7C1A"/>
    <w:rsid w:val="005E07EC"/>
    <w:rsid w:val="005E0FA1"/>
    <w:rsid w:val="005E1B62"/>
    <w:rsid w:val="005E2AB0"/>
    <w:rsid w:val="005E3DC9"/>
    <w:rsid w:val="005E5EEE"/>
    <w:rsid w:val="005E5F9B"/>
    <w:rsid w:val="005E7012"/>
    <w:rsid w:val="005F0DA6"/>
    <w:rsid w:val="005F25BD"/>
    <w:rsid w:val="005F2B36"/>
    <w:rsid w:val="005F3073"/>
    <w:rsid w:val="005F32AD"/>
    <w:rsid w:val="005F41CD"/>
    <w:rsid w:val="005F573F"/>
    <w:rsid w:val="005F5970"/>
    <w:rsid w:val="005F68F5"/>
    <w:rsid w:val="005F6F81"/>
    <w:rsid w:val="005F78C4"/>
    <w:rsid w:val="005F7C32"/>
    <w:rsid w:val="006001FE"/>
    <w:rsid w:val="006003B0"/>
    <w:rsid w:val="00601515"/>
    <w:rsid w:val="00601BED"/>
    <w:rsid w:val="00602AB6"/>
    <w:rsid w:val="00603CE2"/>
    <w:rsid w:val="00604D82"/>
    <w:rsid w:val="00605047"/>
    <w:rsid w:val="006055FC"/>
    <w:rsid w:val="006065A9"/>
    <w:rsid w:val="006075B1"/>
    <w:rsid w:val="00607651"/>
    <w:rsid w:val="006101EB"/>
    <w:rsid w:val="006103AF"/>
    <w:rsid w:val="00610C1D"/>
    <w:rsid w:val="00612870"/>
    <w:rsid w:val="00612C3C"/>
    <w:rsid w:val="006131D3"/>
    <w:rsid w:val="00614FB2"/>
    <w:rsid w:val="006171E5"/>
    <w:rsid w:val="00617211"/>
    <w:rsid w:val="00617360"/>
    <w:rsid w:val="00620AB1"/>
    <w:rsid w:val="00620C5C"/>
    <w:rsid w:val="00622516"/>
    <w:rsid w:val="00622DD0"/>
    <w:rsid w:val="00624609"/>
    <w:rsid w:val="00625BAE"/>
    <w:rsid w:val="00626009"/>
    <w:rsid w:val="00627195"/>
    <w:rsid w:val="00630E7C"/>
    <w:rsid w:val="0063561B"/>
    <w:rsid w:val="006366B9"/>
    <w:rsid w:val="00637167"/>
    <w:rsid w:val="0064042D"/>
    <w:rsid w:val="0064178B"/>
    <w:rsid w:val="00641AEC"/>
    <w:rsid w:val="00642B25"/>
    <w:rsid w:val="0064524B"/>
    <w:rsid w:val="006469A4"/>
    <w:rsid w:val="00650A8F"/>
    <w:rsid w:val="00651877"/>
    <w:rsid w:val="006523A6"/>
    <w:rsid w:val="006541A7"/>
    <w:rsid w:val="00655388"/>
    <w:rsid w:val="00655450"/>
    <w:rsid w:val="00655D02"/>
    <w:rsid w:val="00655D42"/>
    <w:rsid w:val="00656199"/>
    <w:rsid w:val="00657A45"/>
    <w:rsid w:val="006625D0"/>
    <w:rsid w:val="00664D3A"/>
    <w:rsid w:val="00665C4E"/>
    <w:rsid w:val="00666B96"/>
    <w:rsid w:val="006713E8"/>
    <w:rsid w:val="00671D0D"/>
    <w:rsid w:val="006737CB"/>
    <w:rsid w:val="006742C1"/>
    <w:rsid w:val="006747DA"/>
    <w:rsid w:val="00675060"/>
    <w:rsid w:val="006759C2"/>
    <w:rsid w:val="0067631B"/>
    <w:rsid w:val="00676831"/>
    <w:rsid w:val="00677117"/>
    <w:rsid w:val="00677A9F"/>
    <w:rsid w:val="0068053C"/>
    <w:rsid w:val="00681AA4"/>
    <w:rsid w:val="00681CA4"/>
    <w:rsid w:val="00682027"/>
    <w:rsid w:val="006839AA"/>
    <w:rsid w:val="006843FD"/>
    <w:rsid w:val="00685B63"/>
    <w:rsid w:val="00687F1D"/>
    <w:rsid w:val="00690252"/>
    <w:rsid w:val="00690818"/>
    <w:rsid w:val="006915BA"/>
    <w:rsid w:val="00694E1A"/>
    <w:rsid w:val="00695A1E"/>
    <w:rsid w:val="00695EAA"/>
    <w:rsid w:val="00696824"/>
    <w:rsid w:val="00696D71"/>
    <w:rsid w:val="006970B6"/>
    <w:rsid w:val="006A1FE4"/>
    <w:rsid w:val="006A25BB"/>
    <w:rsid w:val="006A433B"/>
    <w:rsid w:val="006A4789"/>
    <w:rsid w:val="006A4E81"/>
    <w:rsid w:val="006A4F89"/>
    <w:rsid w:val="006A5D0B"/>
    <w:rsid w:val="006A668D"/>
    <w:rsid w:val="006A6EA6"/>
    <w:rsid w:val="006B10B6"/>
    <w:rsid w:val="006B1377"/>
    <w:rsid w:val="006B2726"/>
    <w:rsid w:val="006B3515"/>
    <w:rsid w:val="006B3769"/>
    <w:rsid w:val="006B46D4"/>
    <w:rsid w:val="006B57B2"/>
    <w:rsid w:val="006C071E"/>
    <w:rsid w:val="006C0EA6"/>
    <w:rsid w:val="006C0EDC"/>
    <w:rsid w:val="006C109B"/>
    <w:rsid w:val="006C130C"/>
    <w:rsid w:val="006C180F"/>
    <w:rsid w:val="006C2F7A"/>
    <w:rsid w:val="006C4214"/>
    <w:rsid w:val="006C59F3"/>
    <w:rsid w:val="006C63D3"/>
    <w:rsid w:val="006D01A1"/>
    <w:rsid w:val="006D1802"/>
    <w:rsid w:val="006D1B2D"/>
    <w:rsid w:val="006D1E80"/>
    <w:rsid w:val="006D555F"/>
    <w:rsid w:val="006D56D8"/>
    <w:rsid w:val="006D5CC9"/>
    <w:rsid w:val="006D65D1"/>
    <w:rsid w:val="006D6686"/>
    <w:rsid w:val="006D6EDF"/>
    <w:rsid w:val="006D7E28"/>
    <w:rsid w:val="006E17CD"/>
    <w:rsid w:val="006E1E52"/>
    <w:rsid w:val="006E23B6"/>
    <w:rsid w:val="006E25AB"/>
    <w:rsid w:val="006E3262"/>
    <w:rsid w:val="006E3A6D"/>
    <w:rsid w:val="006E436D"/>
    <w:rsid w:val="006E4748"/>
    <w:rsid w:val="006E7746"/>
    <w:rsid w:val="006E7F70"/>
    <w:rsid w:val="006F27C2"/>
    <w:rsid w:val="006F4826"/>
    <w:rsid w:val="006F4D0E"/>
    <w:rsid w:val="006F738D"/>
    <w:rsid w:val="00700738"/>
    <w:rsid w:val="0070099A"/>
    <w:rsid w:val="00700C10"/>
    <w:rsid w:val="00707997"/>
    <w:rsid w:val="0071000E"/>
    <w:rsid w:val="0071029B"/>
    <w:rsid w:val="0071052E"/>
    <w:rsid w:val="00711762"/>
    <w:rsid w:val="0071363E"/>
    <w:rsid w:val="00714E8F"/>
    <w:rsid w:val="00715958"/>
    <w:rsid w:val="00716588"/>
    <w:rsid w:val="007166E9"/>
    <w:rsid w:val="00716CB7"/>
    <w:rsid w:val="007206C2"/>
    <w:rsid w:val="00721552"/>
    <w:rsid w:val="00722D44"/>
    <w:rsid w:val="0072343D"/>
    <w:rsid w:val="0072498C"/>
    <w:rsid w:val="007255E0"/>
    <w:rsid w:val="00726E5E"/>
    <w:rsid w:val="0073032F"/>
    <w:rsid w:val="00730514"/>
    <w:rsid w:val="007318B8"/>
    <w:rsid w:val="007327F4"/>
    <w:rsid w:val="0073363C"/>
    <w:rsid w:val="0073548C"/>
    <w:rsid w:val="00735B19"/>
    <w:rsid w:val="007367A7"/>
    <w:rsid w:val="00736C13"/>
    <w:rsid w:val="00736E1E"/>
    <w:rsid w:val="00736F0E"/>
    <w:rsid w:val="00737E2C"/>
    <w:rsid w:val="007402A2"/>
    <w:rsid w:val="00740350"/>
    <w:rsid w:val="0074079F"/>
    <w:rsid w:val="00741BB3"/>
    <w:rsid w:val="00741D55"/>
    <w:rsid w:val="00742B64"/>
    <w:rsid w:val="00743938"/>
    <w:rsid w:val="00743D62"/>
    <w:rsid w:val="007445DB"/>
    <w:rsid w:val="00744DAA"/>
    <w:rsid w:val="0074504E"/>
    <w:rsid w:val="0074569B"/>
    <w:rsid w:val="007457BD"/>
    <w:rsid w:val="007510E2"/>
    <w:rsid w:val="0075121E"/>
    <w:rsid w:val="007513AA"/>
    <w:rsid w:val="00752314"/>
    <w:rsid w:val="00752473"/>
    <w:rsid w:val="00752903"/>
    <w:rsid w:val="00752F8A"/>
    <w:rsid w:val="00755950"/>
    <w:rsid w:val="00755C48"/>
    <w:rsid w:val="0075618D"/>
    <w:rsid w:val="00756A4B"/>
    <w:rsid w:val="00757D44"/>
    <w:rsid w:val="00760658"/>
    <w:rsid w:val="00761870"/>
    <w:rsid w:val="0076225E"/>
    <w:rsid w:val="007623D9"/>
    <w:rsid w:val="007648BE"/>
    <w:rsid w:val="00764FE7"/>
    <w:rsid w:val="00766BBE"/>
    <w:rsid w:val="007671DA"/>
    <w:rsid w:val="00767521"/>
    <w:rsid w:val="00771579"/>
    <w:rsid w:val="007732C9"/>
    <w:rsid w:val="007735D0"/>
    <w:rsid w:val="007738F3"/>
    <w:rsid w:val="00774CB6"/>
    <w:rsid w:val="007765AA"/>
    <w:rsid w:val="00776A3D"/>
    <w:rsid w:val="007819FF"/>
    <w:rsid w:val="00782488"/>
    <w:rsid w:val="00783552"/>
    <w:rsid w:val="00783CD7"/>
    <w:rsid w:val="00785E49"/>
    <w:rsid w:val="00785E6C"/>
    <w:rsid w:val="0078620B"/>
    <w:rsid w:val="00786335"/>
    <w:rsid w:val="007868C5"/>
    <w:rsid w:val="00786A8D"/>
    <w:rsid w:val="00786B17"/>
    <w:rsid w:val="00787338"/>
    <w:rsid w:val="00787C90"/>
    <w:rsid w:val="00790A1F"/>
    <w:rsid w:val="0079357B"/>
    <w:rsid w:val="00793B7A"/>
    <w:rsid w:val="00793C15"/>
    <w:rsid w:val="00793DA2"/>
    <w:rsid w:val="0079523D"/>
    <w:rsid w:val="00796A01"/>
    <w:rsid w:val="00796CCF"/>
    <w:rsid w:val="007A01EB"/>
    <w:rsid w:val="007A1D1A"/>
    <w:rsid w:val="007A2822"/>
    <w:rsid w:val="007A2EC2"/>
    <w:rsid w:val="007A34E4"/>
    <w:rsid w:val="007A56F9"/>
    <w:rsid w:val="007A66BA"/>
    <w:rsid w:val="007B0C5E"/>
    <w:rsid w:val="007B13AE"/>
    <w:rsid w:val="007B1E96"/>
    <w:rsid w:val="007B2475"/>
    <w:rsid w:val="007B249F"/>
    <w:rsid w:val="007B26CF"/>
    <w:rsid w:val="007B2ECC"/>
    <w:rsid w:val="007B3239"/>
    <w:rsid w:val="007B3F6D"/>
    <w:rsid w:val="007B459A"/>
    <w:rsid w:val="007B53CF"/>
    <w:rsid w:val="007B6536"/>
    <w:rsid w:val="007B6AFD"/>
    <w:rsid w:val="007C084D"/>
    <w:rsid w:val="007C179B"/>
    <w:rsid w:val="007C1DF4"/>
    <w:rsid w:val="007C4240"/>
    <w:rsid w:val="007C5394"/>
    <w:rsid w:val="007C6BB9"/>
    <w:rsid w:val="007D0187"/>
    <w:rsid w:val="007D1633"/>
    <w:rsid w:val="007D1B60"/>
    <w:rsid w:val="007D2E6D"/>
    <w:rsid w:val="007D2EE8"/>
    <w:rsid w:val="007D3956"/>
    <w:rsid w:val="007D4027"/>
    <w:rsid w:val="007D5501"/>
    <w:rsid w:val="007D6814"/>
    <w:rsid w:val="007D7EEA"/>
    <w:rsid w:val="007D7F23"/>
    <w:rsid w:val="007E073D"/>
    <w:rsid w:val="007E1014"/>
    <w:rsid w:val="007E260F"/>
    <w:rsid w:val="007E273F"/>
    <w:rsid w:val="007E35CB"/>
    <w:rsid w:val="007E480B"/>
    <w:rsid w:val="007E4B05"/>
    <w:rsid w:val="007F08DF"/>
    <w:rsid w:val="007F0DA1"/>
    <w:rsid w:val="007F1002"/>
    <w:rsid w:val="007F16A8"/>
    <w:rsid w:val="007F57A0"/>
    <w:rsid w:val="007F6149"/>
    <w:rsid w:val="007F618C"/>
    <w:rsid w:val="007F688D"/>
    <w:rsid w:val="007F6EAD"/>
    <w:rsid w:val="00802325"/>
    <w:rsid w:val="00802659"/>
    <w:rsid w:val="00803647"/>
    <w:rsid w:val="00804625"/>
    <w:rsid w:val="00806F44"/>
    <w:rsid w:val="00807954"/>
    <w:rsid w:val="00810324"/>
    <w:rsid w:val="00812E7D"/>
    <w:rsid w:val="00812E83"/>
    <w:rsid w:val="00815DBC"/>
    <w:rsid w:val="00816C23"/>
    <w:rsid w:val="00816E0B"/>
    <w:rsid w:val="00816F1C"/>
    <w:rsid w:val="008175AA"/>
    <w:rsid w:val="00817685"/>
    <w:rsid w:val="00820144"/>
    <w:rsid w:val="0082119D"/>
    <w:rsid w:val="008223E7"/>
    <w:rsid w:val="00823686"/>
    <w:rsid w:val="00823D75"/>
    <w:rsid w:val="00824976"/>
    <w:rsid w:val="00824C15"/>
    <w:rsid w:val="00826D20"/>
    <w:rsid w:val="00827B4F"/>
    <w:rsid w:val="008335CF"/>
    <w:rsid w:val="00833678"/>
    <w:rsid w:val="008339FD"/>
    <w:rsid w:val="00834D60"/>
    <w:rsid w:val="0083591B"/>
    <w:rsid w:val="00836426"/>
    <w:rsid w:val="00840460"/>
    <w:rsid w:val="008408C1"/>
    <w:rsid w:val="00840B15"/>
    <w:rsid w:val="0084133B"/>
    <w:rsid w:val="008413D6"/>
    <w:rsid w:val="00843A25"/>
    <w:rsid w:val="00843A62"/>
    <w:rsid w:val="008447CE"/>
    <w:rsid w:val="008454B0"/>
    <w:rsid w:val="008456D8"/>
    <w:rsid w:val="0084737D"/>
    <w:rsid w:val="0084763A"/>
    <w:rsid w:val="008503AA"/>
    <w:rsid w:val="00850DAF"/>
    <w:rsid w:val="0085234E"/>
    <w:rsid w:val="0085243D"/>
    <w:rsid w:val="008525B0"/>
    <w:rsid w:val="008549BE"/>
    <w:rsid w:val="00854CA3"/>
    <w:rsid w:val="00854E3D"/>
    <w:rsid w:val="008561F9"/>
    <w:rsid w:val="00856E94"/>
    <w:rsid w:val="00857E65"/>
    <w:rsid w:val="008601C5"/>
    <w:rsid w:val="0086174B"/>
    <w:rsid w:val="00861B24"/>
    <w:rsid w:val="00861F87"/>
    <w:rsid w:val="008621A4"/>
    <w:rsid w:val="008631BE"/>
    <w:rsid w:val="00863F9A"/>
    <w:rsid w:val="00864126"/>
    <w:rsid w:val="00864D03"/>
    <w:rsid w:val="00865F66"/>
    <w:rsid w:val="00867518"/>
    <w:rsid w:val="00870050"/>
    <w:rsid w:val="008704E4"/>
    <w:rsid w:val="00872258"/>
    <w:rsid w:val="008741CC"/>
    <w:rsid w:val="00876062"/>
    <w:rsid w:val="00880650"/>
    <w:rsid w:val="00880DE8"/>
    <w:rsid w:val="008827C7"/>
    <w:rsid w:val="00885051"/>
    <w:rsid w:val="00885C43"/>
    <w:rsid w:val="00886329"/>
    <w:rsid w:val="00887AD9"/>
    <w:rsid w:val="00887B5E"/>
    <w:rsid w:val="00890BD7"/>
    <w:rsid w:val="00891A6E"/>
    <w:rsid w:val="008937AA"/>
    <w:rsid w:val="008941B7"/>
    <w:rsid w:val="00894881"/>
    <w:rsid w:val="008951FB"/>
    <w:rsid w:val="008968EB"/>
    <w:rsid w:val="00897591"/>
    <w:rsid w:val="00897689"/>
    <w:rsid w:val="00897FEE"/>
    <w:rsid w:val="008A30CC"/>
    <w:rsid w:val="008A386F"/>
    <w:rsid w:val="008A3A56"/>
    <w:rsid w:val="008A405E"/>
    <w:rsid w:val="008A48BE"/>
    <w:rsid w:val="008A4DD1"/>
    <w:rsid w:val="008A502D"/>
    <w:rsid w:val="008A51A2"/>
    <w:rsid w:val="008A51C6"/>
    <w:rsid w:val="008A51D2"/>
    <w:rsid w:val="008A7CDD"/>
    <w:rsid w:val="008B1728"/>
    <w:rsid w:val="008B2EB2"/>
    <w:rsid w:val="008B3B43"/>
    <w:rsid w:val="008B4858"/>
    <w:rsid w:val="008B4BF0"/>
    <w:rsid w:val="008B64E4"/>
    <w:rsid w:val="008B6674"/>
    <w:rsid w:val="008B7AF1"/>
    <w:rsid w:val="008B7BFD"/>
    <w:rsid w:val="008B7C90"/>
    <w:rsid w:val="008C0294"/>
    <w:rsid w:val="008C2054"/>
    <w:rsid w:val="008C2BEA"/>
    <w:rsid w:val="008C389F"/>
    <w:rsid w:val="008C3EB9"/>
    <w:rsid w:val="008C5929"/>
    <w:rsid w:val="008C6954"/>
    <w:rsid w:val="008C6FD7"/>
    <w:rsid w:val="008C7356"/>
    <w:rsid w:val="008D0970"/>
    <w:rsid w:val="008D0BF9"/>
    <w:rsid w:val="008D0DF1"/>
    <w:rsid w:val="008D103E"/>
    <w:rsid w:val="008D2C70"/>
    <w:rsid w:val="008D5E56"/>
    <w:rsid w:val="008D615E"/>
    <w:rsid w:val="008D7375"/>
    <w:rsid w:val="008E15CC"/>
    <w:rsid w:val="008E36EC"/>
    <w:rsid w:val="008E3A6A"/>
    <w:rsid w:val="008E56FB"/>
    <w:rsid w:val="008E5932"/>
    <w:rsid w:val="008E5CE3"/>
    <w:rsid w:val="008E5EC3"/>
    <w:rsid w:val="008F10C0"/>
    <w:rsid w:val="008F1194"/>
    <w:rsid w:val="008F238E"/>
    <w:rsid w:val="008F2723"/>
    <w:rsid w:val="008F273A"/>
    <w:rsid w:val="008F3EBE"/>
    <w:rsid w:val="008F434C"/>
    <w:rsid w:val="008F5FA6"/>
    <w:rsid w:val="008F5FD0"/>
    <w:rsid w:val="008F6419"/>
    <w:rsid w:val="008F64BD"/>
    <w:rsid w:val="008F723D"/>
    <w:rsid w:val="008F72D0"/>
    <w:rsid w:val="008F7A9C"/>
    <w:rsid w:val="00900503"/>
    <w:rsid w:val="00900ADB"/>
    <w:rsid w:val="00900E4C"/>
    <w:rsid w:val="00901A72"/>
    <w:rsid w:val="0090256F"/>
    <w:rsid w:val="00903CA1"/>
    <w:rsid w:val="0091111E"/>
    <w:rsid w:val="00911D35"/>
    <w:rsid w:val="00912343"/>
    <w:rsid w:val="0091299A"/>
    <w:rsid w:val="00912E00"/>
    <w:rsid w:val="00914764"/>
    <w:rsid w:val="009149D3"/>
    <w:rsid w:val="0091539C"/>
    <w:rsid w:val="00915599"/>
    <w:rsid w:val="009169BF"/>
    <w:rsid w:val="00917822"/>
    <w:rsid w:val="009225B9"/>
    <w:rsid w:val="009238C0"/>
    <w:rsid w:val="009241CE"/>
    <w:rsid w:val="00924D99"/>
    <w:rsid w:val="00924E2B"/>
    <w:rsid w:val="0092517B"/>
    <w:rsid w:val="00925483"/>
    <w:rsid w:val="00925EE3"/>
    <w:rsid w:val="0092796F"/>
    <w:rsid w:val="009304C7"/>
    <w:rsid w:val="009317F7"/>
    <w:rsid w:val="00931CEB"/>
    <w:rsid w:val="009328FC"/>
    <w:rsid w:val="0093393E"/>
    <w:rsid w:val="00933D7D"/>
    <w:rsid w:val="009360C5"/>
    <w:rsid w:val="009400FA"/>
    <w:rsid w:val="009410F0"/>
    <w:rsid w:val="00944443"/>
    <w:rsid w:val="00945527"/>
    <w:rsid w:val="00950842"/>
    <w:rsid w:val="00951279"/>
    <w:rsid w:val="00952575"/>
    <w:rsid w:val="00953405"/>
    <w:rsid w:val="009542EE"/>
    <w:rsid w:val="0095602D"/>
    <w:rsid w:val="00957152"/>
    <w:rsid w:val="00957BCC"/>
    <w:rsid w:val="0096064B"/>
    <w:rsid w:val="00963568"/>
    <w:rsid w:val="00963A4C"/>
    <w:rsid w:val="0096552D"/>
    <w:rsid w:val="0096705C"/>
    <w:rsid w:val="009704B0"/>
    <w:rsid w:val="00972036"/>
    <w:rsid w:val="009727B9"/>
    <w:rsid w:val="0097424A"/>
    <w:rsid w:val="00977621"/>
    <w:rsid w:val="00980216"/>
    <w:rsid w:val="00980836"/>
    <w:rsid w:val="00980BD2"/>
    <w:rsid w:val="0098328E"/>
    <w:rsid w:val="00983F19"/>
    <w:rsid w:val="009851EC"/>
    <w:rsid w:val="009870A4"/>
    <w:rsid w:val="0098753F"/>
    <w:rsid w:val="00987853"/>
    <w:rsid w:val="009878BA"/>
    <w:rsid w:val="009916E9"/>
    <w:rsid w:val="009920D4"/>
    <w:rsid w:val="00992A8B"/>
    <w:rsid w:val="00993C21"/>
    <w:rsid w:val="0099432F"/>
    <w:rsid w:val="009952EB"/>
    <w:rsid w:val="00995D43"/>
    <w:rsid w:val="00995E59"/>
    <w:rsid w:val="009964E7"/>
    <w:rsid w:val="009A137D"/>
    <w:rsid w:val="009A180F"/>
    <w:rsid w:val="009A1DBA"/>
    <w:rsid w:val="009A20E5"/>
    <w:rsid w:val="009A30E3"/>
    <w:rsid w:val="009A3622"/>
    <w:rsid w:val="009A46A9"/>
    <w:rsid w:val="009A49CA"/>
    <w:rsid w:val="009A623A"/>
    <w:rsid w:val="009A6EB4"/>
    <w:rsid w:val="009A7EF6"/>
    <w:rsid w:val="009B065B"/>
    <w:rsid w:val="009B3319"/>
    <w:rsid w:val="009B4B17"/>
    <w:rsid w:val="009B5133"/>
    <w:rsid w:val="009B532B"/>
    <w:rsid w:val="009B54EC"/>
    <w:rsid w:val="009B5F0E"/>
    <w:rsid w:val="009B6B20"/>
    <w:rsid w:val="009B6D6F"/>
    <w:rsid w:val="009B7560"/>
    <w:rsid w:val="009B77E9"/>
    <w:rsid w:val="009C05F1"/>
    <w:rsid w:val="009C0919"/>
    <w:rsid w:val="009C1B98"/>
    <w:rsid w:val="009C2CE5"/>
    <w:rsid w:val="009C3E19"/>
    <w:rsid w:val="009C4684"/>
    <w:rsid w:val="009C4E42"/>
    <w:rsid w:val="009C532F"/>
    <w:rsid w:val="009C5577"/>
    <w:rsid w:val="009C5ACC"/>
    <w:rsid w:val="009C5DC9"/>
    <w:rsid w:val="009C7912"/>
    <w:rsid w:val="009D068E"/>
    <w:rsid w:val="009D29D3"/>
    <w:rsid w:val="009D2BF2"/>
    <w:rsid w:val="009D3EE1"/>
    <w:rsid w:val="009D427B"/>
    <w:rsid w:val="009D7E49"/>
    <w:rsid w:val="009D7E63"/>
    <w:rsid w:val="009E24AD"/>
    <w:rsid w:val="009E3E67"/>
    <w:rsid w:val="009E51CE"/>
    <w:rsid w:val="009E5D82"/>
    <w:rsid w:val="009E734D"/>
    <w:rsid w:val="009E778C"/>
    <w:rsid w:val="009F0667"/>
    <w:rsid w:val="009F0DDA"/>
    <w:rsid w:val="009F0EAA"/>
    <w:rsid w:val="009F158C"/>
    <w:rsid w:val="009F38A2"/>
    <w:rsid w:val="009F41E4"/>
    <w:rsid w:val="009F42AB"/>
    <w:rsid w:val="009F5A9B"/>
    <w:rsid w:val="009F78CB"/>
    <w:rsid w:val="009F79DC"/>
    <w:rsid w:val="009F7FC0"/>
    <w:rsid w:val="00A00A06"/>
    <w:rsid w:val="00A02140"/>
    <w:rsid w:val="00A0309C"/>
    <w:rsid w:val="00A03EC0"/>
    <w:rsid w:val="00A0599B"/>
    <w:rsid w:val="00A07463"/>
    <w:rsid w:val="00A07B89"/>
    <w:rsid w:val="00A07E5A"/>
    <w:rsid w:val="00A10EB3"/>
    <w:rsid w:val="00A1296A"/>
    <w:rsid w:val="00A13D76"/>
    <w:rsid w:val="00A14107"/>
    <w:rsid w:val="00A17CE5"/>
    <w:rsid w:val="00A20DBC"/>
    <w:rsid w:val="00A23FE4"/>
    <w:rsid w:val="00A2561A"/>
    <w:rsid w:val="00A26186"/>
    <w:rsid w:val="00A272A7"/>
    <w:rsid w:val="00A27911"/>
    <w:rsid w:val="00A31875"/>
    <w:rsid w:val="00A3211E"/>
    <w:rsid w:val="00A329FD"/>
    <w:rsid w:val="00A32EDC"/>
    <w:rsid w:val="00A35055"/>
    <w:rsid w:val="00A35817"/>
    <w:rsid w:val="00A36561"/>
    <w:rsid w:val="00A36C54"/>
    <w:rsid w:val="00A40CC4"/>
    <w:rsid w:val="00A410CD"/>
    <w:rsid w:val="00A41431"/>
    <w:rsid w:val="00A426CE"/>
    <w:rsid w:val="00A42ECD"/>
    <w:rsid w:val="00A4301D"/>
    <w:rsid w:val="00A43B22"/>
    <w:rsid w:val="00A449BE"/>
    <w:rsid w:val="00A461F3"/>
    <w:rsid w:val="00A502B4"/>
    <w:rsid w:val="00A50514"/>
    <w:rsid w:val="00A50719"/>
    <w:rsid w:val="00A5188D"/>
    <w:rsid w:val="00A51997"/>
    <w:rsid w:val="00A52C01"/>
    <w:rsid w:val="00A53679"/>
    <w:rsid w:val="00A536BD"/>
    <w:rsid w:val="00A537F4"/>
    <w:rsid w:val="00A55391"/>
    <w:rsid w:val="00A5663E"/>
    <w:rsid w:val="00A63318"/>
    <w:rsid w:val="00A633EB"/>
    <w:rsid w:val="00A65094"/>
    <w:rsid w:val="00A6550B"/>
    <w:rsid w:val="00A66E89"/>
    <w:rsid w:val="00A70DD1"/>
    <w:rsid w:val="00A716CA"/>
    <w:rsid w:val="00A72AE2"/>
    <w:rsid w:val="00A73123"/>
    <w:rsid w:val="00A7397B"/>
    <w:rsid w:val="00A75376"/>
    <w:rsid w:val="00A81299"/>
    <w:rsid w:val="00A82227"/>
    <w:rsid w:val="00A824CC"/>
    <w:rsid w:val="00A8376F"/>
    <w:rsid w:val="00A847E1"/>
    <w:rsid w:val="00A84E75"/>
    <w:rsid w:val="00A85C20"/>
    <w:rsid w:val="00A86058"/>
    <w:rsid w:val="00A86985"/>
    <w:rsid w:val="00A90BD5"/>
    <w:rsid w:val="00A90F41"/>
    <w:rsid w:val="00A91495"/>
    <w:rsid w:val="00A916D6"/>
    <w:rsid w:val="00A943B2"/>
    <w:rsid w:val="00A9602E"/>
    <w:rsid w:val="00A965CC"/>
    <w:rsid w:val="00AA0130"/>
    <w:rsid w:val="00AA0222"/>
    <w:rsid w:val="00AA1222"/>
    <w:rsid w:val="00AA43A4"/>
    <w:rsid w:val="00AA440A"/>
    <w:rsid w:val="00AA4BB9"/>
    <w:rsid w:val="00AB07A4"/>
    <w:rsid w:val="00AB0C51"/>
    <w:rsid w:val="00AB181B"/>
    <w:rsid w:val="00AB2E64"/>
    <w:rsid w:val="00AB4D75"/>
    <w:rsid w:val="00AB519A"/>
    <w:rsid w:val="00AB5E47"/>
    <w:rsid w:val="00AC01A1"/>
    <w:rsid w:val="00AC08DD"/>
    <w:rsid w:val="00AC0A1E"/>
    <w:rsid w:val="00AC24BF"/>
    <w:rsid w:val="00AC2FC0"/>
    <w:rsid w:val="00AC3B69"/>
    <w:rsid w:val="00AC3E58"/>
    <w:rsid w:val="00AC64B5"/>
    <w:rsid w:val="00AC6720"/>
    <w:rsid w:val="00AC6A23"/>
    <w:rsid w:val="00AC7722"/>
    <w:rsid w:val="00AC7ECD"/>
    <w:rsid w:val="00AD0766"/>
    <w:rsid w:val="00AD0784"/>
    <w:rsid w:val="00AD083F"/>
    <w:rsid w:val="00AD1F83"/>
    <w:rsid w:val="00AD2170"/>
    <w:rsid w:val="00AD275A"/>
    <w:rsid w:val="00AD3D6D"/>
    <w:rsid w:val="00AD7E1F"/>
    <w:rsid w:val="00AD7F00"/>
    <w:rsid w:val="00AE0559"/>
    <w:rsid w:val="00AE0D97"/>
    <w:rsid w:val="00AE22BA"/>
    <w:rsid w:val="00AE279D"/>
    <w:rsid w:val="00AE3A22"/>
    <w:rsid w:val="00AE3B5F"/>
    <w:rsid w:val="00AE3CFD"/>
    <w:rsid w:val="00AE4771"/>
    <w:rsid w:val="00AE55D2"/>
    <w:rsid w:val="00AE6626"/>
    <w:rsid w:val="00AE7106"/>
    <w:rsid w:val="00AF06CB"/>
    <w:rsid w:val="00AF1B84"/>
    <w:rsid w:val="00AF2707"/>
    <w:rsid w:val="00AF3473"/>
    <w:rsid w:val="00AF37BE"/>
    <w:rsid w:val="00AF3D90"/>
    <w:rsid w:val="00AF4434"/>
    <w:rsid w:val="00AF4753"/>
    <w:rsid w:val="00AF4D16"/>
    <w:rsid w:val="00AF52D4"/>
    <w:rsid w:val="00AF5B4A"/>
    <w:rsid w:val="00AF6215"/>
    <w:rsid w:val="00AF77F4"/>
    <w:rsid w:val="00AF792B"/>
    <w:rsid w:val="00B03133"/>
    <w:rsid w:val="00B03428"/>
    <w:rsid w:val="00B035CC"/>
    <w:rsid w:val="00B04C92"/>
    <w:rsid w:val="00B06606"/>
    <w:rsid w:val="00B068D9"/>
    <w:rsid w:val="00B06E83"/>
    <w:rsid w:val="00B06F13"/>
    <w:rsid w:val="00B103CA"/>
    <w:rsid w:val="00B139EE"/>
    <w:rsid w:val="00B14002"/>
    <w:rsid w:val="00B14087"/>
    <w:rsid w:val="00B14C22"/>
    <w:rsid w:val="00B16488"/>
    <w:rsid w:val="00B1705C"/>
    <w:rsid w:val="00B179EE"/>
    <w:rsid w:val="00B17CC5"/>
    <w:rsid w:val="00B222AD"/>
    <w:rsid w:val="00B23CE0"/>
    <w:rsid w:val="00B2467B"/>
    <w:rsid w:val="00B246F0"/>
    <w:rsid w:val="00B26878"/>
    <w:rsid w:val="00B268F6"/>
    <w:rsid w:val="00B30CC2"/>
    <w:rsid w:val="00B31B6A"/>
    <w:rsid w:val="00B32000"/>
    <w:rsid w:val="00B34418"/>
    <w:rsid w:val="00B3452A"/>
    <w:rsid w:val="00B34F64"/>
    <w:rsid w:val="00B34FE7"/>
    <w:rsid w:val="00B36963"/>
    <w:rsid w:val="00B37B14"/>
    <w:rsid w:val="00B43523"/>
    <w:rsid w:val="00B43612"/>
    <w:rsid w:val="00B4500F"/>
    <w:rsid w:val="00B452C2"/>
    <w:rsid w:val="00B45767"/>
    <w:rsid w:val="00B459A3"/>
    <w:rsid w:val="00B45E08"/>
    <w:rsid w:val="00B4638E"/>
    <w:rsid w:val="00B47C87"/>
    <w:rsid w:val="00B50F41"/>
    <w:rsid w:val="00B513C4"/>
    <w:rsid w:val="00B51E8B"/>
    <w:rsid w:val="00B522B8"/>
    <w:rsid w:val="00B53061"/>
    <w:rsid w:val="00B5338E"/>
    <w:rsid w:val="00B53405"/>
    <w:rsid w:val="00B5561F"/>
    <w:rsid w:val="00B55F0E"/>
    <w:rsid w:val="00B5719D"/>
    <w:rsid w:val="00B60A01"/>
    <w:rsid w:val="00B61DA3"/>
    <w:rsid w:val="00B6318E"/>
    <w:rsid w:val="00B63E29"/>
    <w:rsid w:val="00B648DF"/>
    <w:rsid w:val="00B705D3"/>
    <w:rsid w:val="00B7213C"/>
    <w:rsid w:val="00B72640"/>
    <w:rsid w:val="00B7389C"/>
    <w:rsid w:val="00B7547E"/>
    <w:rsid w:val="00B77510"/>
    <w:rsid w:val="00B80087"/>
    <w:rsid w:val="00B80228"/>
    <w:rsid w:val="00B816CE"/>
    <w:rsid w:val="00B82278"/>
    <w:rsid w:val="00B827FF"/>
    <w:rsid w:val="00B8445D"/>
    <w:rsid w:val="00B846E1"/>
    <w:rsid w:val="00B85CAD"/>
    <w:rsid w:val="00B9000E"/>
    <w:rsid w:val="00B9010E"/>
    <w:rsid w:val="00B9061C"/>
    <w:rsid w:val="00B90A67"/>
    <w:rsid w:val="00B93351"/>
    <w:rsid w:val="00B93FAF"/>
    <w:rsid w:val="00B948CC"/>
    <w:rsid w:val="00B94AE4"/>
    <w:rsid w:val="00B95370"/>
    <w:rsid w:val="00B9601D"/>
    <w:rsid w:val="00B962A8"/>
    <w:rsid w:val="00B96A73"/>
    <w:rsid w:val="00B96AC7"/>
    <w:rsid w:val="00B96DBD"/>
    <w:rsid w:val="00B9744A"/>
    <w:rsid w:val="00B97FB1"/>
    <w:rsid w:val="00B97FE2"/>
    <w:rsid w:val="00BA0D89"/>
    <w:rsid w:val="00BA30A2"/>
    <w:rsid w:val="00BA4E2C"/>
    <w:rsid w:val="00BA5931"/>
    <w:rsid w:val="00BA594F"/>
    <w:rsid w:val="00BA6C89"/>
    <w:rsid w:val="00BB3625"/>
    <w:rsid w:val="00BB4588"/>
    <w:rsid w:val="00BB7951"/>
    <w:rsid w:val="00BC2074"/>
    <w:rsid w:val="00BC2A96"/>
    <w:rsid w:val="00BC46E7"/>
    <w:rsid w:val="00BC46FA"/>
    <w:rsid w:val="00BC49F4"/>
    <w:rsid w:val="00BC4AC3"/>
    <w:rsid w:val="00BC5FB6"/>
    <w:rsid w:val="00BC622C"/>
    <w:rsid w:val="00BD0813"/>
    <w:rsid w:val="00BD21ED"/>
    <w:rsid w:val="00BD241F"/>
    <w:rsid w:val="00BD2A22"/>
    <w:rsid w:val="00BD3F94"/>
    <w:rsid w:val="00BD403D"/>
    <w:rsid w:val="00BD4A30"/>
    <w:rsid w:val="00BD6662"/>
    <w:rsid w:val="00BD7002"/>
    <w:rsid w:val="00BE0777"/>
    <w:rsid w:val="00BE3C7B"/>
    <w:rsid w:val="00BE57C9"/>
    <w:rsid w:val="00BE6D8C"/>
    <w:rsid w:val="00BF109A"/>
    <w:rsid w:val="00BF18FB"/>
    <w:rsid w:val="00BF2E42"/>
    <w:rsid w:val="00BF37FE"/>
    <w:rsid w:val="00BF497D"/>
    <w:rsid w:val="00BF6512"/>
    <w:rsid w:val="00C0099E"/>
    <w:rsid w:val="00C0164D"/>
    <w:rsid w:val="00C0427F"/>
    <w:rsid w:val="00C04A5D"/>
    <w:rsid w:val="00C06458"/>
    <w:rsid w:val="00C069C3"/>
    <w:rsid w:val="00C06F26"/>
    <w:rsid w:val="00C074A3"/>
    <w:rsid w:val="00C102B5"/>
    <w:rsid w:val="00C12241"/>
    <w:rsid w:val="00C13D2C"/>
    <w:rsid w:val="00C14001"/>
    <w:rsid w:val="00C14296"/>
    <w:rsid w:val="00C148C1"/>
    <w:rsid w:val="00C163B9"/>
    <w:rsid w:val="00C1695B"/>
    <w:rsid w:val="00C17383"/>
    <w:rsid w:val="00C177B2"/>
    <w:rsid w:val="00C20025"/>
    <w:rsid w:val="00C23138"/>
    <w:rsid w:val="00C235CA"/>
    <w:rsid w:val="00C23CA7"/>
    <w:rsid w:val="00C25CB9"/>
    <w:rsid w:val="00C27641"/>
    <w:rsid w:val="00C31740"/>
    <w:rsid w:val="00C32947"/>
    <w:rsid w:val="00C32DCD"/>
    <w:rsid w:val="00C32E7A"/>
    <w:rsid w:val="00C3360B"/>
    <w:rsid w:val="00C33DC6"/>
    <w:rsid w:val="00C362F2"/>
    <w:rsid w:val="00C415B0"/>
    <w:rsid w:val="00C422BC"/>
    <w:rsid w:val="00C42B47"/>
    <w:rsid w:val="00C42DBB"/>
    <w:rsid w:val="00C44BBE"/>
    <w:rsid w:val="00C45AF8"/>
    <w:rsid w:val="00C45D62"/>
    <w:rsid w:val="00C462EE"/>
    <w:rsid w:val="00C465B6"/>
    <w:rsid w:val="00C469A4"/>
    <w:rsid w:val="00C47BE8"/>
    <w:rsid w:val="00C47E46"/>
    <w:rsid w:val="00C507C3"/>
    <w:rsid w:val="00C51DFF"/>
    <w:rsid w:val="00C52188"/>
    <w:rsid w:val="00C5358D"/>
    <w:rsid w:val="00C54B87"/>
    <w:rsid w:val="00C55BD2"/>
    <w:rsid w:val="00C56AB8"/>
    <w:rsid w:val="00C56D03"/>
    <w:rsid w:val="00C57850"/>
    <w:rsid w:val="00C6079E"/>
    <w:rsid w:val="00C607F8"/>
    <w:rsid w:val="00C61603"/>
    <w:rsid w:val="00C62BBB"/>
    <w:rsid w:val="00C6302E"/>
    <w:rsid w:val="00C6378C"/>
    <w:rsid w:val="00C63B29"/>
    <w:rsid w:val="00C63B3B"/>
    <w:rsid w:val="00C64158"/>
    <w:rsid w:val="00C64AD3"/>
    <w:rsid w:val="00C6537A"/>
    <w:rsid w:val="00C65D5A"/>
    <w:rsid w:val="00C66A8B"/>
    <w:rsid w:val="00C66ED8"/>
    <w:rsid w:val="00C6730B"/>
    <w:rsid w:val="00C70861"/>
    <w:rsid w:val="00C70AB5"/>
    <w:rsid w:val="00C71503"/>
    <w:rsid w:val="00C722D7"/>
    <w:rsid w:val="00C731E8"/>
    <w:rsid w:val="00C770B0"/>
    <w:rsid w:val="00C77E1B"/>
    <w:rsid w:val="00C80108"/>
    <w:rsid w:val="00C82185"/>
    <w:rsid w:val="00C832E2"/>
    <w:rsid w:val="00C83B2F"/>
    <w:rsid w:val="00C83DF8"/>
    <w:rsid w:val="00C858FA"/>
    <w:rsid w:val="00C85A66"/>
    <w:rsid w:val="00C8699C"/>
    <w:rsid w:val="00C86A37"/>
    <w:rsid w:val="00C9060D"/>
    <w:rsid w:val="00C90C8A"/>
    <w:rsid w:val="00C9159A"/>
    <w:rsid w:val="00C91791"/>
    <w:rsid w:val="00C94571"/>
    <w:rsid w:val="00C945DD"/>
    <w:rsid w:val="00C94923"/>
    <w:rsid w:val="00C94EE9"/>
    <w:rsid w:val="00C95E36"/>
    <w:rsid w:val="00CA0B75"/>
    <w:rsid w:val="00CA0DC9"/>
    <w:rsid w:val="00CA391F"/>
    <w:rsid w:val="00CA43A1"/>
    <w:rsid w:val="00CA4E97"/>
    <w:rsid w:val="00CA5249"/>
    <w:rsid w:val="00CA5CCE"/>
    <w:rsid w:val="00CB1311"/>
    <w:rsid w:val="00CB1974"/>
    <w:rsid w:val="00CB2DEC"/>
    <w:rsid w:val="00CB59D1"/>
    <w:rsid w:val="00CB6763"/>
    <w:rsid w:val="00CB6CA2"/>
    <w:rsid w:val="00CB712C"/>
    <w:rsid w:val="00CC0285"/>
    <w:rsid w:val="00CC0F54"/>
    <w:rsid w:val="00CC1E0F"/>
    <w:rsid w:val="00CC3D0D"/>
    <w:rsid w:val="00CC3EAE"/>
    <w:rsid w:val="00CC6BDB"/>
    <w:rsid w:val="00CC6FA2"/>
    <w:rsid w:val="00CC71A9"/>
    <w:rsid w:val="00CD02B2"/>
    <w:rsid w:val="00CD07E1"/>
    <w:rsid w:val="00CD0F48"/>
    <w:rsid w:val="00CD23DC"/>
    <w:rsid w:val="00CD27C9"/>
    <w:rsid w:val="00CD33C4"/>
    <w:rsid w:val="00CD4424"/>
    <w:rsid w:val="00CD464B"/>
    <w:rsid w:val="00CD55BC"/>
    <w:rsid w:val="00CD5730"/>
    <w:rsid w:val="00CD5B9E"/>
    <w:rsid w:val="00CD7E74"/>
    <w:rsid w:val="00CE17A5"/>
    <w:rsid w:val="00CE3009"/>
    <w:rsid w:val="00CE4256"/>
    <w:rsid w:val="00CE44C5"/>
    <w:rsid w:val="00CE5CFF"/>
    <w:rsid w:val="00CE6D6D"/>
    <w:rsid w:val="00CF0502"/>
    <w:rsid w:val="00CF1C3C"/>
    <w:rsid w:val="00CF1F0A"/>
    <w:rsid w:val="00CF561E"/>
    <w:rsid w:val="00CF645F"/>
    <w:rsid w:val="00CF6520"/>
    <w:rsid w:val="00CF65CD"/>
    <w:rsid w:val="00CF6CCA"/>
    <w:rsid w:val="00CF7499"/>
    <w:rsid w:val="00CF7B71"/>
    <w:rsid w:val="00D017DA"/>
    <w:rsid w:val="00D023A5"/>
    <w:rsid w:val="00D0366F"/>
    <w:rsid w:val="00D044DD"/>
    <w:rsid w:val="00D059E8"/>
    <w:rsid w:val="00D07024"/>
    <w:rsid w:val="00D1044D"/>
    <w:rsid w:val="00D105D7"/>
    <w:rsid w:val="00D11503"/>
    <w:rsid w:val="00D11B34"/>
    <w:rsid w:val="00D13E72"/>
    <w:rsid w:val="00D14796"/>
    <w:rsid w:val="00D1613E"/>
    <w:rsid w:val="00D1662F"/>
    <w:rsid w:val="00D16D7D"/>
    <w:rsid w:val="00D17ACB"/>
    <w:rsid w:val="00D20077"/>
    <w:rsid w:val="00D205D1"/>
    <w:rsid w:val="00D2191B"/>
    <w:rsid w:val="00D22F5B"/>
    <w:rsid w:val="00D23445"/>
    <w:rsid w:val="00D2520B"/>
    <w:rsid w:val="00D26EB7"/>
    <w:rsid w:val="00D27769"/>
    <w:rsid w:val="00D27863"/>
    <w:rsid w:val="00D308D9"/>
    <w:rsid w:val="00D30DD9"/>
    <w:rsid w:val="00D31795"/>
    <w:rsid w:val="00D3706C"/>
    <w:rsid w:val="00D4229E"/>
    <w:rsid w:val="00D44D00"/>
    <w:rsid w:val="00D46C20"/>
    <w:rsid w:val="00D479F8"/>
    <w:rsid w:val="00D47B3F"/>
    <w:rsid w:val="00D5513A"/>
    <w:rsid w:val="00D572EB"/>
    <w:rsid w:val="00D61F41"/>
    <w:rsid w:val="00D622F8"/>
    <w:rsid w:val="00D6286D"/>
    <w:rsid w:val="00D62C77"/>
    <w:rsid w:val="00D62DA7"/>
    <w:rsid w:val="00D63EB0"/>
    <w:rsid w:val="00D65365"/>
    <w:rsid w:val="00D679DE"/>
    <w:rsid w:val="00D70377"/>
    <w:rsid w:val="00D7081E"/>
    <w:rsid w:val="00D726E8"/>
    <w:rsid w:val="00D72A02"/>
    <w:rsid w:val="00D73622"/>
    <w:rsid w:val="00D743B6"/>
    <w:rsid w:val="00D74957"/>
    <w:rsid w:val="00D751FF"/>
    <w:rsid w:val="00D752B3"/>
    <w:rsid w:val="00D76EB2"/>
    <w:rsid w:val="00D7763D"/>
    <w:rsid w:val="00D77F94"/>
    <w:rsid w:val="00D80059"/>
    <w:rsid w:val="00D81B3B"/>
    <w:rsid w:val="00D83FAA"/>
    <w:rsid w:val="00D84113"/>
    <w:rsid w:val="00D8565B"/>
    <w:rsid w:val="00D8597C"/>
    <w:rsid w:val="00D85E31"/>
    <w:rsid w:val="00D86132"/>
    <w:rsid w:val="00D863D3"/>
    <w:rsid w:val="00D9083C"/>
    <w:rsid w:val="00D92DC5"/>
    <w:rsid w:val="00D92E2E"/>
    <w:rsid w:val="00D9361C"/>
    <w:rsid w:val="00D94918"/>
    <w:rsid w:val="00D94F12"/>
    <w:rsid w:val="00D95251"/>
    <w:rsid w:val="00D96367"/>
    <w:rsid w:val="00D968C1"/>
    <w:rsid w:val="00D96FF0"/>
    <w:rsid w:val="00DA0923"/>
    <w:rsid w:val="00DA1A87"/>
    <w:rsid w:val="00DA28DD"/>
    <w:rsid w:val="00DA2CB8"/>
    <w:rsid w:val="00DA4FF3"/>
    <w:rsid w:val="00DA668C"/>
    <w:rsid w:val="00DA6F0F"/>
    <w:rsid w:val="00DB01ED"/>
    <w:rsid w:val="00DB2075"/>
    <w:rsid w:val="00DB525D"/>
    <w:rsid w:val="00DB55B9"/>
    <w:rsid w:val="00DB6EE5"/>
    <w:rsid w:val="00DC2413"/>
    <w:rsid w:val="00DC3CE7"/>
    <w:rsid w:val="00DC3EED"/>
    <w:rsid w:val="00DC4D08"/>
    <w:rsid w:val="00DC5857"/>
    <w:rsid w:val="00DC6424"/>
    <w:rsid w:val="00DC739A"/>
    <w:rsid w:val="00DD07F6"/>
    <w:rsid w:val="00DD0C6D"/>
    <w:rsid w:val="00DD29DC"/>
    <w:rsid w:val="00DD31AB"/>
    <w:rsid w:val="00DD4B9A"/>
    <w:rsid w:val="00DD4E41"/>
    <w:rsid w:val="00DD4E93"/>
    <w:rsid w:val="00DD4F5E"/>
    <w:rsid w:val="00DD5207"/>
    <w:rsid w:val="00DE09D9"/>
    <w:rsid w:val="00DE1058"/>
    <w:rsid w:val="00DE1C54"/>
    <w:rsid w:val="00DE1FE6"/>
    <w:rsid w:val="00DE2A87"/>
    <w:rsid w:val="00DE30A8"/>
    <w:rsid w:val="00DE3EF9"/>
    <w:rsid w:val="00DE41A9"/>
    <w:rsid w:val="00DE4219"/>
    <w:rsid w:val="00DE5C87"/>
    <w:rsid w:val="00DE63F9"/>
    <w:rsid w:val="00DF076F"/>
    <w:rsid w:val="00DF143C"/>
    <w:rsid w:val="00DF15CC"/>
    <w:rsid w:val="00DF238C"/>
    <w:rsid w:val="00DF4393"/>
    <w:rsid w:val="00DF5035"/>
    <w:rsid w:val="00DF54C3"/>
    <w:rsid w:val="00DF6F90"/>
    <w:rsid w:val="00E00797"/>
    <w:rsid w:val="00E01D45"/>
    <w:rsid w:val="00E021E3"/>
    <w:rsid w:val="00E04447"/>
    <w:rsid w:val="00E05EC5"/>
    <w:rsid w:val="00E06944"/>
    <w:rsid w:val="00E06970"/>
    <w:rsid w:val="00E079CA"/>
    <w:rsid w:val="00E07D64"/>
    <w:rsid w:val="00E100B7"/>
    <w:rsid w:val="00E10728"/>
    <w:rsid w:val="00E1167F"/>
    <w:rsid w:val="00E1313E"/>
    <w:rsid w:val="00E13625"/>
    <w:rsid w:val="00E138B7"/>
    <w:rsid w:val="00E141BD"/>
    <w:rsid w:val="00E14ED1"/>
    <w:rsid w:val="00E150D3"/>
    <w:rsid w:val="00E15CA5"/>
    <w:rsid w:val="00E15E40"/>
    <w:rsid w:val="00E16329"/>
    <w:rsid w:val="00E16F9B"/>
    <w:rsid w:val="00E20A2C"/>
    <w:rsid w:val="00E22258"/>
    <w:rsid w:val="00E22E0E"/>
    <w:rsid w:val="00E23661"/>
    <w:rsid w:val="00E248F7"/>
    <w:rsid w:val="00E24FC6"/>
    <w:rsid w:val="00E251B6"/>
    <w:rsid w:val="00E2587D"/>
    <w:rsid w:val="00E268C9"/>
    <w:rsid w:val="00E31358"/>
    <w:rsid w:val="00E313DA"/>
    <w:rsid w:val="00E32A95"/>
    <w:rsid w:val="00E3337D"/>
    <w:rsid w:val="00E3428A"/>
    <w:rsid w:val="00E3443F"/>
    <w:rsid w:val="00E34920"/>
    <w:rsid w:val="00E34923"/>
    <w:rsid w:val="00E34CA5"/>
    <w:rsid w:val="00E353BA"/>
    <w:rsid w:val="00E357E4"/>
    <w:rsid w:val="00E35CE8"/>
    <w:rsid w:val="00E35E89"/>
    <w:rsid w:val="00E36862"/>
    <w:rsid w:val="00E36BFC"/>
    <w:rsid w:val="00E376A8"/>
    <w:rsid w:val="00E404F9"/>
    <w:rsid w:val="00E414CC"/>
    <w:rsid w:val="00E429C1"/>
    <w:rsid w:val="00E42DBD"/>
    <w:rsid w:val="00E4491D"/>
    <w:rsid w:val="00E467E7"/>
    <w:rsid w:val="00E46B76"/>
    <w:rsid w:val="00E470E6"/>
    <w:rsid w:val="00E4713C"/>
    <w:rsid w:val="00E473DC"/>
    <w:rsid w:val="00E50F60"/>
    <w:rsid w:val="00E539E7"/>
    <w:rsid w:val="00E546C1"/>
    <w:rsid w:val="00E5526A"/>
    <w:rsid w:val="00E579D7"/>
    <w:rsid w:val="00E6249C"/>
    <w:rsid w:val="00E655E5"/>
    <w:rsid w:val="00E6605E"/>
    <w:rsid w:val="00E66BA4"/>
    <w:rsid w:val="00E66F0F"/>
    <w:rsid w:val="00E67677"/>
    <w:rsid w:val="00E67F3A"/>
    <w:rsid w:val="00E703CF"/>
    <w:rsid w:val="00E706DB"/>
    <w:rsid w:val="00E7095D"/>
    <w:rsid w:val="00E7108A"/>
    <w:rsid w:val="00E7153F"/>
    <w:rsid w:val="00E71CC9"/>
    <w:rsid w:val="00E721B6"/>
    <w:rsid w:val="00E724F1"/>
    <w:rsid w:val="00E72FFF"/>
    <w:rsid w:val="00E7596E"/>
    <w:rsid w:val="00E80CC5"/>
    <w:rsid w:val="00E81CC9"/>
    <w:rsid w:val="00E825CA"/>
    <w:rsid w:val="00E84118"/>
    <w:rsid w:val="00E8497F"/>
    <w:rsid w:val="00E84B8C"/>
    <w:rsid w:val="00E857E0"/>
    <w:rsid w:val="00E86979"/>
    <w:rsid w:val="00E8799B"/>
    <w:rsid w:val="00E909DE"/>
    <w:rsid w:val="00E92EF9"/>
    <w:rsid w:val="00E95956"/>
    <w:rsid w:val="00E97164"/>
    <w:rsid w:val="00EA0558"/>
    <w:rsid w:val="00EA086F"/>
    <w:rsid w:val="00EA0C92"/>
    <w:rsid w:val="00EA1519"/>
    <w:rsid w:val="00EA1967"/>
    <w:rsid w:val="00EA1D11"/>
    <w:rsid w:val="00EA3214"/>
    <w:rsid w:val="00EA36DF"/>
    <w:rsid w:val="00EA62FD"/>
    <w:rsid w:val="00EA63C0"/>
    <w:rsid w:val="00EA72D2"/>
    <w:rsid w:val="00EA72F5"/>
    <w:rsid w:val="00EA7A33"/>
    <w:rsid w:val="00EA7C58"/>
    <w:rsid w:val="00EB0407"/>
    <w:rsid w:val="00EB0536"/>
    <w:rsid w:val="00EB07BB"/>
    <w:rsid w:val="00EB183C"/>
    <w:rsid w:val="00EB1936"/>
    <w:rsid w:val="00EB2587"/>
    <w:rsid w:val="00EB3AF3"/>
    <w:rsid w:val="00EB42A8"/>
    <w:rsid w:val="00EB5601"/>
    <w:rsid w:val="00EB5DA2"/>
    <w:rsid w:val="00EC159E"/>
    <w:rsid w:val="00EC224D"/>
    <w:rsid w:val="00EC4EE6"/>
    <w:rsid w:val="00EC501A"/>
    <w:rsid w:val="00EC526F"/>
    <w:rsid w:val="00EC567C"/>
    <w:rsid w:val="00EC5A56"/>
    <w:rsid w:val="00EC5C01"/>
    <w:rsid w:val="00EC604E"/>
    <w:rsid w:val="00EC74B1"/>
    <w:rsid w:val="00EC773C"/>
    <w:rsid w:val="00ED055C"/>
    <w:rsid w:val="00ED0A75"/>
    <w:rsid w:val="00ED14A5"/>
    <w:rsid w:val="00ED3081"/>
    <w:rsid w:val="00ED386E"/>
    <w:rsid w:val="00ED7363"/>
    <w:rsid w:val="00EE0405"/>
    <w:rsid w:val="00EE0F4A"/>
    <w:rsid w:val="00EE1676"/>
    <w:rsid w:val="00EE2273"/>
    <w:rsid w:val="00EE4023"/>
    <w:rsid w:val="00EE4C7F"/>
    <w:rsid w:val="00EE62F5"/>
    <w:rsid w:val="00EE7372"/>
    <w:rsid w:val="00EF08E3"/>
    <w:rsid w:val="00EF0E67"/>
    <w:rsid w:val="00EF2E4D"/>
    <w:rsid w:val="00EF3427"/>
    <w:rsid w:val="00EF5074"/>
    <w:rsid w:val="00EF6271"/>
    <w:rsid w:val="00EF644F"/>
    <w:rsid w:val="00F006A1"/>
    <w:rsid w:val="00F016EE"/>
    <w:rsid w:val="00F020F8"/>
    <w:rsid w:val="00F0278D"/>
    <w:rsid w:val="00F03CAF"/>
    <w:rsid w:val="00F04EF9"/>
    <w:rsid w:val="00F07F10"/>
    <w:rsid w:val="00F10410"/>
    <w:rsid w:val="00F10924"/>
    <w:rsid w:val="00F118A3"/>
    <w:rsid w:val="00F1515A"/>
    <w:rsid w:val="00F1548E"/>
    <w:rsid w:val="00F15C9E"/>
    <w:rsid w:val="00F15CEC"/>
    <w:rsid w:val="00F16569"/>
    <w:rsid w:val="00F16BC1"/>
    <w:rsid w:val="00F170E9"/>
    <w:rsid w:val="00F178DE"/>
    <w:rsid w:val="00F17EF3"/>
    <w:rsid w:val="00F22E36"/>
    <w:rsid w:val="00F2431F"/>
    <w:rsid w:val="00F2712A"/>
    <w:rsid w:val="00F31ECF"/>
    <w:rsid w:val="00F31F97"/>
    <w:rsid w:val="00F32C85"/>
    <w:rsid w:val="00F33F17"/>
    <w:rsid w:val="00F34445"/>
    <w:rsid w:val="00F34BA8"/>
    <w:rsid w:val="00F354D7"/>
    <w:rsid w:val="00F35FA5"/>
    <w:rsid w:val="00F36960"/>
    <w:rsid w:val="00F40B38"/>
    <w:rsid w:val="00F40F27"/>
    <w:rsid w:val="00F4256F"/>
    <w:rsid w:val="00F43209"/>
    <w:rsid w:val="00F444B7"/>
    <w:rsid w:val="00F44D20"/>
    <w:rsid w:val="00F44F2A"/>
    <w:rsid w:val="00F45304"/>
    <w:rsid w:val="00F457D2"/>
    <w:rsid w:val="00F4661B"/>
    <w:rsid w:val="00F46AB9"/>
    <w:rsid w:val="00F46B5A"/>
    <w:rsid w:val="00F46CC7"/>
    <w:rsid w:val="00F47FB1"/>
    <w:rsid w:val="00F5056D"/>
    <w:rsid w:val="00F50E71"/>
    <w:rsid w:val="00F51381"/>
    <w:rsid w:val="00F51989"/>
    <w:rsid w:val="00F519E6"/>
    <w:rsid w:val="00F52633"/>
    <w:rsid w:val="00F53DC4"/>
    <w:rsid w:val="00F53F30"/>
    <w:rsid w:val="00F5509D"/>
    <w:rsid w:val="00F57032"/>
    <w:rsid w:val="00F57DF3"/>
    <w:rsid w:val="00F6104A"/>
    <w:rsid w:val="00F621C8"/>
    <w:rsid w:val="00F63EDE"/>
    <w:rsid w:val="00F65292"/>
    <w:rsid w:val="00F66234"/>
    <w:rsid w:val="00F671B8"/>
    <w:rsid w:val="00F70D5A"/>
    <w:rsid w:val="00F718C0"/>
    <w:rsid w:val="00F75CA3"/>
    <w:rsid w:val="00F76B77"/>
    <w:rsid w:val="00F7775D"/>
    <w:rsid w:val="00F80238"/>
    <w:rsid w:val="00F83572"/>
    <w:rsid w:val="00F8357C"/>
    <w:rsid w:val="00F85313"/>
    <w:rsid w:val="00F85475"/>
    <w:rsid w:val="00F854DB"/>
    <w:rsid w:val="00F85540"/>
    <w:rsid w:val="00F85E4C"/>
    <w:rsid w:val="00F86215"/>
    <w:rsid w:val="00F86688"/>
    <w:rsid w:val="00F867F2"/>
    <w:rsid w:val="00F86D80"/>
    <w:rsid w:val="00F8713D"/>
    <w:rsid w:val="00F87ECD"/>
    <w:rsid w:val="00F909C7"/>
    <w:rsid w:val="00F90B68"/>
    <w:rsid w:val="00F917A3"/>
    <w:rsid w:val="00F91888"/>
    <w:rsid w:val="00F94669"/>
    <w:rsid w:val="00F947AE"/>
    <w:rsid w:val="00F94EF4"/>
    <w:rsid w:val="00F963B2"/>
    <w:rsid w:val="00F96BA5"/>
    <w:rsid w:val="00F9759E"/>
    <w:rsid w:val="00F97773"/>
    <w:rsid w:val="00FA0A5E"/>
    <w:rsid w:val="00FA1C4A"/>
    <w:rsid w:val="00FA3625"/>
    <w:rsid w:val="00FA3EE6"/>
    <w:rsid w:val="00FA406C"/>
    <w:rsid w:val="00FA5729"/>
    <w:rsid w:val="00FA5FEA"/>
    <w:rsid w:val="00FA64DA"/>
    <w:rsid w:val="00FA652A"/>
    <w:rsid w:val="00FA79DE"/>
    <w:rsid w:val="00FA7D7E"/>
    <w:rsid w:val="00FB2561"/>
    <w:rsid w:val="00FB4408"/>
    <w:rsid w:val="00FB48B3"/>
    <w:rsid w:val="00FB4C0B"/>
    <w:rsid w:val="00FB5BF5"/>
    <w:rsid w:val="00FB6C47"/>
    <w:rsid w:val="00FB702E"/>
    <w:rsid w:val="00FB7260"/>
    <w:rsid w:val="00FB7E2B"/>
    <w:rsid w:val="00FC0DA6"/>
    <w:rsid w:val="00FC1729"/>
    <w:rsid w:val="00FC1D24"/>
    <w:rsid w:val="00FC21E2"/>
    <w:rsid w:val="00FC2995"/>
    <w:rsid w:val="00FC2CCC"/>
    <w:rsid w:val="00FC345F"/>
    <w:rsid w:val="00FC4B72"/>
    <w:rsid w:val="00FC4D89"/>
    <w:rsid w:val="00FC5206"/>
    <w:rsid w:val="00FC630F"/>
    <w:rsid w:val="00FD028C"/>
    <w:rsid w:val="00FD070D"/>
    <w:rsid w:val="00FD1CB6"/>
    <w:rsid w:val="00FD2217"/>
    <w:rsid w:val="00FD5AA1"/>
    <w:rsid w:val="00FD76CC"/>
    <w:rsid w:val="00FE097C"/>
    <w:rsid w:val="00FE0CF9"/>
    <w:rsid w:val="00FE0D66"/>
    <w:rsid w:val="00FE21C3"/>
    <w:rsid w:val="00FE2FF7"/>
    <w:rsid w:val="00FE3F4D"/>
    <w:rsid w:val="00FE45A9"/>
    <w:rsid w:val="00FE5074"/>
    <w:rsid w:val="00FE5DBC"/>
    <w:rsid w:val="00FE6555"/>
    <w:rsid w:val="00FE6BB2"/>
    <w:rsid w:val="00FE6FDC"/>
    <w:rsid w:val="00FE71D7"/>
    <w:rsid w:val="00FF014F"/>
    <w:rsid w:val="00FF03D7"/>
    <w:rsid w:val="00FF0587"/>
    <w:rsid w:val="00FF1BBE"/>
    <w:rsid w:val="00FF2DCA"/>
    <w:rsid w:val="00FF6451"/>
    <w:rsid w:val="00FF6923"/>
    <w:rsid w:val="00FF6E8A"/>
    <w:rsid w:val="00FF79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22" style="mso-position-horizontal-relative:margin;mso-position-vertical-relative:margin" fillcolor="white" stroke="f">
      <v:fill color="white" size="0,0" aspect="atLeast" origin="-32767f,-32767f" position="-32767f,-32767f" type="frame"/>
      <v:stroke on="f"/>
      <o:colormru v:ext="edit" colors="#ddd,#f8f8f8"/>
    </o:shapedefaults>
    <o:shapelayout v:ext="edit">
      <o:idmap v:ext="edit" data="1"/>
    </o:shapelayout>
  </w:shapeDefaults>
  <w:decimalSymbol w:val="."/>
  <w:listSeparator w:val=","/>
  <w14:docId w14:val="223BCC38"/>
  <w15:docId w15:val="{CEE36851-8A5C-4946-8F5D-D78307F91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0" w:defSemiHidden="0" w:defUnhideWhenUsed="0" w:defQFormat="0" w:count="371">
    <w:lsdException w:name="Normal" w:locked="0" w:uiPriority="99"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nhideWhenUsed="1"/>
    <w:lsdException w:name="toc 7" w:unhideWhenUsed="1"/>
    <w:lsdException w:name="toc 8" w:unhideWhenUsed="1"/>
    <w:lsdException w:name="toc 9"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qFormat="1"/>
    <w:lsdException w:name="index heading" w:semiHidden="1" w:unhideWhenUsed="1"/>
    <w:lsdException w:name="caption"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uiPriority w:val="99"/>
    <w:semiHidden/>
    <w:qFormat/>
    <w:rsid w:val="00FE2FF7"/>
    <w:pPr>
      <w:spacing w:after="120"/>
    </w:pPr>
    <w:rPr>
      <w:rFonts w:eastAsia="Calibri"/>
      <w:color w:val="000000"/>
    </w:rPr>
  </w:style>
  <w:style w:type="paragraph" w:styleId="Heading1">
    <w:name w:val="heading 1"/>
    <w:next w:val="BodyText"/>
    <w:link w:val="Heading1Char"/>
    <w:qFormat/>
    <w:locked/>
    <w:rsid w:val="007F0DA1"/>
    <w:pPr>
      <w:numPr>
        <w:numId w:val="5"/>
      </w:numPr>
      <w:spacing w:before="840" w:after="120" w:line="240" w:lineRule="auto"/>
      <w:ind w:left="1134" w:hanging="1134"/>
      <w:outlineLvl w:val="0"/>
    </w:pPr>
    <w:rPr>
      <w:rFonts w:asciiTheme="majorHAnsi" w:eastAsia="Times New Roman" w:hAnsiTheme="majorHAnsi"/>
      <w:b/>
      <w:color w:val="146692" w:themeColor="text2"/>
      <w:sz w:val="72"/>
      <w:szCs w:val="72"/>
    </w:rPr>
  </w:style>
  <w:style w:type="paragraph" w:styleId="Heading2">
    <w:name w:val="heading 2"/>
    <w:basedOn w:val="Heading1"/>
    <w:next w:val="BodyText"/>
    <w:link w:val="Heading2Char"/>
    <w:qFormat/>
    <w:locked/>
    <w:rsid w:val="005A2330"/>
    <w:pPr>
      <w:numPr>
        <w:ilvl w:val="1"/>
      </w:numPr>
      <w:spacing w:before="0"/>
      <w:ind w:left="1134" w:hanging="1134"/>
      <w:outlineLvl w:val="1"/>
    </w:pPr>
    <w:rPr>
      <w:sz w:val="32"/>
    </w:rPr>
  </w:style>
  <w:style w:type="paragraph" w:styleId="Heading3">
    <w:name w:val="heading 3"/>
    <w:basedOn w:val="Heading2"/>
    <w:next w:val="BodyText"/>
    <w:link w:val="Heading3Char"/>
    <w:qFormat/>
    <w:locked/>
    <w:rsid w:val="00280214"/>
    <w:pPr>
      <w:keepNext/>
      <w:numPr>
        <w:ilvl w:val="2"/>
      </w:numPr>
      <w:spacing w:before="180" w:after="180"/>
      <w:outlineLvl w:val="2"/>
    </w:pPr>
    <w:rPr>
      <w:i/>
      <w:color w:val="000000" w:themeColor="text1"/>
      <w:sz w:val="28"/>
    </w:rPr>
  </w:style>
  <w:style w:type="paragraph" w:styleId="Heading4">
    <w:name w:val="heading 4"/>
    <w:basedOn w:val="Heading3"/>
    <w:next w:val="BodyText"/>
    <w:link w:val="Heading4Char"/>
    <w:qFormat/>
    <w:locked/>
    <w:rsid w:val="00824976"/>
    <w:pPr>
      <w:keepLines/>
      <w:numPr>
        <w:ilvl w:val="3"/>
      </w:numPr>
      <w:outlineLvl w:val="3"/>
    </w:pPr>
    <w:rPr>
      <w:b w:val="0"/>
      <w:i w:val="0"/>
      <w:iCs/>
      <w:color w:val="auto"/>
      <w:spacing w:val="1"/>
      <w:szCs w:val="28"/>
    </w:rPr>
  </w:style>
  <w:style w:type="paragraph" w:styleId="Heading5">
    <w:name w:val="heading 5"/>
    <w:basedOn w:val="Heading4"/>
    <w:next w:val="BodyText"/>
    <w:link w:val="Heading5Char"/>
    <w:qFormat/>
    <w:locked/>
    <w:rsid w:val="00280214"/>
    <w:pPr>
      <w:numPr>
        <w:ilvl w:val="4"/>
      </w:numPr>
      <w:outlineLvl w:val="4"/>
    </w:pPr>
    <w:rPr>
      <w:b/>
      <w:sz w:val="24"/>
    </w:rPr>
  </w:style>
  <w:style w:type="paragraph" w:styleId="Heading6">
    <w:name w:val="heading 6"/>
    <w:basedOn w:val="Normal"/>
    <w:next w:val="Normal"/>
    <w:link w:val="Heading6Char"/>
    <w:qFormat/>
    <w:locked/>
    <w:rsid w:val="00280214"/>
    <w:pPr>
      <w:keepNext/>
      <w:keepLines/>
      <w:spacing w:before="200"/>
      <w:outlineLvl w:val="5"/>
    </w:pPr>
    <w:rPr>
      <w:rFonts w:eastAsiaTheme="majorEastAsia" w:cstheme="majorBidi"/>
      <w:b/>
      <w:iCs/>
      <w:noProof/>
    </w:rPr>
  </w:style>
  <w:style w:type="paragraph" w:styleId="Heading7">
    <w:name w:val="heading 7"/>
    <w:basedOn w:val="Normal"/>
    <w:next w:val="Normal"/>
    <w:link w:val="Heading7Char"/>
    <w:qFormat/>
    <w:locked/>
    <w:rsid w:val="007D6814"/>
    <w:pPr>
      <w:spacing w:before="240" w:after="60"/>
      <w:outlineLvl w:val="6"/>
    </w:pPr>
    <w:rPr>
      <w:rFonts w:asciiTheme="minorHAnsi" w:hAnsiTheme="minorHAnsi" w:cstheme="majorBidi"/>
      <w:b/>
    </w:rPr>
  </w:style>
  <w:style w:type="paragraph" w:styleId="Heading8">
    <w:name w:val="heading 8"/>
    <w:basedOn w:val="Normal"/>
    <w:next w:val="Normal"/>
    <w:link w:val="Heading8Char"/>
    <w:semiHidden/>
    <w:qFormat/>
    <w:locked/>
    <w:rsid w:val="00DB55B9"/>
    <w:pPr>
      <w:spacing w:before="240" w:after="60"/>
      <w:outlineLvl w:val="7"/>
    </w:pPr>
    <w:rPr>
      <w:rFonts w:asciiTheme="minorHAnsi" w:hAnsiTheme="minorHAnsi" w:cstheme="majorBidi"/>
      <w:i/>
      <w:iCs/>
    </w:rPr>
  </w:style>
  <w:style w:type="paragraph" w:styleId="Heading9">
    <w:name w:val="heading 9"/>
    <w:aliases w:val="Appendix Heading 1,Heading appendix 1,Heading Appendix 1"/>
    <w:basedOn w:val="AppendixHeading1base"/>
    <w:next w:val="BodyText"/>
    <w:link w:val="Heading9Char"/>
    <w:qFormat/>
    <w:locked/>
    <w:rsid w:val="00B53405"/>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7F0DA1"/>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locked/>
    <w:rsid w:val="005A2330"/>
    <w:rPr>
      <w:rFonts w:asciiTheme="majorHAnsi" w:eastAsia="Times New Roman" w:hAnsiTheme="majorHAnsi"/>
      <w:b/>
      <w:color w:val="146692" w:themeColor="text2"/>
      <w:sz w:val="32"/>
      <w:szCs w:val="72"/>
    </w:rPr>
  </w:style>
  <w:style w:type="character" w:customStyle="1" w:styleId="Heading3Char">
    <w:name w:val="Heading 3 Char"/>
    <w:basedOn w:val="DefaultParagraphFont"/>
    <w:link w:val="Heading3"/>
    <w:locked/>
    <w:rsid w:val="00280214"/>
    <w:rPr>
      <w:rFonts w:asciiTheme="majorHAnsi" w:eastAsia="Times New Roman" w:hAnsiTheme="majorHAnsi"/>
      <w:b/>
      <w:i/>
      <w:color w:val="000000" w:themeColor="text1"/>
      <w:sz w:val="28"/>
      <w:szCs w:val="72"/>
    </w:rPr>
  </w:style>
  <w:style w:type="character" w:customStyle="1" w:styleId="Heading4Char">
    <w:name w:val="Heading 4 Char"/>
    <w:basedOn w:val="DefaultParagraphFont"/>
    <w:link w:val="Heading4"/>
    <w:locked/>
    <w:rsid w:val="00824976"/>
    <w:rPr>
      <w:rFonts w:asciiTheme="majorHAnsi" w:eastAsia="Times New Roman" w:hAnsiTheme="majorHAnsi"/>
      <w:iCs/>
      <w:spacing w:val="1"/>
      <w:sz w:val="28"/>
      <w:szCs w:val="28"/>
    </w:rPr>
  </w:style>
  <w:style w:type="character" w:customStyle="1" w:styleId="Heading5Char">
    <w:name w:val="Heading 5 Char"/>
    <w:basedOn w:val="DefaultParagraphFont"/>
    <w:link w:val="Heading5"/>
    <w:locked/>
    <w:rsid w:val="00280214"/>
    <w:rPr>
      <w:rFonts w:asciiTheme="majorHAnsi" w:eastAsia="Times New Roman" w:hAnsiTheme="majorHAnsi"/>
      <w:b/>
      <w:iCs/>
      <w:spacing w:val="1"/>
      <w:szCs w:val="28"/>
    </w:rPr>
  </w:style>
  <w:style w:type="character" w:customStyle="1" w:styleId="Heading6Char">
    <w:name w:val="Heading 6 Char"/>
    <w:basedOn w:val="DefaultParagraphFont"/>
    <w:link w:val="Heading6"/>
    <w:locked/>
    <w:rsid w:val="00280214"/>
    <w:rPr>
      <w:rFonts w:eastAsiaTheme="majorEastAsia" w:cstheme="majorBidi"/>
      <w:b/>
      <w:iCs/>
      <w:noProof/>
      <w:color w:val="000000"/>
    </w:rPr>
  </w:style>
  <w:style w:type="character" w:customStyle="1" w:styleId="Heading7Char">
    <w:name w:val="Heading 7 Char"/>
    <w:basedOn w:val="DefaultParagraphFont"/>
    <w:link w:val="Heading7"/>
    <w:locked/>
    <w:rsid w:val="00114F91"/>
    <w:rPr>
      <w:rFonts w:asciiTheme="minorHAnsi" w:eastAsia="Calibri" w:hAnsiTheme="minorHAnsi" w:cstheme="majorBidi"/>
      <w:b/>
      <w:color w:val="000000"/>
    </w:rPr>
  </w:style>
  <w:style w:type="character" w:customStyle="1" w:styleId="Heading8Char">
    <w:name w:val="Heading 8 Char"/>
    <w:basedOn w:val="DefaultParagraphFont"/>
    <w:link w:val="Heading8"/>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Heading appendix 1 Char,Heading Appendix 1 Char"/>
    <w:basedOn w:val="DefaultParagraphFont"/>
    <w:link w:val="Heading9"/>
    <w:locked/>
    <w:rsid w:val="00B53405"/>
    <w:rPr>
      <w:rFonts w:eastAsiaTheme="majorEastAsia" w:cstheme="majorBidi"/>
      <w:b/>
      <w:color w:val="146692" w:themeColor="text2"/>
      <w:sz w:val="44"/>
      <w:szCs w:val="28"/>
    </w:rPr>
  </w:style>
  <w:style w:type="paragraph" w:styleId="Header">
    <w:name w:val="header"/>
    <w:basedOn w:val="Normal"/>
    <w:link w:val="HeaderChar"/>
    <w:unhideWhenUsed/>
    <w:locked/>
    <w:rsid w:val="001F4181"/>
    <w:pPr>
      <w:tabs>
        <w:tab w:val="center" w:pos="4513"/>
        <w:tab w:val="right" w:pos="9026"/>
      </w:tabs>
      <w:spacing w:after="0"/>
    </w:pPr>
  </w:style>
  <w:style w:type="character" w:customStyle="1" w:styleId="HeaderChar">
    <w:name w:val="Header Char"/>
    <w:basedOn w:val="DefaultParagraphFont"/>
    <w:link w:val="Header"/>
    <w:rsid w:val="001F4181"/>
    <w:rPr>
      <w:rFonts w:eastAsia="Calibri"/>
      <w:color w:val="000000"/>
    </w:rPr>
  </w:style>
  <w:style w:type="paragraph" w:styleId="Footer">
    <w:name w:val="footer"/>
    <w:basedOn w:val="BodyText"/>
    <w:link w:val="FooterChar"/>
    <w:uiPriority w:val="99"/>
    <w:qFormat/>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aliases w:val="B6-DO NOT USE"/>
    <w:basedOn w:val="Normal"/>
    <w:link w:val="BalloonTextChar"/>
    <w:semiHidden/>
    <w:locked/>
    <w:rsid w:val="008F434C"/>
    <w:pPr>
      <w:spacing w:before="0" w:after="0" w:line="240" w:lineRule="auto"/>
    </w:pPr>
    <w:rPr>
      <w:rFonts w:ascii="Segoe UI" w:hAnsi="Segoe UI" w:cs="Segoe UI"/>
      <w:sz w:val="18"/>
      <w:szCs w:val="18"/>
    </w:rPr>
  </w:style>
  <w:style w:type="paragraph" w:styleId="ListBullet">
    <w:name w:val="List Bullet"/>
    <w:basedOn w:val="Normal"/>
    <w:qFormat/>
    <w:locked/>
    <w:rsid w:val="00F31F97"/>
    <w:pPr>
      <w:numPr>
        <w:numId w:val="7"/>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qFormat/>
    <w:locked/>
    <w:rsid w:val="00F31F97"/>
    <w:pPr>
      <w:numPr>
        <w:ilvl w:val="1"/>
        <w:numId w:val="7"/>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qFormat/>
    <w:locked/>
    <w:rsid w:val="00F7775D"/>
    <w:pPr>
      <w:tabs>
        <w:tab w:val="left" w:pos="567"/>
        <w:tab w:val="right" w:leader="dot" w:pos="9639"/>
      </w:tabs>
      <w:spacing w:line="240" w:lineRule="auto"/>
    </w:pPr>
    <w:rPr>
      <w:b/>
      <w:noProof/>
      <w:color w:val="146692" w:themeColor="text2"/>
    </w:rPr>
  </w:style>
  <w:style w:type="paragraph" w:styleId="TOC2">
    <w:name w:val="toc 2"/>
    <w:basedOn w:val="TOC1"/>
    <w:uiPriority w:val="39"/>
    <w:unhideWhenUsed/>
    <w:qFormat/>
    <w:locked/>
    <w:rsid w:val="00E05EC5"/>
    <w:pPr>
      <w:tabs>
        <w:tab w:val="clear" w:pos="567"/>
        <w:tab w:val="left" w:pos="1474"/>
      </w:tabs>
      <w:spacing w:before="60" w:after="60"/>
      <w:ind w:left="567"/>
    </w:pPr>
    <w:rPr>
      <w:b w:val="0"/>
      <w:color w:val="auto"/>
    </w:rPr>
  </w:style>
  <w:style w:type="table" w:styleId="TableGrid">
    <w:name w:val="Table Grid"/>
    <w:basedOn w:val="TableNormal"/>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semiHidden/>
    <w:locked/>
    <w:rsid w:val="00752473"/>
    <w:rPr>
      <w:rFonts w:ascii="Calibri" w:hAnsi="Calibri" w:cs="Times New Roman"/>
      <w:sz w:val="16"/>
    </w:rPr>
  </w:style>
  <w:style w:type="paragraph" w:styleId="TOC3">
    <w:name w:val="toc 3"/>
    <w:basedOn w:val="TOC2"/>
    <w:uiPriority w:val="39"/>
    <w:unhideWhenUsed/>
    <w:qFormat/>
    <w:locked/>
    <w:rsid w:val="00C45D62"/>
    <w:pPr>
      <w:tabs>
        <w:tab w:val="clear" w:pos="1474"/>
        <w:tab w:val="left" w:pos="1871"/>
      </w:tabs>
      <w:ind w:left="851"/>
    </w:pPr>
  </w:style>
  <w:style w:type="paragraph" w:customStyle="1" w:styleId="PartTitle">
    <w:name w:val="PartTitle"/>
    <w:basedOn w:val="Heading2"/>
    <w:next w:val="BodyText"/>
    <w:uiPriority w:val="12"/>
    <w:rsid w:val="00280214"/>
    <w:pPr>
      <w:keepNext/>
      <w:numPr>
        <w:ilvl w:val="0"/>
        <w:numId w:val="0"/>
      </w:numPr>
      <w:outlineLvl w:val="0"/>
    </w:pPr>
    <w:rPr>
      <w:color w:val="006D99" w:themeColor="accent1" w:themeShade="BF"/>
      <w:sz w:val="72"/>
    </w:rPr>
  </w:style>
  <w:style w:type="paragraph" w:styleId="ListNumber">
    <w:name w:val="List Number"/>
    <w:basedOn w:val="Normal"/>
    <w:qFormat/>
    <w:locked/>
    <w:rsid w:val="0025295D"/>
    <w:pPr>
      <w:numPr>
        <w:numId w:val="12"/>
      </w:numPr>
      <w:spacing w:before="60" w:after="60"/>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left" w:pos="1191"/>
      </w:tabs>
      <w:ind w:left="2320" w:firstLine="0"/>
    </w:pPr>
  </w:style>
  <w:style w:type="paragraph" w:styleId="FootnoteText">
    <w:name w:val="footnote text"/>
    <w:basedOn w:val="BodyText"/>
    <w:link w:val="FootnoteTextChar"/>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9"/>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qFormat/>
    <w:locked/>
    <w:rsid w:val="00824976"/>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qFormat/>
    <w:locked/>
    <w:rsid w:val="006E436D"/>
    <w:pPr>
      <w:tabs>
        <w:tab w:val="left" w:pos="1474"/>
        <w:tab w:val="right" w:leader="dot" w:pos="9639"/>
      </w:tabs>
      <w:spacing w:before="60" w:after="60"/>
      <w:ind w:left="567"/>
    </w:pPr>
    <w:rPr>
      <w:i/>
    </w:rPr>
  </w:style>
  <w:style w:type="paragraph" w:styleId="TOC9">
    <w:name w:val="toc 9"/>
    <w:basedOn w:val="Normal"/>
    <w:next w:val="Normal"/>
    <w:autoRedefine/>
    <w:locked/>
    <w:rsid w:val="00FE3F4D"/>
    <w:pPr>
      <w:spacing w:after="100"/>
      <w:ind w:left="1760"/>
    </w:pPr>
  </w:style>
  <w:style w:type="paragraph" w:styleId="Caption">
    <w:name w:val="caption"/>
    <w:basedOn w:val="BodyText"/>
    <w:next w:val="BodyText"/>
    <w:uiPriority w:val="35"/>
    <w:qFormat/>
    <w:locked/>
    <w:rsid w:val="00B705D3"/>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824976"/>
    <w:pPr>
      <w:keepLines/>
      <w:pageBreakBefore/>
      <w:numPr>
        <w:numId w:val="0"/>
      </w:numPr>
      <w:spacing w:before="0" w:after="960"/>
    </w:pPr>
    <w:rPr>
      <w:sz w:val="44"/>
    </w:rPr>
  </w:style>
  <w:style w:type="paragraph" w:customStyle="1" w:styleId="Heading3notnumbered">
    <w:name w:val="Heading 3 not numbered"/>
    <w:basedOn w:val="Heading3"/>
    <w:next w:val="BodyText"/>
    <w:uiPriority w:val="2"/>
    <w:qFormat/>
    <w:rsid w:val="00752314"/>
    <w:pPr>
      <w:numPr>
        <w:ilvl w:val="0"/>
        <w:numId w:val="0"/>
      </w:numPr>
    </w:pPr>
  </w:style>
  <w:style w:type="paragraph" w:customStyle="1" w:styleId="Heading2notnumbered">
    <w:name w:val="Heading 2 not numbered"/>
    <w:basedOn w:val="Heading2"/>
    <w:next w:val="BodyText"/>
    <w:uiPriority w:val="2"/>
    <w:qFormat/>
    <w:rsid w:val="008B4858"/>
    <w:pPr>
      <w:numPr>
        <w:ilvl w:val="0"/>
        <w:numId w:val="0"/>
      </w:numPr>
    </w:pPr>
  </w:style>
  <w:style w:type="paragraph" w:customStyle="1" w:styleId="Heading1noTOC">
    <w:name w:val="Heading 1 no TOC"/>
    <w:basedOn w:val="Heading1notnumbered"/>
    <w:next w:val="BodyText"/>
    <w:uiPriority w:val="2"/>
    <w:qFormat/>
    <w:rsid w:val="00F31F97"/>
  </w:style>
  <w:style w:type="character" w:customStyle="1" w:styleId="TOCHeadingChar">
    <w:name w:val="TOC Heading Char"/>
    <w:basedOn w:val="DefaultParagraphFont"/>
    <w:link w:val="TOCHeading"/>
    <w:uiPriority w:val="21"/>
    <w:locked/>
    <w:rsid w:val="00824976"/>
    <w:rPr>
      <w:rFonts w:asciiTheme="majorHAnsi" w:eastAsia="Times New Roman" w:hAnsiTheme="majorHAnsi"/>
      <w:b/>
      <w:color w:val="146692" w:themeColor="text2"/>
      <w:sz w:val="44"/>
      <w:szCs w:val="20"/>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semiHidden/>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semiHidden/>
    <w:locked/>
    <w:rsid w:val="003D6565"/>
    <w:rPr>
      <w:rFonts w:cs="Times New Roman"/>
      <w:color w:val="auto"/>
      <w:u w:val="none"/>
    </w:rPr>
  </w:style>
  <w:style w:type="character" w:styleId="FootnoteReference">
    <w:name w:val="footnote reference"/>
    <w:basedOn w:val="DefaultParagraphFont"/>
    <w:locked/>
    <w:rsid w:val="00E251B6"/>
    <w:rPr>
      <w:rFonts w:cs="Times New Roman"/>
      <w:vertAlign w:val="superscript"/>
    </w:rPr>
  </w:style>
  <w:style w:type="paragraph" w:styleId="HTMLAddress">
    <w:name w:val="HTML Address"/>
    <w:aliases w:val="HAd-DO NOT USE"/>
    <w:basedOn w:val="Normal"/>
    <w:link w:val="HTMLAddressChar"/>
    <w:semiHidden/>
    <w:locked/>
    <w:rsid w:val="00E251B6"/>
    <w:rPr>
      <w:i/>
      <w:iCs/>
    </w:rPr>
  </w:style>
  <w:style w:type="character" w:customStyle="1" w:styleId="HTMLAddressChar">
    <w:name w:val="HTML Address Char"/>
    <w:aliases w:val="HAd-DO NOT USE Char"/>
    <w:basedOn w:val="DefaultParagraphFont"/>
    <w:link w:val="HTMLAddress"/>
    <w:semiHidden/>
    <w:locked/>
    <w:rsid w:val="00DB55B9"/>
    <w:rPr>
      <w:rFonts w:eastAsia="Calibri"/>
      <w:i/>
      <w:iCs/>
      <w:color w:val="000000"/>
    </w:rPr>
  </w:style>
  <w:style w:type="paragraph" w:styleId="HTMLPreformatted">
    <w:name w:val="HTML Preformatted"/>
    <w:aliases w:val="HP-DO NOT USE"/>
    <w:basedOn w:val="Normal"/>
    <w:link w:val="HTMLPreformattedChar"/>
    <w:semiHidden/>
    <w:locked/>
    <w:rsid w:val="00E251B6"/>
    <w:rPr>
      <w:rFonts w:ascii="Courier New" w:hAnsi="Courier New" w:cs="Courier New"/>
      <w:sz w:val="20"/>
      <w:szCs w:val="20"/>
    </w:rPr>
  </w:style>
  <w:style w:type="character" w:customStyle="1" w:styleId="HTMLPreformattedChar">
    <w:name w:val="HTML Preformatted Char"/>
    <w:aliases w:val="HP-DO NOT USE Char"/>
    <w:basedOn w:val="DefaultParagraphFont"/>
    <w:link w:val="HTMLPreformatted"/>
    <w:semiHidden/>
    <w:locked/>
    <w:rsid w:val="00DB55B9"/>
    <w:rPr>
      <w:rFonts w:ascii="Courier New" w:eastAsia="Calibri" w:hAnsi="Courier New" w:cs="Courier New"/>
      <w:color w:val="000000"/>
      <w:sz w:val="20"/>
      <w:szCs w:val="20"/>
    </w:rPr>
  </w:style>
  <w:style w:type="character" w:styleId="LineNumber">
    <w:name w:val="line number"/>
    <w:aliases w:val="LN-DO NOT USE"/>
    <w:basedOn w:val="DefaultParagraphFont"/>
    <w:semiHidden/>
    <w:locked/>
    <w:rsid w:val="00E251B6"/>
    <w:rPr>
      <w:rFonts w:cs="Times New Roman"/>
    </w:rPr>
  </w:style>
  <w:style w:type="paragraph" w:styleId="List">
    <w:name w:val="List"/>
    <w:basedOn w:val="Normal"/>
    <w:semiHidden/>
    <w:locked/>
    <w:rsid w:val="00E251B6"/>
    <w:pPr>
      <w:ind w:left="283" w:hanging="283"/>
    </w:pPr>
  </w:style>
  <w:style w:type="paragraph" w:styleId="List2">
    <w:name w:val="List 2"/>
    <w:basedOn w:val="Normal"/>
    <w:semiHidden/>
    <w:locked/>
    <w:rsid w:val="00E251B6"/>
    <w:pPr>
      <w:ind w:left="566" w:hanging="283"/>
    </w:pPr>
  </w:style>
  <w:style w:type="paragraph" w:styleId="List3">
    <w:name w:val="List 3"/>
    <w:basedOn w:val="Normal"/>
    <w:semiHidden/>
    <w:locked/>
    <w:rsid w:val="00E251B6"/>
    <w:pPr>
      <w:ind w:left="849" w:hanging="283"/>
    </w:pPr>
  </w:style>
  <w:style w:type="paragraph" w:styleId="List4">
    <w:name w:val="List 4"/>
    <w:basedOn w:val="Normal"/>
    <w:semiHidden/>
    <w:locked/>
    <w:rsid w:val="00E251B6"/>
    <w:pPr>
      <w:ind w:left="1132" w:hanging="283"/>
    </w:pPr>
  </w:style>
  <w:style w:type="paragraph" w:styleId="List5">
    <w:name w:val="List 5"/>
    <w:basedOn w:val="Normal"/>
    <w:semiHidden/>
    <w:locked/>
    <w:rsid w:val="00E251B6"/>
    <w:pPr>
      <w:ind w:left="1415" w:hanging="283"/>
    </w:pPr>
  </w:style>
  <w:style w:type="paragraph" w:styleId="ListBullet4">
    <w:name w:val="List Bullet 4"/>
    <w:basedOn w:val="Normal"/>
    <w:semiHidden/>
    <w:locked/>
    <w:rsid w:val="00E251B6"/>
    <w:pPr>
      <w:numPr>
        <w:numId w:val="1"/>
      </w:numPr>
      <w:tabs>
        <w:tab w:val="num" w:pos="1209"/>
      </w:tabs>
      <w:ind w:left="1209"/>
    </w:pPr>
  </w:style>
  <w:style w:type="paragraph" w:styleId="ListBullet5">
    <w:name w:val="List Bullet 5"/>
    <w:basedOn w:val="Normal"/>
    <w:semiHidden/>
    <w:locked/>
    <w:rsid w:val="00E251B6"/>
    <w:pPr>
      <w:numPr>
        <w:numId w:val="2"/>
      </w:numPr>
      <w:tabs>
        <w:tab w:val="num" w:pos="926"/>
        <w:tab w:val="num" w:pos="1492"/>
      </w:tabs>
      <w:ind w:left="1492"/>
    </w:pPr>
  </w:style>
  <w:style w:type="paragraph" w:styleId="ListContinue">
    <w:name w:val="List Continue"/>
    <w:basedOn w:val="Normal"/>
    <w:semiHidden/>
    <w:locked/>
    <w:rsid w:val="00E251B6"/>
    <w:pPr>
      <w:ind w:left="283"/>
    </w:pPr>
  </w:style>
  <w:style w:type="paragraph" w:styleId="ListContinue2">
    <w:name w:val="List Continue 2"/>
    <w:basedOn w:val="Normal"/>
    <w:semiHidden/>
    <w:locked/>
    <w:rsid w:val="00E251B6"/>
    <w:pPr>
      <w:ind w:left="566"/>
    </w:pPr>
  </w:style>
  <w:style w:type="paragraph" w:styleId="ListContinue3">
    <w:name w:val="List Continue 3"/>
    <w:basedOn w:val="Normal"/>
    <w:semiHidden/>
    <w:locked/>
    <w:rsid w:val="00E251B6"/>
    <w:pPr>
      <w:ind w:left="849"/>
    </w:pPr>
  </w:style>
  <w:style w:type="paragraph" w:styleId="ListContinue4">
    <w:name w:val="List Continue 4"/>
    <w:basedOn w:val="Normal"/>
    <w:semiHidden/>
    <w:locked/>
    <w:rsid w:val="00E251B6"/>
    <w:pPr>
      <w:ind w:left="1132"/>
    </w:pPr>
  </w:style>
  <w:style w:type="paragraph" w:styleId="ListContinue5">
    <w:name w:val="List Continue 5"/>
    <w:basedOn w:val="Normal"/>
    <w:semiHidden/>
    <w:locked/>
    <w:rsid w:val="00E251B6"/>
    <w:pPr>
      <w:ind w:left="1415"/>
    </w:pPr>
  </w:style>
  <w:style w:type="paragraph" w:styleId="ListNumber3">
    <w:name w:val="List Number 3"/>
    <w:basedOn w:val="Normal"/>
    <w:semiHidden/>
    <w:locked/>
    <w:rsid w:val="00E251B6"/>
    <w:pPr>
      <w:numPr>
        <w:numId w:val="3"/>
      </w:numPr>
    </w:pPr>
  </w:style>
  <w:style w:type="paragraph" w:styleId="MessageHeader">
    <w:name w:val="Message Header"/>
    <w:aliases w:val="MH-DO NOT USE"/>
    <w:basedOn w:val="Normal"/>
    <w:link w:val="MessageHeaderChar"/>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aliases w:val="MH-DO NOT USE Char"/>
    <w:basedOn w:val="DefaultParagraphFont"/>
    <w:link w:val="MessageHeader"/>
    <w:semiHidden/>
    <w:locked/>
    <w:rsid w:val="00DB55B9"/>
    <w:rPr>
      <w:rFonts w:ascii="Arial" w:eastAsia="Calibri" w:hAnsi="Arial" w:cs="Arial"/>
      <w:color w:val="000000"/>
      <w:sz w:val="24"/>
      <w:szCs w:val="24"/>
      <w:shd w:val="pct20" w:color="auto" w:fill="auto"/>
    </w:rPr>
  </w:style>
  <w:style w:type="paragraph" w:styleId="NormalWeb">
    <w:name w:val="Normal (Web)"/>
    <w:aliases w:val="NW-DO NOT USE"/>
    <w:basedOn w:val="Normal"/>
    <w:semiHidden/>
    <w:locked/>
    <w:rsid w:val="00E251B6"/>
    <w:rPr>
      <w:rFonts w:ascii="Times New Roman" w:hAnsi="Times New Roman"/>
    </w:rPr>
  </w:style>
  <w:style w:type="paragraph" w:styleId="NormalIndent">
    <w:name w:val="Normal Indent"/>
    <w:aliases w:val="NI-DO NOT USE"/>
    <w:basedOn w:val="Normal"/>
    <w:semiHidden/>
    <w:locked/>
    <w:rsid w:val="00E251B6"/>
    <w:pPr>
      <w:ind w:left="720"/>
    </w:pPr>
  </w:style>
  <w:style w:type="paragraph" w:styleId="NoteHeading">
    <w:name w:val="Note Heading"/>
    <w:basedOn w:val="Normal"/>
    <w:next w:val="Normal"/>
    <w:link w:val="NoteHeadingChar"/>
    <w:semiHidden/>
    <w:locked/>
    <w:rsid w:val="00E251B6"/>
  </w:style>
  <w:style w:type="character" w:customStyle="1" w:styleId="NoteHeadingChar">
    <w:name w:val="Note Heading Char"/>
    <w:basedOn w:val="DefaultParagraphFont"/>
    <w:link w:val="NoteHeading"/>
    <w:semiHidden/>
    <w:locked/>
    <w:rsid w:val="00DB55B9"/>
    <w:rPr>
      <w:rFonts w:eastAsia="Calibri"/>
      <w:color w:val="000000"/>
    </w:rPr>
  </w:style>
  <w:style w:type="paragraph" w:styleId="PlainText">
    <w:name w:val="Plain Text"/>
    <w:aliases w:val="PT-DO NOT USE"/>
    <w:basedOn w:val="Normal"/>
    <w:link w:val="PlainTextChar"/>
    <w:semiHidden/>
    <w:locked/>
    <w:rsid w:val="00E251B6"/>
    <w:rPr>
      <w:rFonts w:ascii="Courier New" w:hAnsi="Courier New" w:cs="Courier New"/>
      <w:sz w:val="20"/>
      <w:szCs w:val="20"/>
    </w:rPr>
  </w:style>
  <w:style w:type="character" w:customStyle="1" w:styleId="PlainTextChar">
    <w:name w:val="Plain Text Char"/>
    <w:aliases w:val="PT-DO NOT USE Char"/>
    <w:basedOn w:val="DefaultParagraphFont"/>
    <w:link w:val="PlainText"/>
    <w:semiHidden/>
    <w:locked/>
    <w:rsid w:val="00DB55B9"/>
    <w:rPr>
      <w:rFonts w:ascii="Courier New" w:eastAsia="Calibri" w:hAnsi="Courier New" w:cs="Courier New"/>
      <w:color w:val="000000"/>
      <w:sz w:val="20"/>
      <w:szCs w:val="20"/>
    </w:rPr>
  </w:style>
  <w:style w:type="paragraph" w:styleId="Salutation">
    <w:name w:val="Salutation"/>
    <w:aliases w:val="Sa-DO NOT USE"/>
    <w:basedOn w:val="Normal"/>
    <w:next w:val="Normal"/>
    <w:link w:val="SalutationChar"/>
    <w:semiHidden/>
    <w:locked/>
    <w:rsid w:val="00E251B6"/>
  </w:style>
  <w:style w:type="character" w:customStyle="1" w:styleId="SalutationChar">
    <w:name w:val="Salutation Char"/>
    <w:aliases w:val="Sa-DO NOT USE Char"/>
    <w:basedOn w:val="DefaultParagraphFont"/>
    <w:link w:val="Salutation"/>
    <w:semiHidden/>
    <w:locked/>
    <w:rsid w:val="00DB55B9"/>
    <w:rPr>
      <w:rFonts w:eastAsia="Calibri"/>
      <w:color w:val="000000"/>
    </w:rPr>
  </w:style>
  <w:style w:type="paragraph" w:styleId="Signature">
    <w:name w:val="Signature"/>
    <w:aliases w:val="Si-DO NOT USE"/>
    <w:basedOn w:val="Normal"/>
    <w:link w:val="SignatureChar"/>
    <w:semiHidden/>
    <w:locked/>
    <w:rsid w:val="00E251B6"/>
    <w:pPr>
      <w:ind w:left="4252"/>
    </w:pPr>
  </w:style>
  <w:style w:type="character" w:customStyle="1" w:styleId="SignatureChar">
    <w:name w:val="Signature Char"/>
    <w:aliases w:val="Si-DO NOT USE Char"/>
    <w:basedOn w:val="DefaultParagraphFont"/>
    <w:link w:val="Signature"/>
    <w:semiHidden/>
    <w:locked/>
    <w:rsid w:val="00DB55B9"/>
    <w:rPr>
      <w:rFonts w:eastAsia="Calibri"/>
      <w:color w:val="000000"/>
    </w:rPr>
  </w:style>
  <w:style w:type="character" w:styleId="Strong">
    <w:name w:val="Strong"/>
    <w:aliases w:val="St-DO NOT USE"/>
    <w:basedOn w:val="DefaultParagraphFont"/>
    <w:qFormat/>
    <w:locked/>
    <w:rsid w:val="001249CC"/>
    <w:rPr>
      <w:rFonts w:cs="Times New Roman"/>
      <w:b/>
      <w:bCs/>
    </w:rPr>
  </w:style>
  <w:style w:type="table" w:styleId="Table3Deffects1">
    <w:name w:val="Table 3D effects 1"/>
    <w:basedOn w:val="TableNormal"/>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semiHidden/>
    <w:locked/>
    <w:rsid w:val="00AD275A"/>
    <w:pPr>
      <w:ind w:left="220" w:hanging="220"/>
    </w:pPr>
  </w:style>
  <w:style w:type="paragraph" w:styleId="Index2">
    <w:name w:val="index 2"/>
    <w:basedOn w:val="Normal"/>
    <w:next w:val="Normal"/>
    <w:autoRedefine/>
    <w:semiHidden/>
    <w:locked/>
    <w:rsid w:val="00AD275A"/>
    <w:pPr>
      <w:ind w:left="440" w:hanging="220"/>
    </w:pPr>
  </w:style>
  <w:style w:type="paragraph" w:styleId="Index3">
    <w:name w:val="index 3"/>
    <w:basedOn w:val="Normal"/>
    <w:next w:val="Normal"/>
    <w:autoRedefine/>
    <w:semiHidden/>
    <w:locked/>
    <w:rsid w:val="00AD275A"/>
    <w:pPr>
      <w:ind w:left="660" w:hanging="220"/>
    </w:pPr>
  </w:style>
  <w:style w:type="paragraph" w:styleId="Index4">
    <w:name w:val="index 4"/>
    <w:basedOn w:val="Normal"/>
    <w:next w:val="Normal"/>
    <w:autoRedefine/>
    <w:semiHidden/>
    <w:locked/>
    <w:rsid w:val="00AD275A"/>
    <w:pPr>
      <w:ind w:left="880" w:hanging="220"/>
    </w:pPr>
  </w:style>
  <w:style w:type="paragraph" w:styleId="Index5">
    <w:name w:val="index 5"/>
    <w:basedOn w:val="Normal"/>
    <w:next w:val="Normal"/>
    <w:autoRedefine/>
    <w:semiHidden/>
    <w:locked/>
    <w:rsid w:val="00AD275A"/>
    <w:pPr>
      <w:ind w:left="1100" w:hanging="220"/>
    </w:pPr>
  </w:style>
  <w:style w:type="paragraph" w:styleId="Index6">
    <w:name w:val="index 6"/>
    <w:basedOn w:val="Normal"/>
    <w:next w:val="Normal"/>
    <w:autoRedefine/>
    <w:semiHidden/>
    <w:locked/>
    <w:rsid w:val="00AD275A"/>
    <w:pPr>
      <w:ind w:left="1320" w:hanging="220"/>
    </w:pPr>
  </w:style>
  <w:style w:type="paragraph" w:styleId="Index7">
    <w:name w:val="index 7"/>
    <w:basedOn w:val="Normal"/>
    <w:next w:val="Normal"/>
    <w:autoRedefine/>
    <w:semiHidden/>
    <w:locked/>
    <w:rsid w:val="00AD275A"/>
    <w:pPr>
      <w:ind w:left="1540" w:hanging="220"/>
    </w:pPr>
  </w:style>
  <w:style w:type="paragraph" w:styleId="Index8">
    <w:name w:val="index 8"/>
    <w:basedOn w:val="Normal"/>
    <w:next w:val="Normal"/>
    <w:autoRedefine/>
    <w:semiHidden/>
    <w:locked/>
    <w:rsid w:val="00AD275A"/>
    <w:pPr>
      <w:ind w:left="1760" w:hanging="220"/>
    </w:pPr>
  </w:style>
  <w:style w:type="paragraph" w:styleId="Index9">
    <w:name w:val="index 9"/>
    <w:basedOn w:val="Normal"/>
    <w:next w:val="Normal"/>
    <w:autoRedefine/>
    <w:semiHidden/>
    <w:locked/>
    <w:rsid w:val="00AD275A"/>
    <w:pPr>
      <w:ind w:left="1980" w:hanging="220"/>
    </w:pPr>
  </w:style>
  <w:style w:type="paragraph" w:styleId="IndexHeading">
    <w:name w:val="index heading"/>
    <w:aliases w:val="IH-DO NOT USE"/>
    <w:basedOn w:val="Normal"/>
    <w:next w:val="Index1"/>
    <w:semiHidden/>
    <w:locked/>
    <w:rsid w:val="00AD275A"/>
    <w:rPr>
      <w:rFonts w:ascii="Arial" w:hAnsi="Arial" w:cs="Arial"/>
      <w:b/>
      <w:bCs/>
    </w:rPr>
  </w:style>
  <w:style w:type="paragraph" w:styleId="MacroText">
    <w:name w:val="macro"/>
    <w:aliases w:val="MT-DO NOT USE"/>
    <w:link w:val="MacroTextChar"/>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aliases w:val="MT-DO NOT USE Char"/>
    <w:basedOn w:val="DefaultParagraphFont"/>
    <w:link w:val="MacroText"/>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qFormat/>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qFormat/>
    <w:locked/>
    <w:rsid w:val="006E436D"/>
    <w:pPr>
      <w:tabs>
        <w:tab w:val="left" w:pos="1474"/>
        <w:tab w:val="right" w:leader="dot" w:pos="9639"/>
      </w:tabs>
      <w:spacing w:before="60" w:after="60"/>
      <w:ind w:left="567"/>
    </w:pPr>
  </w:style>
  <w:style w:type="paragraph" w:styleId="TOC6">
    <w:name w:val="toc 6"/>
    <w:basedOn w:val="Normal"/>
    <w:next w:val="Normal"/>
    <w:autoRedefine/>
    <w:locked/>
    <w:rsid w:val="00AD275A"/>
    <w:pPr>
      <w:ind w:left="1100"/>
    </w:pPr>
  </w:style>
  <w:style w:type="paragraph" w:styleId="TOC7">
    <w:name w:val="toc 7"/>
    <w:basedOn w:val="Normal"/>
    <w:next w:val="Normal"/>
    <w:autoRedefine/>
    <w:locked/>
    <w:rsid w:val="00AD275A"/>
    <w:pPr>
      <w:ind w:left="1320"/>
    </w:pPr>
  </w:style>
  <w:style w:type="paragraph" w:styleId="TOC8">
    <w:name w:val="toc 8"/>
    <w:basedOn w:val="Normal"/>
    <w:next w:val="Normal"/>
    <w:autoRedefine/>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6"/>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280214"/>
    <w:pPr>
      <w:numPr>
        <w:numId w:val="6"/>
      </w:numPr>
      <w:spacing w:before="360" w:after="240"/>
    </w:pPr>
    <w:rPr>
      <w:sz w:val="36"/>
    </w:rPr>
  </w:style>
  <w:style w:type="paragraph" w:customStyle="1" w:styleId="AppendixHeading3">
    <w:name w:val="Appendix Heading 3"/>
    <w:basedOn w:val="Heading3"/>
    <w:next w:val="BodyText"/>
    <w:uiPriority w:val="12"/>
    <w:qFormat/>
    <w:rsid w:val="0040389D"/>
    <w:pPr>
      <w:keepLines/>
      <w:numPr>
        <w:numId w:val="6"/>
      </w:numPr>
      <w:tabs>
        <w:tab w:val="left" w:pos="1134"/>
      </w:tabs>
      <w:spacing w:before="360"/>
    </w:pPr>
  </w:style>
  <w:style w:type="paragraph" w:customStyle="1" w:styleId="AppendixHeading4">
    <w:name w:val="Appendix Heading 4"/>
    <w:basedOn w:val="Heading4"/>
    <w:next w:val="BodyText"/>
    <w:uiPriority w:val="12"/>
    <w:qFormat/>
    <w:rsid w:val="001235BB"/>
    <w:pPr>
      <w:numPr>
        <w:numId w:val="6"/>
      </w:numPr>
    </w:pPr>
  </w:style>
  <w:style w:type="paragraph" w:customStyle="1" w:styleId="Equation">
    <w:name w:val="Equation"/>
    <w:basedOn w:val="BodyText"/>
    <w:next w:val="BodyText"/>
    <w:uiPriority w:val="7"/>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DC2413"/>
    <w:pPr>
      <w:ind w:left="567" w:hanging="567"/>
    </w:pPr>
  </w:style>
  <w:style w:type="paragraph" w:styleId="ListNumber2">
    <w:name w:val="List Number 2"/>
    <w:basedOn w:val="Normal"/>
    <w:qFormat/>
    <w:locked/>
    <w:rsid w:val="0025295D"/>
    <w:pPr>
      <w:numPr>
        <w:numId w:val="13"/>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E6605E"/>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qFormat/>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8"/>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aliases w:val="T-DO NOT USE"/>
    <w:basedOn w:val="Normal"/>
    <w:next w:val="Normal"/>
    <w:link w:val="TitleChar"/>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aliases w:val="T-DO NOT USE Char"/>
    <w:basedOn w:val="DefaultParagraphFont"/>
    <w:link w:val="Title"/>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1235BB"/>
    <w:pPr>
      <w:numPr>
        <w:numId w:val="6"/>
      </w:numPr>
      <w:tabs>
        <w:tab w:val="left" w:pos="1134"/>
      </w:tabs>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37"/>
    <w:locked/>
    <w:rsid w:val="00A07E5A"/>
  </w:style>
  <w:style w:type="character" w:customStyle="1" w:styleId="BalloonTextChar">
    <w:name w:val="Balloon Text Char"/>
    <w:aliases w:val="B6-DO NOT USE Char"/>
    <w:basedOn w:val="DefaultParagraphFont"/>
    <w:link w:val="BalloonText"/>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aliases w:val="B1-DO NOT USE"/>
    <w:basedOn w:val="BodyText"/>
    <w:link w:val="BodyTextFirstIndentChar"/>
    <w:semiHidden/>
    <w:unhideWhenUsed/>
    <w:locked/>
    <w:rsid w:val="00A07E5A"/>
    <w:pPr>
      <w:spacing w:after="120"/>
      <w:ind w:firstLine="360"/>
    </w:pPr>
  </w:style>
  <w:style w:type="character" w:customStyle="1" w:styleId="BodyTextFirstIndentChar">
    <w:name w:val="Body Text First Indent Char"/>
    <w:aliases w:val="B1-DO NOT USE Char"/>
    <w:basedOn w:val="BodyTextChar"/>
    <w:link w:val="BodyTextFirstIndent"/>
    <w:semiHidden/>
    <w:rsid w:val="00A07E5A"/>
    <w:rPr>
      <w:rFonts w:eastAsia="Calibri"/>
      <w:color w:val="000000"/>
      <w:sz w:val="24"/>
    </w:rPr>
  </w:style>
  <w:style w:type="paragraph" w:styleId="BodyTextIndent">
    <w:name w:val="Body Text Indent"/>
    <w:aliases w:val="B3-DO NOT USE"/>
    <w:basedOn w:val="Normal"/>
    <w:link w:val="BodyTextIndentChar"/>
    <w:semiHidden/>
    <w:unhideWhenUsed/>
    <w:locked/>
    <w:rsid w:val="00A07E5A"/>
    <w:pPr>
      <w:ind w:left="283"/>
    </w:pPr>
  </w:style>
  <w:style w:type="character" w:customStyle="1" w:styleId="BodyTextIndentChar">
    <w:name w:val="Body Text Indent Char"/>
    <w:aliases w:val="B3-DO NOT USE Char"/>
    <w:basedOn w:val="DefaultParagraphFont"/>
    <w:link w:val="BodyTextIndent"/>
    <w:semiHidden/>
    <w:rsid w:val="00A07E5A"/>
    <w:rPr>
      <w:rFonts w:eastAsia="Calibri"/>
      <w:color w:val="000000"/>
    </w:rPr>
  </w:style>
  <w:style w:type="paragraph" w:styleId="BodyTextFirstIndent2">
    <w:name w:val="Body Text First Indent 2"/>
    <w:aliases w:val="B2-DO NOT USE"/>
    <w:basedOn w:val="BodyTextIndent"/>
    <w:link w:val="BodyTextFirstIndent2Char"/>
    <w:semiHidden/>
    <w:unhideWhenUsed/>
    <w:locked/>
    <w:rsid w:val="00A07E5A"/>
    <w:pPr>
      <w:ind w:left="360" w:firstLine="360"/>
    </w:pPr>
  </w:style>
  <w:style w:type="character" w:customStyle="1" w:styleId="BodyTextFirstIndent2Char">
    <w:name w:val="Body Text First Indent 2 Char"/>
    <w:aliases w:val="B2-DO NOT USE Char"/>
    <w:basedOn w:val="BodyTextIndentChar"/>
    <w:link w:val="BodyTextFirstIndent2"/>
    <w:semiHidden/>
    <w:rsid w:val="00A07E5A"/>
    <w:rPr>
      <w:rFonts w:eastAsia="Calibri"/>
      <w:color w:val="000000"/>
    </w:rPr>
  </w:style>
  <w:style w:type="paragraph" w:styleId="Closing">
    <w:name w:val="Closing"/>
    <w:aliases w:val="C-DO NOT USE"/>
    <w:basedOn w:val="Normal"/>
    <w:link w:val="ClosingChar"/>
    <w:semiHidden/>
    <w:unhideWhenUsed/>
    <w:locked/>
    <w:rsid w:val="00A07E5A"/>
    <w:pPr>
      <w:spacing w:before="0" w:after="0" w:line="240" w:lineRule="auto"/>
      <w:ind w:left="4252"/>
    </w:pPr>
  </w:style>
  <w:style w:type="character" w:customStyle="1" w:styleId="ClosingChar">
    <w:name w:val="Closing Char"/>
    <w:aliases w:val="C-DO NOT USE Char"/>
    <w:basedOn w:val="DefaultParagraphFont"/>
    <w:link w:val="Closing"/>
    <w:semiHidden/>
    <w:rsid w:val="00A07E5A"/>
    <w:rPr>
      <w:rFonts w:eastAsia="Calibri"/>
      <w:color w:val="000000"/>
    </w:rPr>
  </w:style>
  <w:style w:type="paragraph" w:styleId="CommentSubject">
    <w:name w:val="annotation subject"/>
    <w:aliases w:val="CS-DO NOT USE"/>
    <w:basedOn w:val="Normal"/>
    <w:link w:val="CommentSubjectChar"/>
    <w:semiHidden/>
    <w:unhideWhenUsed/>
    <w:locked/>
    <w:rsid w:val="00B9601D"/>
    <w:pPr>
      <w:spacing w:line="240" w:lineRule="auto"/>
    </w:pPr>
    <w:rPr>
      <w:b/>
      <w:bCs/>
      <w:sz w:val="20"/>
      <w:szCs w:val="20"/>
    </w:rPr>
  </w:style>
  <w:style w:type="character" w:customStyle="1" w:styleId="CommentSubjectChar">
    <w:name w:val="Comment Subject Char"/>
    <w:aliases w:val="CS-DO NOT USE Char"/>
    <w:basedOn w:val="DefaultParagraphFont"/>
    <w:link w:val="CommentSubject"/>
    <w:semiHidden/>
    <w:rsid w:val="00B9601D"/>
    <w:rPr>
      <w:b/>
      <w:bCs/>
    </w:rPr>
  </w:style>
  <w:style w:type="paragraph" w:styleId="Date">
    <w:name w:val="Date"/>
    <w:aliases w:val="D-DO NOT USE"/>
    <w:basedOn w:val="Normal"/>
    <w:next w:val="Normal"/>
    <w:link w:val="DateChar"/>
    <w:semiHidden/>
    <w:unhideWhenUsed/>
    <w:locked/>
    <w:rsid w:val="00A07E5A"/>
  </w:style>
  <w:style w:type="character" w:customStyle="1" w:styleId="DateChar">
    <w:name w:val="Date Char"/>
    <w:aliases w:val="D-DO NOT USE Char"/>
    <w:basedOn w:val="DefaultParagraphFont"/>
    <w:link w:val="Date"/>
    <w:semiHidden/>
    <w:rsid w:val="00A07E5A"/>
    <w:rPr>
      <w:rFonts w:eastAsia="Calibri"/>
      <w:color w:val="000000"/>
    </w:rPr>
  </w:style>
  <w:style w:type="paragraph" w:styleId="DocumentMap">
    <w:name w:val="Document Map"/>
    <w:aliases w:val="DM-DO NOT USE"/>
    <w:basedOn w:val="Normal"/>
    <w:link w:val="DocumentMapChar"/>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aliases w:val="DM-DO NOT USE Char"/>
    <w:basedOn w:val="DefaultParagraphFont"/>
    <w:link w:val="DocumentMap"/>
    <w:semiHidden/>
    <w:rsid w:val="00A07E5A"/>
    <w:rPr>
      <w:rFonts w:ascii="Tahoma" w:eastAsia="Calibri" w:hAnsi="Tahoma" w:cs="Tahoma"/>
      <w:color w:val="000000"/>
      <w:sz w:val="16"/>
      <w:szCs w:val="16"/>
    </w:rPr>
  </w:style>
  <w:style w:type="paragraph" w:styleId="E-mailSignature">
    <w:name w:val="E-mail Signature"/>
    <w:aliases w:val="EM-DO NOT USE"/>
    <w:basedOn w:val="Normal"/>
    <w:link w:val="E-mailSignatureChar"/>
    <w:semiHidden/>
    <w:unhideWhenUsed/>
    <w:locked/>
    <w:rsid w:val="00A07E5A"/>
    <w:pPr>
      <w:spacing w:before="0" w:after="0" w:line="240" w:lineRule="auto"/>
    </w:pPr>
  </w:style>
  <w:style w:type="character" w:customStyle="1" w:styleId="E-mailSignatureChar">
    <w:name w:val="E-mail Signature Char"/>
    <w:aliases w:val="EM-DO NOT USE Char"/>
    <w:basedOn w:val="DefaultParagraphFont"/>
    <w:link w:val="E-mailSignature"/>
    <w:semiHidden/>
    <w:rsid w:val="00A07E5A"/>
    <w:rPr>
      <w:rFonts w:eastAsia="Calibri"/>
      <w:color w:val="000000"/>
    </w:rPr>
  </w:style>
  <w:style w:type="paragraph" w:styleId="EndnoteText">
    <w:name w:val="endnote text"/>
    <w:aliases w:val="ET-DO NOT USE"/>
    <w:basedOn w:val="Normal"/>
    <w:link w:val="EndnoteTextChar"/>
    <w:semiHidden/>
    <w:unhideWhenUsed/>
    <w:locked/>
    <w:rsid w:val="00A07E5A"/>
    <w:pPr>
      <w:spacing w:before="0" w:after="0" w:line="240" w:lineRule="auto"/>
    </w:pPr>
    <w:rPr>
      <w:sz w:val="20"/>
      <w:szCs w:val="20"/>
    </w:rPr>
  </w:style>
  <w:style w:type="character" w:customStyle="1" w:styleId="EndnoteTextChar">
    <w:name w:val="Endnote Text Char"/>
    <w:aliases w:val="ET-DO NOT USE Char"/>
    <w:basedOn w:val="DefaultParagraphFont"/>
    <w:link w:val="EndnoteText"/>
    <w:semiHidden/>
    <w:rsid w:val="00A07E5A"/>
    <w:rPr>
      <w:rFonts w:eastAsia="Calibri"/>
      <w:color w:val="000000"/>
      <w:sz w:val="20"/>
      <w:szCs w:val="20"/>
    </w:rPr>
  </w:style>
  <w:style w:type="paragraph" w:styleId="IntenseQuote">
    <w:name w:val="Intense Quote"/>
    <w:aliases w:val="IQ-DO NOT USE"/>
    <w:basedOn w:val="Normal"/>
    <w:next w:val="Normal"/>
    <w:link w:val="IntenseQuoteChar"/>
    <w:uiPriority w:val="30"/>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aliases w:val="IQ-DO NOT USE Char"/>
    <w:basedOn w:val="DefaultParagraphFont"/>
    <w:link w:val="IntenseQuote"/>
    <w:uiPriority w:val="30"/>
    <w:rsid w:val="00A07E5A"/>
    <w:rPr>
      <w:rFonts w:eastAsia="Calibri"/>
      <w:b/>
      <w:bCs/>
      <w:i/>
      <w:iCs/>
      <w:color w:val="0093CD" w:themeColor="accent1"/>
    </w:rPr>
  </w:style>
  <w:style w:type="paragraph" w:styleId="ListNumber4">
    <w:name w:val="List Number 4"/>
    <w:basedOn w:val="Normal"/>
    <w:semiHidden/>
    <w:locked/>
    <w:rsid w:val="00A07E5A"/>
    <w:pPr>
      <w:numPr>
        <w:numId w:val="10"/>
      </w:numPr>
      <w:contextualSpacing/>
    </w:pPr>
  </w:style>
  <w:style w:type="paragraph" w:styleId="ListNumber5">
    <w:name w:val="List Number 5"/>
    <w:basedOn w:val="Normal"/>
    <w:semiHidden/>
    <w:locked/>
    <w:rsid w:val="00A07E5A"/>
    <w:pPr>
      <w:numPr>
        <w:numId w:val="11"/>
      </w:numPr>
      <w:contextualSpacing/>
    </w:pPr>
  </w:style>
  <w:style w:type="paragraph" w:styleId="ListParagraph">
    <w:name w:val="List Paragraph"/>
    <w:aliases w:val="LP-DO NOT USE"/>
    <w:basedOn w:val="Normal"/>
    <w:uiPriority w:val="34"/>
    <w:qFormat/>
    <w:locked/>
    <w:rsid w:val="00A07E5A"/>
    <w:pPr>
      <w:ind w:left="720"/>
      <w:contextualSpacing/>
    </w:pPr>
  </w:style>
  <w:style w:type="paragraph" w:styleId="NoSpacing">
    <w:name w:val="No Spacing"/>
    <w:aliases w:val="NS-DO NOT USE"/>
    <w:uiPriority w:val="1"/>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29"/>
    <w:qFormat/>
    <w:locked/>
    <w:rsid w:val="00A07E5A"/>
    <w:rPr>
      <w:i/>
      <w:iCs/>
      <w:color w:val="000000" w:themeColor="text1"/>
    </w:rPr>
  </w:style>
  <w:style w:type="character" w:customStyle="1" w:styleId="QuoteChar">
    <w:name w:val="Quote Char"/>
    <w:basedOn w:val="DefaultParagraphFont"/>
    <w:link w:val="Quote"/>
    <w:uiPriority w:val="29"/>
    <w:rsid w:val="00A07E5A"/>
    <w:rPr>
      <w:rFonts w:eastAsia="Calibri"/>
      <w:i/>
      <w:iCs/>
      <w:color w:val="000000" w:themeColor="text1"/>
    </w:rPr>
  </w:style>
  <w:style w:type="paragraph" w:styleId="Subtitle">
    <w:name w:val="Subtitle"/>
    <w:aliases w:val="S-DO NOT USE"/>
    <w:basedOn w:val="Normal"/>
    <w:next w:val="Normal"/>
    <w:link w:val="SubtitleChar"/>
    <w:qFormat/>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aliases w:val="S-DO NOT USE Char"/>
    <w:basedOn w:val="DefaultParagraphFont"/>
    <w:link w:val="Subtitle"/>
    <w:rsid w:val="00A07E5A"/>
    <w:rPr>
      <w:rFonts w:asciiTheme="majorHAnsi" w:eastAsiaTheme="majorEastAsia" w:hAnsiTheme="majorHAnsi" w:cstheme="majorBidi"/>
      <w:i/>
      <w:iCs/>
      <w:color w:val="0093CD" w:themeColor="accent1"/>
      <w:spacing w:val="15"/>
    </w:rPr>
  </w:style>
  <w:style w:type="paragraph" w:customStyle="1" w:styleId="Summarystage2">
    <w:name w:val="Summary stage 2"/>
    <w:basedOn w:val="BodyText"/>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stage2">
    <w:name w:val="Summary heading stage 2"/>
    <w:basedOn w:val="Summarystage2"/>
    <w:uiPriority w:val="15"/>
    <w:qFormat/>
    <w:rsid w:val="009225B9"/>
    <w:rPr>
      <w:b/>
      <w:i/>
      <w:sz w:val="28"/>
      <w:szCs w:val="28"/>
    </w:rPr>
  </w:style>
  <w:style w:type="paragraph" w:customStyle="1" w:styleId="Summaryheadingstage3">
    <w:name w:val="Summary heading stage 3"/>
    <w:basedOn w:val="Summaryheadingstage2"/>
    <w:uiPriority w:val="16"/>
    <w:qFormat/>
    <w:rsid w:val="009225B9"/>
    <w:pPr>
      <w:shd w:val="clear" w:color="auto" w:fill="CCEEDB"/>
    </w:pPr>
  </w:style>
  <w:style w:type="paragraph" w:customStyle="1" w:styleId="Summarystage3">
    <w:name w:val="Summary stage 3"/>
    <w:basedOn w:val="Summarystage2"/>
    <w:uiPriority w:val="17"/>
    <w:qFormat/>
    <w:rsid w:val="009225B9"/>
    <w:pPr>
      <w:shd w:val="clear" w:color="auto" w:fill="CCEEDB"/>
    </w:pPr>
  </w:style>
  <w:style w:type="paragraph" w:customStyle="1" w:styleId="Summaryheadingstage1">
    <w:name w:val="Summary heading stage 1"/>
    <w:basedOn w:val="Summaryheadingstage2"/>
    <w:uiPriority w:val="14"/>
    <w:qFormat/>
    <w:rsid w:val="009225B9"/>
    <w:pPr>
      <w:shd w:val="clear" w:color="auto" w:fill="FAE3D3"/>
    </w:pPr>
  </w:style>
  <w:style w:type="paragraph" w:customStyle="1" w:styleId="Summarystage1">
    <w:name w:val="Summary stage 1"/>
    <w:basedOn w:val="Summarystage2"/>
    <w:uiPriority w:val="14"/>
    <w:qFormat/>
    <w:rsid w:val="009225B9"/>
    <w:pPr>
      <w:shd w:val="clear" w:color="auto" w:fill="FAE3D3"/>
    </w:pPr>
  </w:style>
  <w:style w:type="paragraph" w:customStyle="1" w:styleId="Summaryheadingcomponent4">
    <w:name w:val="Summary heading component 4"/>
    <w:basedOn w:val="Summaryheadingstage2"/>
    <w:uiPriority w:val="18"/>
    <w:semiHidden/>
    <w:rsid w:val="009225B9"/>
    <w:pPr>
      <w:shd w:val="clear" w:color="auto" w:fill="FADCE3"/>
    </w:pPr>
  </w:style>
  <w:style w:type="paragraph" w:customStyle="1" w:styleId="Summarycomponent4">
    <w:name w:val="Summary component 4"/>
    <w:basedOn w:val="Summarystage2"/>
    <w:uiPriority w:val="19"/>
    <w:semiHidden/>
    <w:rsid w:val="009225B9"/>
    <w:pPr>
      <w:shd w:val="clear" w:color="auto" w:fill="FADCE3"/>
    </w:pPr>
  </w:style>
  <w:style w:type="paragraph" w:customStyle="1" w:styleId="Summaryheading">
    <w:name w:val="Summary heading"/>
    <w:basedOn w:val="Summaryheadingstage2"/>
    <w:uiPriority w:val="18"/>
    <w:qFormat/>
    <w:rsid w:val="009225B9"/>
    <w:pPr>
      <w:shd w:val="clear" w:color="auto" w:fill="E7E7E7"/>
    </w:pPr>
  </w:style>
  <w:style w:type="paragraph" w:customStyle="1" w:styleId="Summary">
    <w:name w:val="Summary"/>
    <w:basedOn w:val="Summarystage2"/>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aliases w:val="ERe-DO NOT USE"/>
    <w:basedOn w:val="DefaultParagraphFont"/>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A17CE5"/>
    <w:pPr>
      <w:outlineLvl w:val="4"/>
    </w:pPr>
  </w:style>
  <w:style w:type="paragraph" w:customStyle="1" w:styleId="Heading6notnumbered">
    <w:name w:val="Heading 6 not numbered"/>
    <w:basedOn w:val="Heading4notnumbered"/>
    <w:uiPriority w:val="2"/>
    <w:qFormat/>
    <w:rsid w:val="00A17CE5"/>
    <w:pPr>
      <w:outlineLvl w:val="5"/>
    </w:pPr>
  </w:style>
  <w:style w:type="paragraph" w:customStyle="1" w:styleId="Heading6numbered">
    <w:name w:val="Heading 6 (numbered)"/>
    <w:basedOn w:val="Heading6"/>
    <w:uiPriority w:val="1"/>
    <w:semiHidden/>
    <w:qFormat/>
    <w:rsid w:val="00EE7372"/>
  </w:style>
  <w:style w:type="character" w:customStyle="1" w:styleId="Subscript">
    <w:name w:val="Subscript"/>
    <w:basedOn w:val="DefaultParagraphFont"/>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3450C4"/>
    <w:pPr>
      <w:numPr>
        <w:numId w:val="0"/>
      </w:numPr>
    </w:pPr>
    <w:rPr>
      <w:color w:val="764220" w:themeColor="background2" w:themeShade="BF"/>
      <w:sz w:val="48"/>
    </w:rPr>
  </w:style>
  <w:style w:type="character" w:customStyle="1" w:styleId="CoverTitleChar">
    <w:name w:val="CoverTitle Char"/>
    <w:basedOn w:val="Heading1Char"/>
    <w:link w:val="CoverTitle"/>
    <w:uiPriority w:val="99"/>
    <w:rsid w:val="003450C4"/>
    <w:rPr>
      <w:rFonts w:asciiTheme="majorHAnsi" w:eastAsia="Times New Roman" w:hAnsiTheme="majorHAnsi"/>
      <w:b/>
      <w:color w:val="764220" w:themeColor="background2" w:themeShade="BF"/>
      <w:sz w:val="48"/>
      <w:szCs w:val="72"/>
    </w:rPr>
  </w:style>
  <w:style w:type="paragraph" w:styleId="CommentText">
    <w:name w:val="annotation text"/>
    <w:aliases w:val="CT-DO NOT USE"/>
    <w:next w:val="BodyText"/>
    <w:link w:val="CommentTextChar"/>
    <w:uiPriority w:val="99"/>
    <w:locked/>
    <w:rsid w:val="00174635"/>
    <w:pPr>
      <w:spacing w:line="280" w:lineRule="atLeast"/>
    </w:pPr>
    <w:rPr>
      <w:rFonts w:ascii="Arial" w:eastAsia="Times" w:hAnsi="Arial" w:cs="Arial"/>
      <w:sz w:val="20"/>
      <w:szCs w:val="20"/>
    </w:rPr>
  </w:style>
  <w:style w:type="character" w:customStyle="1" w:styleId="CommentTextChar">
    <w:name w:val="Comment Text Char"/>
    <w:aliases w:val="CT-DO NOT USE Char"/>
    <w:basedOn w:val="DefaultParagraphFont"/>
    <w:link w:val="CommentText"/>
    <w:uiPriority w:val="99"/>
    <w:rsid w:val="00174635"/>
    <w:rPr>
      <w:rFonts w:ascii="Arial" w:eastAsia="Times" w:hAnsi="Arial" w:cs="Arial"/>
      <w:sz w:val="20"/>
      <w:szCs w:val="20"/>
    </w:rPr>
  </w:style>
  <w:style w:type="character" w:styleId="CommentReference">
    <w:name w:val="annotation reference"/>
    <w:aliases w:val="CR-DO NOT USE"/>
    <w:uiPriority w:val="99"/>
    <w:locked/>
    <w:rsid w:val="00174635"/>
  </w:style>
  <w:style w:type="paragraph" w:customStyle="1" w:styleId="Record">
    <w:name w:val="Record #"/>
    <w:basedOn w:val="BodyText"/>
    <w:next w:val="Authors"/>
    <w:qFormat/>
    <w:rsid w:val="00174635"/>
    <w:pPr>
      <w:keepNext/>
      <w:suppressAutoHyphens/>
      <w:spacing w:after="1440" w:line="280" w:lineRule="atLeast"/>
    </w:pPr>
    <w:rPr>
      <w:rFonts w:ascii="Arial" w:eastAsia="Times New Roman" w:hAnsi="Arial" w:cs="Arial"/>
      <w:caps/>
      <w:color w:val="auto"/>
      <w:spacing w:val="10"/>
      <w:sz w:val="19"/>
      <w:szCs w:val="20"/>
    </w:rPr>
  </w:style>
  <w:style w:type="paragraph" w:customStyle="1" w:styleId="DocumentTitle">
    <w:name w:val="Document Title"/>
    <w:next w:val="DocumentSubtitle"/>
    <w:qFormat/>
    <w:rsid w:val="00174635"/>
    <w:pPr>
      <w:keepNext/>
      <w:spacing w:before="1680" w:after="360" w:line="240" w:lineRule="atLeast"/>
      <w:outlineLvl w:val="0"/>
    </w:pPr>
    <w:rPr>
      <w:rFonts w:ascii="Arial" w:eastAsia="Times New Roman" w:hAnsi="Arial"/>
      <w:color w:val="006983"/>
      <w:sz w:val="48"/>
      <w:szCs w:val="20"/>
    </w:rPr>
  </w:style>
  <w:style w:type="paragraph" w:customStyle="1" w:styleId="Notes">
    <w:name w:val="Notes"/>
    <w:basedOn w:val="BodyText"/>
    <w:next w:val="BodyText"/>
    <w:qFormat/>
    <w:rsid w:val="00174635"/>
    <w:pPr>
      <w:numPr>
        <w:numId w:val="14"/>
      </w:numPr>
      <w:pBdr>
        <w:top w:val="single" w:sz="4" w:space="1" w:color="808080"/>
      </w:pBdr>
      <w:tabs>
        <w:tab w:val="clear" w:pos="360"/>
        <w:tab w:val="left" w:pos="357"/>
      </w:tabs>
      <w:suppressAutoHyphens/>
      <w:spacing w:before="0" w:after="0" w:line="160" w:lineRule="atLeast"/>
      <w:ind w:left="357" w:hanging="357"/>
    </w:pPr>
    <w:rPr>
      <w:rFonts w:ascii="Arial" w:eastAsia="Times New Roman" w:hAnsi="Arial" w:cs="Arial"/>
      <w:color w:val="auto"/>
      <w:sz w:val="16"/>
      <w:szCs w:val="20"/>
    </w:rPr>
  </w:style>
  <w:style w:type="paragraph" w:customStyle="1" w:styleId="ListBulletLevel1">
    <w:name w:val="List Bullet Level 1"/>
    <w:basedOn w:val="BodyText"/>
    <w:link w:val="ListBulletLevel1Char"/>
    <w:qFormat/>
    <w:rsid w:val="00174635"/>
    <w:pPr>
      <w:tabs>
        <w:tab w:val="num" w:pos="312"/>
      </w:tabs>
      <w:suppressAutoHyphens/>
      <w:spacing w:before="60" w:after="60" w:line="280" w:lineRule="atLeast"/>
      <w:ind w:left="312" w:hanging="312"/>
    </w:pPr>
    <w:rPr>
      <w:rFonts w:ascii="Arial" w:eastAsia="Times New Roman" w:hAnsi="Arial" w:cs="Arial"/>
      <w:sz w:val="20"/>
      <w:szCs w:val="20"/>
    </w:rPr>
  </w:style>
  <w:style w:type="character" w:styleId="BookTitle">
    <w:name w:val="Book Title"/>
    <w:aliases w:val="BT-DO NOT USE"/>
    <w:uiPriority w:val="33"/>
    <w:locked/>
    <w:rsid w:val="00174635"/>
  </w:style>
  <w:style w:type="paragraph" w:customStyle="1" w:styleId="ListBulletLevel2">
    <w:name w:val="List Bullet Level 2"/>
    <w:basedOn w:val="ListBulletLevel1"/>
    <w:qFormat/>
    <w:rsid w:val="00174635"/>
    <w:pPr>
      <w:tabs>
        <w:tab w:val="clear" w:pos="312"/>
        <w:tab w:val="left" w:pos="624"/>
      </w:tabs>
      <w:spacing w:before="0"/>
      <w:ind w:left="576" w:hanging="576"/>
    </w:pPr>
  </w:style>
  <w:style w:type="paragraph" w:customStyle="1" w:styleId="TableTitle">
    <w:name w:val="Table Title"/>
    <w:basedOn w:val="BodyText"/>
    <w:next w:val="BodyText"/>
    <w:qFormat/>
    <w:rsid w:val="00174635"/>
    <w:pPr>
      <w:keepNext/>
      <w:suppressAutoHyphens/>
      <w:spacing w:before="360" w:after="120" w:line="240" w:lineRule="atLeast"/>
    </w:pPr>
    <w:rPr>
      <w:rFonts w:ascii="Arial" w:eastAsia="Times New Roman" w:hAnsi="Arial" w:cs="Arial"/>
      <w:i/>
      <w:color w:val="auto"/>
      <w:sz w:val="18"/>
      <w:szCs w:val="18"/>
    </w:rPr>
  </w:style>
  <w:style w:type="paragraph" w:customStyle="1" w:styleId="TableTextLeft">
    <w:name w:val="Table Text Left"/>
    <w:qFormat/>
    <w:rsid w:val="00174635"/>
    <w:pPr>
      <w:spacing w:before="20" w:after="20" w:line="180" w:lineRule="atLeast"/>
    </w:pPr>
    <w:rPr>
      <w:rFonts w:ascii="Arial" w:eastAsia="Times New Roman" w:hAnsi="Arial" w:cs="Arial"/>
      <w:sz w:val="18"/>
      <w:szCs w:val="20"/>
    </w:rPr>
  </w:style>
  <w:style w:type="paragraph" w:customStyle="1" w:styleId="Tableheadingleft">
    <w:name w:val="Table heading left"/>
    <w:next w:val="BodyText"/>
    <w:semiHidden/>
    <w:rsid w:val="00174635"/>
    <w:pPr>
      <w:spacing w:before="20" w:after="20" w:line="200" w:lineRule="atLeast"/>
    </w:pPr>
    <w:rPr>
      <w:rFonts w:ascii="Arial Bold" w:eastAsia="Times New Roman" w:hAnsi="Arial Bold" w:cs="Arial"/>
      <w:color w:val="FFFFFF"/>
      <w:sz w:val="18"/>
      <w:szCs w:val="20"/>
    </w:rPr>
  </w:style>
  <w:style w:type="paragraph" w:styleId="BodyText3">
    <w:name w:val="Body Text 3"/>
    <w:aliases w:val="BT3-DO NOT USE"/>
    <w:basedOn w:val="BodyText"/>
    <w:link w:val="BodyText3Char"/>
    <w:semiHidden/>
    <w:locked/>
    <w:rsid w:val="00174635"/>
    <w:pPr>
      <w:suppressAutoHyphens/>
      <w:spacing w:line="280" w:lineRule="atLeast"/>
    </w:pPr>
    <w:rPr>
      <w:rFonts w:ascii="Arial" w:eastAsia="Times" w:hAnsi="Arial" w:cs="Arial"/>
      <w:color w:val="auto"/>
      <w:sz w:val="20"/>
      <w:szCs w:val="20"/>
    </w:rPr>
  </w:style>
  <w:style w:type="character" w:customStyle="1" w:styleId="BodyText3Char">
    <w:name w:val="Body Text 3 Char"/>
    <w:aliases w:val="BT3-DO NOT USE Char"/>
    <w:basedOn w:val="DefaultParagraphFont"/>
    <w:link w:val="BodyText3"/>
    <w:semiHidden/>
    <w:rsid w:val="00174635"/>
    <w:rPr>
      <w:rFonts w:ascii="Arial" w:eastAsia="Times" w:hAnsi="Arial" w:cs="Arial"/>
      <w:sz w:val="20"/>
      <w:szCs w:val="20"/>
    </w:rPr>
  </w:style>
  <w:style w:type="paragraph" w:customStyle="1" w:styleId="Heading1NoNumbers">
    <w:name w:val="Heading1 No Numbers"/>
    <w:next w:val="BodyText"/>
    <w:link w:val="Heading1NoNumbersChar"/>
    <w:qFormat/>
    <w:rsid w:val="00174635"/>
    <w:pPr>
      <w:keepNext/>
      <w:keepLines/>
      <w:pageBreakBefore/>
      <w:spacing w:before="0" w:after="960" w:line="240" w:lineRule="atLeast"/>
      <w:outlineLvl w:val="0"/>
    </w:pPr>
    <w:rPr>
      <w:rFonts w:ascii="Arial" w:eastAsia="Times" w:hAnsi="Arial" w:cs="Arial"/>
      <w:color w:val="006983"/>
      <w:kern w:val="28"/>
      <w:sz w:val="40"/>
      <w:szCs w:val="20"/>
    </w:rPr>
  </w:style>
  <w:style w:type="paragraph" w:customStyle="1" w:styleId="FiguresImagesLeft">
    <w:name w:val="Figures &amp; Images Left"/>
    <w:basedOn w:val="BodyText"/>
    <w:next w:val="Caption"/>
    <w:link w:val="FiguresImagesLeftChar"/>
    <w:qFormat/>
    <w:rsid w:val="00174635"/>
    <w:pPr>
      <w:keepNext/>
      <w:suppressAutoHyphens/>
      <w:spacing w:before="480" w:after="80" w:line="160" w:lineRule="atLeast"/>
    </w:pPr>
    <w:rPr>
      <w:rFonts w:ascii="Arial" w:eastAsia="Times" w:hAnsi="Arial" w:cs="Arial"/>
      <w:sz w:val="20"/>
      <w:szCs w:val="20"/>
    </w:rPr>
  </w:style>
  <w:style w:type="character" w:customStyle="1" w:styleId="FiguresImagesLeftChar">
    <w:name w:val="Figures &amp; Images Left Char"/>
    <w:basedOn w:val="BodyTextChar"/>
    <w:link w:val="FiguresImagesLeft"/>
    <w:rsid w:val="00174635"/>
    <w:rPr>
      <w:rFonts w:ascii="Arial" w:eastAsia="Times" w:hAnsi="Arial" w:cs="Arial"/>
      <w:color w:val="000000"/>
      <w:sz w:val="20"/>
      <w:szCs w:val="20"/>
    </w:rPr>
  </w:style>
  <w:style w:type="paragraph" w:customStyle="1" w:styleId="VersoPageInfo">
    <w:name w:val="Verso Page Info"/>
    <w:basedOn w:val="BodyText"/>
    <w:link w:val="VersoPageInfoChar"/>
    <w:qFormat/>
    <w:rsid w:val="00174635"/>
    <w:pPr>
      <w:suppressAutoHyphens/>
      <w:spacing w:before="0" w:line="280" w:lineRule="atLeast"/>
    </w:pPr>
    <w:rPr>
      <w:rFonts w:ascii="Arial" w:eastAsia="Times" w:hAnsi="Arial" w:cs="Arial"/>
      <w:sz w:val="20"/>
      <w:szCs w:val="20"/>
    </w:rPr>
  </w:style>
  <w:style w:type="character" w:customStyle="1" w:styleId="VersoPageInfoChar">
    <w:name w:val="Verso Page Info Char"/>
    <w:basedOn w:val="BodyTextChar"/>
    <w:link w:val="VersoPageInfo"/>
    <w:rsid w:val="00174635"/>
    <w:rPr>
      <w:rFonts w:ascii="Arial" w:eastAsia="Times" w:hAnsi="Arial" w:cs="Arial"/>
      <w:color w:val="000000"/>
      <w:sz w:val="20"/>
      <w:szCs w:val="20"/>
    </w:rPr>
  </w:style>
  <w:style w:type="character" w:customStyle="1" w:styleId="ListBulletLevel1Char">
    <w:name w:val="List Bullet Level 1 Char"/>
    <w:basedOn w:val="BodyTextChar"/>
    <w:link w:val="ListBulletLevel1"/>
    <w:rsid w:val="00174635"/>
    <w:rPr>
      <w:rFonts w:ascii="Arial" w:eastAsia="Times New Roman" w:hAnsi="Arial" w:cs="Arial"/>
      <w:color w:val="000000"/>
      <w:sz w:val="20"/>
      <w:szCs w:val="20"/>
    </w:rPr>
  </w:style>
  <w:style w:type="paragraph" w:styleId="EnvelopeAddress">
    <w:name w:val="envelope address"/>
    <w:aliases w:val="EA-DO NOT USE"/>
    <w:next w:val="BodyText"/>
    <w:semiHidden/>
    <w:locked/>
    <w:rsid w:val="00174635"/>
    <w:pPr>
      <w:spacing w:line="280" w:lineRule="atLeast"/>
    </w:pPr>
    <w:rPr>
      <w:rFonts w:ascii="Arial" w:eastAsia="Times" w:hAnsi="Arial" w:cs="Arial"/>
      <w:sz w:val="20"/>
      <w:szCs w:val="20"/>
    </w:rPr>
  </w:style>
  <w:style w:type="paragraph" w:styleId="EnvelopeReturn">
    <w:name w:val="envelope return"/>
    <w:aliases w:val="ER-DO NOT USE"/>
    <w:next w:val="BodyText"/>
    <w:semiHidden/>
    <w:locked/>
    <w:rsid w:val="00174635"/>
    <w:pPr>
      <w:spacing w:line="280" w:lineRule="atLeast"/>
    </w:pPr>
    <w:rPr>
      <w:rFonts w:ascii="Arial" w:eastAsia="Times" w:hAnsi="Arial" w:cs="Arial"/>
      <w:sz w:val="20"/>
      <w:szCs w:val="20"/>
    </w:rPr>
  </w:style>
  <w:style w:type="character" w:customStyle="1" w:styleId="Heading1NoNumbersChar">
    <w:name w:val="Heading1 No Numbers Char"/>
    <w:basedOn w:val="Heading1Char"/>
    <w:link w:val="Heading1NoNumbers"/>
    <w:rsid w:val="00174635"/>
    <w:rPr>
      <w:rFonts w:ascii="Arial" w:eastAsia="Times" w:hAnsi="Arial" w:cs="Arial"/>
      <w:b w:val="0"/>
      <w:color w:val="006983"/>
      <w:kern w:val="28"/>
      <w:sz w:val="40"/>
      <w:szCs w:val="20"/>
    </w:rPr>
  </w:style>
  <w:style w:type="paragraph" w:customStyle="1" w:styleId="Heading2NoNumbers">
    <w:name w:val="Heading2 No Numbers"/>
    <w:basedOn w:val="Heading1NoNumbers"/>
    <w:next w:val="BodyText"/>
    <w:link w:val="Heading2NoNumbersChar"/>
    <w:qFormat/>
    <w:rsid w:val="00174635"/>
    <w:pPr>
      <w:pageBreakBefore w:val="0"/>
      <w:numPr>
        <w:ilvl w:val="1"/>
      </w:numPr>
      <w:spacing w:before="480" w:after="180"/>
      <w:outlineLvl w:val="1"/>
    </w:pPr>
    <w:rPr>
      <w:sz w:val="30"/>
      <w:szCs w:val="28"/>
    </w:rPr>
  </w:style>
  <w:style w:type="paragraph" w:customStyle="1" w:styleId="Heading3NoNumbers">
    <w:name w:val="Heading3 No Numbers"/>
    <w:basedOn w:val="Heading2NoNumbers"/>
    <w:next w:val="BodyText"/>
    <w:link w:val="Heading3NoNumbersChar"/>
    <w:qFormat/>
    <w:rsid w:val="00174635"/>
    <w:pPr>
      <w:numPr>
        <w:ilvl w:val="2"/>
      </w:numPr>
      <w:outlineLvl w:val="2"/>
    </w:pPr>
    <w:rPr>
      <w:rFonts w:cs="Lucida Sans Unicode"/>
      <w:b/>
    </w:rPr>
  </w:style>
  <w:style w:type="paragraph" w:customStyle="1" w:styleId="Heading4NoNumbers">
    <w:name w:val="Heading4 No Numbers"/>
    <w:basedOn w:val="Heading3NoNumbers"/>
    <w:next w:val="BodyText"/>
    <w:link w:val="Heading4NoNumbersChar"/>
    <w:qFormat/>
    <w:rsid w:val="00174635"/>
    <w:rPr>
      <w:spacing w:val="1"/>
      <w:sz w:val="28"/>
    </w:rPr>
  </w:style>
  <w:style w:type="paragraph" w:customStyle="1" w:styleId="Heading5NoNumbers">
    <w:name w:val="Heading5 No Numbers"/>
    <w:basedOn w:val="Heading4NoNumbers"/>
    <w:next w:val="BodyText"/>
    <w:qFormat/>
    <w:rsid w:val="00174635"/>
    <w:pPr>
      <w:numPr>
        <w:ilvl w:val="4"/>
      </w:numPr>
      <w:spacing w:before="260"/>
      <w:outlineLvl w:val="4"/>
    </w:pPr>
    <w:rPr>
      <w:b w:val="0"/>
      <w:i/>
      <w:sz w:val="22"/>
      <w:szCs w:val="22"/>
    </w:rPr>
  </w:style>
  <w:style w:type="character" w:customStyle="1" w:styleId="Heading2NoNumbersChar">
    <w:name w:val="Heading2 No Numbers Char"/>
    <w:basedOn w:val="Heading1NoNumbersChar"/>
    <w:link w:val="Heading2NoNumbers"/>
    <w:rsid w:val="00174635"/>
    <w:rPr>
      <w:rFonts w:ascii="Arial" w:eastAsia="Times" w:hAnsi="Arial" w:cs="Arial"/>
      <w:b w:val="0"/>
      <w:color w:val="006983"/>
      <w:kern w:val="28"/>
      <w:sz w:val="30"/>
      <w:szCs w:val="28"/>
    </w:rPr>
  </w:style>
  <w:style w:type="character" w:customStyle="1" w:styleId="Heading3NoNumbersChar">
    <w:name w:val="Heading3 No Numbers Char"/>
    <w:basedOn w:val="Heading2NoNumbersChar"/>
    <w:link w:val="Heading3NoNumbers"/>
    <w:rsid w:val="00174635"/>
    <w:rPr>
      <w:rFonts w:ascii="Arial" w:eastAsia="Times" w:hAnsi="Arial" w:cs="Lucida Sans Unicode"/>
      <w:b/>
      <w:color w:val="006983"/>
      <w:kern w:val="28"/>
      <w:sz w:val="30"/>
      <w:szCs w:val="28"/>
    </w:rPr>
  </w:style>
  <w:style w:type="character" w:customStyle="1" w:styleId="Heading4NoNumbersChar">
    <w:name w:val="Heading4 No Numbers Char"/>
    <w:basedOn w:val="Heading4Char"/>
    <w:link w:val="Heading4NoNumbers"/>
    <w:rsid w:val="00174635"/>
    <w:rPr>
      <w:rFonts w:ascii="Arial" w:eastAsia="Times" w:hAnsi="Arial" w:cs="Lucida Sans Unicode"/>
      <w:b/>
      <w:iCs w:val="0"/>
      <w:color w:val="006983"/>
      <w:spacing w:val="1"/>
      <w:kern w:val="28"/>
      <w:sz w:val="28"/>
      <w:szCs w:val="28"/>
    </w:rPr>
  </w:style>
  <w:style w:type="paragraph" w:customStyle="1" w:styleId="ListNumberedLevel1">
    <w:name w:val="List Numbered Level 1"/>
    <w:basedOn w:val="BodyText"/>
    <w:link w:val="ListNumberedLevel1Char"/>
    <w:qFormat/>
    <w:rsid w:val="00174635"/>
    <w:pPr>
      <w:numPr>
        <w:numId w:val="20"/>
      </w:numPr>
      <w:suppressAutoHyphens/>
      <w:spacing w:before="60" w:after="60" w:line="280" w:lineRule="atLeast"/>
    </w:pPr>
    <w:rPr>
      <w:rFonts w:ascii="Arial" w:eastAsia="Times" w:hAnsi="Arial" w:cs="Arial"/>
      <w:sz w:val="20"/>
      <w:szCs w:val="20"/>
    </w:rPr>
  </w:style>
  <w:style w:type="character" w:customStyle="1" w:styleId="ListNumberedLevel1Char">
    <w:name w:val="List Numbered Level 1 Char"/>
    <w:basedOn w:val="ListBulletLevel1Char"/>
    <w:link w:val="ListNumberedLevel1"/>
    <w:rsid w:val="00174635"/>
    <w:rPr>
      <w:rFonts w:ascii="Arial" w:eastAsia="Times" w:hAnsi="Arial" w:cs="Arial"/>
      <w:color w:val="000000"/>
      <w:sz w:val="20"/>
      <w:szCs w:val="20"/>
    </w:rPr>
  </w:style>
  <w:style w:type="paragraph" w:customStyle="1" w:styleId="ListNumberedLevel2">
    <w:name w:val="List Numbered Level 2"/>
    <w:basedOn w:val="ListNumberedLevel1"/>
    <w:qFormat/>
    <w:rsid w:val="00174635"/>
    <w:pPr>
      <w:numPr>
        <w:ilvl w:val="1"/>
      </w:numPr>
      <w:tabs>
        <w:tab w:val="clear" w:pos="624"/>
      </w:tabs>
      <w:spacing w:before="0"/>
      <w:ind w:left="0" w:firstLine="0"/>
    </w:pPr>
  </w:style>
  <w:style w:type="numbering" w:styleId="111111">
    <w:name w:val="Outline List 2"/>
    <w:basedOn w:val="NoList"/>
    <w:semiHidden/>
    <w:locked/>
    <w:rsid w:val="00174635"/>
    <w:pPr>
      <w:numPr>
        <w:numId w:val="15"/>
      </w:numPr>
    </w:pPr>
  </w:style>
  <w:style w:type="numbering" w:styleId="1ai">
    <w:name w:val="Outline List 1"/>
    <w:basedOn w:val="NoList"/>
    <w:semiHidden/>
    <w:locked/>
    <w:rsid w:val="00174635"/>
    <w:pPr>
      <w:numPr>
        <w:numId w:val="16"/>
      </w:numPr>
    </w:pPr>
  </w:style>
  <w:style w:type="numbering" w:styleId="ArticleSection">
    <w:name w:val="Outline List 3"/>
    <w:basedOn w:val="NoList"/>
    <w:semiHidden/>
    <w:locked/>
    <w:rsid w:val="00174635"/>
    <w:pPr>
      <w:numPr>
        <w:numId w:val="17"/>
      </w:numPr>
    </w:pPr>
  </w:style>
  <w:style w:type="character" w:styleId="Emphasis">
    <w:name w:val="Emphasis"/>
    <w:aliases w:val="E-DO NOT USE"/>
    <w:qFormat/>
    <w:locked/>
    <w:rsid w:val="00174635"/>
  </w:style>
  <w:style w:type="character" w:styleId="HTMLAcronym">
    <w:name w:val="HTML Acronym"/>
    <w:aliases w:val="HA-DO NOT USE"/>
    <w:semiHidden/>
    <w:locked/>
    <w:rsid w:val="00174635"/>
  </w:style>
  <w:style w:type="character" w:styleId="HTMLCite">
    <w:name w:val="HTML Cite"/>
    <w:aliases w:val="HCi-DO NOT USE"/>
    <w:semiHidden/>
    <w:locked/>
    <w:rsid w:val="00174635"/>
  </w:style>
  <w:style w:type="character" w:styleId="HTMLCode">
    <w:name w:val="HTML Code"/>
    <w:aliases w:val="HC-DO NOT USE"/>
    <w:semiHidden/>
    <w:locked/>
    <w:rsid w:val="00174635"/>
  </w:style>
  <w:style w:type="character" w:styleId="HTMLDefinition">
    <w:name w:val="HTML Definition"/>
    <w:aliases w:val="HD-DO NOT USE"/>
    <w:semiHidden/>
    <w:locked/>
    <w:rsid w:val="00174635"/>
  </w:style>
  <w:style w:type="character" w:styleId="HTMLKeyboard">
    <w:name w:val="HTML Keyboard"/>
    <w:aliases w:val="HK-DO NOT USE"/>
    <w:semiHidden/>
    <w:locked/>
    <w:rsid w:val="00174635"/>
  </w:style>
  <w:style w:type="character" w:styleId="HTMLSample">
    <w:name w:val="HTML Sample"/>
    <w:aliases w:val="HS-DO NOT USE"/>
    <w:semiHidden/>
    <w:locked/>
    <w:rsid w:val="00174635"/>
  </w:style>
  <w:style w:type="character" w:styleId="HTMLTypewriter">
    <w:name w:val="HTML Typewriter"/>
    <w:aliases w:val="HT-DO NOT USE"/>
    <w:semiHidden/>
    <w:locked/>
    <w:rsid w:val="00174635"/>
  </w:style>
  <w:style w:type="character" w:styleId="HTMLVariable">
    <w:name w:val="HTML Variable"/>
    <w:aliases w:val="HV-DO NOT USE"/>
    <w:semiHidden/>
    <w:locked/>
    <w:rsid w:val="00174635"/>
  </w:style>
  <w:style w:type="table" w:customStyle="1" w:styleId="TableGAHeaderRow">
    <w:name w:val="Table GA Header Row"/>
    <w:basedOn w:val="TableNormal"/>
    <w:rsid w:val="00174635"/>
    <w:pPr>
      <w:spacing w:before="20" w:after="20" w:line="200" w:lineRule="atLeast"/>
    </w:pPr>
    <w:rPr>
      <w:rFonts w:ascii="Arial" w:eastAsia="Times" w:hAnsi="Arial"/>
      <w:sz w:val="18"/>
      <w:szCs w:val="20"/>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style>
  <w:style w:type="paragraph" w:styleId="BodyText2">
    <w:name w:val="Body Text 2"/>
    <w:aliases w:val="BT2-DO NOT USE"/>
    <w:basedOn w:val="Normal"/>
    <w:link w:val="BodyText2Char"/>
    <w:semiHidden/>
    <w:locked/>
    <w:rsid w:val="00174635"/>
    <w:pPr>
      <w:spacing w:line="480" w:lineRule="auto"/>
    </w:pPr>
    <w:rPr>
      <w:rFonts w:ascii="Arial" w:eastAsia="Times" w:hAnsi="Arial" w:cs="Arial"/>
      <w:color w:val="FF0000"/>
      <w:sz w:val="20"/>
      <w:szCs w:val="20"/>
    </w:rPr>
  </w:style>
  <w:style w:type="character" w:customStyle="1" w:styleId="BodyText2Char">
    <w:name w:val="Body Text 2 Char"/>
    <w:aliases w:val="BT2-DO NOT USE Char"/>
    <w:basedOn w:val="DefaultParagraphFont"/>
    <w:link w:val="BodyText2"/>
    <w:semiHidden/>
    <w:rsid w:val="00174635"/>
    <w:rPr>
      <w:rFonts w:ascii="Arial" w:eastAsia="Times" w:hAnsi="Arial" w:cs="Arial"/>
      <w:color w:val="FF0000"/>
      <w:sz w:val="20"/>
      <w:szCs w:val="20"/>
    </w:rPr>
  </w:style>
  <w:style w:type="table" w:styleId="LightShading-Accent5">
    <w:name w:val="Light Shading Accent 5"/>
    <w:basedOn w:val="TableNormal"/>
    <w:uiPriority w:val="60"/>
    <w:locked/>
    <w:rsid w:val="00174635"/>
    <w:pPr>
      <w:spacing w:line="240" w:lineRule="auto"/>
    </w:pPr>
    <w:rPr>
      <w:rFonts w:ascii="Arial" w:eastAsia="Times" w:hAnsi="Arial"/>
      <w:color w:val="636363" w:themeColor="accent5" w:themeShade="BF"/>
      <w:sz w:val="20"/>
      <w:szCs w:val="20"/>
    </w:rPr>
    <w:tblPr>
      <w:tblStyleRowBandSize w:val="1"/>
      <w:tblStyleColBandSize w:val="1"/>
      <w:tblBorders>
        <w:top w:val="single" w:sz="8" w:space="0" w:color="858585" w:themeColor="accent5"/>
        <w:bottom w:val="single" w:sz="8" w:space="0" w:color="858585" w:themeColor="accent5"/>
      </w:tblBorders>
    </w:tblPr>
    <w:tblStylePr w:type="firstRow">
      <w:pPr>
        <w:spacing w:before="0" w:after="0" w:line="240" w:lineRule="auto"/>
      </w:pPr>
      <w:rPr>
        <w:b/>
        <w:bCs/>
      </w:rPr>
      <w:tblPr/>
      <w:tcPr>
        <w:tcBorders>
          <w:top w:val="single" w:sz="8" w:space="0" w:color="858585" w:themeColor="accent5"/>
          <w:left w:val="nil"/>
          <w:bottom w:val="single" w:sz="8" w:space="0" w:color="858585" w:themeColor="accent5"/>
          <w:right w:val="nil"/>
          <w:insideH w:val="nil"/>
          <w:insideV w:val="nil"/>
        </w:tcBorders>
      </w:tcPr>
    </w:tblStylePr>
    <w:tblStylePr w:type="lastRow">
      <w:pPr>
        <w:spacing w:before="0" w:after="0" w:line="240" w:lineRule="auto"/>
      </w:pPr>
      <w:rPr>
        <w:b/>
        <w:bCs/>
      </w:rPr>
      <w:tblPr/>
      <w:tcPr>
        <w:tcBorders>
          <w:top w:val="single" w:sz="8" w:space="0" w:color="858585" w:themeColor="accent5"/>
          <w:left w:val="nil"/>
          <w:bottom w:val="single" w:sz="8" w:space="0" w:color="85858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0E0" w:themeFill="accent5" w:themeFillTint="3F"/>
      </w:tcPr>
    </w:tblStylePr>
    <w:tblStylePr w:type="band1Horz">
      <w:tblPr/>
      <w:tcPr>
        <w:tcBorders>
          <w:left w:val="nil"/>
          <w:right w:val="nil"/>
          <w:insideH w:val="nil"/>
          <w:insideV w:val="nil"/>
        </w:tcBorders>
        <w:shd w:val="clear" w:color="auto" w:fill="E0E0E0" w:themeFill="accent5" w:themeFillTint="3F"/>
      </w:tcPr>
    </w:tblStylePr>
  </w:style>
  <w:style w:type="table" w:styleId="LightShading-Accent1">
    <w:name w:val="Light Shading Accent 1"/>
    <w:basedOn w:val="TableNormal"/>
    <w:uiPriority w:val="60"/>
    <w:locked/>
    <w:rsid w:val="00174635"/>
    <w:pPr>
      <w:spacing w:line="240" w:lineRule="auto"/>
    </w:pPr>
    <w:rPr>
      <w:rFonts w:ascii="Arial" w:eastAsia="Times" w:hAnsi="Arial"/>
      <w:color w:val="006D99" w:themeColor="accent1" w:themeShade="BF"/>
      <w:sz w:val="20"/>
      <w:szCs w:val="20"/>
    </w:rPr>
    <w:tblPr>
      <w:tblStyleRowBandSize w:val="1"/>
      <w:tblStyleColBandSize w:val="1"/>
      <w:tblBorders>
        <w:top w:val="single" w:sz="8" w:space="0" w:color="0093CD" w:themeColor="accent1"/>
        <w:bottom w:val="single" w:sz="8" w:space="0" w:color="0093CD" w:themeColor="accent1"/>
      </w:tblBorders>
    </w:tblPr>
    <w:tblStylePr w:type="firstRow">
      <w:pPr>
        <w:spacing w:before="0" w:after="0" w:line="240" w:lineRule="auto"/>
      </w:pPr>
      <w:rPr>
        <w:b/>
        <w:bCs/>
      </w:rPr>
      <w:tblPr/>
      <w:tcPr>
        <w:tcBorders>
          <w:top w:val="single" w:sz="8" w:space="0" w:color="0093CD" w:themeColor="accent1"/>
          <w:left w:val="nil"/>
          <w:bottom w:val="single" w:sz="8" w:space="0" w:color="0093CD" w:themeColor="accent1"/>
          <w:right w:val="nil"/>
          <w:insideH w:val="nil"/>
          <w:insideV w:val="nil"/>
        </w:tcBorders>
      </w:tcPr>
    </w:tblStylePr>
    <w:tblStylePr w:type="lastRow">
      <w:pPr>
        <w:spacing w:before="0" w:after="0" w:line="240" w:lineRule="auto"/>
      </w:pPr>
      <w:rPr>
        <w:b/>
        <w:bCs/>
      </w:rPr>
      <w:tblPr/>
      <w:tcPr>
        <w:tcBorders>
          <w:top w:val="single" w:sz="8" w:space="0" w:color="0093CD" w:themeColor="accent1"/>
          <w:left w:val="nil"/>
          <w:bottom w:val="single" w:sz="8" w:space="0" w:color="0093C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9FF" w:themeFill="accent1" w:themeFillTint="3F"/>
      </w:tcPr>
    </w:tblStylePr>
    <w:tblStylePr w:type="band1Horz">
      <w:tblPr/>
      <w:tcPr>
        <w:tcBorders>
          <w:left w:val="nil"/>
          <w:right w:val="nil"/>
          <w:insideH w:val="nil"/>
          <w:insideV w:val="nil"/>
        </w:tcBorders>
        <w:shd w:val="clear" w:color="auto" w:fill="B3E9FF" w:themeFill="accent1" w:themeFillTint="3F"/>
      </w:tcPr>
    </w:tblStylePr>
  </w:style>
  <w:style w:type="table" w:styleId="LightShading-Accent2">
    <w:name w:val="Light Shading Accent 2"/>
    <w:basedOn w:val="TableNormal"/>
    <w:uiPriority w:val="60"/>
    <w:locked/>
    <w:rsid w:val="00174635"/>
    <w:pPr>
      <w:spacing w:line="240" w:lineRule="auto"/>
    </w:pPr>
    <w:rPr>
      <w:rFonts w:ascii="Arial" w:eastAsia="Times" w:hAnsi="Arial"/>
      <w:color w:val="008038" w:themeColor="accent2" w:themeShade="BF"/>
      <w:sz w:val="20"/>
      <w:szCs w:val="20"/>
    </w:rPr>
    <w:tblPr>
      <w:tblStyleRowBandSize w:val="1"/>
      <w:tblStyleColBandSize w:val="1"/>
      <w:tblBorders>
        <w:top w:val="single" w:sz="8" w:space="0" w:color="00AC4B" w:themeColor="accent2"/>
        <w:bottom w:val="single" w:sz="8" w:space="0" w:color="00AC4B" w:themeColor="accent2"/>
      </w:tblBorders>
    </w:tblPr>
    <w:tblStylePr w:type="firstRow">
      <w:pPr>
        <w:spacing w:before="0" w:after="0" w:line="240" w:lineRule="auto"/>
      </w:pPr>
      <w:rPr>
        <w:b/>
        <w:bCs/>
      </w:rPr>
      <w:tblPr/>
      <w:tcPr>
        <w:tcBorders>
          <w:top w:val="single" w:sz="8" w:space="0" w:color="00AC4B" w:themeColor="accent2"/>
          <w:left w:val="nil"/>
          <w:bottom w:val="single" w:sz="8" w:space="0" w:color="00AC4B" w:themeColor="accent2"/>
          <w:right w:val="nil"/>
          <w:insideH w:val="nil"/>
          <w:insideV w:val="nil"/>
        </w:tcBorders>
      </w:tcPr>
    </w:tblStylePr>
    <w:tblStylePr w:type="lastRow">
      <w:pPr>
        <w:spacing w:before="0" w:after="0" w:line="240" w:lineRule="auto"/>
      </w:pPr>
      <w:rPr>
        <w:b/>
        <w:bCs/>
      </w:rPr>
      <w:tblPr/>
      <w:tcPr>
        <w:tcBorders>
          <w:top w:val="single" w:sz="8" w:space="0" w:color="00AC4B" w:themeColor="accent2"/>
          <w:left w:val="nil"/>
          <w:bottom w:val="single" w:sz="8" w:space="0" w:color="00AC4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FFCF" w:themeFill="accent2" w:themeFillTint="3F"/>
      </w:tcPr>
    </w:tblStylePr>
    <w:tblStylePr w:type="band1Horz">
      <w:tblPr/>
      <w:tcPr>
        <w:tcBorders>
          <w:left w:val="nil"/>
          <w:right w:val="nil"/>
          <w:insideH w:val="nil"/>
          <w:insideV w:val="nil"/>
        </w:tcBorders>
        <w:shd w:val="clear" w:color="auto" w:fill="ABFFCF" w:themeFill="accent2" w:themeFillTint="3F"/>
      </w:tcPr>
    </w:tblStylePr>
  </w:style>
  <w:style w:type="table" w:styleId="LightShading-Accent3">
    <w:name w:val="Light Shading Accent 3"/>
    <w:basedOn w:val="TableNormal"/>
    <w:uiPriority w:val="60"/>
    <w:locked/>
    <w:rsid w:val="00174635"/>
    <w:pPr>
      <w:spacing w:line="240" w:lineRule="auto"/>
    </w:pPr>
    <w:rPr>
      <w:rFonts w:ascii="Arial" w:eastAsia="Times" w:hAnsi="Arial"/>
      <w:color w:val="B35612" w:themeColor="accent3" w:themeShade="BF"/>
      <w:sz w:val="20"/>
      <w:szCs w:val="20"/>
    </w:rPr>
    <w:tblPr>
      <w:tblStyleRowBandSize w:val="1"/>
      <w:tblStyleColBandSize w:val="1"/>
      <w:tblBorders>
        <w:top w:val="single" w:sz="8" w:space="0" w:color="E87521" w:themeColor="accent3"/>
        <w:bottom w:val="single" w:sz="8" w:space="0" w:color="E87521" w:themeColor="accent3"/>
      </w:tblBorders>
    </w:tblPr>
    <w:tblStylePr w:type="firstRow">
      <w:pPr>
        <w:spacing w:before="0" w:after="0" w:line="240" w:lineRule="auto"/>
      </w:pPr>
      <w:rPr>
        <w:b/>
        <w:bCs/>
      </w:rPr>
      <w:tblPr/>
      <w:tcPr>
        <w:tcBorders>
          <w:top w:val="single" w:sz="8" w:space="0" w:color="E87521" w:themeColor="accent3"/>
          <w:left w:val="nil"/>
          <w:bottom w:val="single" w:sz="8" w:space="0" w:color="E87521" w:themeColor="accent3"/>
          <w:right w:val="nil"/>
          <w:insideH w:val="nil"/>
          <w:insideV w:val="nil"/>
        </w:tcBorders>
      </w:tcPr>
    </w:tblStylePr>
    <w:tblStylePr w:type="lastRow">
      <w:pPr>
        <w:spacing w:before="0" w:after="0" w:line="240" w:lineRule="auto"/>
      </w:pPr>
      <w:rPr>
        <w:b/>
        <w:bCs/>
      </w:rPr>
      <w:tblPr/>
      <w:tcPr>
        <w:tcBorders>
          <w:top w:val="single" w:sz="8" w:space="0" w:color="E87521" w:themeColor="accent3"/>
          <w:left w:val="nil"/>
          <w:bottom w:val="single" w:sz="8" w:space="0" w:color="E8752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CC8" w:themeFill="accent3" w:themeFillTint="3F"/>
      </w:tcPr>
    </w:tblStylePr>
    <w:tblStylePr w:type="band1Horz">
      <w:tblPr/>
      <w:tcPr>
        <w:tcBorders>
          <w:left w:val="nil"/>
          <w:right w:val="nil"/>
          <w:insideH w:val="nil"/>
          <w:insideV w:val="nil"/>
        </w:tcBorders>
        <w:shd w:val="clear" w:color="auto" w:fill="F9DCC8" w:themeFill="accent3" w:themeFillTint="3F"/>
      </w:tcPr>
    </w:tblStylePr>
  </w:style>
  <w:style w:type="table" w:styleId="LightShading-Accent4">
    <w:name w:val="Light Shading Accent 4"/>
    <w:basedOn w:val="TableNormal"/>
    <w:uiPriority w:val="60"/>
    <w:locked/>
    <w:rsid w:val="00174635"/>
    <w:pPr>
      <w:spacing w:line="240" w:lineRule="auto"/>
    </w:pPr>
    <w:rPr>
      <w:rFonts w:ascii="Arial" w:eastAsia="Times" w:hAnsi="Arial"/>
      <w:color w:val="CC1D43" w:themeColor="accent4" w:themeShade="BF"/>
      <w:sz w:val="20"/>
      <w:szCs w:val="20"/>
    </w:rPr>
    <w:tblPr>
      <w:tblStyleRowBandSize w:val="1"/>
      <w:tblStyleColBandSize w:val="1"/>
      <w:tblBorders>
        <w:top w:val="single" w:sz="8" w:space="0" w:color="E65273" w:themeColor="accent4"/>
        <w:bottom w:val="single" w:sz="8" w:space="0" w:color="E65273" w:themeColor="accent4"/>
      </w:tblBorders>
    </w:tblPr>
    <w:tblStylePr w:type="firstRow">
      <w:pPr>
        <w:spacing w:before="0" w:after="0" w:line="240" w:lineRule="auto"/>
      </w:pPr>
      <w:rPr>
        <w:b/>
        <w:bCs/>
      </w:rPr>
      <w:tblPr/>
      <w:tcPr>
        <w:tcBorders>
          <w:top w:val="single" w:sz="8" w:space="0" w:color="E65273" w:themeColor="accent4"/>
          <w:left w:val="nil"/>
          <w:bottom w:val="single" w:sz="8" w:space="0" w:color="E65273" w:themeColor="accent4"/>
          <w:right w:val="nil"/>
          <w:insideH w:val="nil"/>
          <w:insideV w:val="nil"/>
        </w:tcBorders>
      </w:tcPr>
    </w:tblStylePr>
    <w:tblStylePr w:type="lastRow">
      <w:pPr>
        <w:spacing w:before="0" w:after="0" w:line="240" w:lineRule="auto"/>
      </w:pPr>
      <w:rPr>
        <w:b/>
        <w:bCs/>
      </w:rPr>
      <w:tblPr/>
      <w:tcPr>
        <w:tcBorders>
          <w:top w:val="single" w:sz="8" w:space="0" w:color="E65273" w:themeColor="accent4"/>
          <w:left w:val="nil"/>
          <w:bottom w:val="single" w:sz="8" w:space="0" w:color="E65273"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D4DC" w:themeFill="accent4" w:themeFillTint="3F"/>
      </w:tcPr>
    </w:tblStylePr>
    <w:tblStylePr w:type="band1Horz">
      <w:tblPr/>
      <w:tcPr>
        <w:tcBorders>
          <w:left w:val="nil"/>
          <w:right w:val="nil"/>
          <w:insideH w:val="nil"/>
          <w:insideV w:val="nil"/>
        </w:tcBorders>
        <w:shd w:val="clear" w:color="auto" w:fill="F8D4DC" w:themeFill="accent4" w:themeFillTint="3F"/>
      </w:tcPr>
    </w:tblStylePr>
  </w:style>
  <w:style w:type="table" w:styleId="LightShading">
    <w:name w:val="Light Shading"/>
    <w:basedOn w:val="TableNormal"/>
    <w:uiPriority w:val="60"/>
    <w:locked/>
    <w:rsid w:val="00174635"/>
    <w:pPr>
      <w:spacing w:line="240" w:lineRule="auto"/>
    </w:pPr>
    <w:rPr>
      <w:rFonts w:ascii="Arial" w:eastAsia="Times" w:hAnsi="Arial"/>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174635"/>
    <w:pPr>
      <w:spacing w:line="240" w:lineRule="auto"/>
    </w:pPr>
    <w:rPr>
      <w:rFonts w:ascii="Arial" w:eastAsia="Times" w:hAnsi="Arial"/>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65273"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65273" w:themeFill="accent4"/>
      </w:tcPr>
    </w:tblStylePr>
    <w:tblStylePr w:type="lastCol">
      <w:rPr>
        <w:b/>
        <w:bCs/>
        <w:color w:val="FFFFFF" w:themeColor="background1"/>
      </w:rPr>
      <w:tblPr/>
      <w:tcPr>
        <w:tcBorders>
          <w:left w:val="nil"/>
          <w:right w:val="nil"/>
          <w:insideH w:val="nil"/>
          <w:insideV w:val="nil"/>
        </w:tcBorders>
        <w:shd w:val="clear" w:color="auto" w:fill="E65273"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174635"/>
    <w:pPr>
      <w:spacing w:before="0" w:after="600"/>
      <w:outlineLvl w:val="1"/>
    </w:pPr>
    <w:rPr>
      <w:sz w:val="32"/>
      <w:szCs w:val="36"/>
    </w:rPr>
  </w:style>
  <w:style w:type="character" w:customStyle="1" w:styleId="DocumentSubtitleChar">
    <w:name w:val="Document Subtitle Char"/>
    <w:basedOn w:val="DefaultParagraphFont"/>
    <w:link w:val="DocumentSubtitle"/>
    <w:rsid w:val="00174635"/>
    <w:rPr>
      <w:rFonts w:ascii="Arial" w:eastAsia="Times New Roman" w:hAnsi="Arial"/>
      <w:color w:val="006983"/>
      <w:sz w:val="32"/>
      <w:szCs w:val="36"/>
    </w:rPr>
  </w:style>
  <w:style w:type="numbering" w:customStyle="1" w:styleId="GAMultilevelList">
    <w:name w:val="GA Multilevel List"/>
    <w:uiPriority w:val="99"/>
    <w:rsid w:val="00174635"/>
    <w:pPr>
      <w:numPr>
        <w:numId w:val="18"/>
      </w:numPr>
    </w:pPr>
  </w:style>
  <w:style w:type="paragraph" w:customStyle="1" w:styleId="Tableheadingcentred0">
    <w:name w:val="Table heading centred"/>
    <w:basedOn w:val="Tableheadingleft"/>
    <w:next w:val="BodyText"/>
    <w:semiHidden/>
    <w:rsid w:val="00174635"/>
    <w:pPr>
      <w:jc w:val="center"/>
    </w:pPr>
  </w:style>
  <w:style w:type="paragraph" w:customStyle="1" w:styleId="Tableheadingright">
    <w:name w:val="Table heading right"/>
    <w:basedOn w:val="Tableheadingcentred0"/>
    <w:next w:val="BodyText"/>
    <w:semiHidden/>
    <w:rsid w:val="00174635"/>
  </w:style>
  <w:style w:type="paragraph" w:customStyle="1" w:styleId="TableTextCentred0">
    <w:name w:val="Table Text Centred"/>
    <w:basedOn w:val="TableTextLeft"/>
    <w:qFormat/>
    <w:rsid w:val="00174635"/>
    <w:pPr>
      <w:jc w:val="center"/>
    </w:pPr>
  </w:style>
  <w:style w:type="paragraph" w:customStyle="1" w:styleId="TableTextRight0">
    <w:name w:val="Table Text Right"/>
    <w:basedOn w:val="TableTextCentred0"/>
    <w:qFormat/>
    <w:rsid w:val="00174635"/>
    <w:pPr>
      <w:jc w:val="right"/>
    </w:pPr>
  </w:style>
  <w:style w:type="character" w:customStyle="1" w:styleId="SubscriptItalic">
    <w:name w:val="Subscript Italic"/>
    <w:basedOn w:val="Subscript"/>
    <w:qFormat/>
    <w:rsid w:val="00174635"/>
    <w:rPr>
      <w:i/>
      <w:iCs/>
      <w:position w:val="-4"/>
      <w:vertAlign w:val="subscript"/>
    </w:rPr>
  </w:style>
  <w:style w:type="character" w:customStyle="1" w:styleId="SuperscriptItalic">
    <w:name w:val="Superscript Italic"/>
    <w:basedOn w:val="Superscript"/>
    <w:qFormat/>
    <w:rsid w:val="00174635"/>
    <w:rPr>
      <w:i/>
      <w:iCs/>
      <w:position w:val="0"/>
      <w:vertAlign w:val="superscript"/>
    </w:rPr>
  </w:style>
  <w:style w:type="table" w:customStyle="1" w:styleId="TableGANoHeader">
    <w:name w:val="Table GA No Header"/>
    <w:basedOn w:val="TableGAHeaderRow"/>
    <w:uiPriority w:val="99"/>
    <w:rsid w:val="00174635"/>
    <w:tbl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style>
  <w:style w:type="paragraph" w:customStyle="1" w:styleId="FiguresImagesCentred">
    <w:name w:val="Figures &amp; Images Centred"/>
    <w:basedOn w:val="FiguresImagesLeft"/>
    <w:next w:val="Caption"/>
    <w:qFormat/>
    <w:rsid w:val="00174635"/>
    <w:pPr>
      <w:jc w:val="center"/>
    </w:pPr>
  </w:style>
  <w:style w:type="paragraph" w:customStyle="1" w:styleId="Authors">
    <w:name w:val="Authors"/>
    <w:basedOn w:val="BodyText"/>
    <w:next w:val="FiguresImagesLeft"/>
    <w:qFormat/>
    <w:rsid w:val="00174635"/>
    <w:pPr>
      <w:suppressAutoHyphens/>
      <w:spacing w:after="2280" w:line="280" w:lineRule="atLeast"/>
    </w:pPr>
    <w:rPr>
      <w:rFonts w:ascii="Arial" w:eastAsia="Times" w:hAnsi="Arial" w:cs="Arial"/>
      <w:color w:val="auto"/>
      <w:sz w:val="20"/>
      <w:szCs w:val="20"/>
    </w:rPr>
  </w:style>
  <w:style w:type="table" w:styleId="MediumShading1">
    <w:name w:val="Medium Shading 1"/>
    <w:basedOn w:val="TableNormal"/>
    <w:uiPriority w:val="63"/>
    <w:locked/>
    <w:rsid w:val="00174635"/>
    <w:pPr>
      <w:spacing w:line="240" w:lineRule="auto"/>
    </w:pPr>
    <w:rPr>
      <w:rFonts w:ascii="Arial" w:eastAsia="Times" w:hAnsi="Arial"/>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174635"/>
    <w:pPr>
      <w:spacing w:line="240" w:lineRule="auto"/>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174635"/>
    <w:pPr>
      <w:spacing w:before="20" w:after="20" w:line="200" w:lineRule="atLeast"/>
    </w:pPr>
    <w:rPr>
      <w:rFonts w:ascii="Arial" w:eastAsia="Times" w:hAnsi="Arial"/>
      <w:sz w:val="18"/>
      <w:szCs w:val="20"/>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006983"/>
      </w:tcPr>
    </w:tblStylePr>
    <w:tblStylePr w:type="firstCol">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nwCell">
      <w:rPr>
        <w:color w:val="FFFFFF"/>
      </w:rPr>
      <w:tblPr/>
      <w:tcPr>
        <w:shd w:val="clear" w:color="auto" w:fill="FFFFFF"/>
      </w:tcPr>
    </w:tblStylePr>
  </w:style>
  <w:style w:type="paragraph" w:customStyle="1" w:styleId="FooterLandscape">
    <w:name w:val="Footer Landscape"/>
    <w:basedOn w:val="Footer"/>
    <w:semiHidden/>
    <w:qFormat/>
    <w:rsid w:val="00174635"/>
    <w:pPr>
      <w:pBdr>
        <w:top w:val="single" w:sz="2" w:space="2" w:color="auto"/>
      </w:pBdr>
      <w:tabs>
        <w:tab w:val="clear" w:pos="4513"/>
        <w:tab w:val="clear" w:pos="9026"/>
        <w:tab w:val="right" w:pos="14005"/>
      </w:tabs>
      <w:spacing w:before="180" w:after="180" w:line="160" w:lineRule="atLeast"/>
      <w:mirrorIndents/>
    </w:pPr>
    <w:rPr>
      <w:rFonts w:ascii="Arial Bold" w:eastAsia="Times" w:hAnsi="Arial Bold" w:cs="Arial"/>
      <w:b/>
      <w:color w:val="auto"/>
      <w:sz w:val="16"/>
      <w:szCs w:val="16"/>
    </w:rPr>
  </w:style>
  <w:style w:type="table" w:customStyle="1" w:styleId="TableGAHeaderColumn">
    <w:name w:val="Table GA Header Column"/>
    <w:basedOn w:val="TableGAHeaderRowColumn"/>
    <w:uiPriority w:val="99"/>
    <w:rsid w:val="00174635"/>
    <w:tbl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 w:type="paragraph" w:customStyle="1" w:styleId="VersoBoldPgB4">
    <w:name w:val="Verso Bold Pg B4"/>
    <w:basedOn w:val="BodyText"/>
    <w:next w:val="VersoPageInfo"/>
    <w:qFormat/>
    <w:rsid w:val="00174635"/>
    <w:pPr>
      <w:pageBreakBefore/>
      <w:suppressAutoHyphens/>
      <w:spacing w:before="0" w:after="0" w:line="240" w:lineRule="atLeast"/>
    </w:pPr>
    <w:rPr>
      <w:rFonts w:ascii="Arial" w:eastAsia="Times" w:hAnsi="Arial" w:cs="Arial"/>
      <w:b/>
      <w:color w:val="auto"/>
      <w:kern w:val="28"/>
      <w:sz w:val="20"/>
      <w:szCs w:val="20"/>
    </w:rPr>
  </w:style>
  <w:style w:type="paragraph" w:customStyle="1" w:styleId="FooterLandscapeA3">
    <w:name w:val="Footer Landscape A3"/>
    <w:basedOn w:val="FooterLandscape"/>
    <w:semiHidden/>
    <w:qFormat/>
    <w:rsid w:val="00174635"/>
    <w:pPr>
      <w:tabs>
        <w:tab w:val="clear" w:pos="14005"/>
        <w:tab w:val="right" w:pos="20979"/>
      </w:tabs>
    </w:pPr>
  </w:style>
  <w:style w:type="paragraph" w:customStyle="1" w:styleId="Headingappendix1base">
    <w:name w:val="Heading appendix 1 base"/>
    <w:next w:val="BodyText"/>
    <w:semiHidden/>
    <w:rsid w:val="00174635"/>
    <w:pPr>
      <w:keepNext/>
      <w:keepLines/>
      <w:pageBreakBefore/>
      <w:spacing w:after="1080" w:line="280" w:lineRule="atLeast"/>
      <w:outlineLvl w:val="0"/>
    </w:pPr>
    <w:rPr>
      <w:rFonts w:ascii="Arial" w:eastAsia="Times" w:hAnsi="Arial"/>
      <w:sz w:val="40"/>
      <w:szCs w:val="40"/>
    </w:rPr>
  </w:style>
  <w:style w:type="paragraph" w:customStyle="1" w:styleId="HeadingAppendix2">
    <w:name w:val="Heading Appendix 2"/>
    <w:basedOn w:val="Headingappendix1base"/>
    <w:next w:val="BodyText"/>
    <w:qFormat/>
    <w:rsid w:val="00174635"/>
    <w:pPr>
      <w:pageBreakBefore w:val="0"/>
      <w:spacing w:before="480" w:after="180" w:line="240" w:lineRule="atLeast"/>
      <w:outlineLvl w:val="1"/>
    </w:pPr>
    <w:rPr>
      <w:color w:val="006983"/>
      <w:sz w:val="30"/>
      <w:szCs w:val="30"/>
    </w:rPr>
  </w:style>
  <w:style w:type="paragraph" w:customStyle="1" w:styleId="HeadingAppendix3">
    <w:name w:val="Heading Appendix 3"/>
    <w:basedOn w:val="HeadingAppendix2"/>
    <w:next w:val="BodyText"/>
    <w:qFormat/>
    <w:rsid w:val="00174635"/>
    <w:pPr>
      <w:outlineLvl w:val="2"/>
    </w:pPr>
    <w:rPr>
      <w:b/>
      <w:bCs/>
      <w:sz w:val="24"/>
    </w:rPr>
  </w:style>
  <w:style w:type="paragraph" w:customStyle="1" w:styleId="HeadingAppendix4">
    <w:name w:val="Heading Appendix 4"/>
    <w:basedOn w:val="HeadingAppendix3"/>
    <w:next w:val="BodyText"/>
    <w:qFormat/>
    <w:rsid w:val="00174635"/>
    <w:pPr>
      <w:spacing w:before="240"/>
      <w:outlineLvl w:val="3"/>
    </w:pPr>
    <w:rPr>
      <w:rFonts w:eastAsia="Times New Roman"/>
      <w:i/>
      <w:iCs/>
      <w:sz w:val="22"/>
      <w:szCs w:val="20"/>
    </w:rPr>
  </w:style>
  <w:style w:type="paragraph" w:customStyle="1" w:styleId="HeadingAppendix5">
    <w:name w:val="Heading Appendix 5"/>
    <w:basedOn w:val="HeadingAppendix4"/>
    <w:next w:val="BodyText"/>
    <w:qFormat/>
    <w:rsid w:val="00174635"/>
    <w:pPr>
      <w:spacing w:before="260"/>
      <w:outlineLvl w:val="4"/>
    </w:pPr>
    <w:rPr>
      <w:b w:val="0"/>
      <w:bCs w:val="0"/>
    </w:rPr>
  </w:style>
  <w:style w:type="paragraph" w:customStyle="1" w:styleId="VersoBold">
    <w:name w:val="Verso Bold"/>
    <w:basedOn w:val="BodyText"/>
    <w:next w:val="VersoPageInfo"/>
    <w:rsid w:val="00174635"/>
    <w:pPr>
      <w:suppressAutoHyphens/>
      <w:spacing w:before="0" w:after="0" w:line="280" w:lineRule="atLeast"/>
    </w:pPr>
    <w:rPr>
      <w:rFonts w:ascii="Arial" w:eastAsia="Times" w:hAnsi="Arial" w:cs="Arial"/>
      <w:b/>
      <w:color w:val="auto"/>
      <w:kern w:val="28"/>
      <w:sz w:val="20"/>
      <w:szCs w:val="20"/>
    </w:rPr>
  </w:style>
  <w:style w:type="character" w:styleId="SubtleReference">
    <w:name w:val="Subtle Reference"/>
    <w:aliases w:val="SR-DO NOT USE"/>
    <w:uiPriority w:val="31"/>
    <w:locked/>
    <w:rsid w:val="00174635"/>
  </w:style>
  <w:style w:type="character" w:styleId="SubtleEmphasis">
    <w:name w:val="Subtle Emphasis"/>
    <w:aliases w:val="SE-DO NOT USE"/>
    <w:uiPriority w:val="19"/>
    <w:locked/>
    <w:rsid w:val="00174635"/>
  </w:style>
  <w:style w:type="character" w:styleId="PlaceholderText">
    <w:name w:val="Placeholder Text"/>
    <w:aliases w:val="Pl-DO NOT USE"/>
    <w:uiPriority w:val="99"/>
    <w:semiHidden/>
    <w:locked/>
    <w:rsid w:val="00174635"/>
  </w:style>
  <w:style w:type="character" w:styleId="IntenseReference">
    <w:name w:val="Intense Reference"/>
    <w:aliases w:val="IR-DO NOT USE"/>
    <w:uiPriority w:val="32"/>
    <w:qFormat/>
    <w:locked/>
    <w:rsid w:val="00174635"/>
  </w:style>
  <w:style w:type="character" w:styleId="IntenseEmphasis">
    <w:name w:val="Intense Emphasis"/>
    <w:aliases w:val="IE-DO NOT USE"/>
    <w:uiPriority w:val="21"/>
    <w:qFormat/>
    <w:locked/>
    <w:rsid w:val="00174635"/>
  </w:style>
  <w:style w:type="paragraph" w:styleId="BlockText">
    <w:name w:val="Block Text"/>
    <w:aliases w:val="BLT-DO NOT USE"/>
    <w:basedOn w:val="BalloonText"/>
    <w:semiHidden/>
    <w:locked/>
    <w:rsid w:val="00174635"/>
    <w:pPr>
      <w:suppressAutoHyphens/>
      <w:spacing w:before="180" w:after="180" w:line="280" w:lineRule="atLeast"/>
    </w:pPr>
    <w:rPr>
      <w:rFonts w:ascii="Arial" w:eastAsia="Times" w:hAnsi="Arial" w:cs="Arial"/>
      <w:color w:val="auto"/>
      <w:sz w:val="20"/>
      <w:szCs w:val="20"/>
    </w:rPr>
  </w:style>
  <w:style w:type="numbering" w:customStyle="1" w:styleId="GAAppendices">
    <w:name w:val="GA Appendices"/>
    <w:uiPriority w:val="99"/>
    <w:rsid w:val="00174635"/>
    <w:pPr>
      <w:numPr>
        <w:numId w:val="19"/>
      </w:numPr>
    </w:pPr>
  </w:style>
  <w:style w:type="paragraph" w:styleId="BodyTextIndent2">
    <w:name w:val="Body Text Indent 2"/>
    <w:aliases w:val="B4-DO NOT USE"/>
    <w:basedOn w:val="BodyTextIndent"/>
    <w:link w:val="BodyTextIndent2Char"/>
    <w:semiHidden/>
    <w:locked/>
    <w:rsid w:val="00174635"/>
    <w:pPr>
      <w:suppressAutoHyphens/>
      <w:spacing w:after="180" w:line="280" w:lineRule="atLeast"/>
      <w:ind w:left="0"/>
    </w:pPr>
    <w:rPr>
      <w:rFonts w:ascii="Arial" w:eastAsia="Times" w:hAnsi="Arial" w:cs="Arial"/>
      <w:color w:val="auto"/>
      <w:sz w:val="20"/>
      <w:szCs w:val="20"/>
    </w:rPr>
  </w:style>
  <w:style w:type="character" w:customStyle="1" w:styleId="BodyTextIndent2Char">
    <w:name w:val="Body Text Indent 2 Char"/>
    <w:aliases w:val="B4-DO NOT USE Char"/>
    <w:basedOn w:val="DefaultParagraphFont"/>
    <w:link w:val="BodyTextIndent2"/>
    <w:semiHidden/>
    <w:rsid w:val="00174635"/>
    <w:rPr>
      <w:rFonts w:ascii="Arial" w:eastAsia="Times" w:hAnsi="Arial" w:cs="Arial"/>
      <w:sz w:val="20"/>
      <w:szCs w:val="20"/>
    </w:rPr>
  </w:style>
  <w:style w:type="paragraph" w:styleId="BodyTextIndent3">
    <w:name w:val="Body Text Indent 3"/>
    <w:aliases w:val="B5-DO NOT USE"/>
    <w:basedOn w:val="BodyTextIndent2"/>
    <w:link w:val="BodyTextIndent3Char"/>
    <w:semiHidden/>
    <w:locked/>
    <w:rsid w:val="00174635"/>
  </w:style>
  <w:style w:type="character" w:customStyle="1" w:styleId="BodyTextIndent3Char">
    <w:name w:val="Body Text Indent 3 Char"/>
    <w:aliases w:val="B5-DO NOT USE Char"/>
    <w:basedOn w:val="DefaultParagraphFont"/>
    <w:link w:val="BodyTextIndent3"/>
    <w:semiHidden/>
    <w:rsid w:val="00174635"/>
    <w:rPr>
      <w:rFonts w:ascii="Arial" w:eastAsia="Times" w:hAnsi="Arial" w:cs="Arial"/>
      <w:sz w:val="20"/>
      <w:szCs w:val="20"/>
    </w:rPr>
  </w:style>
  <w:style w:type="character" w:customStyle="1" w:styleId="BoldItalic">
    <w:name w:val="Bold Italic"/>
    <w:basedOn w:val="DefaultParagraphFont"/>
    <w:rsid w:val="00174635"/>
    <w:rPr>
      <w:b/>
      <w:i/>
    </w:rPr>
  </w:style>
  <w:style w:type="paragraph" w:customStyle="1" w:styleId="ExtractAuthorNames">
    <w:name w:val="Extract Author Names"/>
    <w:basedOn w:val="BodyText"/>
    <w:next w:val="ExtractAuthorLocation"/>
    <w:rsid w:val="00174635"/>
    <w:pPr>
      <w:suppressAutoHyphens/>
      <w:spacing w:before="120" w:after="60" w:line="240" w:lineRule="auto"/>
    </w:pPr>
    <w:rPr>
      <w:rFonts w:ascii="Arial" w:eastAsia="Times New Roman" w:hAnsi="Arial"/>
      <w:color w:val="auto"/>
      <w:sz w:val="20"/>
      <w:szCs w:val="20"/>
    </w:rPr>
  </w:style>
  <w:style w:type="paragraph" w:customStyle="1" w:styleId="ExtractAuthorLocation">
    <w:name w:val="Extract Author Location"/>
    <w:basedOn w:val="BodyText"/>
    <w:next w:val="ExtractAuthorEmail"/>
    <w:rsid w:val="00174635"/>
    <w:pPr>
      <w:tabs>
        <w:tab w:val="left" w:pos="170"/>
      </w:tabs>
      <w:suppressAutoHyphens/>
      <w:spacing w:before="60" w:after="0" w:line="240" w:lineRule="auto"/>
      <w:ind w:left="170" w:hanging="170"/>
    </w:pPr>
    <w:rPr>
      <w:rFonts w:ascii="Arial" w:eastAsia="Times" w:hAnsi="Arial" w:cs="Arial"/>
      <w:color w:val="auto"/>
      <w:sz w:val="16"/>
      <w:szCs w:val="20"/>
    </w:rPr>
  </w:style>
  <w:style w:type="paragraph" w:customStyle="1" w:styleId="ExtractAuthorEmail">
    <w:name w:val="Extract Author Email"/>
    <w:basedOn w:val="BodyText"/>
    <w:next w:val="Heading2"/>
    <w:rsid w:val="00174635"/>
    <w:pPr>
      <w:suppressAutoHyphens/>
      <w:spacing w:before="120" w:after="480" w:line="240" w:lineRule="auto"/>
    </w:pPr>
    <w:rPr>
      <w:rFonts w:ascii="Arial" w:eastAsia="Times New Roman" w:hAnsi="Arial"/>
      <w:color w:val="auto"/>
      <w:sz w:val="20"/>
      <w:szCs w:val="20"/>
    </w:rPr>
  </w:style>
  <w:style w:type="character" w:customStyle="1" w:styleId="Symbol">
    <w:name w:val="Symbol"/>
    <w:basedOn w:val="DefaultParagraphFont"/>
    <w:uiPriority w:val="1"/>
    <w:rsid w:val="00174635"/>
    <w:rPr>
      <w:rFonts w:ascii="Symbol" w:hAnsi="Symbol"/>
    </w:rPr>
  </w:style>
  <w:style w:type="paragraph" w:customStyle="1" w:styleId="TableTextBulletL1">
    <w:name w:val="Table Text Bullet L1"/>
    <w:basedOn w:val="TableTextLeft"/>
    <w:qFormat/>
    <w:rsid w:val="00174635"/>
    <w:pPr>
      <w:numPr>
        <w:numId w:val="21"/>
      </w:numPr>
    </w:pPr>
    <w:rPr>
      <w:szCs w:val="18"/>
    </w:rPr>
  </w:style>
  <w:style w:type="paragraph" w:customStyle="1" w:styleId="TableTextBulletL2">
    <w:name w:val="Table Text Bullet L2"/>
    <w:basedOn w:val="TableTextBulletL1"/>
    <w:qFormat/>
    <w:rsid w:val="00174635"/>
    <w:pPr>
      <w:numPr>
        <w:ilvl w:val="1"/>
      </w:numPr>
      <w:spacing w:line="120" w:lineRule="atLeast"/>
    </w:pPr>
  </w:style>
  <w:style w:type="paragraph" w:customStyle="1" w:styleId="TableSource">
    <w:name w:val="Table Source"/>
    <w:basedOn w:val="BodyText"/>
    <w:next w:val="BodyText"/>
    <w:qFormat/>
    <w:rsid w:val="00174635"/>
    <w:pPr>
      <w:suppressAutoHyphens/>
      <w:spacing w:before="120" w:after="480" w:line="160" w:lineRule="atLeast"/>
    </w:pPr>
    <w:rPr>
      <w:rFonts w:ascii="Arial" w:eastAsia="Times New Roman" w:hAnsi="Arial" w:cs="Arial"/>
      <w:i/>
      <w:iCs/>
      <w:color w:val="auto"/>
      <w:sz w:val="16"/>
      <w:szCs w:val="18"/>
    </w:rPr>
  </w:style>
  <w:style w:type="paragraph" w:customStyle="1" w:styleId="TableEmptyParaAfter">
    <w:name w:val="Table Empty Para After"/>
    <w:basedOn w:val="BodyText"/>
    <w:rsid w:val="00174635"/>
    <w:pPr>
      <w:suppressAutoHyphens/>
      <w:spacing w:before="0" w:after="0" w:line="200" w:lineRule="atLeast"/>
    </w:pPr>
    <w:rPr>
      <w:rFonts w:ascii="Arial" w:eastAsia="Times New Roman" w:hAnsi="Arial"/>
      <w:color w:val="auto"/>
      <w:sz w:val="16"/>
      <w:szCs w:val="20"/>
    </w:rPr>
  </w:style>
  <w:style w:type="table" w:customStyle="1" w:styleId="TableGANoBanding">
    <w:name w:val="Table GA NoBanding"/>
    <w:basedOn w:val="TableNormal"/>
    <w:rsid w:val="00174635"/>
    <w:pPr>
      <w:spacing w:before="20" w:after="20" w:line="200" w:lineRule="atLeast"/>
    </w:pPr>
    <w:rPr>
      <w:rFonts w:ascii="Arial" w:eastAsia="Times" w:hAnsi="Arial"/>
      <w:sz w:val="18"/>
      <w:szCs w:val="20"/>
    </w:rPr>
    <w:tblPr>
      <w:tblStyleRowBandSize w:val="1"/>
      <w:tblStyleColBandSize w:val="1"/>
      <w:tblInd w:w="0" w:type="nil"/>
      <w:tblBorders>
        <w:top w:val="single" w:sz="8" w:space="0" w:color="006983"/>
        <w:left w:val="single" w:sz="8" w:space="0" w:color="006983"/>
        <w:bottom w:val="single" w:sz="8" w:space="0" w:color="006983"/>
        <w:right w:val="single" w:sz="8" w:space="0" w:color="006983"/>
        <w:insideH w:val="single" w:sz="8" w:space="0" w:color="006983"/>
        <w:insideV w:val="single" w:sz="8" w:space="0" w:color="006983"/>
      </w:tblBorders>
      <w:tblCellMar>
        <w:top w:w="57" w:type="dxa"/>
        <w:left w:w="57" w:type="dxa"/>
        <w:bottom w:w="28" w:type="dxa"/>
        <w:right w:w="57" w:type="dxa"/>
      </w:tblCellMar>
    </w:tblPr>
    <w:tcPr>
      <w:shd w:val="clear" w:color="auto" w:fill="FFFFFF" w:themeFill="background1"/>
    </w:tcPr>
    <w:tblStylePr w:type="firstRow">
      <w:pPr>
        <w:wordWrap/>
        <w:spacing w:beforeLines="0" w:before="100" w:beforeAutospacing="1" w:afterLines="0" w:after="100" w:afterAutospacing="1" w:line="120" w:lineRule="atLeast"/>
        <w:jc w:val="left"/>
      </w:pPr>
      <w:rPr>
        <w:rFonts w:ascii="Arial" w:hAnsi="Arial" w:cs="Arial" w:hint="default"/>
        <w:b/>
        <w:color w:val="FFFFFF"/>
        <w:sz w:val="18"/>
        <w:szCs w:val="18"/>
      </w:rPr>
      <w:tblPr/>
      <w:tcPr>
        <w:tcBorders>
          <w:top w:val="single" w:sz="8" w:space="0" w:color="006983"/>
          <w:left w:val="single" w:sz="8" w:space="0" w:color="006983"/>
          <w:bottom w:val="single" w:sz="8" w:space="0" w:color="006983"/>
          <w:right w:val="single" w:sz="8" w:space="0" w:color="006983"/>
          <w:insideH w:val="single" w:sz="8" w:space="0" w:color="006983"/>
          <w:insideV w:val="single" w:sz="8" w:space="0" w:color="FFFFFF" w:themeColor="background1"/>
          <w:tl2br w:val="nil"/>
          <w:tr2bl w:val="nil"/>
        </w:tcBorders>
        <w:shd w:val="clear" w:color="auto" w:fill="006983"/>
      </w:tc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shd w:val="clear" w:color="auto" w:fill="FFFFFF" w:themeFill="background1"/>
      </w:tcPr>
    </w:tblStylePr>
    <w:tblStylePr w:type="band2Horz">
      <w:pPr>
        <w:wordWrap/>
        <w:spacing w:beforeLines="0" w:before="100" w:beforeAutospacing="1" w:afterLines="0" w:after="100" w:afterAutospacing="1" w:line="120" w:lineRule="atLeast"/>
      </w:pPr>
      <w:tblPr/>
      <w:tcPr>
        <w:shd w:val="clear" w:color="auto" w:fill="FFFFFF" w:themeFill="background1"/>
      </w:tcPr>
    </w:tblStylePr>
  </w:style>
  <w:style w:type="table" w:customStyle="1" w:styleId="TableGANoHeaderNoBanding">
    <w:name w:val="Table GA NoHeader NoBanding"/>
    <w:basedOn w:val="TableNormal"/>
    <w:rsid w:val="00174635"/>
    <w:pPr>
      <w:spacing w:before="20" w:after="20" w:line="200" w:lineRule="atLeast"/>
    </w:pPr>
    <w:rPr>
      <w:rFonts w:ascii="Arial" w:eastAsia="Times" w:hAnsi="Arial"/>
      <w:sz w:val="18"/>
      <w:szCs w:val="20"/>
    </w:rPr>
    <w:tblPr>
      <w:tblStyleRowBandSize w:val="1"/>
      <w:tblStyleColBandSize w:val="1"/>
      <w:tblInd w:w="0" w:type="nil"/>
      <w:tblBorders>
        <w:top w:val="single" w:sz="8" w:space="0" w:color="006983"/>
        <w:left w:val="single" w:sz="8" w:space="0" w:color="006983"/>
        <w:bottom w:val="single" w:sz="8" w:space="0" w:color="006983"/>
        <w:right w:val="single" w:sz="8" w:space="0" w:color="006983"/>
        <w:insideH w:val="single" w:sz="8" w:space="0" w:color="006983"/>
        <w:insideV w:val="single" w:sz="8" w:space="0" w:color="006983"/>
      </w:tblBorders>
      <w:tblCellMar>
        <w:top w:w="57" w:type="dxa"/>
        <w:left w:w="57" w:type="dxa"/>
        <w:bottom w:w="28" w:type="dxa"/>
        <w:right w:w="57" w:type="dxa"/>
      </w:tblCellMar>
    </w:tblPr>
    <w:tblStylePr w:type="firstRow">
      <w:pPr>
        <w:wordWrap/>
        <w:spacing w:beforeLines="0" w:before="100" w:beforeAutospacing="1" w:afterLines="0" w:after="100" w:afterAutospacing="1" w:line="120" w:lineRule="atLeast"/>
        <w:jc w:val="left"/>
      </w:pPr>
      <w:rPr>
        <w:rFonts w:ascii="Arial" w:hAnsi="Arial" w:cs="Arial" w:hint="default"/>
        <w:b w:val="0"/>
        <w:color w:val="auto"/>
        <w:sz w:val="18"/>
        <w:szCs w:val="18"/>
      </w:r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shd w:val="clear" w:color="auto" w:fill="FFFFFF" w:themeFill="background1"/>
      </w:tcPr>
    </w:tblStylePr>
    <w:tblStylePr w:type="band2Horz">
      <w:pPr>
        <w:wordWrap/>
        <w:spacing w:beforeLines="0" w:before="100" w:beforeAutospacing="1" w:afterLines="0" w:after="100" w:afterAutospacing="1" w:line="120" w:lineRule="atLeast"/>
      </w:pPr>
      <w:tblPr/>
      <w:tcPr>
        <w:shd w:val="clear" w:color="auto" w:fill="FFFFFF" w:themeFill="background1"/>
      </w:tcPr>
    </w:tblStylePr>
  </w:style>
  <w:style w:type="paragraph" w:customStyle="1" w:styleId="Default">
    <w:name w:val="Default"/>
    <w:rsid w:val="00174635"/>
    <w:pPr>
      <w:autoSpaceDE w:val="0"/>
      <w:autoSpaceDN w:val="0"/>
      <w:adjustRightInd w:val="0"/>
      <w:spacing w:before="0" w:after="0" w:line="240" w:lineRule="auto"/>
    </w:pPr>
    <w:rPr>
      <w:rFonts w:ascii="Garamond" w:eastAsia="Times" w:hAnsi="Garamond" w:cs="Garamond"/>
      <w:color w:val="000000"/>
    </w:rPr>
  </w:style>
  <w:style w:type="paragraph" w:customStyle="1" w:styleId="img-caption">
    <w:name w:val="img-caption"/>
    <w:basedOn w:val="Normal"/>
    <w:rsid w:val="00174635"/>
    <w:pPr>
      <w:spacing w:before="240" w:after="240" w:line="240" w:lineRule="auto"/>
    </w:pPr>
    <w:rPr>
      <w:rFonts w:ascii="Times New Roman" w:eastAsia="Times New Roman" w:hAnsi="Times New Roman"/>
      <w:i/>
      <w:iCs/>
      <w:color w:val="auto"/>
      <w:sz w:val="18"/>
      <w:szCs w:val="18"/>
    </w:rPr>
  </w:style>
  <w:style w:type="paragraph" w:customStyle="1" w:styleId="BodyText1">
    <w:name w:val="Body Text+1"/>
    <w:basedOn w:val="Default"/>
    <w:next w:val="Default"/>
    <w:uiPriority w:val="99"/>
    <w:rsid w:val="00174635"/>
    <w:rPr>
      <w:rFonts w:cs="Times New Roman"/>
      <w:color w:val="auto"/>
    </w:rPr>
  </w:style>
  <w:style w:type="paragraph" w:customStyle="1" w:styleId="Bodycopyfirstpara">
    <w:name w:val="Body copy first para"/>
    <w:basedOn w:val="Normal"/>
    <w:uiPriority w:val="99"/>
    <w:rsid w:val="00174635"/>
    <w:pPr>
      <w:widowControl w:val="0"/>
      <w:suppressAutoHyphens/>
      <w:autoSpaceDE w:val="0"/>
      <w:autoSpaceDN w:val="0"/>
      <w:adjustRightInd w:val="0"/>
      <w:spacing w:before="11" w:after="0" w:line="230" w:lineRule="atLeast"/>
      <w:textAlignment w:val="center"/>
    </w:pPr>
    <w:rPr>
      <w:rFonts w:ascii="Cambria" w:eastAsia="Cambria" w:hAnsi="Cambria" w:cs="FranklinGothic-Book"/>
      <w:sz w:val="18"/>
      <w:szCs w:val="18"/>
      <w:lang w:val="en-US" w:eastAsia="en-US"/>
    </w:rPr>
  </w:style>
  <w:style w:type="paragraph" w:customStyle="1" w:styleId="Bodycopy">
    <w:name w:val="Body copy"/>
    <w:basedOn w:val="Bodycopyfirstpara"/>
    <w:uiPriority w:val="99"/>
    <w:rsid w:val="00174635"/>
    <w:pPr>
      <w:spacing w:before="142"/>
    </w:pPr>
  </w:style>
  <w:style w:type="paragraph" w:customStyle="1" w:styleId="Pa9">
    <w:name w:val="Pa9"/>
    <w:basedOn w:val="Default"/>
    <w:next w:val="Default"/>
    <w:uiPriority w:val="99"/>
    <w:rsid w:val="00174635"/>
    <w:pPr>
      <w:spacing w:line="201" w:lineRule="atLeast"/>
    </w:pPr>
    <w:rPr>
      <w:rFonts w:ascii="Gotham Light" w:hAnsi="Gotham Light" w:cs="Times New Roman"/>
      <w:color w:val="auto"/>
    </w:rPr>
  </w:style>
  <w:style w:type="character" w:customStyle="1" w:styleId="A8">
    <w:name w:val="A8"/>
    <w:uiPriority w:val="99"/>
    <w:rsid w:val="00174635"/>
    <w:rPr>
      <w:rFonts w:cs="Gotham Light"/>
      <w:color w:val="000000"/>
      <w:sz w:val="11"/>
      <w:szCs w:val="11"/>
    </w:rPr>
  </w:style>
  <w:style w:type="character" w:customStyle="1" w:styleId="A13">
    <w:name w:val="A13"/>
    <w:uiPriority w:val="99"/>
    <w:rsid w:val="00174635"/>
    <w:rPr>
      <w:rFonts w:cs="Gotham Light"/>
      <w:color w:val="000000"/>
      <w:sz w:val="15"/>
      <w:szCs w:val="15"/>
      <w:u w:val="single"/>
    </w:rPr>
  </w:style>
  <w:style w:type="character" w:customStyle="1" w:styleId="ReferencesChar">
    <w:name w:val="References Char"/>
    <w:link w:val="References"/>
    <w:locked/>
    <w:rsid w:val="00174635"/>
    <w:rPr>
      <w:rFonts w:eastAsia="Calibri"/>
      <w:color w:val="000000"/>
    </w:rPr>
  </w:style>
  <w:style w:type="character" w:customStyle="1" w:styleId="ReferencesItalic">
    <w:name w:val="References Italic"/>
    <w:basedOn w:val="DefaultParagraphFont"/>
    <w:qFormat/>
    <w:rsid w:val="00174635"/>
    <w:rPr>
      <w:i/>
    </w:rPr>
  </w:style>
  <w:style w:type="character" w:customStyle="1" w:styleId="title5">
    <w:name w:val="title5"/>
    <w:basedOn w:val="DefaultParagraphFont"/>
    <w:rsid w:val="00174635"/>
    <w:rPr>
      <w:b/>
      <w:bCs/>
      <w:color w:val="333333"/>
      <w:sz w:val="30"/>
      <w:szCs w:val="30"/>
    </w:rPr>
  </w:style>
  <w:style w:type="character" w:customStyle="1" w:styleId="date-range">
    <w:name w:val="date-range"/>
    <w:basedOn w:val="DefaultParagraphFont"/>
    <w:rsid w:val="00174635"/>
  </w:style>
  <w:style w:type="table" w:customStyle="1" w:styleId="TableGAHeaderColumn1">
    <w:name w:val="Table GA Header Column1"/>
    <w:basedOn w:val="TableNormal"/>
    <w:uiPriority w:val="99"/>
    <w:rsid w:val="001E0B4B"/>
    <w:pPr>
      <w:spacing w:before="20" w:after="20" w:line="200" w:lineRule="atLeast"/>
    </w:pPr>
    <w:rPr>
      <w:rFonts w:ascii="Arial" w:eastAsia="Times" w:hAnsi="Arial"/>
      <w:sz w:val="18"/>
      <w:szCs w:val="20"/>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34491326">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555556909">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2049186528">
      <w:bodyDiv w:val="1"/>
      <w:marLeft w:val="0"/>
      <w:marRight w:val="0"/>
      <w:marTop w:val="0"/>
      <w:marBottom w:val="0"/>
      <w:divBdr>
        <w:top w:val="none" w:sz="0" w:space="0" w:color="auto"/>
        <w:left w:val="none" w:sz="0" w:space="0" w:color="auto"/>
        <w:bottom w:val="none" w:sz="0" w:space="0" w:color="auto"/>
        <w:right w:val="none" w:sz="0" w:space="0" w:color="auto"/>
      </w:divBdr>
    </w:div>
    <w:div w:id="2106263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esourcesandenergy.nsw.gov.au/__data/assets/pdf_file/0005/534830/NSW-Gas-Plan.pdf" TargetMode="External"/><Relationship Id="rId21" Type="http://schemas.openxmlformats.org/officeDocument/2006/relationships/image" Target="media/image7.png"/><Relationship Id="rId42" Type="http://schemas.openxmlformats.org/officeDocument/2006/relationships/header" Target="header2.xml"/><Relationship Id="rId63" Type="http://schemas.openxmlformats.org/officeDocument/2006/relationships/header" Target="header8.xml"/><Relationship Id="rId84" Type="http://schemas.openxmlformats.org/officeDocument/2006/relationships/hyperlink" Target="http://www.cometridge.com.au/Projects_Galilee.htm" TargetMode="External"/><Relationship Id="rId138" Type="http://schemas.openxmlformats.org/officeDocument/2006/relationships/header" Target="header23.xml"/><Relationship Id="rId107" Type="http://schemas.openxmlformats.org/officeDocument/2006/relationships/hyperlink" Target="http://dx.doi.org/10.11636/Record.2015.031" TargetMode="External"/><Relationship Id="rId11" Type="http://schemas.openxmlformats.org/officeDocument/2006/relationships/endnotes" Target="endnotes.xml"/><Relationship Id="rId32" Type="http://schemas.openxmlformats.org/officeDocument/2006/relationships/image" Target="media/image11.png"/><Relationship Id="rId37" Type="http://schemas.openxmlformats.org/officeDocument/2006/relationships/image" Target="media/image16.jpeg"/><Relationship Id="rId53" Type="http://schemas.openxmlformats.org/officeDocument/2006/relationships/hyperlink" Target="http://www.bom.gov.au/water/groundwater/insight/" TargetMode="External"/><Relationship Id="rId58" Type="http://schemas.openxmlformats.org/officeDocument/2006/relationships/hyperlink" Target="http://www.abs.gov.au/AUSSTATS/abs@.nsf/DetailsPage/3218.02015-16?OpenDocument" TargetMode="External"/><Relationship Id="rId74" Type="http://schemas.openxmlformats.org/officeDocument/2006/relationships/hyperlink" Target="http://data.gov.au/dataset/catchment-scale-land-use-of-australia-update-may-2016" TargetMode="External"/><Relationship Id="rId79" Type="http://schemas.openxmlformats.org/officeDocument/2006/relationships/hyperlink" Target="http://www.bom.gov.au/water/geofabric/download.shtml" TargetMode="External"/><Relationship Id="rId102" Type="http://schemas.openxmlformats.org/officeDocument/2006/relationships/hyperlink" Target="https://ecat.ga.gov.au/geonetwork/srv/eng/search" TargetMode="External"/><Relationship Id="rId123" Type="http://schemas.openxmlformats.org/officeDocument/2006/relationships/hyperlink" Target="http://www.spe.org/industry/docs/Petroleum_Resources_Management_System_2007.pdf" TargetMode="External"/><Relationship Id="rId128" Type="http://schemas.openxmlformats.org/officeDocument/2006/relationships/hyperlink" Target="https://ecat.ga.gov.au/geonetwork/srv/eng/search" TargetMode="External"/><Relationship Id="rId144" Type="http://schemas.openxmlformats.org/officeDocument/2006/relationships/customXml" Target="../customXml/item2.xml"/><Relationship Id="rId90" Type="http://schemas.openxmlformats.org/officeDocument/2006/relationships/hyperlink" Target="http://qldspatial.information.qld.gov.au/catalogue/custom/index.page%20" TargetMode="External"/><Relationship Id="rId95" Type="http://schemas.openxmlformats.org/officeDocument/2006/relationships/hyperlink" Target="https://map.sarig.sa.gov.au/" TargetMode="External"/><Relationship Id="rId22" Type="http://schemas.openxmlformats.org/officeDocument/2006/relationships/hyperlink" Target="https://creativecommons.org/licenses/by/4.0/" TargetMode="External"/><Relationship Id="rId27" Type="http://schemas.openxmlformats.org/officeDocument/2006/relationships/footer" Target="footer1.xml"/><Relationship Id="rId43" Type="http://schemas.openxmlformats.org/officeDocument/2006/relationships/footer" Target="footer4.xml"/><Relationship Id="rId48" Type="http://schemas.openxmlformats.org/officeDocument/2006/relationships/hyperlink" Target="https://map.sarig.sa.gov.au/" TargetMode="External"/><Relationship Id="rId64" Type="http://schemas.openxmlformats.org/officeDocument/2006/relationships/image" Target="media/image20.jpeg"/><Relationship Id="rId69" Type="http://schemas.openxmlformats.org/officeDocument/2006/relationships/image" Target="media/image21.png"/><Relationship Id="rId113" Type="http://schemas.openxmlformats.org/officeDocument/2006/relationships/hyperlink" Target="https://frackinginquiry.wa.gov.au/" TargetMode="External"/><Relationship Id="rId118" Type="http://schemas.openxmlformats.org/officeDocument/2006/relationships/hyperlink" Target="http://www.resourcesandenergy.nsw.gov.au/__data/assets/pdf_file/0018/516114/Code-of-Practice-for-Coal-Seam-Gas-Fracture-Stimulation.pdf" TargetMode="External"/><Relationship Id="rId134" Type="http://schemas.openxmlformats.org/officeDocument/2006/relationships/header" Target="header20.xml"/><Relationship Id="rId139" Type="http://schemas.openxmlformats.org/officeDocument/2006/relationships/footer" Target="footer6.xml"/><Relationship Id="rId80" Type="http://schemas.openxmlformats.org/officeDocument/2006/relationships/hyperlink" Target="http://www.bom.gov.au/water/groundwater/insight/" TargetMode="External"/><Relationship Id="rId85" Type="http://schemas.openxmlformats.org/officeDocument/2006/relationships/hyperlink" Target="https://www.acola.org.au/PDF/SAF06FINAL/Final%20Report%20Engineering%20Energy%20June%202013.pdf" TargetMode="Externa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12.jpg"/><Relationship Id="rId38" Type="http://schemas.openxmlformats.org/officeDocument/2006/relationships/image" Target="media/image17.png"/><Relationship Id="rId59" Type="http://schemas.openxmlformats.org/officeDocument/2006/relationships/hyperlink" Target="http://data.gov.au/dataset/catchment-scale-land-use-of-australia-update-may-2016" TargetMode="External"/><Relationship Id="rId103" Type="http://schemas.openxmlformats.org/officeDocument/2006/relationships/hyperlink" Target="https://statedevelopment.sa.gov.au/resourcesUNPUBLISHED/unconventional-gas-projects" TargetMode="External"/><Relationship Id="rId108" Type="http://schemas.openxmlformats.org/officeDocument/2006/relationships/hyperlink" Target="http://dx.doi.org/10.11636/Record.2016.006" TargetMode="External"/><Relationship Id="rId124" Type="http://schemas.openxmlformats.org/officeDocument/2006/relationships/hyperlink" Target="http://dx.doi.org/10.11636/9781925124668" TargetMode="External"/><Relationship Id="rId129" Type="http://schemas.openxmlformats.org/officeDocument/2006/relationships/hyperlink" Target="http://dpipwe.tas.gov.au/Documents/Tasmanian%20Fracking%20Policy%20Statement_26-2-15.pdf" TargetMode="External"/><Relationship Id="rId54" Type="http://schemas.openxmlformats.org/officeDocument/2006/relationships/hyperlink" Target="http://www.environment.gov.au/fed/catalog/search/resource/details.page?uuid=%7BE6C815D9-FB67-4372-AC25-81C7473CCD21%7D" TargetMode="External"/><Relationship Id="rId70" Type="http://schemas.openxmlformats.org/officeDocument/2006/relationships/header" Target="header13.xml"/><Relationship Id="rId75" Type="http://schemas.openxmlformats.org/officeDocument/2006/relationships/hyperlink" Target="http://www.abs.gov.au/AUSSTATS/abs@.nsf/DetailsPage/3218.02015-16?OpenDocument" TargetMode="External"/><Relationship Id="rId91" Type="http://schemas.openxmlformats.org/officeDocument/2006/relationships/hyperlink" Target="http://qldspatial.information.qld.gov.au/catalogue/custom/index.page" TargetMode="External"/><Relationship Id="rId96" Type="http://schemas.openxmlformats.org/officeDocument/2006/relationships/hyperlink" Target="http://petroleum.statedevelopment.sa.gov.au/latest_updates/pace_gas" TargetMode="External"/><Relationship Id="rId140" Type="http://schemas.openxmlformats.org/officeDocument/2006/relationships/header" Target="header24.xml"/><Relationship Id="rId145" Type="http://schemas.openxmlformats.org/officeDocument/2006/relationships/customXml" Target="../customXml/item3.xml"/><Relationship Id="rId6" Type="http://schemas.openxmlformats.org/officeDocument/2006/relationships/numbering" Target="numbering.xml"/><Relationship Id="rId23" Type="http://schemas.openxmlformats.org/officeDocument/2006/relationships/hyperlink" Target="http://www.bioregionalassessments.gov.au" TargetMode="External"/><Relationship Id="rId28" Type="http://schemas.openxmlformats.org/officeDocument/2006/relationships/footer" Target="footer2.xml"/><Relationship Id="rId49" Type="http://schemas.openxmlformats.org/officeDocument/2006/relationships/hyperlink" Target="https://ecat.ga.gov.au/geonetwork/srv/eng/search" TargetMode="External"/><Relationship Id="rId114" Type="http://schemas.openxmlformats.org/officeDocument/2006/relationships/hyperlink" Target="http://www.lakesoil.com.au/index.php/permits/onshore-gippsland-basin-vic" TargetMode="External"/><Relationship Id="rId119" Type="http://schemas.openxmlformats.org/officeDocument/2006/relationships/hyperlink" Target="http://www.geoscience.nt.gov.au/gemis/ntgsjspui/handle/1/79187" TargetMode="External"/><Relationship Id="rId44" Type="http://schemas.openxmlformats.org/officeDocument/2006/relationships/footer" Target="footer5.xml"/><Relationship Id="rId60" Type="http://schemas.openxmlformats.org/officeDocument/2006/relationships/hyperlink" Target="http://www.bom.gov.au/water/geofabric/download.shtml" TargetMode="External"/><Relationship Id="rId65" Type="http://schemas.openxmlformats.org/officeDocument/2006/relationships/header" Target="header9.xml"/><Relationship Id="rId81" Type="http://schemas.openxmlformats.org/officeDocument/2006/relationships/hyperlink" Target="http://www.bom.gov.au/water/groundwater/ngis/" TargetMode="External"/><Relationship Id="rId86" Type="http://schemas.openxmlformats.org/officeDocument/2006/relationships/hyperlink" Target="https://www.csiro.au/en/Research/Energy/Hydraulic-fracturing/a-What-is-hydraulic-fracturing" TargetMode="External"/><Relationship Id="rId130" Type="http://schemas.openxmlformats.org/officeDocument/2006/relationships/hyperlink" Target="http://www.premier.vic.gov.au/fracking-banned-in-victoria-giving-certainty-to-farmers/" TargetMode="External"/><Relationship Id="rId135" Type="http://schemas.openxmlformats.org/officeDocument/2006/relationships/header" Target="header21.xml"/><Relationship Id="rId13" Type="http://schemas.openxmlformats.org/officeDocument/2006/relationships/image" Target="media/image2.png"/><Relationship Id="rId18" Type="http://schemas.openxmlformats.org/officeDocument/2006/relationships/hyperlink" Target="http://www.bioregionalassessments.gov.au" TargetMode="External"/><Relationship Id="rId39" Type="http://schemas.openxmlformats.org/officeDocument/2006/relationships/image" Target="media/image18.jpeg"/><Relationship Id="rId109" Type="http://schemas.openxmlformats.org/officeDocument/2006/relationships/hyperlink" Target="http://dx.doi.org/10.11636/Record.2016.029" TargetMode="External"/><Relationship Id="rId34" Type="http://schemas.openxmlformats.org/officeDocument/2006/relationships/image" Target="media/image13.emf"/><Relationship Id="rId50" Type="http://schemas.openxmlformats.org/officeDocument/2006/relationships/header" Target="header4.xml"/><Relationship Id="rId55" Type="http://schemas.openxmlformats.org/officeDocument/2006/relationships/hyperlink" Target="http://www.bom.gov.au/water/groundwater/gde/map.shtml" TargetMode="External"/><Relationship Id="rId76" Type="http://schemas.openxmlformats.org/officeDocument/2006/relationships/hyperlink" Target="https://www.accc.gov.au/system/files/1074_Gas%20enquiry%20report_FA_21April.pdf" TargetMode="External"/><Relationship Id="rId97" Type="http://schemas.openxmlformats.org/officeDocument/2006/relationships/hyperlink" Target="https://map.sarig.sa.gov.au/" TargetMode="External"/><Relationship Id="rId104" Type="http://schemas.openxmlformats.org/officeDocument/2006/relationships/hyperlink" Target="https://sarigbasis.pir.sa.gov.au/WebtopEw/ws/samref/sarig1/image/DDD/PGSA004.pdf" TargetMode="External"/><Relationship Id="rId120" Type="http://schemas.openxmlformats.org/officeDocument/2006/relationships/hyperlink" Target="http://www.ntlis.nt.gov.au/metadata/export_data?type=html&amp;metadata_id=FB25348A02CB16B2E040CD9B2144584B" TargetMode="External"/><Relationship Id="rId125" Type="http://schemas.openxmlformats.org/officeDocument/2006/relationships/hyperlink" Target="https://www.ga.gov.au/products/servlet/controller?event=GEOCAT_DETAILS&amp;catno=69455" TargetMode="External"/><Relationship Id="rId141" Type="http://schemas.openxmlformats.org/officeDocument/2006/relationships/fontTable" Target="fontTable.xml"/><Relationship Id="rId146" Type="http://schemas.openxmlformats.org/officeDocument/2006/relationships/customXml" Target="../customXml/item4.xml"/><Relationship Id="rId7" Type="http://schemas.openxmlformats.org/officeDocument/2006/relationships/styles" Target="styles.xml"/><Relationship Id="rId71" Type="http://schemas.openxmlformats.org/officeDocument/2006/relationships/header" Target="header14.xml"/><Relationship Id="rId92" Type="http://schemas.openxmlformats.org/officeDocument/2006/relationships/hyperlink" Target="http://qldspatial.information.qld.gov.au/catalogue/custom/index.page" TargetMode="External"/><Relationship Id="rId29" Type="http://schemas.openxmlformats.org/officeDocument/2006/relationships/footer" Target="footer3.xml"/><Relationship Id="rId24" Type="http://schemas.openxmlformats.org/officeDocument/2006/relationships/hyperlink" Target="mailto:bioregionalassessments@environment.gov.au" TargetMode="External"/><Relationship Id="rId40" Type="http://schemas.openxmlformats.org/officeDocument/2006/relationships/image" Target="media/image19.jpeg"/><Relationship Id="rId45" Type="http://schemas.openxmlformats.org/officeDocument/2006/relationships/header" Target="header3.xml"/><Relationship Id="rId66" Type="http://schemas.openxmlformats.org/officeDocument/2006/relationships/header" Target="header10.xml"/><Relationship Id="rId87" Type="http://schemas.openxmlformats.org/officeDocument/2006/relationships/hyperlink" Target="http://www.environment.gov.au/fed/catalog/search/resource/details.page?uuid=%7BE6C815D9-FB67-4372-AC25-81C7473CCD21%7D" TargetMode="External"/><Relationship Id="rId110" Type="http://schemas.openxmlformats.org/officeDocument/2006/relationships/hyperlink" Target="https://ecat.ga.gov.au/geonetwork/srv/eng/search" TargetMode="External"/><Relationship Id="rId115" Type="http://schemas.openxmlformats.org/officeDocument/2006/relationships/hyperlink" Target="https://www.nhmrc.gov.au/_files_nhmrc/file/publications/nhmrc_adwg_6_version_3.3_2.pdf" TargetMode="External"/><Relationship Id="rId131" Type="http://schemas.openxmlformats.org/officeDocument/2006/relationships/header" Target="header17.xml"/><Relationship Id="rId136" Type="http://schemas.openxmlformats.org/officeDocument/2006/relationships/hyperlink" Target="http://www.bioregionalassessments.gov.au" TargetMode="External"/><Relationship Id="rId61" Type="http://schemas.openxmlformats.org/officeDocument/2006/relationships/header" Target="header6.xml"/><Relationship Id="rId82" Type="http://schemas.openxmlformats.org/officeDocument/2006/relationships/hyperlink" Target="http://www.bom.gov.au/water/groundwater/gde/map.shtml" TargetMode="External"/><Relationship Id="rId19" Type="http://schemas.openxmlformats.org/officeDocument/2006/relationships/hyperlink" Target="http://www.environment.gov.au" TargetMode="External"/><Relationship Id="rId14" Type="http://schemas.openxmlformats.org/officeDocument/2006/relationships/image" Target="media/image3.jpg"/><Relationship Id="rId30" Type="http://schemas.openxmlformats.org/officeDocument/2006/relationships/image" Target="media/image10.jpg"/><Relationship Id="rId35" Type="http://schemas.openxmlformats.org/officeDocument/2006/relationships/image" Target="media/image14.jpg"/><Relationship Id="rId56" Type="http://schemas.openxmlformats.org/officeDocument/2006/relationships/hyperlink" Target="https://www.environment.gov.au/land/nrs/science/capad/2016" TargetMode="External"/><Relationship Id="rId77" Type="http://schemas.openxmlformats.org/officeDocument/2006/relationships/hyperlink" Target="https://www.aer.gov.au/publications/state-of-the-energy-market-reports/state-of-the-energy-market-may-2017" TargetMode="External"/><Relationship Id="rId100" Type="http://schemas.openxmlformats.org/officeDocument/2006/relationships/hyperlink" Target="https://www.google.com.au/url?sa=t&amp;rct=j&amp;q=&amp;esrc=s&amp;source=web&amp;cd=10&amp;ved=0ahUKEwjXyonPjLDVAhVIgLwKHR2uDv4QFghLMAk&amp;url=http%3A%2F%2Fwww.asx.com.au%2Fasxpdf%2F20120510%2Fpdf%2F4265wmkn0fw9n0.pdf&amp;usg=AFQjCNFvJXYWD_gqa6p0ZeOdLQqL7R5MIA" TargetMode="External"/><Relationship Id="rId105" Type="http://schemas.openxmlformats.org/officeDocument/2006/relationships/hyperlink" Target="http://services.land.vic.gov.au/SpatialDatamart/viewMetadata.html?anzlicId=ANZVI0803002766&amp;extractionProviderId=1" TargetMode="External"/><Relationship Id="rId126" Type="http://schemas.openxmlformats.org/officeDocument/2006/relationships/hyperlink" Target="https://ecat.ga.gov.au/geonetwork/srv/eng/search" TargetMode="External"/><Relationship Id="rId147" Type="http://schemas.openxmlformats.org/officeDocument/2006/relationships/customXml" Target="../customXml/item5.xml"/><Relationship Id="rId8" Type="http://schemas.openxmlformats.org/officeDocument/2006/relationships/settings" Target="settings.xml"/><Relationship Id="rId51" Type="http://schemas.openxmlformats.org/officeDocument/2006/relationships/header" Target="header5.xml"/><Relationship Id="rId72" Type="http://schemas.openxmlformats.org/officeDocument/2006/relationships/header" Target="header15.xml"/><Relationship Id="rId93" Type="http://schemas.openxmlformats.org/officeDocument/2006/relationships/hyperlink" Target="http://www.environment.gov.au/water/wetlands/australian-wetlands-database/australian-ramsar-wetlands" TargetMode="External"/><Relationship Id="rId98" Type="http://schemas.openxmlformats.org/officeDocument/2006/relationships/hyperlink" Target="https://map.sarig.sa.gov.au/" TargetMode="External"/><Relationship Id="rId121" Type="http://schemas.openxmlformats.org/officeDocument/2006/relationships/hyperlink" Target="https://www.originenergy.com.au/about/investors-media/media-centre/beetaloo-basin-drilling-results-indicate-material-gas-resource.html" TargetMode="External"/><Relationship Id="rId142" Type="http://schemas.openxmlformats.org/officeDocument/2006/relationships/theme" Target="theme/theme1.xml"/><Relationship Id="rId25" Type="http://schemas.openxmlformats.org/officeDocument/2006/relationships/hyperlink" Target="https://bioregionalassessments.gov.au/geological-and-bioregional-assessment-program" TargetMode="External"/><Relationship Id="rId46" Type="http://schemas.openxmlformats.org/officeDocument/2006/relationships/hyperlink" Target="http://www.ga.gov.au/metadata-gateway/metadata/record/74371" TargetMode="External"/><Relationship Id="rId67" Type="http://schemas.openxmlformats.org/officeDocument/2006/relationships/header" Target="header11.xml"/><Relationship Id="rId116" Type="http://schemas.openxmlformats.org/officeDocument/2006/relationships/hyperlink" Target="http://www.ntv.nntt.gov.au/intramaps/download/download.asp" TargetMode="External"/><Relationship Id="rId137" Type="http://schemas.openxmlformats.org/officeDocument/2006/relationships/header" Target="header22.xml"/><Relationship Id="rId20" Type="http://schemas.openxmlformats.org/officeDocument/2006/relationships/hyperlink" Target="http://www.ga.gov.au" TargetMode="External"/><Relationship Id="rId41" Type="http://schemas.openxmlformats.org/officeDocument/2006/relationships/header" Target="header1.xml"/><Relationship Id="rId62" Type="http://schemas.openxmlformats.org/officeDocument/2006/relationships/header" Target="header7.xml"/><Relationship Id="rId83" Type="http://schemas.openxmlformats.org/officeDocument/2006/relationships/hyperlink" Target="http://centralpetroleum.com.au/our-business/our-licence-areas/amadeus/mereenie-oil-and-gas-field-ol4-ol5/" TargetMode="External"/><Relationship Id="rId88" Type="http://schemas.openxmlformats.org/officeDocument/2006/relationships/hyperlink" Target="https://www.business.qld.gov.au/industries/invest/mining/resources-potential/petroleum-gas" TargetMode="External"/><Relationship Id="rId111" Type="http://schemas.openxmlformats.org/officeDocument/2006/relationships/hyperlink" Target="https://ecat.ga.gov.au/geonetwork/srv/eng/search" TargetMode="External"/><Relationship Id="rId132" Type="http://schemas.openxmlformats.org/officeDocument/2006/relationships/header" Target="header18.xml"/><Relationship Id="rId15" Type="http://schemas.openxmlformats.org/officeDocument/2006/relationships/image" Target="media/image4.jpg"/><Relationship Id="rId36" Type="http://schemas.openxmlformats.org/officeDocument/2006/relationships/image" Target="media/image15.jpeg"/><Relationship Id="rId57" Type="http://schemas.openxmlformats.org/officeDocument/2006/relationships/hyperlink" Target="http://www.ntv.nntt.gov.au/intramaps/download/download.asp" TargetMode="External"/><Relationship Id="rId106" Type="http://schemas.openxmlformats.org/officeDocument/2006/relationships/hyperlink" Target="http://services.land.vic.gov.au/SpatialDatamart/viewMetadata.html?anzlicId=ANZVI0803002954&amp;extractionProviderId=1" TargetMode="External"/><Relationship Id="rId127" Type="http://schemas.openxmlformats.org/officeDocument/2006/relationships/hyperlink" Target="https://www.santos.com/media-centre/announcements/cooper-basin-unconventional-gas-opportunities-and-commercialisation/" TargetMode="External"/><Relationship Id="rId10" Type="http://schemas.openxmlformats.org/officeDocument/2006/relationships/footnotes" Target="footnotes.xml"/><Relationship Id="rId31" Type="http://schemas.openxmlformats.org/officeDocument/2006/relationships/hyperlink" Target="https://bioregionalassessments.gov.au/geological-and-bioregional-assessment-program" TargetMode="External"/><Relationship Id="rId52" Type="http://schemas.openxmlformats.org/officeDocument/2006/relationships/hyperlink" Target="http://www.bom.gov.au/water/groundwater/ngis/" TargetMode="External"/><Relationship Id="rId73" Type="http://schemas.openxmlformats.org/officeDocument/2006/relationships/header" Target="header16.xml"/><Relationship Id="rId78" Type="http://schemas.openxmlformats.org/officeDocument/2006/relationships/hyperlink" Target="http://www.ga.gov.au/aera" TargetMode="External"/><Relationship Id="rId94" Type="http://schemas.openxmlformats.org/officeDocument/2006/relationships/hyperlink" Target="https://www.environment.gov.au/land/nrs/science/capad/2016" TargetMode="External"/><Relationship Id="rId99" Type="http://schemas.openxmlformats.org/officeDocument/2006/relationships/hyperlink" Target="http://dwh.minerals.nsw.gov.au/CI/warehouse" TargetMode="External"/><Relationship Id="rId101" Type="http://schemas.openxmlformats.org/officeDocument/2006/relationships/hyperlink" Target="http://services.ga.gov.au/site_9/rest/services/Oil_Gas_Infrastructure/MapServer" TargetMode="External"/><Relationship Id="rId122" Type="http://schemas.openxmlformats.org/officeDocument/2006/relationships/hyperlink" Target="https://www.powerwater.com.au/community_and_education/mereenie_aquifer_alice_springs" TargetMode="External"/><Relationship Id="rId143" Type="http://schemas.openxmlformats.org/officeDocument/2006/relationships/customXml" Target="../customXml/item1.xml"/><Relationship Id="rId9" Type="http://schemas.openxmlformats.org/officeDocument/2006/relationships/webSettings" Target="webSettings.xml"/><Relationship Id="rId26" Type="http://schemas.openxmlformats.org/officeDocument/2006/relationships/image" Target="media/image8.png"/><Relationship Id="rId47" Type="http://schemas.openxmlformats.org/officeDocument/2006/relationships/hyperlink" Target="https://www.ga.gov.au/products/servlet/controller?event=GEOCAT_DETAILS&amp;catno=69455" TargetMode="External"/><Relationship Id="rId68" Type="http://schemas.openxmlformats.org/officeDocument/2006/relationships/header" Target="header12.xml"/><Relationship Id="rId89" Type="http://schemas.openxmlformats.org/officeDocument/2006/relationships/hyperlink" Target="http://qldspatial.information.qld.gov.au/catalogue/custom/detail.page?fid=%7bCBBE665F-60A8-4116-87C8-AEBF0D21B97C%7d" TargetMode="External"/><Relationship Id="rId112" Type="http://schemas.openxmlformats.org/officeDocument/2006/relationships/hyperlink" Target="http://jemena.com.au/industry/pipelines/northern-gas-pipeline" TargetMode="External"/><Relationship Id="rId133" Type="http://schemas.openxmlformats.org/officeDocument/2006/relationships/header" Target="header19.xml"/><Relationship Id="rId16"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SPIRE Word Document" ma:contentTypeID="0x0101004B053E8A7B22804ABD3AFA2474FA5D680100F5A3150C42D5B94F876F46D9AC965577" ma:contentTypeVersion="5" ma:contentTypeDescription="Create a new Word Document" ma:contentTypeScope="" ma:versionID="75b072ba81c0a0a81285ca02c236e345">
  <xsd:schema xmlns:xsd="http://www.w3.org/2001/XMLSchema" xmlns:xs="http://www.w3.org/2001/XMLSchema" xmlns:p="http://schemas.microsoft.com/office/2006/metadata/properties" xmlns:ns2="aa3e7952-617a-4d1d-acc5-2dff72d3e0ca" targetNamespace="http://schemas.microsoft.com/office/2006/metadata/properties" ma:root="true" ma:fieldsID="fd9f58200cd48b973d79754a698c06d1" ns2:_="">
    <xsd:import namespace="aa3e7952-617a-4d1d-acc5-2dff72d3e0ca"/>
    <xsd:element name="properties">
      <xsd:complexType>
        <xsd:sequence>
          <xsd:element name="documentManagement">
            <xsd:complexType>
              <xsd:all>
                <xsd:element ref="ns2:DocumentDescription" minOccurs="0"/>
                <xsd:element ref="ns2:Approval" minOccurs="0"/>
                <xsd:element ref="ns2:RecordNumber" minOccurs="0"/>
                <xsd:element ref="ns2:Fun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e7952-617a-4d1d-acc5-2dff72d3e0ca"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customXsn xmlns="http://schemas.microsoft.com/office/2006/metadata/customXsn">
  <xsnLocation/>
  <cached>True</cached>
  <openByDefault>True</openByDefault>
  <xsnScope/>
</customXsn>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DocumentDescription xmlns="aa3e7952-617a-4d1d-acc5-2dff72d3e0ca" xsi:nil="true"/>
    <RecordNumber xmlns="aa3e7952-617a-4d1d-acc5-2dff72d3e0ca" xsi:nil="true"/>
    <Approval xmlns="aa3e7952-617a-4d1d-acc5-2dff72d3e0ca" xsi:nil="true"/>
    <Function xmlns="aa3e7952-617a-4d1d-acc5-2dff72d3e0ca">Program Admin</Function>
  </documentManagement>
</p:properties>
</file>

<file path=customXml/itemProps1.xml><?xml version="1.0" encoding="utf-8"?>
<ds:datastoreItem xmlns:ds="http://schemas.openxmlformats.org/officeDocument/2006/customXml" ds:itemID="{084B3CF4-CE93-4EAF-A31A-842A725E7FEF}"/>
</file>

<file path=customXml/itemProps2.xml><?xml version="1.0" encoding="utf-8"?>
<ds:datastoreItem xmlns:ds="http://schemas.openxmlformats.org/officeDocument/2006/customXml" ds:itemID="{FE513A92-ACFE-49D5-AF37-2573DD8155D4}"/>
</file>

<file path=customXml/itemProps3.xml><?xml version="1.0" encoding="utf-8"?>
<ds:datastoreItem xmlns:ds="http://schemas.openxmlformats.org/officeDocument/2006/customXml" ds:itemID="{F506419E-DDD4-4571-9C30-C40879DA8444}"/>
</file>

<file path=customXml/itemProps4.xml><?xml version="1.0" encoding="utf-8"?>
<ds:datastoreItem xmlns:ds="http://schemas.openxmlformats.org/officeDocument/2006/customXml" ds:itemID="{20170C69-E3BE-4194-9929-12426732B4E4}"/>
</file>

<file path=customXml/itemProps5.xml><?xml version="1.0" encoding="utf-8"?>
<ds:datastoreItem xmlns:ds="http://schemas.openxmlformats.org/officeDocument/2006/customXml" ds:itemID="{FD2B6AB9-8503-45CF-95EC-5352845AE474}"/>
</file>

<file path=docProps/app.xml><?xml version="1.0" encoding="utf-8"?>
<Properties xmlns="http://schemas.openxmlformats.org/officeDocument/2006/extended-properties" xmlns:vt="http://schemas.openxmlformats.org/officeDocument/2006/docPropsVTypes">
  <Template>Normal.dotm</Template>
  <TotalTime>0</TotalTime>
  <Pages>110</Pages>
  <Words>29989</Words>
  <Characters>196969</Characters>
  <Application>Microsoft Office Word</Application>
  <DocSecurity>0</DocSecurity>
  <Lines>1641</Lines>
  <Paragraphs>453</Paragraphs>
  <ScaleCrop>false</ScaleCrop>
  <HeadingPairs>
    <vt:vector size="2" baseType="variant">
      <vt:variant>
        <vt:lpstr>Title</vt:lpstr>
      </vt:variant>
      <vt:variant>
        <vt:i4>1</vt:i4>
      </vt:variant>
    </vt:vector>
  </HeadingPairs>
  <Company/>
  <LinksUpToDate>false</LinksUpToDate>
  <CharactersWithSpaces>226505</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Rapid regional prioritisation report</dc:title>
  <dc:subject/>
  <dc:creator/>
  <cp:lastModifiedBy/>
  <cp:revision>1</cp:revision>
  <dcterms:created xsi:type="dcterms:W3CDTF">2018-08-03T03:17:00Z</dcterms:created>
  <dcterms:modified xsi:type="dcterms:W3CDTF">2018-08-03T03:17:00Z</dcterms:modified>
  <cp:category/>
</cp:coreProperties>
</file>

<file path=docProps/custom3.xml><?xml version="1.0" encoding="utf-8"?>
<Properties xmlns="http://schemas.openxmlformats.org/officeDocument/2006/custom-properties" xmlns:vt="http://schemas.openxmlformats.org/officeDocument/2006/docPropsVTypes">
  <property fmtid="{D5CDD505-2E9C-101B-9397-08002B2CF9AE}" pid="3" name="_MarkAsFinal">
    <vt:bool>true</vt:bool>
  </property>
  <property fmtid="{D5CDD505-2E9C-101B-9397-08002B2CF9AE}" pid="4" name="RecordPoint_ActiveItemSiteId">
    <vt:lpwstr>{4b445ea7-761d-43d2-909a-116082cfbf41}</vt:lpwstr>
  </property>
  <property fmtid="{D5CDD505-2E9C-101B-9397-08002B2CF9AE}" pid="5" name="RecordPoint_ActiveItemListId">
    <vt:lpwstr>{73c573e4-bf63-4daa-89f5-745b8bb524e2}</vt:lpwstr>
  </property>
  <property fmtid="{D5CDD505-2E9C-101B-9397-08002B2CF9AE}" pid="6" name="ContentTypeId">
    <vt:lpwstr>0x0101004B053E8A7B22804ABD3AFA2474FA5D680100F5A3150C42D5B94F876F46D9AC965577</vt:lpwstr>
  </property>
  <property fmtid="{D5CDD505-2E9C-101B-9397-08002B2CF9AE}" pid="7" name="RecordPoint_ActiveItemUniqueId">
    <vt:lpwstr>{dd17f9da-485a-456f-84e5-ac4019245d34}</vt:lpwstr>
  </property>
  <property fmtid="{D5CDD505-2E9C-101B-9397-08002B2CF9AE}" pid="8" name="RecordPoint_ActiveItemWebId">
    <vt:lpwstr>{aa3e7952-617a-4d1d-acc5-2dff72d3e0ca}</vt:lpwstr>
  </property>
  <property fmtid="{D5CDD505-2E9C-101B-9397-08002B2CF9AE}" pid="9" name="RecordPoint_WorkflowType">
    <vt:lpwstr>ActiveSubmitStub</vt:lpwstr>
  </property>
</Properties>
</file>