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docProps/custom3.xml" ContentType="application/vnd.openxmlformats-officedocument.custom-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3.xml" Id="R6539a7cc50794ba6"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9301DC" w14:textId="77777777" w:rsidR="00EE62F5" w:rsidRDefault="00D83FAA" w:rsidP="00EE62F5">
      <w:pPr>
        <w:pStyle w:val="BodyText"/>
      </w:pPr>
      <w:bookmarkStart w:id="0" w:name="_Toc367791208"/>
      <w:r>
        <w:rPr>
          <w:noProof/>
        </w:rPr>
        <w:drawing>
          <wp:inline distT="0" distB="0" distL="0" distR="0" wp14:anchorId="0532071D" wp14:editId="6B478D0B">
            <wp:extent cx="1982275" cy="97711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1988078" cy="979971"/>
                    </a:xfrm>
                    <a:prstGeom prst="rect">
                      <a:avLst/>
                    </a:prstGeom>
                  </pic:spPr>
                </pic:pic>
              </a:graphicData>
            </a:graphic>
          </wp:inline>
        </w:drawing>
      </w:r>
      <w:r w:rsidR="008B7C90">
        <w:rPr>
          <w:noProof/>
        </w:rPr>
        <w:t xml:space="preserve">   </w:t>
      </w:r>
      <w:r>
        <w:rPr>
          <w:noProof/>
        </w:rPr>
        <w:drawing>
          <wp:inline distT="0" distB="0" distL="0" distR="0" wp14:anchorId="32FAD0F7" wp14:editId="5B2F51D8">
            <wp:extent cx="836960" cy="808934"/>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856872" cy="828179"/>
                    </a:xfrm>
                    <a:prstGeom prst="rect">
                      <a:avLst/>
                    </a:prstGeom>
                    <a:ln>
                      <a:noFill/>
                    </a:ln>
                    <a:extLst>
                      <a:ext uri="{53640926-AAD7-44D8-BBD7-CCE9431645EC}">
                        <a14:shadowObscured xmlns:a14="http://schemas.microsoft.com/office/drawing/2010/main"/>
                      </a:ext>
                    </a:extLst>
                  </pic:spPr>
                </pic:pic>
              </a:graphicData>
            </a:graphic>
          </wp:inline>
        </w:drawing>
      </w:r>
    </w:p>
    <w:p w14:paraId="43BB1450" w14:textId="77777777" w:rsidR="00583D53" w:rsidRPr="00B82278" w:rsidRDefault="00E23661" w:rsidP="00FE2FF7">
      <w:pPr>
        <w:pStyle w:val="CoverTitle"/>
      </w:pPr>
      <w:r>
        <w:t xml:space="preserve">Rapid regional prioritisation for tight and shale gas </w:t>
      </w:r>
      <w:r w:rsidRPr="00E23661">
        <w:t>potential of eastern</w:t>
      </w:r>
      <w:r w:rsidR="00A35055">
        <w:t xml:space="preserve"> and northern</w:t>
      </w:r>
      <w:r w:rsidRPr="00E23661">
        <w:t xml:space="preserve"> Australian basins</w:t>
      </w:r>
      <w:r>
        <w:t xml:space="preserve">  </w:t>
      </w:r>
      <w:r w:rsidR="00BA594F" w:rsidRPr="00BA594F">
        <w:rPr>
          <w:noProof/>
        </w:rPr>
        <w:t xml:space="preserve"> </w:t>
      </w:r>
      <w:r w:rsidR="00BA594F">
        <w:rPr>
          <w:noProof/>
        </w:rPr>
        <w:drawing>
          <wp:anchor distT="0" distB="0" distL="114300" distR="114300" simplePos="0" relativeHeight="251658245" behindDoc="0" locked="1" layoutInCell="1" allowOverlap="1" wp14:anchorId="4163BB90" wp14:editId="2A1F52F7">
            <wp:simplePos x="0" y="0"/>
            <wp:positionH relativeFrom="page">
              <wp:align>left</wp:align>
            </wp:positionH>
            <wp:positionV relativeFrom="page">
              <wp:posOffset>-958850</wp:posOffset>
            </wp:positionV>
            <wp:extent cx="7596000" cy="2221200"/>
            <wp:effectExtent l="0" t="0" r="5080" b="825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7596000" cy="222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070E29" w14:textId="57AFF628" w:rsidR="00583D53" w:rsidRPr="00365184" w:rsidRDefault="00E23661" w:rsidP="00365184">
      <w:pPr>
        <w:pStyle w:val="CoverSubtitle"/>
      </w:pPr>
      <w:r w:rsidRPr="00365184">
        <w:t>Geological and Bioregional Assessment</w:t>
      </w:r>
      <w:r w:rsidR="006840B7">
        <w:t xml:space="preserve"> Program</w:t>
      </w:r>
      <w:r w:rsidRPr="00365184">
        <w:t>: Stage 1</w:t>
      </w:r>
      <w:bookmarkEnd w:id="0"/>
      <w:r w:rsidR="004762ED">
        <w:t xml:space="preserve"> Appendices</w:t>
      </w:r>
    </w:p>
    <w:p w14:paraId="4B27FA7E" w14:textId="77777777" w:rsidR="00C32374" w:rsidRDefault="00EE62F5" w:rsidP="00EE62F5">
      <w:pPr>
        <w:pStyle w:val="CoverImage"/>
      </w:pPr>
      <w:r>
        <w:rPr>
          <w:noProof/>
        </w:rPr>
        <w:drawing>
          <wp:anchor distT="0" distB="0" distL="114300" distR="114300" simplePos="0" relativeHeight="251658243" behindDoc="0" locked="1" layoutInCell="1" allowOverlap="1" wp14:anchorId="0EBE846E" wp14:editId="7095AA69">
            <wp:simplePos x="0" y="0"/>
            <wp:positionH relativeFrom="column">
              <wp:posOffset>-27940</wp:posOffset>
            </wp:positionH>
            <wp:positionV relativeFrom="page">
              <wp:posOffset>4578985</wp:posOffset>
            </wp:positionV>
            <wp:extent cx="6161405" cy="57848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6161405" cy="578485"/>
                    </a:xfrm>
                    <a:prstGeom prst="rect">
                      <a:avLst/>
                    </a:prstGeom>
                    <a:noFill/>
                  </pic:spPr>
                </pic:pic>
              </a:graphicData>
            </a:graphic>
          </wp:anchor>
        </w:drawing>
      </w:r>
      <w:r>
        <w:rPr>
          <w:noProof/>
        </w:rPr>
        <w:drawing>
          <wp:anchor distT="0" distB="0" distL="114300" distR="114300" simplePos="0" relativeHeight="251658242" behindDoc="0" locked="1" layoutInCell="1" allowOverlap="1" wp14:anchorId="042AE9CA" wp14:editId="343AA6E5">
            <wp:simplePos x="0" y="0"/>
            <wp:positionH relativeFrom="column">
              <wp:posOffset>979170</wp:posOffset>
            </wp:positionH>
            <wp:positionV relativeFrom="page">
              <wp:posOffset>7882255</wp:posOffset>
            </wp:positionV>
            <wp:extent cx="5207000" cy="645160"/>
            <wp:effectExtent l="0" t="0" r="0" b="25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207000" cy="645160"/>
                    </a:xfrm>
                    <a:prstGeom prst="rect">
                      <a:avLst/>
                    </a:prstGeom>
                    <a:noFill/>
                  </pic:spPr>
                </pic:pic>
              </a:graphicData>
            </a:graphic>
          </wp:anchor>
        </w:drawing>
      </w:r>
      <w:r w:rsidR="00C32374">
        <w:rPr>
          <w:noProof/>
        </w:rPr>
        <w:drawing>
          <wp:inline distT="0" distB="0" distL="0" distR="0" wp14:anchorId="179BEEC5" wp14:editId="048717C0">
            <wp:extent cx="5862179" cy="3896360"/>
            <wp:effectExtent l="0" t="0" r="5715" b="8890"/>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5870902" cy="3902158"/>
                    </a:xfrm>
                    <a:prstGeom prst="rect">
                      <a:avLst/>
                    </a:prstGeom>
                  </pic:spPr>
                </pic:pic>
              </a:graphicData>
            </a:graphic>
          </wp:inline>
        </w:drawing>
      </w:r>
      <w:r w:rsidRPr="00F170E9">
        <w:t xml:space="preserve"> </w:t>
      </w:r>
    </w:p>
    <w:p w14:paraId="392E7D04" w14:textId="77777777" w:rsidR="00C32374" w:rsidRDefault="00C32374" w:rsidP="00C32374">
      <w:pPr>
        <w:pStyle w:val="CoverDate"/>
      </w:pPr>
      <w:r>
        <w:t>June 2018</w:t>
      </w:r>
    </w:p>
    <w:p w14:paraId="07DBE5D6" w14:textId="57C1999A" w:rsidR="00583D53" w:rsidRPr="00F170E9" w:rsidRDefault="00583D53" w:rsidP="00EE62F5">
      <w:pPr>
        <w:pStyle w:val="CoverImage"/>
      </w:pPr>
      <w:r>
        <w:br w:type="page"/>
      </w:r>
    </w:p>
    <w:p w14:paraId="1A0CF7A5" w14:textId="680CCECB" w:rsidR="007D7EEA" w:rsidRPr="00381B74" w:rsidRDefault="007D7EEA" w:rsidP="007D7EEA">
      <w:pPr>
        <w:pStyle w:val="VersoPageHeading"/>
      </w:pPr>
      <w:r w:rsidRPr="00381B74">
        <w:lastRenderedPageBreak/>
        <w:t>The</w:t>
      </w:r>
      <w:r>
        <w:t xml:space="preserve"> </w:t>
      </w:r>
      <w:r w:rsidR="00CD3B89">
        <w:t xml:space="preserve">Geological and Bioregional Assessments </w:t>
      </w:r>
      <w:r w:rsidR="00C901D9">
        <w:t>Program</w:t>
      </w:r>
    </w:p>
    <w:p w14:paraId="2227E1C5" w14:textId="0E092DCF" w:rsidR="00CD3B89" w:rsidRPr="00381B74" w:rsidRDefault="00CD3B89" w:rsidP="00CD3B89">
      <w:pPr>
        <w:pStyle w:val="VersoPageText"/>
      </w:pPr>
      <w:r>
        <w:t>The Geological and Bioregional A</w:t>
      </w:r>
      <w:r w:rsidRPr="005F2B36">
        <w:t xml:space="preserve">ssessments </w:t>
      </w:r>
      <w:r w:rsidR="00C901D9">
        <w:t>Program is a series of</w:t>
      </w:r>
      <w:r w:rsidRPr="005F2B36">
        <w:t xml:space="preserve"> independent scientific studies investigating both the shale and tight gas prospectivity of key onshore eastern and northern Australian basins and the potential impacts on water and the environment from </w:t>
      </w:r>
      <w:r w:rsidR="003A2D53">
        <w:t>their</w:t>
      </w:r>
      <w:r w:rsidRPr="005F2B36">
        <w:t xml:space="preserve"> development. </w:t>
      </w:r>
      <w:r w:rsidRPr="00381B74">
        <w:t xml:space="preserve">The </w:t>
      </w:r>
      <w:r>
        <w:t>program</w:t>
      </w:r>
      <w:r w:rsidRPr="00381B74">
        <w:t xml:space="preserve"> is </w:t>
      </w:r>
      <w:r>
        <w:t>managed by the</w:t>
      </w:r>
      <w:r w:rsidRPr="00381B74">
        <w:t xml:space="preserve"> Australian Government Department of the Environment</w:t>
      </w:r>
      <w:r>
        <w:t xml:space="preserve"> and Energy</w:t>
      </w:r>
      <w:r w:rsidRPr="00381B74">
        <w:t>. For more information</w:t>
      </w:r>
      <w:r>
        <w:t xml:space="preserve">, visit </w:t>
      </w:r>
      <w:hyperlink r:id="rId19" w:history="1">
        <w:r w:rsidR="00E91685" w:rsidRPr="00DE3817">
          <w:rPr>
            <w:rStyle w:val="Hyperlink"/>
            <w:rFonts w:cs="Arial"/>
          </w:rPr>
          <w:t>http://www.bioregionalassessments.gov.au</w:t>
        </w:r>
      </w:hyperlink>
      <w:r w:rsidRPr="00381B74">
        <w:t>.</w:t>
      </w:r>
    </w:p>
    <w:p w14:paraId="56CB12C4" w14:textId="77777777" w:rsidR="007D7EEA" w:rsidRPr="00381B74" w:rsidRDefault="007D7EEA" w:rsidP="007D7EEA">
      <w:pPr>
        <w:pStyle w:val="VersoPageHeading"/>
      </w:pPr>
      <w:r>
        <w:t>Department of the Environment and Energy</w:t>
      </w:r>
    </w:p>
    <w:p w14:paraId="7313231A" w14:textId="2D218F70" w:rsidR="00BE2131" w:rsidRDefault="00BE2131" w:rsidP="007D7EEA">
      <w:pPr>
        <w:pStyle w:val="VersoPageHeading"/>
        <w:rPr>
          <w:b w:val="0"/>
          <w:color w:val="000000" w:themeColor="text1"/>
        </w:rPr>
      </w:pPr>
      <w:r w:rsidRPr="00BE2131">
        <w:rPr>
          <w:b w:val="0"/>
          <w:color w:val="000000" w:themeColor="text1"/>
        </w:rPr>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20" w:history="1">
        <w:r w:rsidRPr="00DC59FD">
          <w:rPr>
            <w:rStyle w:val="Hyperlink"/>
            <w:rFonts w:cs="Arial"/>
            <w:b w:val="0"/>
          </w:rPr>
          <w:t>http://www.environment.gov.au</w:t>
        </w:r>
      </w:hyperlink>
      <w:r w:rsidRPr="00BE2131">
        <w:rPr>
          <w:b w:val="0"/>
          <w:color w:val="000000" w:themeColor="text1"/>
        </w:rPr>
        <w:t>.</w:t>
      </w:r>
    </w:p>
    <w:p w14:paraId="3CE9D66E" w14:textId="267FD008" w:rsidR="007D7EEA" w:rsidRPr="003A2D53" w:rsidRDefault="007D7EEA" w:rsidP="007D7EEA">
      <w:pPr>
        <w:pStyle w:val="VersoPageHeading"/>
      </w:pPr>
      <w:r w:rsidRPr="003A2D53">
        <w:t>Geoscience Australia</w:t>
      </w:r>
    </w:p>
    <w:p w14:paraId="71D3FE11" w14:textId="77777777" w:rsidR="007D7EEA" w:rsidRPr="009666A9" w:rsidRDefault="007D7EEA" w:rsidP="007D7EEA">
      <w:pPr>
        <w:pStyle w:val="VersoPageText"/>
      </w:pPr>
      <w:r w:rsidRPr="00E3337D">
        <w:t>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 class research and information. For more information</w:t>
      </w:r>
      <w:r>
        <w:t>,</w:t>
      </w:r>
      <w:r w:rsidRPr="00E3337D">
        <w:t xml:space="preserve"> visit</w:t>
      </w:r>
      <w:r w:rsidRPr="009666A9">
        <w:t xml:space="preserve"> </w:t>
      </w:r>
      <w:hyperlink r:id="rId21" w:history="1">
        <w:r w:rsidRPr="00956707">
          <w:rPr>
            <w:rStyle w:val="Hyperlink"/>
          </w:rPr>
          <w:t>http://www.ga.gov.au</w:t>
        </w:r>
      </w:hyperlink>
      <w:r w:rsidRPr="009666A9">
        <w:t>.</w:t>
      </w:r>
    </w:p>
    <w:p w14:paraId="0FB756A9" w14:textId="77777777" w:rsidR="004B04CA" w:rsidRDefault="004B04CA" w:rsidP="007D7EEA">
      <w:pPr>
        <w:pStyle w:val="VersoPageHeading"/>
      </w:pPr>
      <w:r w:rsidRPr="004B04CA">
        <w:t xml:space="preserve">ISBN: </w:t>
      </w:r>
      <w:r w:rsidRPr="002045A4">
        <w:rPr>
          <w:b w:val="0"/>
          <w:color w:val="auto"/>
        </w:rPr>
        <w:t>978-1-921069-14-7</w:t>
      </w:r>
      <w:r w:rsidRPr="002045A4">
        <w:rPr>
          <w:color w:val="auto"/>
        </w:rPr>
        <w:t xml:space="preserve"> </w:t>
      </w:r>
    </w:p>
    <w:p w14:paraId="23257D8A" w14:textId="07843909" w:rsidR="007D7EEA" w:rsidRPr="00F53018" w:rsidRDefault="007D7EEA" w:rsidP="007D7EEA">
      <w:pPr>
        <w:pStyle w:val="VersoPageHeading"/>
      </w:pPr>
      <w:r w:rsidRPr="00F53018">
        <w:t>Citation</w:t>
      </w:r>
    </w:p>
    <w:p w14:paraId="0C238B88" w14:textId="3544BF57" w:rsidR="008B03D8" w:rsidRPr="00B6318E" w:rsidRDefault="008B03D8" w:rsidP="008B03D8">
      <w:pPr>
        <w:pStyle w:val="VersoPageText"/>
      </w:pPr>
      <w:bookmarkStart w:id="1" w:name="Citation"/>
      <w:r>
        <w:t>Hall</w:t>
      </w:r>
      <w:r w:rsidRPr="00B6318E">
        <w:t xml:space="preserve"> LS, Buchanan S, Totterdell JM, Lai ÉCS, Langford RP, Sundaram B, Ransley TR, Glenn K</w:t>
      </w:r>
      <w:r>
        <w:t>C</w:t>
      </w:r>
      <w:r w:rsidRPr="00B6318E">
        <w:t>, Heugh A</w:t>
      </w:r>
      <w:r>
        <w:t xml:space="preserve">, </w:t>
      </w:r>
      <w:r w:rsidRPr="00B6318E">
        <w:t>Inskeep C, Zhu R,</w:t>
      </w:r>
      <w:r w:rsidR="004E1AF4">
        <w:t xml:space="preserve"> </w:t>
      </w:r>
      <w:r w:rsidR="00C42383">
        <w:t>Lech, M,</w:t>
      </w:r>
      <w:r w:rsidRPr="00B6318E">
        <w:t xml:space="preserve"> Skeers N</w:t>
      </w:r>
      <w:r>
        <w:t xml:space="preserve"> and </w:t>
      </w:r>
      <w:r w:rsidRPr="00B6318E">
        <w:t>Stewart G (201</w:t>
      </w:r>
      <w:r w:rsidR="00DF3F54">
        <w:t>8</w:t>
      </w:r>
      <w:r>
        <w:t xml:space="preserve">) </w:t>
      </w:r>
      <w:r w:rsidRPr="00B6318E">
        <w:t>Rapid regional prioritisation for tight and shale gas potential of eastern and northern Australian basins. Geological and Bioregional Assessment</w:t>
      </w:r>
      <w:r w:rsidR="00CD3B89">
        <w:t>s</w:t>
      </w:r>
      <w:r w:rsidR="00C901D9">
        <w:t xml:space="preserve"> Program</w:t>
      </w:r>
      <w:r w:rsidRPr="00B6318E">
        <w:t xml:space="preserve">: Stage 1. </w:t>
      </w:r>
      <w:r w:rsidR="00C901D9">
        <w:t xml:space="preserve">Prepared by </w:t>
      </w:r>
      <w:r w:rsidR="00C901D9" w:rsidRPr="00C901D9">
        <w:t xml:space="preserve">Geoscience Australia </w:t>
      </w:r>
      <w:r w:rsidR="00C901D9">
        <w:t xml:space="preserve">for the </w:t>
      </w:r>
      <w:r w:rsidRPr="00B6318E">
        <w:t>Department of the Environment and Energy, Australia.</w:t>
      </w:r>
      <w:bookmarkEnd w:id="1"/>
    </w:p>
    <w:p w14:paraId="785EDAEC" w14:textId="77777777" w:rsidR="007D7EEA" w:rsidRPr="00381B74" w:rsidRDefault="007D7EEA" w:rsidP="007D7EEA">
      <w:pPr>
        <w:pStyle w:val="VersoPageText"/>
      </w:pPr>
      <w:r w:rsidRPr="00F53018">
        <w:t>Authorship is listed in relative order of contribution.</w:t>
      </w:r>
    </w:p>
    <w:p w14:paraId="6A0174F6" w14:textId="77777777" w:rsidR="007D7EEA" w:rsidRPr="00381B74" w:rsidRDefault="007D7EEA" w:rsidP="007D7EEA">
      <w:pPr>
        <w:pStyle w:val="VersoPageHeading"/>
      </w:pPr>
      <w:r w:rsidRPr="00381B74">
        <w:t>Copyright</w:t>
      </w:r>
    </w:p>
    <w:p w14:paraId="54F0EA7E" w14:textId="02FAB596" w:rsidR="007D7EEA" w:rsidRPr="007676A5" w:rsidRDefault="007D7EEA" w:rsidP="007D7EEA">
      <w:pPr>
        <w:pStyle w:val="VersoPageText"/>
      </w:pPr>
      <w:r w:rsidRPr="00381B74">
        <w:rPr>
          <w:noProof/>
        </w:rPr>
        <w:drawing>
          <wp:inline distT="0" distB="0" distL="0" distR="0" wp14:anchorId="6E73BCCD" wp14:editId="691F013A">
            <wp:extent cx="965888" cy="375833"/>
            <wp:effectExtent l="19050" t="0" r="5662"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cstate="screen">
                      <a:extLst>
                        <a:ext uri="{28A0092B-C50C-407E-A947-70E740481C1C}">
                          <a14:useLocalDpi xmlns:a14="http://schemas.microsoft.com/office/drawing/2010/main"/>
                        </a:ext>
                      </a:extLst>
                    </a:blip>
                    <a:srcRect t="-5968"/>
                    <a:stretch>
                      <a:fillRect/>
                    </a:stretch>
                  </pic:blipFill>
                  <pic:spPr bwMode="auto">
                    <a:xfrm>
                      <a:off x="0" y="0"/>
                      <a:ext cx="965888" cy="375833"/>
                    </a:xfrm>
                    <a:prstGeom prst="rect">
                      <a:avLst/>
                    </a:prstGeom>
                    <a:noFill/>
                    <a:ln w="9525">
                      <a:noFill/>
                      <a:miter lim="800000"/>
                      <a:headEnd/>
                      <a:tailEnd/>
                    </a:ln>
                  </pic:spPr>
                </pic:pic>
              </a:graphicData>
            </a:graphic>
          </wp:inline>
        </w:drawing>
      </w:r>
      <w:r>
        <w:t xml:space="preserve"> </w:t>
      </w:r>
      <w:r w:rsidR="008B03D8">
        <w:t>© Commonwealth of Australia 2018</w:t>
      </w:r>
      <w:r w:rsidRPr="00381B74">
        <w:br/>
      </w:r>
      <w:r w:rsidR="003A2D53" w:rsidRPr="003A2D53">
        <w:t xml:space="preserve">With the exception of the Commonwealth Coat of Arms and where otherwise noted, all material in this publication is provided under a Creative Commons Attribution 4.0 International Licence </w:t>
      </w:r>
      <w:hyperlink r:id="rId23" w:history="1">
        <w:r w:rsidR="003A2D53" w:rsidRPr="00DE3817">
          <w:rPr>
            <w:rStyle w:val="Hyperlink"/>
            <w:rFonts w:cs="Arial"/>
          </w:rPr>
          <w:t>https://creativecommons.org/licenses/by/4.0/</w:t>
        </w:r>
      </w:hyperlink>
      <w:r w:rsidR="003A2D53">
        <w:t xml:space="preserve"> </w:t>
      </w:r>
      <w:r w:rsidR="003A2D53" w:rsidRPr="003A2D53">
        <w:t xml:space="preserve">. The Geological and Bioregional Assessments Program requests attribution as ‘© Commonwealth of Australia (Geological and Bioregional Assessments Program </w:t>
      </w:r>
      <w:hyperlink r:id="rId24" w:history="1">
        <w:r w:rsidR="003A2D53" w:rsidRPr="00DE3817">
          <w:rPr>
            <w:rStyle w:val="Hyperlink"/>
            <w:rFonts w:cs="Arial"/>
          </w:rPr>
          <w:t>http://www.bioregionalassessments.gov.au</w:t>
        </w:r>
      </w:hyperlink>
      <w:r w:rsidR="003A2D53" w:rsidRPr="003A2D53">
        <w:t xml:space="preserve">) </w:t>
      </w:r>
    </w:p>
    <w:p w14:paraId="3960B78B" w14:textId="77777777" w:rsidR="007D7EEA" w:rsidRPr="00381B74" w:rsidRDefault="007D7EEA" w:rsidP="007D7EEA">
      <w:pPr>
        <w:pStyle w:val="VersoPageHeading"/>
      </w:pPr>
      <w:r w:rsidRPr="00381B74">
        <w:t>Disclaimer</w:t>
      </w:r>
    </w:p>
    <w:p w14:paraId="4E6E2C2F" w14:textId="6714DD6F" w:rsidR="007D7EEA" w:rsidRPr="00381B74" w:rsidRDefault="007D7EEA" w:rsidP="007D7EEA">
      <w:pPr>
        <w:pStyle w:val="VersoPageText"/>
      </w:pPr>
      <w:r w:rsidRPr="000A0052">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r w:rsidRPr="00381B74">
        <w:br/>
        <w:t xml:space="preserve">The Bioregional Assessment </w:t>
      </w:r>
      <w:r>
        <w:t>Programme</w:t>
      </w:r>
      <w:r w:rsidRPr="00381B74">
        <w:t xml:space="preserve"> is committed to providing web accessible content wherever possible. If you are having difficulties with accessing this document please</w:t>
      </w:r>
      <w:r>
        <w:t xml:space="preserve"> </w:t>
      </w:r>
      <w:r w:rsidRPr="00381B74">
        <w:t xml:space="preserve">contact </w:t>
      </w:r>
      <w:hyperlink r:id="rId25" w:history="1">
        <w:r w:rsidR="003A2D53" w:rsidRPr="00DE3817">
          <w:rPr>
            <w:rStyle w:val="Hyperlink"/>
            <w:rFonts w:cs="Arial"/>
          </w:rPr>
          <w:t>bioregionalassessments@environment.gov.au</w:t>
        </w:r>
      </w:hyperlink>
      <w:r>
        <w:t>.</w:t>
      </w:r>
    </w:p>
    <w:p w14:paraId="73A1D4FF" w14:textId="77777777" w:rsidR="007D7EEA" w:rsidRDefault="007D7EEA" w:rsidP="007D7EEA">
      <w:pPr>
        <w:pStyle w:val="VersoPageHeading"/>
      </w:pPr>
      <w:r w:rsidRPr="00381B74">
        <w:t>Cover photograph</w:t>
      </w:r>
    </w:p>
    <w:p w14:paraId="5C887FCD" w14:textId="1F4365E3" w:rsidR="0070099A" w:rsidRDefault="00E022FE" w:rsidP="00FE2FF7">
      <w:pPr>
        <w:pStyle w:val="VersoPageText"/>
        <w:rPr>
          <w:noProof/>
        </w:rPr>
      </w:pPr>
      <w:r w:rsidRPr="00E022FE">
        <w:rPr>
          <w:noProof/>
        </w:rPr>
        <w:t xml:space="preserve">Coongie Lakes, by Paul Wainwright and the Department of the Environment and Energy. </w:t>
      </w:r>
      <w:r w:rsidR="0070099A">
        <w:rPr>
          <w:noProof/>
        </w:rPr>
        <w:br w:type="page"/>
      </w:r>
    </w:p>
    <w:p w14:paraId="16A7B581" w14:textId="77777777" w:rsidR="008B03D8" w:rsidRDefault="008B03D8" w:rsidP="00FE2FF7">
      <w:pPr>
        <w:pStyle w:val="TOCHeading"/>
        <w:sectPr w:rsidR="008B03D8" w:rsidSect="005E271C">
          <w:headerReference w:type="even" r:id="rId26"/>
          <w:headerReference w:type="default" r:id="rId27"/>
          <w:footerReference w:type="even" r:id="rId28"/>
          <w:footerReference w:type="default" r:id="rId29"/>
          <w:headerReference w:type="first" r:id="rId30"/>
          <w:footerReference w:type="first" r:id="rId31"/>
          <w:pgSz w:w="11906" w:h="16838" w:code="9"/>
          <w:pgMar w:top="1247" w:right="1134" w:bottom="1134" w:left="1134" w:header="510" w:footer="706" w:gutter="0"/>
          <w:pgNumType w:fmt="lowerRoman" w:start="1"/>
          <w:cols w:space="284"/>
          <w:docGrid w:linePitch="360"/>
        </w:sectPr>
      </w:pPr>
    </w:p>
    <w:p w14:paraId="7B9BB9F4" w14:textId="0D3A7503" w:rsidR="00A943B2" w:rsidRDefault="00A943B2" w:rsidP="00FE2FF7">
      <w:pPr>
        <w:pStyle w:val="TOCHeading"/>
      </w:pPr>
      <w:r w:rsidRPr="007A56F9">
        <w:lastRenderedPageBreak/>
        <w:t>Contents</w:t>
      </w:r>
    </w:p>
    <w:p w14:paraId="618BDDA3" w14:textId="77777777" w:rsidR="00E46A7B" w:rsidRDefault="003450C4">
      <w:pPr>
        <w:pStyle w:val="TOC1"/>
        <w:tabs>
          <w:tab w:val="left" w:pos="1540"/>
        </w:tabs>
        <w:rPr>
          <w:rFonts w:asciiTheme="minorHAnsi" w:eastAsiaTheme="minorEastAsia" w:hAnsiTheme="minorHAnsi" w:cstheme="minorBidi"/>
          <w:b w:val="0"/>
          <w:color w:val="auto"/>
          <w:sz w:val="22"/>
          <w:szCs w:val="22"/>
        </w:rPr>
      </w:pPr>
      <w:r>
        <w:fldChar w:fldCharType="begin"/>
      </w:r>
      <w:r>
        <w:instrText xml:space="preserve"> TOC \o "2-3" \h \z \t "Heading 1,1,Heading 9,1,Heading 1 not numbered,1" </w:instrText>
      </w:r>
      <w:r>
        <w:fldChar w:fldCharType="separate"/>
      </w:r>
      <w:hyperlink w:anchor="_Toc517161105" w:history="1">
        <w:r w:rsidR="00E46A7B" w:rsidRPr="00461340">
          <w:rPr>
            <w:rStyle w:val="Hyperlink"/>
            <w:lang w:val="en-US"/>
          </w:rPr>
          <w:t>Appendix A</w:t>
        </w:r>
        <w:r w:rsidR="00E46A7B">
          <w:rPr>
            <w:rFonts w:asciiTheme="minorHAnsi" w:eastAsiaTheme="minorEastAsia" w:hAnsiTheme="minorHAnsi" w:cstheme="minorBidi"/>
            <w:b w:val="0"/>
            <w:color w:val="auto"/>
            <w:sz w:val="22"/>
            <w:szCs w:val="22"/>
          </w:rPr>
          <w:tab/>
        </w:r>
        <w:r w:rsidR="00E46A7B" w:rsidRPr="00461340">
          <w:rPr>
            <w:rStyle w:val="Hyperlink"/>
            <w:lang w:val="en-US"/>
          </w:rPr>
          <w:t>Shale and tight gas exploration activity in eastern and northern Australia</w:t>
        </w:r>
        <w:r w:rsidR="00E46A7B">
          <w:rPr>
            <w:webHidden/>
          </w:rPr>
          <w:tab/>
        </w:r>
        <w:r w:rsidR="00E46A7B">
          <w:rPr>
            <w:webHidden/>
          </w:rPr>
          <w:fldChar w:fldCharType="begin"/>
        </w:r>
        <w:r w:rsidR="00E46A7B">
          <w:rPr>
            <w:webHidden/>
          </w:rPr>
          <w:instrText xml:space="preserve"> PAGEREF _Toc517161105 \h </w:instrText>
        </w:r>
        <w:r w:rsidR="00E46A7B">
          <w:rPr>
            <w:webHidden/>
          </w:rPr>
        </w:r>
        <w:r w:rsidR="00E46A7B">
          <w:rPr>
            <w:webHidden/>
          </w:rPr>
          <w:fldChar w:fldCharType="separate"/>
        </w:r>
        <w:r w:rsidR="00640CCB">
          <w:rPr>
            <w:webHidden/>
          </w:rPr>
          <w:t>1</w:t>
        </w:r>
        <w:r w:rsidR="00E46A7B">
          <w:rPr>
            <w:webHidden/>
          </w:rPr>
          <w:fldChar w:fldCharType="end"/>
        </w:r>
      </w:hyperlink>
    </w:p>
    <w:p w14:paraId="4DC29FA3" w14:textId="77777777" w:rsidR="00E46A7B" w:rsidRDefault="008079F1">
      <w:pPr>
        <w:pStyle w:val="TOC2"/>
        <w:rPr>
          <w:rFonts w:asciiTheme="minorHAnsi" w:eastAsiaTheme="minorEastAsia" w:hAnsiTheme="minorHAnsi" w:cstheme="minorBidi"/>
          <w:sz w:val="22"/>
          <w:szCs w:val="22"/>
        </w:rPr>
      </w:pPr>
      <w:hyperlink w:anchor="_Toc517161106" w:history="1">
        <w:r w:rsidR="00E46A7B" w:rsidRPr="00461340">
          <w:rPr>
            <w:rStyle w:val="Hyperlink"/>
          </w:rPr>
          <w:t>A.1</w:t>
        </w:r>
        <w:r w:rsidR="00E46A7B">
          <w:rPr>
            <w:rFonts w:asciiTheme="minorHAnsi" w:eastAsiaTheme="minorEastAsia" w:hAnsiTheme="minorHAnsi" w:cstheme="minorBidi"/>
            <w:sz w:val="22"/>
            <w:szCs w:val="22"/>
          </w:rPr>
          <w:tab/>
        </w:r>
        <w:r w:rsidR="00E46A7B" w:rsidRPr="00461340">
          <w:rPr>
            <w:rStyle w:val="Hyperlink"/>
          </w:rPr>
          <w:t>Introduction</w:t>
        </w:r>
        <w:r w:rsidR="00E46A7B">
          <w:rPr>
            <w:webHidden/>
          </w:rPr>
          <w:tab/>
        </w:r>
        <w:r w:rsidR="00E46A7B">
          <w:rPr>
            <w:webHidden/>
          </w:rPr>
          <w:fldChar w:fldCharType="begin"/>
        </w:r>
        <w:r w:rsidR="00E46A7B">
          <w:rPr>
            <w:webHidden/>
          </w:rPr>
          <w:instrText xml:space="preserve"> PAGEREF _Toc517161106 \h </w:instrText>
        </w:r>
        <w:r w:rsidR="00E46A7B">
          <w:rPr>
            <w:webHidden/>
          </w:rPr>
        </w:r>
        <w:r w:rsidR="00E46A7B">
          <w:rPr>
            <w:webHidden/>
          </w:rPr>
          <w:fldChar w:fldCharType="separate"/>
        </w:r>
        <w:r w:rsidR="00640CCB">
          <w:rPr>
            <w:webHidden/>
          </w:rPr>
          <w:t>1</w:t>
        </w:r>
        <w:r w:rsidR="00E46A7B">
          <w:rPr>
            <w:webHidden/>
          </w:rPr>
          <w:fldChar w:fldCharType="end"/>
        </w:r>
      </w:hyperlink>
    </w:p>
    <w:p w14:paraId="3E731FDC" w14:textId="77777777" w:rsidR="00E46A7B" w:rsidRDefault="008079F1">
      <w:pPr>
        <w:pStyle w:val="TOC2"/>
        <w:rPr>
          <w:rFonts w:asciiTheme="minorHAnsi" w:eastAsiaTheme="minorEastAsia" w:hAnsiTheme="minorHAnsi" w:cstheme="minorBidi"/>
          <w:sz w:val="22"/>
          <w:szCs w:val="22"/>
        </w:rPr>
      </w:pPr>
      <w:hyperlink w:anchor="_Toc517161107" w:history="1">
        <w:r w:rsidR="00E46A7B" w:rsidRPr="00461340">
          <w:rPr>
            <w:rStyle w:val="Hyperlink"/>
            <w:lang w:val="en-US"/>
          </w:rPr>
          <w:t>A.2</w:t>
        </w:r>
        <w:r w:rsidR="00E46A7B">
          <w:rPr>
            <w:rFonts w:asciiTheme="minorHAnsi" w:eastAsiaTheme="minorEastAsia" w:hAnsiTheme="minorHAnsi" w:cstheme="minorBidi"/>
            <w:sz w:val="22"/>
            <w:szCs w:val="22"/>
          </w:rPr>
          <w:tab/>
        </w:r>
        <w:r w:rsidR="00E46A7B" w:rsidRPr="00461340">
          <w:rPr>
            <w:rStyle w:val="Hyperlink"/>
            <w:lang w:val="en-US"/>
          </w:rPr>
          <w:t>Classification and assessment of petroleum resources</w:t>
        </w:r>
        <w:r w:rsidR="00E46A7B">
          <w:rPr>
            <w:webHidden/>
          </w:rPr>
          <w:tab/>
        </w:r>
        <w:r w:rsidR="00E46A7B">
          <w:rPr>
            <w:webHidden/>
          </w:rPr>
          <w:fldChar w:fldCharType="begin"/>
        </w:r>
        <w:r w:rsidR="00E46A7B">
          <w:rPr>
            <w:webHidden/>
          </w:rPr>
          <w:instrText xml:space="preserve"> PAGEREF _Toc517161107 \h </w:instrText>
        </w:r>
        <w:r w:rsidR="00E46A7B">
          <w:rPr>
            <w:webHidden/>
          </w:rPr>
        </w:r>
        <w:r w:rsidR="00E46A7B">
          <w:rPr>
            <w:webHidden/>
          </w:rPr>
          <w:fldChar w:fldCharType="separate"/>
        </w:r>
        <w:r w:rsidR="00640CCB">
          <w:rPr>
            <w:webHidden/>
          </w:rPr>
          <w:t>1</w:t>
        </w:r>
        <w:r w:rsidR="00E46A7B">
          <w:rPr>
            <w:webHidden/>
          </w:rPr>
          <w:fldChar w:fldCharType="end"/>
        </w:r>
      </w:hyperlink>
    </w:p>
    <w:p w14:paraId="619A071F" w14:textId="77777777" w:rsidR="00E46A7B" w:rsidRDefault="008079F1">
      <w:pPr>
        <w:pStyle w:val="TOC3"/>
        <w:rPr>
          <w:rFonts w:asciiTheme="minorHAnsi" w:eastAsiaTheme="minorEastAsia" w:hAnsiTheme="minorHAnsi" w:cstheme="minorBidi"/>
          <w:sz w:val="22"/>
          <w:szCs w:val="22"/>
        </w:rPr>
      </w:pPr>
      <w:hyperlink w:anchor="_Toc517161108" w:history="1">
        <w:r w:rsidR="00E46A7B" w:rsidRPr="00461340">
          <w:rPr>
            <w:rStyle w:val="Hyperlink"/>
            <w:lang w:val="en-US"/>
          </w:rPr>
          <w:t>A.2.1</w:t>
        </w:r>
        <w:r w:rsidR="00E46A7B">
          <w:rPr>
            <w:rFonts w:asciiTheme="minorHAnsi" w:eastAsiaTheme="minorEastAsia" w:hAnsiTheme="minorHAnsi" w:cstheme="minorBidi"/>
            <w:sz w:val="22"/>
            <w:szCs w:val="22"/>
          </w:rPr>
          <w:tab/>
        </w:r>
        <w:r w:rsidR="00E46A7B" w:rsidRPr="00461340">
          <w:rPr>
            <w:rStyle w:val="Hyperlink"/>
            <w:lang w:val="en-US"/>
          </w:rPr>
          <w:t>Petroleum resource classification scheme</w:t>
        </w:r>
        <w:r w:rsidR="00E46A7B">
          <w:rPr>
            <w:webHidden/>
          </w:rPr>
          <w:tab/>
        </w:r>
        <w:r w:rsidR="00E46A7B">
          <w:rPr>
            <w:webHidden/>
          </w:rPr>
          <w:fldChar w:fldCharType="begin"/>
        </w:r>
        <w:r w:rsidR="00E46A7B">
          <w:rPr>
            <w:webHidden/>
          </w:rPr>
          <w:instrText xml:space="preserve"> PAGEREF _Toc517161108 \h </w:instrText>
        </w:r>
        <w:r w:rsidR="00E46A7B">
          <w:rPr>
            <w:webHidden/>
          </w:rPr>
        </w:r>
        <w:r w:rsidR="00E46A7B">
          <w:rPr>
            <w:webHidden/>
          </w:rPr>
          <w:fldChar w:fldCharType="separate"/>
        </w:r>
        <w:r w:rsidR="00640CCB">
          <w:rPr>
            <w:webHidden/>
          </w:rPr>
          <w:t>1</w:t>
        </w:r>
        <w:r w:rsidR="00E46A7B">
          <w:rPr>
            <w:webHidden/>
          </w:rPr>
          <w:fldChar w:fldCharType="end"/>
        </w:r>
      </w:hyperlink>
    </w:p>
    <w:p w14:paraId="6D10260C" w14:textId="77777777" w:rsidR="00E46A7B" w:rsidRDefault="008079F1">
      <w:pPr>
        <w:pStyle w:val="TOC3"/>
        <w:rPr>
          <w:rFonts w:asciiTheme="minorHAnsi" w:eastAsiaTheme="minorEastAsia" w:hAnsiTheme="minorHAnsi" w:cstheme="minorBidi"/>
          <w:sz w:val="22"/>
          <w:szCs w:val="22"/>
        </w:rPr>
      </w:pPr>
      <w:hyperlink w:anchor="_Toc517161109" w:history="1">
        <w:r w:rsidR="00E46A7B" w:rsidRPr="00461340">
          <w:rPr>
            <w:rStyle w:val="Hyperlink"/>
          </w:rPr>
          <w:t>A.2.2</w:t>
        </w:r>
        <w:r w:rsidR="00E46A7B">
          <w:rPr>
            <w:rFonts w:asciiTheme="minorHAnsi" w:eastAsiaTheme="minorEastAsia" w:hAnsiTheme="minorHAnsi" w:cstheme="minorBidi"/>
            <w:sz w:val="22"/>
            <w:szCs w:val="22"/>
          </w:rPr>
          <w:tab/>
        </w:r>
        <w:r w:rsidR="00E46A7B" w:rsidRPr="00461340">
          <w:rPr>
            <w:rStyle w:val="Hyperlink"/>
          </w:rPr>
          <w:t>Unconventional resource assessment methods</w:t>
        </w:r>
        <w:r w:rsidR="00E46A7B">
          <w:rPr>
            <w:webHidden/>
          </w:rPr>
          <w:tab/>
        </w:r>
        <w:r w:rsidR="00E46A7B">
          <w:rPr>
            <w:webHidden/>
          </w:rPr>
          <w:fldChar w:fldCharType="begin"/>
        </w:r>
        <w:r w:rsidR="00E46A7B">
          <w:rPr>
            <w:webHidden/>
          </w:rPr>
          <w:instrText xml:space="preserve"> PAGEREF _Toc517161109 \h </w:instrText>
        </w:r>
        <w:r w:rsidR="00E46A7B">
          <w:rPr>
            <w:webHidden/>
          </w:rPr>
        </w:r>
        <w:r w:rsidR="00E46A7B">
          <w:rPr>
            <w:webHidden/>
          </w:rPr>
          <w:fldChar w:fldCharType="separate"/>
        </w:r>
        <w:r w:rsidR="00640CCB">
          <w:rPr>
            <w:webHidden/>
          </w:rPr>
          <w:t>5</w:t>
        </w:r>
        <w:r w:rsidR="00E46A7B">
          <w:rPr>
            <w:webHidden/>
          </w:rPr>
          <w:fldChar w:fldCharType="end"/>
        </w:r>
      </w:hyperlink>
    </w:p>
    <w:p w14:paraId="1F9088E2" w14:textId="77777777" w:rsidR="00E46A7B" w:rsidRDefault="008079F1">
      <w:pPr>
        <w:pStyle w:val="TOC3"/>
        <w:rPr>
          <w:rFonts w:asciiTheme="minorHAnsi" w:eastAsiaTheme="minorEastAsia" w:hAnsiTheme="minorHAnsi" w:cstheme="minorBidi"/>
          <w:sz w:val="22"/>
          <w:szCs w:val="22"/>
        </w:rPr>
      </w:pPr>
      <w:hyperlink w:anchor="_Toc517161110" w:history="1">
        <w:r w:rsidR="00E46A7B" w:rsidRPr="00461340">
          <w:rPr>
            <w:rStyle w:val="Hyperlink"/>
          </w:rPr>
          <w:t>A.2.3</w:t>
        </w:r>
        <w:r w:rsidR="00E46A7B">
          <w:rPr>
            <w:rFonts w:asciiTheme="minorHAnsi" w:eastAsiaTheme="minorEastAsia" w:hAnsiTheme="minorHAnsi" w:cstheme="minorBidi"/>
            <w:sz w:val="22"/>
            <w:szCs w:val="22"/>
          </w:rPr>
          <w:tab/>
        </w:r>
        <w:r w:rsidR="00E46A7B" w:rsidRPr="00461340">
          <w:rPr>
            <w:rStyle w:val="Hyperlink"/>
          </w:rPr>
          <w:t>Classification of exploration status</w:t>
        </w:r>
        <w:r w:rsidR="00E46A7B">
          <w:rPr>
            <w:webHidden/>
          </w:rPr>
          <w:tab/>
        </w:r>
        <w:r w:rsidR="00E46A7B">
          <w:rPr>
            <w:webHidden/>
          </w:rPr>
          <w:fldChar w:fldCharType="begin"/>
        </w:r>
        <w:r w:rsidR="00E46A7B">
          <w:rPr>
            <w:webHidden/>
          </w:rPr>
          <w:instrText xml:space="preserve"> PAGEREF _Toc517161110 \h </w:instrText>
        </w:r>
        <w:r w:rsidR="00E46A7B">
          <w:rPr>
            <w:webHidden/>
          </w:rPr>
        </w:r>
        <w:r w:rsidR="00E46A7B">
          <w:rPr>
            <w:webHidden/>
          </w:rPr>
          <w:fldChar w:fldCharType="separate"/>
        </w:r>
        <w:r w:rsidR="00640CCB">
          <w:rPr>
            <w:webHidden/>
          </w:rPr>
          <w:t>6</w:t>
        </w:r>
        <w:r w:rsidR="00E46A7B">
          <w:rPr>
            <w:webHidden/>
          </w:rPr>
          <w:fldChar w:fldCharType="end"/>
        </w:r>
      </w:hyperlink>
    </w:p>
    <w:p w14:paraId="06DFF696" w14:textId="77777777" w:rsidR="00E46A7B" w:rsidRDefault="008079F1">
      <w:pPr>
        <w:pStyle w:val="TOC2"/>
        <w:rPr>
          <w:rFonts w:asciiTheme="minorHAnsi" w:eastAsiaTheme="minorEastAsia" w:hAnsiTheme="minorHAnsi" w:cstheme="minorBidi"/>
          <w:sz w:val="22"/>
          <w:szCs w:val="22"/>
        </w:rPr>
      </w:pPr>
      <w:hyperlink w:anchor="_Toc517161111" w:history="1">
        <w:r w:rsidR="00E46A7B" w:rsidRPr="00461340">
          <w:rPr>
            <w:rStyle w:val="Hyperlink"/>
          </w:rPr>
          <w:t>A.3</w:t>
        </w:r>
        <w:r w:rsidR="00E46A7B">
          <w:rPr>
            <w:rFonts w:asciiTheme="minorHAnsi" w:eastAsiaTheme="minorEastAsia" w:hAnsiTheme="minorHAnsi" w:cstheme="minorBidi"/>
            <w:sz w:val="22"/>
            <w:szCs w:val="22"/>
          </w:rPr>
          <w:tab/>
        </w:r>
        <w:r w:rsidR="00E46A7B" w:rsidRPr="00461340">
          <w:rPr>
            <w:rStyle w:val="Hyperlink"/>
          </w:rPr>
          <w:t>Shale and tight gas exploration activity analysis results</w:t>
        </w:r>
        <w:r w:rsidR="00E46A7B">
          <w:rPr>
            <w:webHidden/>
          </w:rPr>
          <w:tab/>
        </w:r>
        <w:r w:rsidR="00E46A7B">
          <w:rPr>
            <w:webHidden/>
          </w:rPr>
          <w:fldChar w:fldCharType="begin"/>
        </w:r>
        <w:r w:rsidR="00E46A7B">
          <w:rPr>
            <w:webHidden/>
          </w:rPr>
          <w:instrText xml:space="preserve"> PAGEREF _Toc517161111 \h </w:instrText>
        </w:r>
        <w:r w:rsidR="00E46A7B">
          <w:rPr>
            <w:webHidden/>
          </w:rPr>
        </w:r>
        <w:r w:rsidR="00E46A7B">
          <w:rPr>
            <w:webHidden/>
          </w:rPr>
          <w:fldChar w:fldCharType="separate"/>
        </w:r>
        <w:r w:rsidR="00640CCB">
          <w:rPr>
            <w:webHidden/>
          </w:rPr>
          <w:t>9</w:t>
        </w:r>
        <w:r w:rsidR="00E46A7B">
          <w:rPr>
            <w:webHidden/>
          </w:rPr>
          <w:fldChar w:fldCharType="end"/>
        </w:r>
      </w:hyperlink>
    </w:p>
    <w:p w14:paraId="5903799C" w14:textId="77777777" w:rsidR="00E46A7B" w:rsidRDefault="008079F1">
      <w:pPr>
        <w:pStyle w:val="TOC3"/>
        <w:rPr>
          <w:rFonts w:asciiTheme="minorHAnsi" w:eastAsiaTheme="minorEastAsia" w:hAnsiTheme="minorHAnsi" w:cstheme="minorBidi"/>
          <w:sz w:val="22"/>
          <w:szCs w:val="22"/>
        </w:rPr>
      </w:pPr>
      <w:hyperlink w:anchor="_Toc517161112" w:history="1">
        <w:r w:rsidR="00E46A7B" w:rsidRPr="00461340">
          <w:rPr>
            <w:rStyle w:val="Hyperlink"/>
          </w:rPr>
          <w:t>References</w:t>
        </w:r>
        <w:r w:rsidR="00E46A7B">
          <w:rPr>
            <w:webHidden/>
          </w:rPr>
          <w:tab/>
        </w:r>
        <w:r w:rsidR="00E46A7B">
          <w:rPr>
            <w:webHidden/>
          </w:rPr>
          <w:fldChar w:fldCharType="begin"/>
        </w:r>
        <w:r w:rsidR="00E46A7B">
          <w:rPr>
            <w:webHidden/>
          </w:rPr>
          <w:instrText xml:space="preserve"> PAGEREF _Toc517161112 \h </w:instrText>
        </w:r>
        <w:r w:rsidR="00E46A7B">
          <w:rPr>
            <w:webHidden/>
          </w:rPr>
        </w:r>
        <w:r w:rsidR="00E46A7B">
          <w:rPr>
            <w:webHidden/>
          </w:rPr>
          <w:fldChar w:fldCharType="separate"/>
        </w:r>
        <w:r w:rsidR="00640CCB">
          <w:rPr>
            <w:webHidden/>
          </w:rPr>
          <w:t>20</w:t>
        </w:r>
        <w:r w:rsidR="00E46A7B">
          <w:rPr>
            <w:webHidden/>
          </w:rPr>
          <w:fldChar w:fldCharType="end"/>
        </w:r>
      </w:hyperlink>
    </w:p>
    <w:p w14:paraId="755D3A73" w14:textId="77777777" w:rsidR="00E46A7B" w:rsidRDefault="008079F1">
      <w:pPr>
        <w:pStyle w:val="TOC1"/>
        <w:tabs>
          <w:tab w:val="left" w:pos="1540"/>
        </w:tabs>
        <w:rPr>
          <w:rFonts w:asciiTheme="minorHAnsi" w:eastAsiaTheme="minorEastAsia" w:hAnsiTheme="minorHAnsi" w:cstheme="minorBidi"/>
          <w:b w:val="0"/>
          <w:color w:val="auto"/>
          <w:sz w:val="22"/>
          <w:szCs w:val="22"/>
        </w:rPr>
      </w:pPr>
      <w:hyperlink w:anchor="_Toc517161113" w:history="1">
        <w:r w:rsidR="00E46A7B" w:rsidRPr="00461340">
          <w:rPr>
            <w:rStyle w:val="Hyperlink"/>
          </w:rPr>
          <w:t>Appendix B</w:t>
        </w:r>
        <w:r w:rsidR="00E46A7B">
          <w:rPr>
            <w:rFonts w:asciiTheme="minorHAnsi" w:eastAsiaTheme="minorEastAsia" w:hAnsiTheme="minorHAnsi" w:cstheme="minorBidi"/>
            <w:b w:val="0"/>
            <w:color w:val="auto"/>
            <w:sz w:val="22"/>
            <w:szCs w:val="22"/>
          </w:rPr>
          <w:tab/>
        </w:r>
        <w:r w:rsidR="00E46A7B" w:rsidRPr="00461340">
          <w:rPr>
            <w:rStyle w:val="Hyperlink"/>
          </w:rPr>
          <w:t>Regional Maps</w:t>
        </w:r>
        <w:r w:rsidR="00E46A7B">
          <w:rPr>
            <w:webHidden/>
          </w:rPr>
          <w:tab/>
        </w:r>
        <w:r w:rsidR="00E46A7B">
          <w:rPr>
            <w:webHidden/>
          </w:rPr>
          <w:fldChar w:fldCharType="begin"/>
        </w:r>
        <w:r w:rsidR="00E46A7B">
          <w:rPr>
            <w:webHidden/>
          </w:rPr>
          <w:instrText xml:space="preserve"> PAGEREF _Toc517161113 \h </w:instrText>
        </w:r>
        <w:r w:rsidR="00E46A7B">
          <w:rPr>
            <w:webHidden/>
          </w:rPr>
        </w:r>
        <w:r w:rsidR="00E46A7B">
          <w:rPr>
            <w:webHidden/>
          </w:rPr>
          <w:fldChar w:fldCharType="separate"/>
        </w:r>
        <w:r w:rsidR="00640CCB">
          <w:rPr>
            <w:webHidden/>
          </w:rPr>
          <w:t>27</w:t>
        </w:r>
        <w:r w:rsidR="00E46A7B">
          <w:rPr>
            <w:webHidden/>
          </w:rPr>
          <w:fldChar w:fldCharType="end"/>
        </w:r>
      </w:hyperlink>
    </w:p>
    <w:p w14:paraId="14983362" w14:textId="77777777" w:rsidR="00E46A7B" w:rsidRDefault="008079F1">
      <w:pPr>
        <w:pStyle w:val="TOC1"/>
        <w:tabs>
          <w:tab w:val="left" w:pos="1540"/>
        </w:tabs>
        <w:rPr>
          <w:rFonts w:asciiTheme="minorHAnsi" w:eastAsiaTheme="minorEastAsia" w:hAnsiTheme="minorHAnsi" w:cstheme="minorBidi"/>
          <w:b w:val="0"/>
          <w:color w:val="auto"/>
          <w:sz w:val="22"/>
          <w:szCs w:val="22"/>
        </w:rPr>
      </w:pPr>
      <w:hyperlink w:anchor="_Toc517161114" w:history="1">
        <w:r w:rsidR="00E46A7B" w:rsidRPr="00461340">
          <w:rPr>
            <w:rStyle w:val="Hyperlink"/>
          </w:rPr>
          <w:t>Appendix C</w:t>
        </w:r>
        <w:r w:rsidR="00E46A7B">
          <w:rPr>
            <w:rFonts w:asciiTheme="minorHAnsi" w:eastAsiaTheme="minorEastAsia" w:hAnsiTheme="minorHAnsi" w:cstheme="minorBidi"/>
            <w:b w:val="0"/>
            <w:color w:val="auto"/>
            <w:sz w:val="22"/>
            <w:szCs w:val="22"/>
          </w:rPr>
          <w:tab/>
        </w:r>
        <w:r w:rsidR="00E46A7B" w:rsidRPr="00461340">
          <w:rPr>
            <w:rStyle w:val="Hyperlink"/>
          </w:rPr>
          <w:t>Basin Audit</w:t>
        </w:r>
        <w:r w:rsidR="00E46A7B">
          <w:rPr>
            <w:webHidden/>
          </w:rPr>
          <w:tab/>
        </w:r>
        <w:r w:rsidR="00E46A7B">
          <w:rPr>
            <w:webHidden/>
          </w:rPr>
          <w:fldChar w:fldCharType="begin"/>
        </w:r>
        <w:r w:rsidR="00E46A7B">
          <w:rPr>
            <w:webHidden/>
          </w:rPr>
          <w:instrText xml:space="preserve"> PAGEREF _Toc517161114 \h </w:instrText>
        </w:r>
        <w:r w:rsidR="00E46A7B">
          <w:rPr>
            <w:webHidden/>
          </w:rPr>
        </w:r>
        <w:r w:rsidR="00E46A7B">
          <w:rPr>
            <w:webHidden/>
          </w:rPr>
          <w:fldChar w:fldCharType="separate"/>
        </w:r>
        <w:r w:rsidR="00640CCB">
          <w:rPr>
            <w:webHidden/>
          </w:rPr>
          <w:t>43</w:t>
        </w:r>
        <w:r w:rsidR="00E46A7B">
          <w:rPr>
            <w:webHidden/>
          </w:rPr>
          <w:fldChar w:fldCharType="end"/>
        </w:r>
      </w:hyperlink>
    </w:p>
    <w:p w14:paraId="2DF7F5C4" w14:textId="77777777" w:rsidR="00E46A7B" w:rsidRDefault="008079F1">
      <w:pPr>
        <w:pStyle w:val="TOC2"/>
        <w:rPr>
          <w:rFonts w:asciiTheme="minorHAnsi" w:eastAsiaTheme="minorEastAsia" w:hAnsiTheme="minorHAnsi" w:cstheme="minorBidi"/>
          <w:sz w:val="22"/>
          <w:szCs w:val="22"/>
        </w:rPr>
      </w:pPr>
      <w:hyperlink w:anchor="_Toc517161115" w:history="1">
        <w:r w:rsidR="00E46A7B" w:rsidRPr="00461340">
          <w:rPr>
            <w:rStyle w:val="Hyperlink"/>
          </w:rPr>
          <w:t>C.1</w:t>
        </w:r>
        <w:r w:rsidR="00E46A7B">
          <w:rPr>
            <w:rFonts w:asciiTheme="minorHAnsi" w:eastAsiaTheme="minorEastAsia" w:hAnsiTheme="minorHAnsi" w:cstheme="minorBidi"/>
            <w:sz w:val="22"/>
            <w:szCs w:val="22"/>
          </w:rPr>
          <w:tab/>
        </w:r>
        <w:r w:rsidR="00E46A7B" w:rsidRPr="00461340">
          <w:rPr>
            <w:rStyle w:val="Hyperlink"/>
          </w:rPr>
          <w:t>Amadeus Basin</w:t>
        </w:r>
        <w:r w:rsidR="00E46A7B">
          <w:rPr>
            <w:webHidden/>
          </w:rPr>
          <w:tab/>
        </w:r>
        <w:r w:rsidR="00E46A7B">
          <w:rPr>
            <w:webHidden/>
          </w:rPr>
          <w:fldChar w:fldCharType="begin"/>
        </w:r>
        <w:r w:rsidR="00E46A7B">
          <w:rPr>
            <w:webHidden/>
          </w:rPr>
          <w:instrText xml:space="preserve"> PAGEREF _Toc517161115 \h </w:instrText>
        </w:r>
        <w:r w:rsidR="00E46A7B">
          <w:rPr>
            <w:webHidden/>
          </w:rPr>
        </w:r>
        <w:r w:rsidR="00E46A7B">
          <w:rPr>
            <w:webHidden/>
          </w:rPr>
          <w:fldChar w:fldCharType="separate"/>
        </w:r>
        <w:r w:rsidR="00640CCB">
          <w:rPr>
            <w:webHidden/>
          </w:rPr>
          <w:t>45</w:t>
        </w:r>
        <w:r w:rsidR="00E46A7B">
          <w:rPr>
            <w:webHidden/>
          </w:rPr>
          <w:fldChar w:fldCharType="end"/>
        </w:r>
      </w:hyperlink>
    </w:p>
    <w:p w14:paraId="1C9C3EC4" w14:textId="77777777" w:rsidR="00E46A7B" w:rsidRDefault="008079F1">
      <w:pPr>
        <w:pStyle w:val="TOC3"/>
        <w:rPr>
          <w:rFonts w:asciiTheme="minorHAnsi" w:eastAsiaTheme="minorEastAsia" w:hAnsiTheme="minorHAnsi" w:cstheme="minorBidi"/>
          <w:sz w:val="22"/>
          <w:szCs w:val="22"/>
        </w:rPr>
      </w:pPr>
      <w:hyperlink w:anchor="_Toc517161116" w:history="1">
        <w:r w:rsidR="00E46A7B" w:rsidRPr="00461340">
          <w:rPr>
            <w:rStyle w:val="Hyperlink"/>
          </w:rPr>
          <w:t>C.1.1</w:t>
        </w:r>
        <w:r w:rsidR="00E46A7B">
          <w:rPr>
            <w:rFonts w:asciiTheme="minorHAnsi" w:eastAsiaTheme="minorEastAsia" w:hAnsiTheme="minorHAnsi" w:cstheme="minorBidi"/>
            <w:sz w:val="22"/>
            <w:szCs w:val="22"/>
          </w:rPr>
          <w:tab/>
        </w:r>
        <w:r w:rsidR="00E46A7B" w:rsidRPr="00461340">
          <w:rPr>
            <w:rStyle w:val="Hyperlink"/>
          </w:rPr>
          <w:t>Basin Geology</w:t>
        </w:r>
        <w:r w:rsidR="00E46A7B">
          <w:rPr>
            <w:webHidden/>
          </w:rPr>
          <w:tab/>
        </w:r>
        <w:r w:rsidR="00E46A7B">
          <w:rPr>
            <w:webHidden/>
          </w:rPr>
          <w:fldChar w:fldCharType="begin"/>
        </w:r>
        <w:r w:rsidR="00E46A7B">
          <w:rPr>
            <w:webHidden/>
          </w:rPr>
          <w:instrText xml:space="preserve"> PAGEREF _Toc517161116 \h </w:instrText>
        </w:r>
        <w:r w:rsidR="00E46A7B">
          <w:rPr>
            <w:webHidden/>
          </w:rPr>
        </w:r>
        <w:r w:rsidR="00E46A7B">
          <w:rPr>
            <w:webHidden/>
          </w:rPr>
          <w:fldChar w:fldCharType="separate"/>
        </w:r>
        <w:r w:rsidR="00640CCB">
          <w:rPr>
            <w:webHidden/>
          </w:rPr>
          <w:t>45</w:t>
        </w:r>
        <w:r w:rsidR="00E46A7B">
          <w:rPr>
            <w:webHidden/>
          </w:rPr>
          <w:fldChar w:fldCharType="end"/>
        </w:r>
      </w:hyperlink>
    </w:p>
    <w:p w14:paraId="3120A186" w14:textId="77777777" w:rsidR="00E46A7B" w:rsidRDefault="008079F1">
      <w:pPr>
        <w:pStyle w:val="TOC3"/>
        <w:rPr>
          <w:rFonts w:asciiTheme="minorHAnsi" w:eastAsiaTheme="minorEastAsia" w:hAnsiTheme="minorHAnsi" w:cstheme="minorBidi"/>
          <w:sz w:val="22"/>
          <w:szCs w:val="22"/>
        </w:rPr>
      </w:pPr>
      <w:hyperlink w:anchor="_Toc517161117" w:history="1">
        <w:r w:rsidR="00E46A7B" w:rsidRPr="00461340">
          <w:rPr>
            <w:rStyle w:val="Hyperlink"/>
          </w:rPr>
          <w:t>C.1.2</w:t>
        </w:r>
        <w:r w:rsidR="00E46A7B">
          <w:rPr>
            <w:rFonts w:asciiTheme="minorHAnsi" w:eastAsiaTheme="minorEastAsia" w:hAnsiTheme="minorHAnsi" w:cstheme="minorBidi"/>
            <w:sz w:val="22"/>
            <w:szCs w:val="22"/>
          </w:rPr>
          <w:tab/>
        </w:r>
        <w:r w:rsidR="00E46A7B" w:rsidRPr="00461340">
          <w:rPr>
            <w:rStyle w:val="Hyperlink"/>
          </w:rPr>
          <w:t>Petroleum data coverage</w:t>
        </w:r>
        <w:r w:rsidR="00E46A7B">
          <w:rPr>
            <w:webHidden/>
          </w:rPr>
          <w:tab/>
        </w:r>
        <w:r w:rsidR="00E46A7B">
          <w:rPr>
            <w:webHidden/>
          </w:rPr>
          <w:fldChar w:fldCharType="begin"/>
        </w:r>
        <w:r w:rsidR="00E46A7B">
          <w:rPr>
            <w:webHidden/>
          </w:rPr>
          <w:instrText xml:space="preserve"> PAGEREF _Toc517161117 \h </w:instrText>
        </w:r>
        <w:r w:rsidR="00E46A7B">
          <w:rPr>
            <w:webHidden/>
          </w:rPr>
        </w:r>
        <w:r w:rsidR="00E46A7B">
          <w:rPr>
            <w:webHidden/>
          </w:rPr>
          <w:fldChar w:fldCharType="separate"/>
        </w:r>
        <w:r w:rsidR="00640CCB">
          <w:rPr>
            <w:webHidden/>
          </w:rPr>
          <w:t>49</w:t>
        </w:r>
        <w:r w:rsidR="00E46A7B">
          <w:rPr>
            <w:webHidden/>
          </w:rPr>
          <w:fldChar w:fldCharType="end"/>
        </w:r>
      </w:hyperlink>
    </w:p>
    <w:p w14:paraId="4BE14D9F" w14:textId="77777777" w:rsidR="00E46A7B" w:rsidRDefault="008079F1">
      <w:pPr>
        <w:pStyle w:val="TOC3"/>
        <w:rPr>
          <w:rFonts w:asciiTheme="minorHAnsi" w:eastAsiaTheme="minorEastAsia" w:hAnsiTheme="minorHAnsi" w:cstheme="minorBidi"/>
          <w:sz w:val="22"/>
          <w:szCs w:val="22"/>
        </w:rPr>
      </w:pPr>
      <w:hyperlink w:anchor="_Toc517161118" w:history="1">
        <w:r w:rsidR="00E46A7B" w:rsidRPr="00461340">
          <w:rPr>
            <w:rStyle w:val="Hyperlink"/>
          </w:rPr>
          <w:t>C.1.3</w:t>
        </w:r>
        <w:r w:rsidR="00E46A7B">
          <w:rPr>
            <w:rFonts w:asciiTheme="minorHAnsi" w:eastAsiaTheme="minorEastAsia" w:hAnsiTheme="minorHAnsi" w:cstheme="minorBidi"/>
            <w:sz w:val="22"/>
            <w:szCs w:val="22"/>
          </w:rPr>
          <w:tab/>
        </w:r>
        <w:r w:rsidR="00E46A7B" w:rsidRPr="00461340">
          <w:rPr>
            <w:rStyle w:val="Hyperlink"/>
          </w:rPr>
          <w:t>Shale and tight gas prospectivity</w:t>
        </w:r>
        <w:r w:rsidR="00E46A7B">
          <w:rPr>
            <w:webHidden/>
          </w:rPr>
          <w:tab/>
        </w:r>
        <w:r w:rsidR="00E46A7B">
          <w:rPr>
            <w:webHidden/>
          </w:rPr>
          <w:fldChar w:fldCharType="begin"/>
        </w:r>
        <w:r w:rsidR="00E46A7B">
          <w:rPr>
            <w:webHidden/>
          </w:rPr>
          <w:instrText xml:space="preserve"> PAGEREF _Toc517161118 \h </w:instrText>
        </w:r>
        <w:r w:rsidR="00E46A7B">
          <w:rPr>
            <w:webHidden/>
          </w:rPr>
        </w:r>
        <w:r w:rsidR="00E46A7B">
          <w:rPr>
            <w:webHidden/>
          </w:rPr>
          <w:fldChar w:fldCharType="separate"/>
        </w:r>
        <w:r w:rsidR="00640CCB">
          <w:rPr>
            <w:webHidden/>
          </w:rPr>
          <w:t>50</w:t>
        </w:r>
        <w:r w:rsidR="00E46A7B">
          <w:rPr>
            <w:webHidden/>
          </w:rPr>
          <w:fldChar w:fldCharType="end"/>
        </w:r>
      </w:hyperlink>
    </w:p>
    <w:p w14:paraId="1D6BB297" w14:textId="77777777" w:rsidR="00E46A7B" w:rsidRDefault="008079F1">
      <w:pPr>
        <w:pStyle w:val="TOC3"/>
        <w:rPr>
          <w:rFonts w:asciiTheme="minorHAnsi" w:eastAsiaTheme="minorEastAsia" w:hAnsiTheme="minorHAnsi" w:cstheme="minorBidi"/>
          <w:sz w:val="22"/>
          <w:szCs w:val="22"/>
        </w:rPr>
      </w:pPr>
      <w:hyperlink w:anchor="_Toc517161119" w:history="1">
        <w:r w:rsidR="00E46A7B" w:rsidRPr="00461340">
          <w:rPr>
            <w:rStyle w:val="Hyperlink"/>
          </w:rPr>
          <w:t>C.1.4</w:t>
        </w:r>
        <w:r w:rsidR="00E46A7B">
          <w:rPr>
            <w:rFonts w:asciiTheme="minorHAnsi" w:eastAsiaTheme="minorEastAsia" w:hAnsiTheme="minorHAnsi" w:cstheme="minorBidi"/>
            <w:sz w:val="22"/>
            <w:szCs w:val="22"/>
          </w:rPr>
          <w:tab/>
        </w:r>
        <w:r w:rsidR="00E46A7B" w:rsidRPr="00461340">
          <w:rPr>
            <w:rStyle w:val="Hyperlink"/>
          </w:rPr>
          <w:t>Gas market access and infrastructure</w:t>
        </w:r>
        <w:r w:rsidR="00E46A7B">
          <w:rPr>
            <w:webHidden/>
          </w:rPr>
          <w:tab/>
        </w:r>
        <w:r w:rsidR="00E46A7B">
          <w:rPr>
            <w:webHidden/>
          </w:rPr>
          <w:fldChar w:fldCharType="begin"/>
        </w:r>
        <w:r w:rsidR="00E46A7B">
          <w:rPr>
            <w:webHidden/>
          </w:rPr>
          <w:instrText xml:space="preserve"> PAGEREF _Toc517161119 \h </w:instrText>
        </w:r>
        <w:r w:rsidR="00E46A7B">
          <w:rPr>
            <w:webHidden/>
          </w:rPr>
        </w:r>
        <w:r w:rsidR="00E46A7B">
          <w:rPr>
            <w:webHidden/>
          </w:rPr>
          <w:fldChar w:fldCharType="separate"/>
        </w:r>
        <w:r w:rsidR="00640CCB">
          <w:rPr>
            <w:webHidden/>
          </w:rPr>
          <w:t>55</w:t>
        </w:r>
        <w:r w:rsidR="00E46A7B">
          <w:rPr>
            <w:webHidden/>
          </w:rPr>
          <w:fldChar w:fldCharType="end"/>
        </w:r>
      </w:hyperlink>
    </w:p>
    <w:p w14:paraId="47AF1EED" w14:textId="77777777" w:rsidR="00E46A7B" w:rsidRDefault="008079F1">
      <w:pPr>
        <w:pStyle w:val="TOC3"/>
        <w:rPr>
          <w:rFonts w:asciiTheme="minorHAnsi" w:eastAsiaTheme="minorEastAsia" w:hAnsiTheme="minorHAnsi" w:cstheme="minorBidi"/>
          <w:sz w:val="22"/>
          <w:szCs w:val="22"/>
        </w:rPr>
      </w:pPr>
      <w:hyperlink w:anchor="_Toc517161120" w:history="1">
        <w:r w:rsidR="00E46A7B" w:rsidRPr="00461340">
          <w:rPr>
            <w:rStyle w:val="Hyperlink"/>
          </w:rPr>
          <w:t>C.1.5</w:t>
        </w:r>
        <w:r w:rsidR="00E46A7B">
          <w:rPr>
            <w:rFonts w:asciiTheme="minorHAnsi" w:eastAsiaTheme="minorEastAsia" w:hAnsiTheme="minorHAnsi" w:cstheme="minorBidi"/>
            <w:sz w:val="22"/>
            <w:szCs w:val="22"/>
          </w:rPr>
          <w:tab/>
        </w:r>
        <w:r w:rsidR="00E46A7B" w:rsidRPr="00461340">
          <w:rPr>
            <w:rStyle w:val="Hyperlink"/>
          </w:rPr>
          <w:t>Regulatory environment impacting shale and tight gas exploration</w:t>
        </w:r>
        <w:r w:rsidR="00E46A7B">
          <w:rPr>
            <w:webHidden/>
          </w:rPr>
          <w:tab/>
        </w:r>
        <w:r w:rsidR="00E46A7B">
          <w:rPr>
            <w:webHidden/>
          </w:rPr>
          <w:fldChar w:fldCharType="begin"/>
        </w:r>
        <w:r w:rsidR="00E46A7B">
          <w:rPr>
            <w:webHidden/>
          </w:rPr>
          <w:instrText xml:space="preserve"> PAGEREF _Toc517161120 \h </w:instrText>
        </w:r>
        <w:r w:rsidR="00E46A7B">
          <w:rPr>
            <w:webHidden/>
          </w:rPr>
        </w:r>
        <w:r w:rsidR="00E46A7B">
          <w:rPr>
            <w:webHidden/>
          </w:rPr>
          <w:fldChar w:fldCharType="separate"/>
        </w:r>
        <w:r w:rsidR="00640CCB">
          <w:rPr>
            <w:webHidden/>
          </w:rPr>
          <w:t>56</w:t>
        </w:r>
        <w:r w:rsidR="00E46A7B">
          <w:rPr>
            <w:webHidden/>
          </w:rPr>
          <w:fldChar w:fldCharType="end"/>
        </w:r>
      </w:hyperlink>
    </w:p>
    <w:p w14:paraId="24423C4C" w14:textId="77777777" w:rsidR="00E46A7B" w:rsidRDefault="008079F1">
      <w:pPr>
        <w:pStyle w:val="TOC3"/>
        <w:rPr>
          <w:rFonts w:asciiTheme="minorHAnsi" w:eastAsiaTheme="minorEastAsia" w:hAnsiTheme="minorHAnsi" w:cstheme="minorBidi"/>
          <w:sz w:val="22"/>
          <w:szCs w:val="22"/>
        </w:rPr>
      </w:pPr>
      <w:hyperlink w:anchor="_Toc517161121" w:history="1">
        <w:r w:rsidR="00E46A7B" w:rsidRPr="00461340">
          <w:rPr>
            <w:rStyle w:val="Hyperlink"/>
          </w:rPr>
          <w:t>C.1.6</w:t>
        </w:r>
        <w:r w:rsidR="00E46A7B">
          <w:rPr>
            <w:rFonts w:asciiTheme="minorHAnsi" w:eastAsiaTheme="minorEastAsia" w:hAnsiTheme="minorHAnsi" w:cstheme="minorBidi"/>
            <w:sz w:val="22"/>
            <w:szCs w:val="22"/>
          </w:rPr>
          <w:tab/>
        </w:r>
        <w:r w:rsidR="00E46A7B" w:rsidRPr="00461340">
          <w:rPr>
            <w:rStyle w:val="Hyperlink"/>
          </w:rPr>
          <w:t>Hydrogeology and groundwater</w:t>
        </w:r>
        <w:r w:rsidR="00E46A7B">
          <w:rPr>
            <w:webHidden/>
          </w:rPr>
          <w:tab/>
        </w:r>
        <w:r w:rsidR="00E46A7B">
          <w:rPr>
            <w:webHidden/>
          </w:rPr>
          <w:fldChar w:fldCharType="begin"/>
        </w:r>
        <w:r w:rsidR="00E46A7B">
          <w:rPr>
            <w:webHidden/>
          </w:rPr>
          <w:instrText xml:space="preserve"> PAGEREF _Toc517161121 \h </w:instrText>
        </w:r>
        <w:r w:rsidR="00E46A7B">
          <w:rPr>
            <w:webHidden/>
          </w:rPr>
        </w:r>
        <w:r w:rsidR="00E46A7B">
          <w:rPr>
            <w:webHidden/>
          </w:rPr>
          <w:fldChar w:fldCharType="separate"/>
        </w:r>
        <w:r w:rsidR="00640CCB">
          <w:rPr>
            <w:webHidden/>
          </w:rPr>
          <w:t>57</w:t>
        </w:r>
        <w:r w:rsidR="00E46A7B">
          <w:rPr>
            <w:webHidden/>
          </w:rPr>
          <w:fldChar w:fldCharType="end"/>
        </w:r>
      </w:hyperlink>
    </w:p>
    <w:p w14:paraId="1C0FED0E" w14:textId="77777777" w:rsidR="00E46A7B" w:rsidRDefault="008079F1">
      <w:pPr>
        <w:pStyle w:val="TOC3"/>
        <w:rPr>
          <w:rFonts w:asciiTheme="minorHAnsi" w:eastAsiaTheme="minorEastAsia" w:hAnsiTheme="minorHAnsi" w:cstheme="minorBidi"/>
          <w:sz w:val="22"/>
          <w:szCs w:val="22"/>
        </w:rPr>
      </w:pPr>
      <w:hyperlink w:anchor="_Toc517161122" w:history="1">
        <w:r w:rsidR="00E46A7B" w:rsidRPr="00461340">
          <w:rPr>
            <w:rStyle w:val="Hyperlink"/>
          </w:rPr>
          <w:t>C.1.7</w:t>
        </w:r>
        <w:r w:rsidR="00E46A7B">
          <w:rPr>
            <w:rFonts w:asciiTheme="minorHAnsi" w:eastAsiaTheme="minorEastAsia" w:hAnsiTheme="minorHAnsi" w:cstheme="minorBidi"/>
            <w:sz w:val="22"/>
            <w:szCs w:val="22"/>
          </w:rPr>
          <w:tab/>
        </w:r>
        <w:r w:rsidR="00E46A7B" w:rsidRPr="00461340">
          <w:rPr>
            <w:rStyle w:val="Hyperlink"/>
          </w:rPr>
          <w:t>Surface water systems and hydrology</w:t>
        </w:r>
        <w:r w:rsidR="00E46A7B">
          <w:rPr>
            <w:webHidden/>
          </w:rPr>
          <w:tab/>
        </w:r>
        <w:r w:rsidR="00E46A7B">
          <w:rPr>
            <w:webHidden/>
          </w:rPr>
          <w:fldChar w:fldCharType="begin"/>
        </w:r>
        <w:r w:rsidR="00E46A7B">
          <w:rPr>
            <w:webHidden/>
          </w:rPr>
          <w:instrText xml:space="preserve"> PAGEREF _Toc517161122 \h </w:instrText>
        </w:r>
        <w:r w:rsidR="00E46A7B">
          <w:rPr>
            <w:webHidden/>
          </w:rPr>
        </w:r>
        <w:r w:rsidR="00E46A7B">
          <w:rPr>
            <w:webHidden/>
          </w:rPr>
          <w:fldChar w:fldCharType="separate"/>
        </w:r>
        <w:r w:rsidR="00640CCB">
          <w:rPr>
            <w:webHidden/>
          </w:rPr>
          <w:t>62</w:t>
        </w:r>
        <w:r w:rsidR="00E46A7B">
          <w:rPr>
            <w:webHidden/>
          </w:rPr>
          <w:fldChar w:fldCharType="end"/>
        </w:r>
      </w:hyperlink>
    </w:p>
    <w:p w14:paraId="2A05E377" w14:textId="77777777" w:rsidR="00E46A7B" w:rsidRDefault="008079F1">
      <w:pPr>
        <w:pStyle w:val="TOC3"/>
        <w:rPr>
          <w:rFonts w:asciiTheme="minorHAnsi" w:eastAsiaTheme="minorEastAsia" w:hAnsiTheme="minorHAnsi" w:cstheme="minorBidi"/>
          <w:sz w:val="22"/>
          <w:szCs w:val="22"/>
        </w:rPr>
      </w:pPr>
      <w:hyperlink w:anchor="_Toc517161123" w:history="1">
        <w:r w:rsidR="00E46A7B" w:rsidRPr="00461340">
          <w:rPr>
            <w:rStyle w:val="Hyperlink"/>
          </w:rPr>
          <w:t>C.1.8</w:t>
        </w:r>
        <w:r w:rsidR="00E46A7B">
          <w:rPr>
            <w:rFonts w:asciiTheme="minorHAnsi" w:eastAsiaTheme="minorEastAsia" w:hAnsiTheme="minorHAnsi" w:cstheme="minorBidi"/>
            <w:sz w:val="22"/>
            <w:szCs w:val="22"/>
          </w:rPr>
          <w:tab/>
        </w:r>
        <w:r w:rsidR="00E46A7B" w:rsidRPr="00461340">
          <w:rPr>
            <w:rStyle w:val="Hyperlink"/>
          </w:rPr>
          <w:t>Groundwater–surface water interactions</w:t>
        </w:r>
        <w:r w:rsidR="00E46A7B">
          <w:rPr>
            <w:webHidden/>
          </w:rPr>
          <w:tab/>
        </w:r>
        <w:r w:rsidR="00E46A7B">
          <w:rPr>
            <w:webHidden/>
          </w:rPr>
          <w:fldChar w:fldCharType="begin"/>
        </w:r>
        <w:r w:rsidR="00E46A7B">
          <w:rPr>
            <w:webHidden/>
          </w:rPr>
          <w:instrText xml:space="preserve"> PAGEREF _Toc517161123 \h </w:instrText>
        </w:r>
        <w:r w:rsidR="00E46A7B">
          <w:rPr>
            <w:webHidden/>
          </w:rPr>
        </w:r>
        <w:r w:rsidR="00E46A7B">
          <w:rPr>
            <w:webHidden/>
          </w:rPr>
          <w:fldChar w:fldCharType="separate"/>
        </w:r>
        <w:r w:rsidR="00640CCB">
          <w:rPr>
            <w:webHidden/>
          </w:rPr>
          <w:t>63</w:t>
        </w:r>
        <w:r w:rsidR="00E46A7B">
          <w:rPr>
            <w:webHidden/>
          </w:rPr>
          <w:fldChar w:fldCharType="end"/>
        </w:r>
      </w:hyperlink>
    </w:p>
    <w:p w14:paraId="3EF41A9B" w14:textId="77777777" w:rsidR="00E46A7B" w:rsidRDefault="008079F1">
      <w:pPr>
        <w:pStyle w:val="TOC3"/>
        <w:rPr>
          <w:rFonts w:asciiTheme="minorHAnsi" w:eastAsiaTheme="minorEastAsia" w:hAnsiTheme="minorHAnsi" w:cstheme="minorBidi"/>
          <w:sz w:val="22"/>
          <w:szCs w:val="22"/>
        </w:rPr>
      </w:pPr>
      <w:hyperlink w:anchor="_Toc517161124" w:history="1">
        <w:r w:rsidR="00E46A7B" w:rsidRPr="00461340">
          <w:rPr>
            <w:rStyle w:val="Hyperlink"/>
          </w:rPr>
          <w:t>C.1.9</w:t>
        </w:r>
        <w:r w:rsidR="00E46A7B">
          <w:rPr>
            <w:rFonts w:asciiTheme="minorHAnsi" w:eastAsiaTheme="minorEastAsia" w:hAnsiTheme="minorHAnsi" w:cstheme="minorBidi"/>
            <w:sz w:val="22"/>
            <w:szCs w:val="22"/>
          </w:rPr>
          <w:tab/>
        </w:r>
        <w:r w:rsidR="00E46A7B" w:rsidRPr="00461340">
          <w:rPr>
            <w:rStyle w:val="Hyperlink"/>
          </w:rPr>
          <w:t>Other environmental factors</w:t>
        </w:r>
        <w:r w:rsidR="00E46A7B">
          <w:rPr>
            <w:webHidden/>
          </w:rPr>
          <w:tab/>
        </w:r>
        <w:r w:rsidR="00E46A7B">
          <w:rPr>
            <w:webHidden/>
          </w:rPr>
          <w:fldChar w:fldCharType="begin"/>
        </w:r>
        <w:r w:rsidR="00E46A7B">
          <w:rPr>
            <w:webHidden/>
          </w:rPr>
          <w:instrText xml:space="preserve"> PAGEREF _Toc517161124 \h </w:instrText>
        </w:r>
        <w:r w:rsidR="00E46A7B">
          <w:rPr>
            <w:webHidden/>
          </w:rPr>
        </w:r>
        <w:r w:rsidR="00E46A7B">
          <w:rPr>
            <w:webHidden/>
          </w:rPr>
          <w:fldChar w:fldCharType="separate"/>
        </w:r>
        <w:r w:rsidR="00640CCB">
          <w:rPr>
            <w:webHidden/>
          </w:rPr>
          <w:t>63</w:t>
        </w:r>
        <w:r w:rsidR="00E46A7B">
          <w:rPr>
            <w:webHidden/>
          </w:rPr>
          <w:fldChar w:fldCharType="end"/>
        </w:r>
      </w:hyperlink>
    </w:p>
    <w:p w14:paraId="35AD8600" w14:textId="77777777" w:rsidR="00E46A7B" w:rsidRDefault="008079F1">
      <w:pPr>
        <w:pStyle w:val="TOC3"/>
        <w:rPr>
          <w:rFonts w:asciiTheme="minorHAnsi" w:eastAsiaTheme="minorEastAsia" w:hAnsiTheme="minorHAnsi" w:cstheme="minorBidi"/>
          <w:sz w:val="22"/>
          <w:szCs w:val="22"/>
        </w:rPr>
      </w:pPr>
      <w:hyperlink w:anchor="_Toc517161125" w:history="1">
        <w:r w:rsidR="00E46A7B" w:rsidRPr="00461340">
          <w:rPr>
            <w:rStyle w:val="Hyperlink"/>
          </w:rPr>
          <w:t>C.1.10</w:t>
        </w:r>
        <w:r w:rsidR="00E46A7B">
          <w:rPr>
            <w:rFonts w:asciiTheme="minorHAnsi" w:eastAsiaTheme="minorEastAsia" w:hAnsiTheme="minorHAnsi" w:cstheme="minorBidi"/>
            <w:sz w:val="22"/>
            <w:szCs w:val="22"/>
          </w:rPr>
          <w:tab/>
        </w:r>
        <w:r w:rsidR="00E46A7B" w:rsidRPr="00461340">
          <w:rPr>
            <w:rStyle w:val="Hyperlink"/>
          </w:rPr>
          <w:t>Social Considerations</w:t>
        </w:r>
        <w:r w:rsidR="00E46A7B">
          <w:rPr>
            <w:webHidden/>
          </w:rPr>
          <w:tab/>
        </w:r>
        <w:r w:rsidR="00E46A7B">
          <w:rPr>
            <w:webHidden/>
          </w:rPr>
          <w:fldChar w:fldCharType="begin"/>
        </w:r>
        <w:r w:rsidR="00E46A7B">
          <w:rPr>
            <w:webHidden/>
          </w:rPr>
          <w:instrText xml:space="preserve"> PAGEREF _Toc517161125 \h </w:instrText>
        </w:r>
        <w:r w:rsidR="00E46A7B">
          <w:rPr>
            <w:webHidden/>
          </w:rPr>
        </w:r>
        <w:r w:rsidR="00E46A7B">
          <w:rPr>
            <w:webHidden/>
          </w:rPr>
          <w:fldChar w:fldCharType="separate"/>
        </w:r>
        <w:r w:rsidR="00640CCB">
          <w:rPr>
            <w:webHidden/>
          </w:rPr>
          <w:t>64</w:t>
        </w:r>
        <w:r w:rsidR="00E46A7B">
          <w:rPr>
            <w:webHidden/>
          </w:rPr>
          <w:fldChar w:fldCharType="end"/>
        </w:r>
      </w:hyperlink>
    </w:p>
    <w:p w14:paraId="5CFA71BC" w14:textId="77777777" w:rsidR="00E46A7B" w:rsidRDefault="008079F1">
      <w:pPr>
        <w:pStyle w:val="TOC3"/>
        <w:rPr>
          <w:rFonts w:asciiTheme="minorHAnsi" w:eastAsiaTheme="minorEastAsia" w:hAnsiTheme="minorHAnsi" w:cstheme="minorBidi"/>
          <w:sz w:val="22"/>
          <w:szCs w:val="22"/>
        </w:rPr>
      </w:pPr>
      <w:hyperlink w:anchor="_Toc517161126" w:history="1">
        <w:r w:rsidR="00E46A7B" w:rsidRPr="00461340">
          <w:rPr>
            <w:rStyle w:val="Hyperlink"/>
          </w:rPr>
          <w:t>Key references</w:t>
        </w:r>
        <w:r w:rsidR="00E46A7B">
          <w:rPr>
            <w:webHidden/>
          </w:rPr>
          <w:tab/>
        </w:r>
        <w:r w:rsidR="00E46A7B">
          <w:rPr>
            <w:webHidden/>
          </w:rPr>
          <w:fldChar w:fldCharType="begin"/>
        </w:r>
        <w:r w:rsidR="00E46A7B">
          <w:rPr>
            <w:webHidden/>
          </w:rPr>
          <w:instrText xml:space="preserve"> PAGEREF _Toc517161126 \h </w:instrText>
        </w:r>
        <w:r w:rsidR="00E46A7B">
          <w:rPr>
            <w:webHidden/>
          </w:rPr>
        </w:r>
        <w:r w:rsidR="00E46A7B">
          <w:rPr>
            <w:webHidden/>
          </w:rPr>
          <w:fldChar w:fldCharType="separate"/>
        </w:r>
        <w:r w:rsidR="00640CCB">
          <w:rPr>
            <w:webHidden/>
          </w:rPr>
          <w:t>65</w:t>
        </w:r>
        <w:r w:rsidR="00E46A7B">
          <w:rPr>
            <w:webHidden/>
          </w:rPr>
          <w:fldChar w:fldCharType="end"/>
        </w:r>
      </w:hyperlink>
    </w:p>
    <w:p w14:paraId="0EEA1AEF" w14:textId="77777777" w:rsidR="00E46A7B" w:rsidRDefault="008079F1">
      <w:pPr>
        <w:pStyle w:val="TOC2"/>
        <w:rPr>
          <w:rFonts w:asciiTheme="minorHAnsi" w:eastAsiaTheme="minorEastAsia" w:hAnsiTheme="minorHAnsi" w:cstheme="minorBidi"/>
          <w:sz w:val="22"/>
          <w:szCs w:val="22"/>
        </w:rPr>
      </w:pPr>
      <w:hyperlink w:anchor="_Toc517161127" w:history="1">
        <w:r w:rsidR="00E46A7B" w:rsidRPr="00461340">
          <w:rPr>
            <w:rStyle w:val="Hyperlink"/>
          </w:rPr>
          <w:t>C.2</w:t>
        </w:r>
        <w:r w:rsidR="00E46A7B">
          <w:rPr>
            <w:rFonts w:asciiTheme="minorHAnsi" w:eastAsiaTheme="minorEastAsia" w:hAnsiTheme="minorHAnsi" w:cstheme="minorBidi"/>
            <w:sz w:val="22"/>
            <w:szCs w:val="22"/>
          </w:rPr>
          <w:tab/>
        </w:r>
        <w:r w:rsidR="00E46A7B" w:rsidRPr="00461340">
          <w:rPr>
            <w:rStyle w:val="Hyperlink"/>
          </w:rPr>
          <w:t>Bowen Basin</w:t>
        </w:r>
        <w:r w:rsidR="00E46A7B">
          <w:rPr>
            <w:webHidden/>
          </w:rPr>
          <w:tab/>
        </w:r>
        <w:r w:rsidR="00E46A7B">
          <w:rPr>
            <w:webHidden/>
          </w:rPr>
          <w:fldChar w:fldCharType="begin"/>
        </w:r>
        <w:r w:rsidR="00E46A7B">
          <w:rPr>
            <w:webHidden/>
          </w:rPr>
          <w:instrText xml:space="preserve"> PAGEREF _Toc517161127 \h </w:instrText>
        </w:r>
        <w:r w:rsidR="00E46A7B">
          <w:rPr>
            <w:webHidden/>
          </w:rPr>
        </w:r>
        <w:r w:rsidR="00E46A7B">
          <w:rPr>
            <w:webHidden/>
          </w:rPr>
          <w:fldChar w:fldCharType="separate"/>
        </w:r>
        <w:r w:rsidR="00640CCB">
          <w:rPr>
            <w:webHidden/>
          </w:rPr>
          <w:t>71</w:t>
        </w:r>
        <w:r w:rsidR="00E46A7B">
          <w:rPr>
            <w:webHidden/>
          </w:rPr>
          <w:fldChar w:fldCharType="end"/>
        </w:r>
      </w:hyperlink>
    </w:p>
    <w:p w14:paraId="4617E9F0" w14:textId="77777777" w:rsidR="00E46A7B" w:rsidRDefault="008079F1">
      <w:pPr>
        <w:pStyle w:val="TOC3"/>
        <w:rPr>
          <w:rFonts w:asciiTheme="minorHAnsi" w:eastAsiaTheme="minorEastAsia" w:hAnsiTheme="minorHAnsi" w:cstheme="minorBidi"/>
          <w:sz w:val="22"/>
          <w:szCs w:val="22"/>
        </w:rPr>
      </w:pPr>
      <w:hyperlink w:anchor="_Toc517161128" w:history="1">
        <w:r w:rsidR="00E46A7B" w:rsidRPr="00461340">
          <w:rPr>
            <w:rStyle w:val="Hyperlink"/>
          </w:rPr>
          <w:t>C.2.1</w:t>
        </w:r>
        <w:r w:rsidR="00E46A7B">
          <w:rPr>
            <w:rFonts w:asciiTheme="minorHAnsi" w:eastAsiaTheme="minorEastAsia" w:hAnsiTheme="minorHAnsi" w:cstheme="minorBidi"/>
            <w:sz w:val="22"/>
            <w:szCs w:val="22"/>
          </w:rPr>
          <w:tab/>
        </w:r>
        <w:r w:rsidR="00E46A7B" w:rsidRPr="00461340">
          <w:rPr>
            <w:rStyle w:val="Hyperlink"/>
          </w:rPr>
          <w:t>Basin geology</w:t>
        </w:r>
        <w:r w:rsidR="00E46A7B">
          <w:rPr>
            <w:webHidden/>
          </w:rPr>
          <w:tab/>
        </w:r>
        <w:r w:rsidR="00E46A7B">
          <w:rPr>
            <w:webHidden/>
          </w:rPr>
          <w:fldChar w:fldCharType="begin"/>
        </w:r>
        <w:r w:rsidR="00E46A7B">
          <w:rPr>
            <w:webHidden/>
          </w:rPr>
          <w:instrText xml:space="preserve"> PAGEREF _Toc517161128 \h </w:instrText>
        </w:r>
        <w:r w:rsidR="00E46A7B">
          <w:rPr>
            <w:webHidden/>
          </w:rPr>
        </w:r>
        <w:r w:rsidR="00E46A7B">
          <w:rPr>
            <w:webHidden/>
          </w:rPr>
          <w:fldChar w:fldCharType="separate"/>
        </w:r>
        <w:r w:rsidR="00640CCB">
          <w:rPr>
            <w:webHidden/>
          </w:rPr>
          <w:t>72</w:t>
        </w:r>
        <w:r w:rsidR="00E46A7B">
          <w:rPr>
            <w:webHidden/>
          </w:rPr>
          <w:fldChar w:fldCharType="end"/>
        </w:r>
      </w:hyperlink>
    </w:p>
    <w:p w14:paraId="1E766EFC" w14:textId="77777777" w:rsidR="00E46A7B" w:rsidRDefault="008079F1">
      <w:pPr>
        <w:pStyle w:val="TOC3"/>
        <w:rPr>
          <w:rFonts w:asciiTheme="minorHAnsi" w:eastAsiaTheme="minorEastAsia" w:hAnsiTheme="minorHAnsi" w:cstheme="minorBidi"/>
          <w:sz w:val="22"/>
          <w:szCs w:val="22"/>
        </w:rPr>
      </w:pPr>
      <w:hyperlink w:anchor="_Toc517161129" w:history="1">
        <w:r w:rsidR="00E46A7B" w:rsidRPr="00461340">
          <w:rPr>
            <w:rStyle w:val="Hyperlink"/>
          </w:rPr>
          <w:t>C.2.2</w:t>
        </w:r>
        <w:r w:rsidR="00E46A7B">
          <w:rPr>
            <w:rFonts w:asciiTheme="minorHAnsi" w:eastAsiaTheme="minorEastAsia" w:hAnsiTheme="minorHAnsi" w:cstheme="minorBidi"/>
            <w:sz w:val="22"/>
            <w:szCs w:val="22"/>
          </w:rPr>
          <w:tab/>
        </w:r>
        <w:r w:rsidR="00E46A7B" w:rsidRPr="00461340">
          <w:rPr>
            <w:rStyle w:val="Hyperlink"/>
          </w:rPr>
          <w:t>Petroleum data coverage</w:t>
        </w:r>
        <w:r w:rsidR="00E46A7B">
          <w:rPr>
            <w:webHidden/>
          </w:rPr>
          <w:tab/>
        </w:r>
        <w:r w:rsidR="00E46A7B">
          <w:rPr>
            <w:webHidden/>
          </w:rPr>
          <w:fldChar w:fldCharType="begin"/>
        </w:r>
        <w:r w:rsidR="00E46A7B">
          <w:rPr>
            <w:webHidden/>
          </w:rPr>
          <w:instrText xml:space="preserve"> PAGEREF _Toc517161129 \h </w:instrText>
        </w:r>
        <w:r w:rsidR="00E46A7B">
          <w:rPr>
            <w:webHidden/>
          </w:rPr>
        </w:r>
        <w:r w:rsidR="00E46A7B">
          <w:rPr>
            <w:webHidden/>
          </w:rPr>
          <w:fldChar w:fldCharType="separate"/>
        </w:r>
        <w:r w:rsidR="00640CCB">
          <w:rPr>
            <w:webHidden/>
          </w:rPr>
          <w:t>76</w:t>
        </w:r>
        <w:r w:rsidR="00E46A7B">
          <w:rPr>
            <w:webHidden/>
          </w:rPr>
          <w:fldChar w:fldCharType="end"/>
        </w:r>
      </w:hyperlink>
    </w:p>
    <w:p w14:paraId="408C885F" w14:textId="77777777" w:rsidR="00E46A7B" w:rsidRDefault="008079F1">
      <w:pPr>
        <w:pStyle w:val="TOC3"/>
        <w:rPr>
          <w:rFonts w:asciiTheme="minorHAnsi" w:eastAsiaTheme="minorEastAsia" w:hAnsiTheme="minorHAnsi" w:cstheme="minorBidi"/>
          <w:sz w:val="22"/>
          <w:szCs w:val="22"/>
        </w:rPr>
      </w:pPr>
      <w:hyperlink w:anchor="_Toc517161130" w:history="1">
        <w:r w:rsidR="00E46A7B" w:rsidRPr="00461340">
          <w:rPr>
            <w:rStyle w:val="Hyperlink"/>
          </w:rPr>
          <w:t>C.2.3</w:t>
        </w:r>
        <w:r w:rsidR="00E46A7B">
          <w:rPr>
            <w:rFonts w:asciiTheme="minorHAnsi" w:eastAsiaTheme="minorEastAsia" w:hAnsiTheme="minorHAnsi" w:cstheme="minorBidi"/>
            <w:sz w:val="22"/>
            <w:szCs w:val="22"/>
          </w:rPr>
          <w:tab/>
        </w:r>
        <w:r w:rsidR="00E46A7B" w:rsidRPr="00461340">
          <w:rPr>
            <w:rStyle w:val="Hyperlink"/>
          </w:rPr>
          <w:t>Shale and tight gas prospectivity</w:t>
        </w:r>
        <w:r w:rsidR="00E46A7B">
          <w:rPr>
            <w:webHidden/>
          </w:rPr>
          <w:tab/>
        </w:r>
        <w:r w:rsidR="00E46A7B">
          <w:rPr>
            <w:webHidden/>
          </w:rPr>
          <w:fldChar w:fldCharType="begin"/>
        </w:r>
        <w:r w:rsidR="00E46A7B">
          <w:rPr>
            <w:webHidden/>
          </w:rPr>
          <w:instrText xml:space="preserve"> PAGEREF _Toc517161130 \h </w:instrText>
        </w:r>
        <w:r w:rsidR="00E46A7B">
          <w:rPr>
            <w:webHidden/>
          </w:rPr>
        </w:r>
        <w:r w:rsidR="00E46A7B">
          <w:rPr>
            <w:webHidden/>
          </w:rPr>
          <w:fldChar w:fldCharType="separate"/>
        </w:r>
        <w:r w:rsidR="00640CCB">
          <w:rPr>
            <w:webHidden/>
          </w:rPr>
          <w:t>77</w:t>
        </w:r>
        <w:r w:rsidR="00E46A7B">
          <w:rPr>
            <w:webHidden/>
          </w:rPr>
          <w:fldChar w:fldCharType="end"/>
        </w:r>
      </w:hyperlink>
    </w:p>
    <w:p w14:paraId="6A5881A5" w14:textId="77777777" w:rsidR="00E46A7B" w:rsidRDefault="008079F1">
      <w:pPr>
        <w:pStyle w:val="TOC3"/>
        <w:rPr>
          <w:rFonts w:asciiTheme="minorHAnsi" w:eastAsiaTheme="minorEastAsia" w:hAnsiTheme="minorHAnsi" w:cstheme="minorBidi"/>
          <w:sz w:val="22"/>
          <w:szCs w:val="22"/>
        </w:rPr>
      </w:pPr>
      <w:hyperlink w:anchor="_Toc517161131" w:history="1">
        <w:r w:rsidR="00E46A7B" w:rsidRPr="00461340">
          <w:rPr>
            <w:rStyle w:val="Hyperlink"/>
          </w:rPr>
          <w:t>C.2.4</w:t>
        </w:r>
        <w:r w:rsidR="00E46A7B">
          <w:rPr>
            <w:rFonts w:asciiTheme="minorHAnsi" w:eastAsiaTheme="minorEastAsia" w:hAnsiTheme="minorHAnsi" w:cstheme="minorBidi"/>
            <w:sz w:val="22"/>
            <w:szCs w:val="22"/>
          </w:rPr>
          <w:tab/>
        </w:r>
        <w:r w:rsidR="00E46A7B" w:rsidRPr="00461340">
          <w:rPr>
            <w:rStyle w:val="Hyperlink"/>
          </w:rPr>
          <w:t>Gas market access and infrastructure</w:t>
        </w:r>
        <w:r w:rsidR="00E46A7B">
          <w:rPr>
            <w:webHidden/>
          </w:rPr>
          <w:tab/>
        </w:r>
        <w:r w:rsidR="00E46A7B">
          <w:rPr>
            <w:webHidden/>
          </w:rPr>
          <w:fldChar w:fldCharType="begin"/>
        </w:r>
        <w:r w:rsidR="00E46A7B">
          <w:rPr>
            <w:webHidden/>
          </w:rPr>
          <w:instrText xml:space="preserve"> PAGEREF _Toc517161131 \h </w:instrText>
        </w:r>
        <w:r w:rsidR="00E46A7B">
          <w:rPr>
            <w:webHidden/>
          </w:rPr>
        </w:r>
        <w:r w:rsidR="00E46A7B">
          <w:rPr>
            <w:webHidden/>
          </w:rPr>
          <w:fldChar w:fldCharType="separate"/>
        </w:r>
        <w:r w:rsidR="00640CCB">
          <w:rPr>
            <w:webHidden/>
          </w:rPr>
          <w:t>80</w:t>
        </w:r>
        <w:r w:rsidR="00E46A7B">
          <w:rPr>
            <w:webHidden/>
          </w:rPr>
          <w:fldChar w:fldCharType="end"/>
        </w:r>
      </w:hyperlink>
    </w:p>
    <w:p w14:paraId="60728EAD" w14:textId="77777777" w:rsidR="00E46A7B" w:rsidRDefault="008079F1">
      <w:pPr>
        <w:pStyle w:val="TOC3"/>
        <w:rPr>
          <w:rFonts w:asciiTheme="minorHAnsi" w:eastAsiaTheme="minorEastAsia" w:hAnsiTheme="minorHAnsi" w:cstheme="minorBidi"/>
          <w:sz w:val="22"/>
          <w:szCs w:val="22"/>
        </w:rPr>
      </w:pPr>
      <w:hyperlink w:anchor="_Toc517161132" w:history="1">
        <w:r w:rsidR="00E46A7B" w:rsidRPr="00461340">
          <w:rPr>
            <w:rStyle w:val="Hyperlink"/>
          </w:rPr>
          <w:t>C.2.5</w:t>
        </w:r>
        <w:r w:rsidR="00E46A7B">
          <w:rPr>
            <w:rFonts w:asciiTheme="minorHAnsi" w:eastAsiaTheme="minorEastAsia" w:hAnsiTheme="minorHAnsi" w:cstheme="minorBidi"/>
            <w:sz w:val="22"/>
            <w:szCs w:val="22"/>
          </w:rPr>
          <w:tab/>
        </w:r>
        <w:r w:rsidR="00E46A7B" w:rsidRPr="00461340">
          <w:rPr>
            <w:rStyle w:val="Hyperlink"/>
          </w:rPr>
          <w:t>Regulatory environment impacting shale and tight gas exploration</w:t>
        </w:r>
        <w:r w:rsidR="00E46A7B">
          <w:rPr>
            <w:webHidden/>
          </w:rPr>
          <w:tab/>
        </w:r>
        <w:r w:rsidR="00E46A7B">
          <w:rPr>
            <w:webHidden/>
          </w:rPr>
          <w:fldChar w:fldCharType="begin"/>
        </w:r>
        <w:r w:rsidR="00E46A7B">
          <w:rPr>
            <w:webHidden/>
          </w:rPr>
          <w:instrText xml:space="preserve"> PAGEREF _Toc517161132 \h </w:instrText>
        </w:r>
        <w:r w:rsidR="00E46A7B">
          <w:rPr>
            <w:webHidden/>
          </w:rPr>
        </w:r>
        <w:r w:rsidR="00E46A7B">
          <w:rPr>
            <w:webHidden/>
          </w:rPr>
          <w:fldChar w:fldCharType="separate"/>
        </w:r>
        <w:r w:rsidR="00640CCB">
          <w:rPr>
            <w:webHidden/>
          </w:rPr>
          <w:t>82</w:t>
        </w:r>
        <w:r w:rsidR="00E46A7B">
          <w:rPr>
            <w:webHidden/>
          </w:rPr>
          <w:fldChar w:fldCharType="end"/>
        </w:r>
      </w:hyperlink>
    </w:p>
    <w:p w14:paraId="25D866BB" w14:textId="77777777" w:rsidR="00E46A7B" w:rsidRDefault="008079F1">
      <w:pPr>
        <w:pStyle w:val="TOC3"/>
        <w:rPr>
          <w:rFonts w:asciiTheme="minorHAnsi" w:eastAsiaTheme="minorEastAsia" w:hAnsiTheme="minorHAnsi" w:cstheme="minorBidi"/>
          <w:sz w:val="22"/>
          <w:szCs w:val="22"/>
        </w:rPr>
      </w:pPr>
      <w:hyperlink w:anchor="_Toc517161133" w:history="1">
        <w:r w:rsidR="00E46A7B" w:rsidRPr="00461340">
          <w:rPr>
            <w:rStyle w:val="Hyperlink"/>
          </w:rPr>
          <w:t>C.2.6</w:t>
        </w:r>
        <w:r w:rsidR="00E46A7B">
          <w:rPr>
            <w:rFonts w:asciiTheme="minorHAnsi" w:eastAsiaTheme="minorEastAsia" w:hAnsiTheme="minorHAnsi" w:cstheme="minorBidi"/>
            <w:sz w:val="22"/>
            <w:szCs w:val="22"/>
          </w:rPr>
          <w:tab/>
        </w:r>
        <w:r w:rsidR="00E46A7B" w:rsidRPr="00461340">
          <w:rPr>
            <w:rStyle w:val="Hyperlink"/>
          </w:rPr>
          <w:t>Hydrogeology and groundwater</w:t>
        </w:r>
        <w:r w:rsidR="00E46A7B">
          <w:rPr>
            <w:webHidden/>
          </w:rPr>
          <w:tab/>
        </w:r>
        <w:r w:rsidR="00E46A7B">
          <w:rPr>
            <w:webHidden/>
          </w:rPr>
          <w:fldChar w:fldCharType="begin"/>
        </w:r>
        <w:r w:rsidR="00E46A7B">
          <w:rPr>
            <w:webHidden/>
          </w:rPr>
          <w:instrText xml:space="preserve"> PAGEREF _Toc517161133 \h </w:instrText>
        </w:r>
        <w:r w:rsidR="00E46A7B">
          <w:rPr>
            <w:webHidden/>
          </w:rPr>
        </w:r>
        <w:r w:rsidR="00E46A7B">
          <w:rPr>
            <w:webHidden/>
          </w:rPr>
          <w:fldChar w:fldCharType="separate"/>
        </w:r>
        <w:r w:rsidR="00640CCB">
          <w:rPr>
            <w:webHidden/>
          </w:rPr>
          <w:t>82</w:t>
        </w:r>
        <w:r w:rsidR="00E46A7B">
          <w:rPr>
            <w:webHidden/>
          </w:rPr>
          <w:fldChar w:fldCharType="end"/>
        </w:r>
      </w:hyperlink>
    </w:p>
    <w:p w14:paraId="79E9CC47" w14:textId="77777777" w:rsidR="00E46A7B" w:rsidRDefault="008079F1">
      <w:pPr>
        <w:pStyle w:val="TOC3"/>
        <w:rPr>
          <w:rFonts w:asciiTheme="minorHAnsi" w:eastAsiaTheme="minorEastAsia" w:hAnsiTheme="minorHAnsi" w:cstheme="minorBidi"/>
          <w:sz w:val="22"/>
          <w:szCs w:val="22"/>
        </w:rPr>
      </w:pPr>
      <w:hyperlink w:anchor="_Toc517161134" w:history="1">
        <w:r w:rsidR="00E46A7B" w:rsidRPr="00461340">
          <w:rPr>
            <w:rStyle w:val="Hyperlink"/>
          </w:rPr>
          <w:t>C.2.7</w:t>
        </w:r>
        <w:r w:rsidR="00E46A7B">
          <w:rPr>
            <w:rFonts w:asciiTheme="minorHAnsi" w:eastAsiaTheme="minorEastAsia" w:hAnsiTheme="minorHAnsi" w:cstheme="minorBidi"/>
            <w:sz w:val="22"/>
            <w:szCs w:val="22"/>
          </w:rPr>
          <w:tab/>
        </w:r>
        <w:r w:rsidR="00E46A7B" w:rsidRPr="00461340">
          <w:rPr>
            <w:rStyle w:val="Hyperlink"/>
          </w:rPr>
          <w:t>Surface water systems and hydrology</w:t>
        </w:r>
        <w:r w:rsidR="00E46A7B">
          <w:rPr>
            <w:webHidden/>
          </w:rPr>
          <w:tab/>
        </w:r>
        <w:r w:rsidR="00E46A7B">
          <w:rPr>
            <w:webHidden/>
          </w:rPr>
          <w:fldChar w:fldCharType="begin"/>
        </w:r>
        <w:r w:rsidR="00E46A7B">
          <w:rPr>
            <w:webHidden/>
          </w:rPr>
          <w:instrText xml:space="preserve"> PAGEREF _Toc517161134 \h </w:instrText>
        </w:r>
        <w:r w:rsidR="00E46A7B">
          <w:rPr>
            <w:webHidden/>
          </w:rPr>
        </w:r>
        <w:r w:rsidR="00E46A7B">
          <w:rPr>
            <w:webHidden/>
          </w:rPr>
          <w:fldChar w:fldCharType="separate"/>
        </w:r>
        <w:r w:rsidR="00640CCB">
          <w:rPr>
            <w:webHidden/>
          </w:rPr>
          <w:t>89</w:t>
        </w:r>
        <w:r w:rsidR="00E46A7B">
          <w:rPr>
            <w:webHidden/>
          </w:rPr>
          <w:fldChar w:fldCharType="end"/>
        </w:r>
      </w:hyperlink>
    </w:p>
    <w:p w14:paraId="194EB06A" w14:textId="77777777" w:rsidR="00E46A7B" w:rsidRDefault="008079F1">
      <w:pPr>
        <w:pStyle w:val="TOC3"/>
        <w:rPr>
          <w:rFonts w:asciiTheme="minorHAnsi" w:eastAsiaTheme="minorEastAsia" w:hAnsiTheme="minorHAnsi" w:cstheme="minorBidi"/>
          <w:sz w:val="22"/>
          <w:szCs w:val="22"/>
        </w:rPr>
      </w:pPr>
      <w:hyperlink w:anchor="_Toc517161135" w:history="1">
        <w:r w:rsidR="00E46A7B" w:rsidRPr="00461340">
          <w:rPr>
            <w:rStyle w:val="Hyperlink"/>
          </w:rPr>
          <w:t>C.2.8</w:t>
        </w:r>
        <w:r w:rsidR="00E46A7B">
          <w:rPr>
            <w:rFonts w:asciiTheme="minorHAnsi" w:eastAsiaTheme="minorEastAsia" w:hAnsiTheme="minorHAnsi" w:cstheme="minorBidi"/>
            <w:sz w:val="22"/>
            <w:szCs w:val="22"/>
          </w:rPr>
          <w:tab/>
        </w:r>
        <w:r w:rsidR="00E46A7B" w:rsidRPr="00461340">
          <w:rPr>
            <w:rStyle w:val="Hyperlink"/>
          </w:rPr>
          <w:t>Groundwater–surface water interactions</w:t>
        </w:r>
        <w:r w:rsidR="00E46A7B">
          <w:rPr>
            <w:webHidden/>
          </w:rPr>
          <w:tab/>
        </w:r>
        <w:r w:rsidR="00E46A7B">
          <w:rPr>
            <w:webHidden/>
          </w:rPr>
          <w:fldChar w:fldCharType="begin"/>
        </w:r>
        <w:r w:rsidR="00E46A7B">
          <w:rPr>
            <w:webHidden/>
          </w:rPr>
          <w:instrText xml:space="preserve"> PAGEREF _Toc517161135 \h </w:instrText>
        </w:r>
        <w:r w:rsidR="00E46A7B">
          <w:rPr>
            <w:webHidden/>
          </w:rPr>
        </w:r>
        <w:r w:rsidR="00E46A7B">
          <w:rPr>
            <w:webHidden/>
          </w:rPr>
          <w:fldChar w:fldCharType="separate"/>
        </w:r>
        <w:r w:rsidR="00640CCB">
          <w:rPr>
            <w:webHidden/>
          </w:rPr>
          <w:t>95</w:t>
        </w:r>
        <w:r w:rsidR="00E46A7B">
          <w:rPr>
            <w:webHidden/>
          </w:rPr>
          <w:fldChar w:fldCharType="end"/>
        </w:r>
      </w:hyperlink>
    </w:p>
    <w:p w14:paraId="7AD28648" w14:textId="77777777" w:rsidR="00E46A7B" w:rsidRDefault="008079F1">
      <w:pPr>
        <w:pStyle w:val="TOC3"/>
        <w:rPr>
          <w:rFonts w:asciiTheme="minorHAnsi" w:eastAsiaTheme="minorEastAsia" w:hAnsiTheme="minorHAnsi" w:cstheme="minorBidi"/>
          <w:sz w:val="22"/>
          <w:szCs w:val="22"/>
        </w:rPr>
      </w:pPr>
      <w:hyperlink w:anchor="_Toc517161136" w:history="1">
        <w:r w:rsidR="00E46A7B" w:rsidRPr="00461340">
          <w:rPr>
            <w:rStyle w:val="Hyperlink"/>
          </w:rPr>
          <w:t>C.2.9</w:t>
        </w:r>
        <w:r w:rsidR="00E46A7B">
          <w:rPr>
            <w:rFonts w:asciiTheme="minorHAnsi" w:eastAsiaTheme="minorEastAsia" w:hAnsiTheme="minorHAnsi" w:cstheme="minorBidi"/>
            <w:sz w:val="22"/>
            <w:szCs w:val="22"/>
          </w:rPr>
          <w:tab/>
        </w:r>
        <w:r w:rsidR="00E46A7B" w:rsidRPr="00461340">
          <w:rPr>
            <w:rStyle w:val="Hyperlink"/>
          </w:rPr>
          <w:t>Environmental Assets</w:t>
        </w:r>
        <w:r w:rsidR="00E46A7B">
          <w:rPr>
            <w:webHidden/>
          </w:rPr>
          <w:tab/>
        </w:r>
        <w:r w:rsidR="00E46A7B">
          <w:rPr>
            <w:webHidden/>
          </w:rPr>
          <w:fldChar w:fldCharType="begin"/>
        </w:r>
        <w:r w:rsidR="00E46A7B">
          <w:rPr>
            <w:webHidden/>
          </w:rPr>
          <w:instrText xml:space="preserve"> PAGEREF _Toc517161136 \h </w:instrText>
        </w:r>
        <w:r w:rsidR="00E46A7B">
          <w:rPr>
            <w:webHidden/>
          </w:rPr>
        </w:r>
        <w:r w:rsidR="00E46A7B">
          <w:rPr>
            <w:webHidden/>
          </w:rPr>
          <w:fldChar w:fldCharType="separate"/>
        </w:r>
        <w:r w:rsidR="00640CCB">
          <w:rPr>
            <w:webHidden/>
          </w:rPr>
          <w:t>97</w:t>
        </w:r>
        <w:r w:rsidR="00E46A7B">
          <w:rPr>
            <w:webHidden/>
          </w:rPr>
          <w:fldChar w:fldCharType="end"/>
        </w:r>
      </w:hyperlink>
    </w:p>
    <w:p w14:paraId="797665B3" w14:textId="77777777" w:rsidR="00E46A7B" w:rsidRDefault="008079F1">
      <w:pPr>
        <w:pStyle w:val="TOC3"/>
        <w:rPr>
          <w:rFonts w:asciiTheme="minorHAnsi" w:eastAsiaTheme="minorEastAsia" w:hAnsiTheme="minorHAnsi" w:cstheme="minorBidi"/>
          <w:sz w:val="22"/>
          <w:szCs w:val="22"/>
        </w:rPr>
      </w:pPr>
      <w:hyperlink w:anchor="_Toc517161137" w:history="1">
        <w:r w:rsidR="00E46A7B" w:rsidRPr="00461340">
          <w:rPr>
            <w:rStyle w:val="Hyperlink"/>
          </w:rPr>
          <w:t>C.2.10</w:t>
        </w:r>
        <w:r w:rsidR="00E46A7B">
          <w:rPr>
            <w:rFonts w:asciiTheme="minorHAnsi" w:eastAsiaTheme="minorEastAsia" w:hAnsiTheme="minorHAnsi" w:cstheme="minorBidi"/>
            <w:sz w:val="22"/>
            <w:szCs w:val="22"/>
          </w:rPr>
          <w:tab/>
        </w:r>
        <w:r w:rsidR="00E46A7B" w:rsidRPr="00461340">
          <w:rPr>
            <w:rStyle w:val="Hyperlink"/>
          </w:rPr>
          <w:t>Social Considerations</w:t>
        </w:r>
        <w:r w:rsidR="00E46A7B">
          <w:rPr>
            <w:webHidden/>
          </w:rPr>
          <w:tab/>
        </w:r>
        <w:r w:rsidR="00E46A7B">
          <w:rPr>
            <w:webHidden/>
          </w:rPr>
          <w:fldChar w:fldCharType="begin"/>
        </w:r>
        <w:r w:rsidR="00E46A7B">
          <w:rPr>
            <w:webHidden/>
          </w:rPr>
          <w:instrText xml:space="preserve"> PAGEREF _Toc517161137 \h </w:instrText>
        </w:r>
        <w:r w:rsidR="00E46A7B">
          <w:rPr>
            <w:webHidden/>
          </w:rPr>
        </w:r>
        <w:r w:rsidR="00E46A7B">
          <w:rPr>
            <w:webHidden/>
          </w:rPr>
          <w:fldChar w:fldCharType="separate"/>
        </w:r>
        <w:r w:rsidR="00640CCB">
          <w:rPr>
            <w:webHidden/>
          </w:rPr>
          <w:t>97</w:t>
        </w:r>
        <w:r w:rsidR="00E46A7B">
          <w:rPr>
            <w:webHidden/>
          </w:rPr>
          <w:fldChar w:fldCharType="end"/>
        </w:r>
      </w:hyperlink>
    </w:p>
    <w:p w14:paraId="4E287372" w14:textId="77777777" w:rsidR="00E46A7B" w:rsidRDefault="008079F1">
      <w:pPr>
        <w:pStyle w:val="TOC3"/>
        <w:rPr>
          <w:rFonts w:asciiTheme="minorHAnsi" w:eastAsiaTheme="minorEastAsia" w:hAnsiTheme="minorHAnsi" w:cstheme="minorBidi"/>
          <w:sz w:val="22"/>
          <w:szCs w:val="22"/>
        </w:rPr>
      </w:pPr>
      <w:hyperlink w:anchor="_Toc517161138" w:history="1">
        <w:r w:rsidR="00E46A7B" w:rsidRPr="00461340">
          <w:rPr>
            <w:rStyle w:val="Hyperlink"/>
          </w:rPr>
          <w:t>Key references</w:t>
        </w:r>
        <w:r w:rsidR="00E46A7B">
          <w:rPr>
            <w:webHidden/>
          </w:rPr>
          <w:tab/>
        </w:r>
        <w:r w:rsidR="00E46A7B">
          <w:rPr>
            <w:webHidden/>
          </w:rPr>
          <w:fldChar w:fldCharType="begin"/>
        </w:r>
        <w:r w:rsidR="00E46A7B">
          <w:rPr>
            <w:webHidden/>
          </w:rPr>
          <w:instrText xml:space="preserve"> PAGEREF _Toc517161138 \h </w:instrText>
        </w:r>
        <w:r w:rsidR="00E46A7B">
          <w:rPr>
            <w:webHidden/>
          </w:rPr>
        </w:r>
        <w:r w:rsidR="00E46A7B">
          <w:rPr>
            <w:webHidden/>
          </w:rPr>
          <w:fldChar w:fldCharType="separate"/>
        </w:r>
        <w:r w:rsidR="00640CCB">
          <w:rPr>
            <w:webHidden/>
          </w:rPr>
          <w:t>98</w:t>
        </w:r>
        <w:r w:rsidR="00E46A7B">
          <w:rPr>
            <w:webHidden/>
          </w:rPr>
          <w:fldChar w:fldCharType="end"/>
        </w:r>
      </w:hyperlink>
    </w:p>
    <w:p w14:paraId="00E1BA27" w14:textId="77777777" w:rsidR="00E46A7B" w:rsidRDefault="008079F1">
      <w:pPr>
        <w:pStyle w:val="TOC2"/>
        <w:rPr>
          <w:rFonts w:asciiTheme="minorHAnsi" w:eastAsiaTheme="minorEastAsia" w:hAnsiTheme="minorHAnsi" w:cstheme="minorBidi"/>
          <w:sz w:val="22"/>
          <w:szCs w:val="22"/>
        </w:rPr>
      </w:pPr>
      <w:hyperlink w:anchor="_Toc517161139" w:history="1">
        <w:r w:rsidR="00E46A7B" w:rsidRPr="00461340">
          <w:rPr>
            <w:rStyle w:val="Hyperlink"/>
          </w:rPr>
          <w:t>C.3</w:t>
        </w:r>
        <w:r w:rsidR="00E46A7B">
          <w:rPr>
            <w:rFonts w:asciiTheme="minorHAnsi" w:eastAsiaTheme="minorEastAsia" w:hAnsiTheme="minorHAnsi" w:cstheme="minorBidi"/>
            <w:sz w:val="22"/>
            <w:szCs w:val="22"/>
          </w:rPr>
          <w:tab/>
        </w:r>
        <w:r w:rsidR="00E46A7B" w:rsidRPr="00461340">
          <w:rPr>
            <w:rStyle w:val="Hyperlink"/>
          </w:rPr>
          <w:t>Clarence-Moreton Basin</w:t>
        </w:r>
        <w:r w:rsidR="00E46A7B">
          <w:rPr>
            <w:webHidden/>
          </w:rPr>
          <w:tab/>
        </w:r>
        <w:r w:rsidR="00E46A7B">
          <w:rPr>
            <w:webHidden/>
          </w:rPr>
          <w:fldChar w:fldCharType="begin"/>
        </w:r>
        <w:r w:rsidR="00E46A7B">
          <w:rPr>
            <w:webHidden/>
          </w:rPr>
          <w:instrText xml:space="preserve"> PAGEREF _Toc517161139 \h </w:instrText>
        </w:r>
        <w:r w:rsidR="00E46A7B">
          <w:rPr>
            <w:webHidden/>
          </w:rPr>
        </w:r>
        <w:r w:rsidR="00E46A7B">
          <w:rPr>
            <w:webHidden/>
          </w:rPr>
          <w:fldChar w:fldCharType="separate"/>
        </w:r>
        <w:r w:rsidR="00640CCB">
          <w:rPr>
            <w:webHidden/>
          </w:rPr>
          <w:t>103</w:t>
        </w:r>
        <w:r w:rsidR="00E46A7B">
          <w:rPr>
            <w:webHidden/>
          </w:rPr>
          <w:fldChar w:fldCharType="end"/>
        </w:r>
      </w:hyperlink>
    </w:p>
    <w:p w14:paraId="6EAF268F" w14:textId="77777777" w:rsidR="00E46A7B" w:rsidRDefault="008079F1">
      <w:pPr>
        <w:pStyle w:val="TOC3"/>
        <w:rPr>
          <w:rFonts w:asciiTheme="minorHAnsi" w:eastAsiaTheme="minorEastAsia" w:hAnsiTheme="minorHAnsi" w:cstheme="minorBidi"/>
          <w:sz w:val="22"/>
          <w:szCs w:val="22"/>
        </w:rPr>
      </w:pPr>
      <w:hyperlink w:anchor="_Toc517161140" w:history="1">
        <w:r w:rsidR="00E46A7B" w:rsidRPr="00461340">
          <w:rPr>
            <w:rStyle w:val="Hyperlink"/>
          </w:rPr>
          <w:t>C.3.1</w:t>
        </w:r>
        <w:r w:rsidR="00E46A7B">
          <w:rPr>
            <w:rFonts w:asciiTheme="minorHAnsi" w:eastAsiaTheme="minorEastAsia" w:hAnsiTheme="minorHAnsi" w:cstheme="minorBidi"/>
            <w:sz w:val="22"/>
            <w:szCs w:val="22"/>
          </w:rPr>
          <w:tab/>
        </w:r>
        <w:r w:rsidR="00E46A7B" w:rsidRPr="00461340">
          <w:rPr>
            <w:rStyle w:val="Hyperlink"/>
          </w:rPr>
          <w:t>Basin geology</w:t>
        </w:r>
        <w:r w:rsidR="00E46A7B">
          <w:rPr>
            <w:webHidden/>
          </w:rPr>
          <w:tab/>
        </w:r>
        <w:r w:rsidR="00E46A7B">
          <w:rPr>
            <w:webHidden/>
          </w:rPr>
          <w:fldChar w:fldCharType="begin"/>
        </w:r>
        <w:r w:rsidR="00E46A7B">
          <w:rPr>
            <w:webHidden/>
          </w:rPr>
          <w:instrText xml:space="preserve"> PAGEREF _Toc517161140 \h </w:instrText>
        </w:r>
        <w:r w:rsidR="00E46A7B">
          <w:rPr>
            <w:webHidden/>
          </w:rPr>
        </w:r>
        <w:r w:rsidR="00E46A7B">
          <w:rPr>
            <w:webHidden/>
          </w:rPr>
          <w:fldChar w:fldCharType="separate"/>
        </w:r>
        <w:r w:rsidR="00640CCB">
          <w:rPr>
            <w:webHidden/>
          </w:rPr>
          <w:t>104</w:t>
        </w:r>
        <w:r w:rsidR="00E46A7B">
          <w:rPr>
            <w:webHidden/>
          </w:rPr>
          <w:fldChar w:fldCharType="end"/>
        </w:r>
      </w:hyperlink>
    </w:p>
    <w:p w14:paraId="50672539" w14:textId="77777777" w:rsidR="00E46A7B" w:rsidRDefault="008079F1">
      <w:pPr>
        <w:pStyle w:val="TOC3"/>
        <w:rPr>
          <w:rFonts w:asciiTheme="minorHAnsi" w:eastAsiaTheme="minorEastAsia" w:hAnsiTheme="minorHAnsi" w:cstheme="minorBidi"/>
          <w:sz w:val="22"/>
          <w:szCs w:val="22"/>
        </w:rPr>
      </w:pPr>
      <w:hyperlink w:anchor="_Toc517161141" w:history="1">
        <w:r w:rsidR="00E46A7B" w:rsidRPr="00461340">
          <w:rPr>
            <w:rStyle w:val="Hyperlink"/>
          </w:rPr>
          <w:t>C.3.2</w:t>
        </w:r>
        <w:r w:rsidR="00E46A7B">
          <w:rPr>
            <w:rFonts w:asciiTheme="minorHAnsi" w:eastAsiaTheme="minorEastAsia" w:hAnsiTheme="minorHAnsi" w:cstheme="minorBidi"/>
            <w:sz w:val="22"/>
            <w:szCs w:val="22"/>
          </w:rPr>
          <w:tab/>
        </w:r>
        <w:r w:rsidR="00E46A7B" w:rsidRPr="00461340">
          <w:rPr>
            <w:rStyle w:val="Hyperlink"/>
          </w:rPr>
          <w:t>Petroleum data coverage</w:t>
        </w:r>
        <w:r w:rsidR="00E46A7B">
          <w:rPr>
            <w:webHidden/>
          </w:rPr>
          <w:tab/>
        </w:r>
        <w:r w:rsidR="00E46A7B">
          <w:rPr>
            <w:webHidden/>
          </w:rPr>
          <w:fldChar w:fldCharType="begin"/>
        </w:r>
        <w:r w:rsidR="00E46A7B">
          <w:rPr>
            <w:webHidden/>
          </w:rPr>
          <w:instrText xml:space="preserve"> PAGEREF _Toc517161141 \h </w:instrText>
        </w:r>
        <w:r w:rsidR="00E46A7B">
          <w:rPr>
            <w:webHidden/>
          </w:rPr>
        </w:r>
        <w:r w:rsidR="00E46A7B">
          <w:rPr>
            <w:webHidden/>
          </w:rPr>
          <w:fldChar w:fldCharType="separate"/>
        </w:r>
        <w:r w:rsidR="00640CCB">
          <w:rPr>
            <w:webHidden/>
          </w:rPr>
          <w:t>109</w:t>
        </w:r>
        <w:r w:rsidR="00E46A7B">
          <w:rPr>
            <w:webHidden/>
          </w:rPr>
          <w:fldChar w:fldCharType="end"/>
        </w:r>
      </w:hyperlink>
    </w:p>
    <w:p w14:paraId="200BE908" w14:textId="77777777" w:rsidR="00E46A7B" w:rsidRDefault="008079F1">
      <w:pPr>
        <w:pStyle w:val="TOC3"/>
        <w:rPr>
          <w:rFonts w:asciiTheme="minorHAnsi" w:eastAsiaTheme="minorEastAsia" w:hAnsiTheme="minorHAnsi" w:cstheme="minorBidi"/>
          <w:sz w:val="22"/>
          <w:szCs w:val="22"/>
        </w:rPr>
      </w:pPr>
      <w:hyperlink w:anchor="_Toc517161142" w:history="1">
        <w:r w:rsidR="00E46A7B" w:rsidRPr="00461340">
          <w:rPr>
            <w:rStyle w:val="Hyperlink"/>
          </w:rPr>
          <w:t>C.3.3</w:t>
        </w:r>
        <w:r w:rsidR="00E46A7B">
          <w:rPr>
            <w:rFonts w:asciiTheme="minorHAnsi" w:eastAsiaTheme="minorEastAsia" w:hAnsiTheme="minorHAnsi" w:cstheme="minorBidi"/>
            <w:sz w:val="22"/>
            <w:szCs w:val="22"/>
          </w:rPr>
          <w:tab/>
        </w:r>
        <w:r w:rsidR="00E46A7B" w:rsidRPr="00461340">
          <w:rPr>
            <w:rStyle w:val="Hyperlink"/>
          </w:rPr>
          <w:t>Shale and tight gas prospectivity</w:t>
        </w:r>
        <w:r w:rsidR="00E46A7B">
          <w:rPr>
            <w:webHidden/>
          </w:rPr>
          <w:tab/>
        </w:r>
        <w:r w:rsidR="00E46A7B">
          <w:rPr>
            <w:webHidden/>
          </w:rPr>
          <w:fldChar w:fldCharType="begin"/>
        </w:r>
        <w:r w:rsidR="00E46A7B">
          <w:rPr>
            <w:webHidden/>
          </w:rPr>
          <w:instrText xml:space="preserve"> PAGEREF _Toc517161142 \h </w:instrText>
        </w:r>
        <w:r w:rsidR="00E46A7B">
          <w:rPr>
            <w:webHidden/>
          </w:rPr>
        </w:r>
        <w:r w:rsidR="00E46A7B">
          <w:rPr>
            <w:webHidden/>
          </w:rPr>
          <w:fldChar w:fldCharType="separate"/>
        </w:r>
        <w:r w:rsidR="00640CCB">
          <w:rPr>
            <w:webHidden/>
          </w:rPr>
          <w:t>110</w:t>
        </w:r>
        <w:r w:rsidR="00E46A7B">
          <w:rPr>
            <w:webHidden/>
          </w:rPr>
          <w:fldChar w:fldCharType="end"/>
        </w:r>
      </w:hyperlink>
    </w:p>
    <w:p w14:paraId="03F78BE9" w14:textId="77777777" w:rsidR="00E46A7B" w:rsidRDefault="008079F1">
      <w:pPr>
        <w:pStyle w:val="TOC3"/>
        <w:rPr>
          <w:rFonts w:asciiTheme="minorHAnsi" w:eastAsiaTheme="minorEastAsia" w:hAnsiTheme="minorHAnsi" w:cstheme="minorBidi"/>
          <w:sz w:val="22"/>
          <w:szCs w:val="22"/>
        </w:rPr>
      </w:pPr>
      <w:hyperlink w:anchor="_Toc517161143" w:history="1">
        <w:r w:rsidR="00E46A7B" w:rsidRPr="00461340">
          <w:rPr>
            <w:rStyle w:val="Hyperlink"/>
          </w:rPr>
          <w:t>C.3.4</w:t>
        </w:r>
        <w:r w:rsidR="00E46A7B">
          <w:rPr>
            <w:rFonts w:asciiTheme="minorHAnsi" w:eastAsiaTheme="minorEastAsia" w:hAnsiTheme="minorHAnsi" w:cstheme="minorBidi"/>
            <w:sz w:val="22"/>
            <w:szCs w:val="22"/>
          </w:rPr>
          <w:tab/>
        </w:r>
        <w:r w:rsidR="00E46A7B" w:rsidRPr="00461340">
          <w:rPr>
            <w:rStyle w:val="Hyperlink"/>
          </w:rPr>
          <w:t>Gas market access and infrastructure</w:t>
        </w:r>
        <w:r w:rsidR="00E46A7B">
          <w:rPr>
            <w:webHidden/>
          </w:rPr>
          <w:tab/>
        </w:r>
        <w:r w:rsidR="00E46A7B">
          <w:rPr>
            <w:webHidden/>
          </w:rPr>
          <w:fldChar w:fldCharType="begin"/>
        </w:r>
        <w:r w:rsidR="00E46A7B">
          <w:rPr>
            <w:webHidden/>
          </w:rPr>
          <w:instrText xml:space="preserve"> PAGEREF _Toc517161143 \h </w:instrText>
        </w:r>
        <w:r w:rsidR="00E46A7B">
          <w:rPr>
            <w:webHidden/>
          </w:rPr>
        </w:r>
        <w:r w:rsidR="00E46A7B">
          <w:rPr>
            <w:webHidden/>
          </w:rPr>
          <w:fldChar w:fldCharType="separate"/>
        </w:r>
        <w:r w:rsidR="00640CCB">
          <w:rPr>
            <w:webHidden/>
          </w:rPr>
          <w:t>113</w:t>
        </w:r>
        <w:r w:rsidR="00E46A7B">
          <w:rPr>
            <w:webHidden/>
          </w:rPr>
          <w:fldChar w:fldCharType="end"/>
        </w:r>
      </w:hyperlink>
    </w:p>
    <w:p w14:paraId="4ABF1F5E" w14:textId="77777777" w:rsidR="00E46A7B" w:rsidRDefault="008079F1">
      <w:pPr>
        <w:pStyle w:val="TOC3"/>
        <w:rPr>
          <w:rFonts w:asciiTheme="minorHAnsi" w:eastAsiaTheme="minorEastAsia" w:hAnsiTheme="minorHAnsi" w:cstheme="minorBidi"/>
          <w:sz w:val="22"/>
          <w:szCs w:val="22"/>
        </w:rPr>
      </w:pPr>
      <w:hyperlink w:anchor="_Toc517161144" w:history="1">
        <w:r w:rsidR="00E46A7B" w:rsidRPr="00461340">
          <w:rPr>
            <w:rStyle w:val="Hyperlink"/>
          </w:rPr>
          <w:t>C.3.5</w:t>
        </w:r>
        <w:r w:rsidR="00E46A7B">
          <w:rPr>
            <w:rFonts w:asciiTheme="minorHAnsi" w:eastAsiaTheme="minorEastAsia" w:hAnsiTheme="minorHAnsi" w:cstheme="minorBidi"/>
            <w:sz w:val="22"/>
            <w:szCs w:val="22"/>
          </w:rPr>
          <w:tab/>
        </w:r>
        <w:r w:rsidR="00E46A7B" w:rsidRPr="00461340">
          <w:rPr>
            <w:rStyle w:val="Hyperlink"/>
          </w:rPr>
          <w:t>Regulatory environment impacting shale and tight gas exploration</w:t>
        </w:r>
        <w:r w:rsidR="00E46A7B">
          <w:rPr>
            <w:webHidden/>
          </w:rPr>
          <w:tab/>
        </w:r>
        <w:r w:rsidR="00E46A7B">
          <w:rPr>
            <w:webHidden/>
          </w:rPr>
          <w:fldChar w:fldCharType="begin"/>
        </w:r>
        <w:r w:rsidR="00E46A7B">
          <w:rPr>
            <w:webHidden/>
          </w:rPr>
          <w:instrText xml:space="preserve"> PAGEREF _Toc517161144 \h </w:instrText>
        </w:r>
        <w:r w:rsidR="00E46A7B">
          <w:rPr>
            <w:webHidden/>
          </w:rPr>
        </w:r>
        <w:r w:rsidR="00E46A7B">
          <w:rPr>
            <w:webHidden/>
          </w:rPr>
          <w:fldChar w:fldCharType="separate"/>
        </w:r>
        <w:r w:rsidR="00640CCB">
          <w:rPr>
            <w:webHidden/>
          </w:rPr>
          <w:t>114</w:t>
        </w:r>
        <w:r w:rsidR="00E46A7B">
          <w:rPr>
            <w:webHidden/>
          </w:rPr>
          <w:fldChar w:fldCharType="end"/>
        </w:r>
      </w:hyperlink>
    </w:p>
    <w:p w14:paraId="21233C0E" w14:textId="77777777" w:rsidR="00E46A7B" w:rsidRDefault="008079F1">
      <w:pPr>
        <w:pStyle w:val="TOC3"/>
        <w:rPr>
          <w:rFonts w:asciiTheme="minorHAnsi" w:eastAsiaTheme="minorEastAsia" w:hAnsiTheme="minorHAnsi" w:cstheme="minorBidi"/>
          <w:sz w:val="22"/>
          <w:szCs w:val="22"/>
        </w:rPr>
      </w:pPr>
      <w:hyperlink w:anchor="_Toc517161145" w:history="1">
        <w:r w:rsidR="00E46A7B" w:rsidRPr="00461340">
          <w:rPr>
            <w:rStyle w:val="Hyperlink"/>
          </w:rPr>
          <w:t>C.3.6</w:t>
        </w:r>
        <w:r w:rsidR="00E46A7B">
          <w:rPr>
            <w:rFonts w:asciiTheme="minorHAnsi" w:eastAsiaTheme="minorEastAsia" w:hAnsiTheme="minorHAnsi" w:cstheme="minorBidi"/>
            <w:sz w:val="22"/>
            <w:szCs w:val="22"/>
          </w:rPr>
          <w:tab/>
        </w:r>
        <w:r w:rsidR="00E46A7B" w:rsidRPr="00461340">
          <w:rPr>
            <w:rStyle w:val="Hyperlink"/>
          </w:rPr>
          <w:t>Hydrogeology and groundwater</w:t>
        </w:r>
        <w:r w:rsidR="00E46A7B">
          <w:rPr>
            <w:webHidden/>
          </w:rPr>
          <w:tab/>
        </w:r>
        <w:r w:rsidR="00E46A7B">
          <w:rPr>
            <w:webHidden/>
          </w:rPr>
          <w:fldChar w:fldCharType="begin"/>
        </w:r>
        <w:r w:rsidR="00E46A7B">
          <w:rPr>
            <w:webHidden/>
          </w:rPr>
          <w:instrText xml:space="preserve"> PAGEREF _Toc517161145 \h </w:instrText>
        </w:r>
        <w:r w:rsidR="00E46A7B">
          <w:rPr>
            <w:webHidden/>
          </w:rPr>
        </w:r>
        <w:r w:rsidR="00E46A7B">
          <w:rPr>
            <w:webHidden/>
          </w:rPr>
          <w:fldChar w:fldCharType="separate"/>
        </w:r>
        <w:r w:rsidR="00640CCB">
          <w:rPr>
            <w:webHidden/>
          </w:rPr>
          <w:t>115</w:t>
        </w:r>
        <w:r w:rsidR="00E46A7B">
          <w:rPr>
            <w:webHidden/>
          </w:rPr>
          <w:fldChar w:fldCharType="end"/>
        </w:r>
      </w:hyperlink>
    </w:p>
    <w:p w14:paraId="5FC3B5EF" w14:textId="77777777" w:rsidR="00E46A7B" w:rsidRDefault="008079F1">
      <w:pPr>
        <w:pStyle w:val="TOC3"/>
        <w:rPr>
          <w:rFonts w:asciiTheme="minorHAnsi" w:eastAsiaTheme="minorEastAsia" w:hAnsiTheme="minorHAnsi" w:cstheme="minorBidi"/>
          <w:sz w:val="22"/>
          <w:szCs w:val="22"/>
        </w:rPr>
      </w:pPr>
      <w:hyperlink w:anchor="_Toc517161146" w:history="1">
        <w:r w:rsidR="00E46A7B" w:rsidRPr="00461340">
          <w:rPr>
            <w:rStyle w:val="Hyperlink"/>
          </w:rPr>
          <w:t>C.3.7</w:t>
        </w:r>
        <w:r w:rsidR="00E46A7B">
          <w:rPr>
            <w:rFonts w:asciiTheme="minorHAnsi" w:eastAsiaTheme="minorEastAsia" w:hAnsiTheme="minorHAnsi" w:cstheme="minorBidi"/>
            <w:sz w:val="22"/>
            <w:szCs w:val="22"/>
          </w:rPr>
          <w:tab/>
        </w:r>
        <w:r w:rsidR="00E46A7B" w:rsidRPr="00461340">
          <w:rPr>
            <w:rStyle w:val="Hyperlink"/>
          </w:rPr>
          <w:t>Surface water hydrology and water quality</w:t>
        </w:r>
        <w:r w:rsidR="00E46A7B">
          <w:rPr>
            <w:webHidden/>
          </w:rPr>
          <w:tab/>
        </w:r>
        <w:r w:rsidR="00E46A7B">
          <w:rPr>
            <w:webHidden/>
          </w:rPr>
          <w:fldChar w:fldCharType="begin"/>
        </w:r>
        <w:r w:rsidR="00E46A7B">
          <w:rPr>
            <w:webHidden/>
          </w:rPr>
          <w:instrText xml:space="preserve"> PAGEREF _Toc517161146 \h </w:instrText>
        </w:r>
        <w:r w:rsidR="00E46A7B">
          <w:rPr>
            <w:webHidden/>
          </w:rPr>
        </w:r>
        <w:r w:rsidR="00E46A7B">
          <w:rPr>
            <w:webHidden/>
          </w:rPr>
          <w:fldChar w:fldCharType="separate"/>
        </w:r>
        <w:r w:rsidR="00640CCB">
          <w:rPr>
            <w:webHidden/>
          </w:rPr>
          <w:t>121</w:t>
        </w:r>
        <w:r w:rsidR="00E46A7B">
          <w:rPr>
            <w:webHidden/>
          </w:rPr>
          <w:fldChar w:fldCharType="end"/>
        </w:r>
      </w:hyperlink>
    </w:p>
    <w:p w14:paraId="72276B49" w14:textId="77777777" w:rsidR="00E46A7B" w:rsidRDefault="008079F1">
      <w:pPr>
        <w:pStyle w:val="TOC3"/>
        <w:rPr>
          <w:rFonts w:asciiTheme="minorHAnsi" w:eastAsiaTheme="minorEastAsia" w:hAnsiTheme="minorHAnsi" w:cstheme="minorBidi"/>
          <w:sz w:val="22"/>
          <w:szCs w:val="22"/>
        </w:rPr>
      </w:pPr>
      <w:hyperlink w:anchor="_Toc517161147" w:history="1">
        <w:r w:rsidR="00E46A7B" w:rsidRPr="00461340">
          <w:rPr>
            <w:rStyle w:val="Hyperlink"/>
          </w:rPr>
          <w:t>C.3.8</w:t>
        </w:r>
        <w:r w:rsidR="00E46A7B">
          <w:rPr>
            <w:rFonts w:asciiTheme="minorHAnsi" w:eastAsiaTheme="minorEastAsia" w:hAnsiTheme="minorHAnsi" w:cstheme="minorBidi"/>
            <w:sz w:val="22"/>
            <w:szCs w:val="22"/>
          </w:rPr>
          <w:tab/>
        </w:r>
        <w:r w:rsidR="00E46A7B" w:rsidRPr="00461340">
          <w:rPr>
            <w:rStyle w:val="Hyperlink"/>
          </w:rPr>
          <w:t>Groundwater–Surface Water Interactions</w:t>
        </w:r>
        <w:r w:rsidR="00E46A7B">
          <w:rPr>
            <w:webHidden/>
          </w:rPr>
          <w:tab/>
        </w:r>
        <w:r w:rsidR="00E46A7B">
          <w:rPr>
            <w:webHidden/>
          </w:rPr>
          <w:fldChar w:fldCharType="begin"/>
        </w:r>
        <w:r w:rsidR="00E46A7B">
          <w:rPr>
            <w:webHidden/>
          </w:rPr>
          <w:instrText xml:space="preserve"> PAGEREF _Toc517161147 \h </w:instrText>
        </w:r>
        <w:r w:rsidR="00E46A7B">
          <w:rPr>
            <w:webHidden/>
          </w:rPr>
        </w:r>
        <w:r w:rsidR="00E46A7B">
          <w:rPr>
            <w:webHidden/>
          </w:rPr>
          <w:fldChar w:fldCharType="separate"/>
        </w:r>
        <w:r w:rsidR="00640CCB">
          <w:rPr>
            <w:webHidden/>
          </w:rPr>
          <w:t>123</w:t>
        </w:r>
        <w:r w:rsidR="00E46A7B">
          <w:rPr>
            <w:webHidden/>
          </w:rPr>
          <w:fldChar w:fldCharType="end"/>
        </w:r>
      </w:hyperlink>
    </w:p>
    <w:p w14:paraId="6D4BCB13" w14:textId="77777777" w:rsidR="00E46A7B" w:rsidRDefault="008079F1">
      <w:pPr>
        <w:pStyle w:val="TOC3"/>
        <w:rPr>
          <w:rFonts w:asciiTheme="minorHAnsi" w:eastAsiaTheme="minorEastAsia" w:hAnsiTheme="minorHAnsi" w:cstheme="minorBidi"/>
          <w:sz w:val="22"/>
          <w:szCs w:val="22"/>
        </w:rPr>
      </w:pPr>
      <w:hyperlink w:anchor="_Toc517161148" w:history="1">
        <w:r w:rsidR="00E46A7B" w:rsidRPr="00461340">
          <w:rPr>
            <w:rStyle w:val="Hyperlink"/>
          </w:rPr>
          <w:t>C.3.9</w:t>
        </w:r>
        <w:r w:rsidR="00E46A7B">
          <w:rPr>
            <w:rFonts w:asciiTheme="minorHAnsi" w:eastAsiaTheme="minorEastAsia" w:hAnsiTheme="minorHAnsi" w:cstheme="minorBidi"/>
            <w:sz w:val="22"/>
            <w:szCs w:val="22"/>
          </w:rPr>
          <w:tab/>
        </w:r>
        <w:r w:rsidR="00E46A7B" w:rsidRPr="00461340">
          <w:rPr>
            <w:rStyle w:val="Hyperlink"/>
          </w:rPr>
          <w:t>Environmentally sensitive areas</w:t>
        </w:r>
        <w:r w:rsidR="00E46A7B">
          <w:rPr>
            <w:webHidden/>
          </w:rPr>
          <w:tab/>
        </w:r>
        <w:r w:rsidR="00E46A7B">
          <w:rPr>
            <w:webHidden/>
          </w:rPr>
          <w:fldChar w:fldCharType="begin"/>
        </w:r>
        <w:r w:rsidR="00E46A7B">
          <w:rPr>
            <w:webHidden/>
          </w:rPr>
          <w:instrText xml:space="preserve"> PAGEREF _Toc517161148 \h </w:instrText>
        </w:r>
        <w:r w:rsidR="00E46A7B">
          <w:rPr>
            <w:webHidden/>
          </w:rPr>
        </w:r>
        <w:r w:rsidR="00E46A7B">
          <w:rPr>
            <w:webHidden/>
          </w:rPr>
          <w:fldChar w:fldCharType="separate"/>
        </w:r>
        <w:r w:rsidR="00640CCB">
          <w:rPr>
            <w:webHidden/>
          </w:rPr>
          <w:t>123</w:t>
        </w:r>
        <w:r w:rsidR="00E46A7B">
          <w:rPr>
            <w:webHidden/>
          </w:rPr>
          <w:fldChar w:fldCharType="end"/>
        </w:r>
      </w:hyperlink>
    </w:p>
    <w:p w14:paraId="0FBA85FA" w14:textId="77777777" w:rsidR="00E46A7B" w:rsidRDefault="008079F1">
      <w:pPr>
        <w:pStyle w:val="TOC3"/>
        <w:rPr>
          <w:rFonts w:asciiTheme="minorHAnsi" w:eastAsiaTheme="minorEastAsia" w:hAnsiTheme="minorHAnsi" w:cstheme="minorBidi"/>
          <w:sz w:val="22"/>
          <w:szCs w:val="22"/>
        </w:rPr>
      </w:pPr>
      <w:hyperlink w:anchor="_Toc517161149" w:history="1">
        <w:r w:rsidR="00E46A7B" w:rsidRPr="00461340">
          <w:rPr>
            <w:rStyle w:val="Hyperlink"/>
          </w:rPr>
          <w:t>C.3.10</w:t>
        </w:r>
        <w:r w:rsidR="00E46A7B">
          <w:rPr>
            <w:rFonts w:asciiTheme="minorHAnsi" w:eastAsiaTheme="minorEastAsia" w:hAnsiTheme="minorHAnsi" w:cstheme="minorBidi"/>
            <w:sz w:val="22"/>
            <w:szCs w:val="22"/>
          </w:rPr>
          <w:tab/>
        </w:r>
        <w:r w:rsidR="00E46A7B" w:rsidRPr="00461340">
          <w:rPr>
            <w:rStyle w:val="Hyperlink"/>
          </w:rPr>
          <w:t>Social factors/constraints</w:t>
        </w:r>
        <w:r w:rsidR="00E46A7B">
          <w:rPr>
            <w:webHidden/>
          </w:rPr>
          <w:tab/>
        </w:r>
        <w:r w:rsidR="00E46A7B">
          <w:rPr>
            <w:webHidden/>
          </w:rPr>
          <w:fldChar w:fldCharType="begin"/>
        </w:r>
        <w:r w:rsidR="00E46A7B">
          <w:rPr>
            <w:webHidden/>
          </w:rPr>
          <w:instrText xml:space="preserve"> PAGEREF _Toc517161149 \h </w:instrText>
        </w:r>
        <w:r w:rsidR="00E46A7B">
          <w:rPr>
            <w:webHidden/>
          </w:rPr>
        </w:r>
        <w:r w:rsidR="00E46A7B">
          <w:rPr>
            <w:webHidden/>
          </w:rPr>
          <w:fldChar w:fldCharType="separate"/>
        </w:r>
        <w:r w:rsidR="00640CCB">
          <w:rPr>
            <w:webHidden/>
          </w:rPr>
          <w:t>124</w:t>
        </w:r>
        <w:r w:rsidR="00E46A7B">
          <w:rPr>
            <w:webHidden/>
          </w:rPr>
          <w:fldChar w:fldCharType="end"/>
        </w:r>
      </w:hyperlink>
    </w:p>
    <w:p w14:paraId="01B274DB" w14:textId="77777777" w:rsidR="00E46A7B" w:rsidRDefault="008079F1">
      <w:pPr>
        <w:pStyle w:val="TOC3"/>
        <w:rPr>
          <w:rFonts w:asciiTheme="minorHAnsi" w:eastAsiaTheme="minorEastAsia" w:hAnsiTheme="minorHAnsi" w:cstheme="minorBidi"/>
          <w:sz w:val="22"/>
          <w:szCs w:val="22"/>
        </w:rPr>
      </w:pPr>
      <w:hyperlink w:anchor="_Toc517161150" w:history="1">
        <w:r w:rsidR="00E46A7B" w:rsidRPr="00461340">
          <w:rPr>
            <w:rStyle w:val="Hyperlink"/>
          </w:rPr>
          <w:t>Key references</w:t>
        </w:r>
        <w:r w:rsidR="00E46A7B">
          <w:rPr>
            <w:webHidden/>
          </w:rPr>
          <w:tab/>
        </w:r>
        <w:r w:rsidR="00E46A7B">
          <w:rPr>
            <w:webHidden/>
          </w:rPr>
          <w:fldChar w:fldCharType="begin"/>
        </w:r>
        <w:r w:rsidR="00E46A7B">
          <w:rPr>
            <w:webHidden/>
          </w:rPr>
          <w:instrText xml:space="preserve"> PAGEREF _Toc517161150 \h </w:instrText>
        </w:r>
        <w:r w:rsidR="00E46A7B">
          <w:rPr>
            <w:webHidden/>
          </w:rPr>
        </w:r>
        <w:r w:rsidR="00E46A7B">
          <w:rPr>
            <w:webHidden/>
          </w:rPr>
          <w:fldChar w:fldCharType="separate"/>
        </w:r>
        <w:r w:rsidR="00640CCB">
          <w:rPr>
            <w:webHidden/>
          </w:rPr>
          <w:t>125</w:t>
        </w:r>
        <w:r w:rsidR="00E46A7B">
          <w:rPr>
            <w:webHidden/>
          </w:rPr>
          <w:fldChar w:fldCharType="end"/>
        </w:r>
      </w:hyperlink>
    </w:p>
    <w:p w14:paraId="3639AF67" w14:textId="77777777" w:rsidR="00E46A7B" w:rsidRDefault="008079F1">
      <w:pPr>
        <w:pStyle w:val="TOC2"/>
        <w:rPr>
          <w:rFonts w:asciiTheme="minorHAnsi" w:eastAsiaTheme="minorEastAsia" w:hAnsiTheme="minorHAnsi" w:cstheme="minorBidi"/>
          <w:sz w:val="22"/>
          <w:szCs w:val="22"/>
        </w:rPr>
      </w:pPr>
      <w:hyperlink w:anchor="_Toc517161151" w:history="1">
        <w:r w:rsidR="00E46A7B" w:rsidRPr="00461340">
          <w:rPr>
            <w:rStyle w:val="Hyperlink"/>
          </w:rPr>
          <w:t>C.4</w:t>
        </w:r>
        <w:r w:rsidR="00E46A7B">
          <w:rPr>
            <w:rFonts w:asciiTheme="minorHAnsi" w:eastAsiaTheme="minorEastAsia" w:hAnsiTheme="minorHAnsi" w:cstheme="minorBidi"/>
            <w:sz w:val="22"/>
            <w:szCs w:val="22"/>
          </w:rPr>
          <w:tab/>
        </w:r>
        <w:r w:rsidR="00E46A7B" w:rsidRPr="00461340">
          <w:rPr>
            <w:rStyle w:val="Hyperlink"/>
          </w:rPr>
          <w:t>Cooper Basin</w:t>
        </w:r>
        <w:r w:rsidR="00E46A7B">
          <w:rPr>
            <w:webHidden/>
          </w:rPr>
          <w:tab/>
        </w:r>
        <w:r w:rsidR="00E46A7B">
          <w:rPr>
            <w:webHidden/>
          </w:rPr>
          <w:fldChar w:fldCharType="begin"/>
        </w:r>
        <w:r w:rsidR="00E46A7B">
          <w:rPr>
            <w:webHidden/>
          </w:rPr>
          <w:instrText xml:space="preserve"> PAGEREF _Toc517161151 \h </w:instrText>
        </w:r>
        <w:r w:rsidR="00E46A7B">
          <w:rPr>
            <w:webHidden/>
          </w:rPr>
        </w:r>
        <w:r w:rsidR="00E46A7B">
          <w:rPr>
            <w:webHidden/>
          </w:rPr>
          <w:fldChar w:fldCharType="separate"/>
        </w:r>
        <w:r w:rsidR="00640CCB">
          <w:rPr>
            <w:webHidden/>
          </w:rPr>
          <w:t>131</w:t>
        </w:r>
        <w:r w:rsidR="00E46A7B">
          <w:rPr>
            <w:webHidden/>
          </w:rPr>
          <w:fldChar w:fldCharType="end"/>
        </w:r>
      </w:hyperlink>
    </w:p>
    <w:p w14:paraId="5E0AE4F3" w14:textId="77777777" w:rsidR="00E46A7B" w:rsidRDefault="008079F1">
      <w:pPr>
        <w:pStyle w:val="TOC3"/>
        <w:rPr>
          <w:rFonts w:asciiTheme="minorHAnsi" w:eastAsiaTheme="minorEastAsia" w:hAnsiTheme="minorHAnsi" w:cstheme="minorBidi"/>
          <w:sz w:val="22"/>
          <w:szCs w:val="22"/>
        </w:rPr>
      </w:pPr>
      <w:hyperlink w:anchor="_Toc517161152" w:history="1">
        <w:r w:rsidR="00E46A7B" w:rsidRPr="00461340">
          <w:rPr>
            <w:rStyle w:val="Hyperlink"/>
          </w:rPr>
          <w:t>C.4.1</w:t>
        </w:r>
        <w:r w:rsidR="00E46A7B">
          <w:rPr>
            <w:rFonts w:asciiTheme="minorHAnsi" w:eastAsiaTheme="minorEastAsia" w:hAnsiTheme="minorHAnsi" w:cstheme="minorBidi"/>
            <w:sz w:val="22"/>
            <w:szCs w:val="22"/>
          </w:rPr>
          <w:tab/>
        </w:r>
        <w:r w:rsidR="00E46A7B" w:rsidRPr="00461340">
          <w:rPr>
            <w:rStyle w:val="Hyperlink"/>
          </w:rPr>
          <w:t>Basin geology</w:t>
        </w:r>
        <w:r w:rsidR="00E46A7B">
          <w:rPr>
            <w:webHidden/>
          </w:rPr>
          <w:tab/>
        </w:r>
        <w:r w:rsidR="00E46A7B">
          <w:rPr>
            <w:webHidden/>
          </w:rPr>
          <w:fldChar w:fldCharType="begin"/>
        </w:r>
        <w:r w:rsidR="00E46A7B">
          <w:rPr>
            <w:webHidden/>
          </w:rPr>
          <w:instrText xml:space="preserve"> PAGEREF _Toc517161152 \h </w:instrText>
        </w:r>
        <w:r w:rsidR="00E46A7B">
          <w:rPr>
            <w:webHidden/>
          </w:rPr>
        </w:r>
        <w:r w:rsidR="00E46A7B">
          <w:rPr>
            <w:webHidden/>
          </w:rPr>
          <w:fldChar w:fldCharType="separate"/>
        </w:r>
        <w:r w:rsidR="00640CCB">
          <w:rPr>
            <w:webHidden/>
          </w:rPr>
          <w:t>132</w:t>
        </w:r>
        <w:r w:rsidR="00E46A7B">
          <w:rPr>
            <w:webHidden/>
          </w:rPr>
          <w:fldChar w:fldCharType="end"/>
        </w:r>
      </w:hyperlink>
    </w:p>
    <w:p w14:paraId="62FE29A6" w14:textId="77777777" w:rsidR="00E46A7B" w:rsidRDefault="008079F1">
      <w:pPr>
        <w:pStyle w:val="TOC3"/>
        <w:rPr>
          <w:rFonts w:asciiTheme="minorHAnsi" w:eastAsiaTheme="minorEastAsia" w:hAnsiTheme="minorHAnsi" w:cstheme="minorBidi"/>
          <w:sz w:val="22"/>
          <w:szCs w:val="22"/>
        </w:rPr>
      </w:pPr>
      <w:hyperlink w:anchor="_Toc517161153" w:history="1">
        <w:r w:rsidR="00E46A7B" w:rsidRPr="00461340">
          <w:rPr>
            <w:rStyle w:val="Hyperlink"/>
          </w:rPr>
          <w:t>C.4.2</w:t>
        </w:r>
        <w:r w:rsidR="00E46A7B">
          <w:rPr>
            <w:rFonts w:asciiTheme="minorHAnsi" w:eastAsiaTheme="minorEastAsia" w:hAnsiTheme="minorHAnsi" w:cstheme="minorBidi"/>
            <w:sz w:val="22"/>
            <w:szCs w:val="22"/>
          </w:rPr>
          <w:tab/>
        </w:r>
        <w:r w:rsidR="00E46A7B" w:rsidRPr="00461340">
          <w:rPr>
            <w:rStyle w:val="Hyperlink"/>
          </w:rPr>
          <w:t>Petroleum data coverage</w:t>
        </w:r>
        <w:r w:rsidR="00E46A7B">
          <w:rPr>
            <w:webHidden/>
          </w:rPr>
          <w:tab/>
        </w:r>
        <w:r w:rsidR="00E46A7B">
          <w:rPr>
            <w:webHidden/>
          </w:rPr>
          <w:fldChar w:fldCharType="begin"/>
        </w:r>
        <w:r w:rsidR="00E46A7B">
          <w:rPr>
            <w:webHidden/>
          </w:rPr>
          <w:instrText xml:space="preserve"> PAGEREF _Toc517161153 \h </w:instrText>
        </w:r>
        <w:r w:rsidR="00E46A7B">
          <w:rPr>
            <w:webHidden/>
          </w:rPr>
        </w:r>
        <w:r w:rsidR="00E46A7B">
          <w:rPr>
            <w:webHidden/>
          </w:rPr>
          <w:fldChar w:fldCharType="separate"/>
        </w:r>
        <w:r w:rsidR="00640CCB">
          <w:rPr>
            <w:webHidden/>
          </w:rPr>
          <w:t>136</w:t>
        </w:r>
        <w:r w:rsidR="00E46A7B">
          <w:rPr>
            <w:webHidden/>
          </w:rPr>
          <w:fldChar w:fldCharType="end"/>
        </w:r>
      </w:hyperlink>
    </w:p>
    <w:p w14:paraId="4B90AA4F" w14:textId="77777777" w:rsidR="00E46A7B" w:rsidRDefault="008079F1">
      <w:pPr>
        <w:pStyle w:val="TOC3"/>
        <w:rPr>
          <w:rFonts w:asciiTheme="minorHAnsi" w:eastAsiaTheme="minorEastAsia" w:hAnsiTheme="minorHAnsi" w:cstheme="minorBidi"/>
          <w:sz w:val="22"/>
          <w:szCs w:val="22"/>
        </w:rPr>
      </w:pPr>
      <w:hyperlink w:anchor="_Toc517161154" w:history="1">
        <w:r w:rsidR="00E46A7B" w:rsidRPr="00461340">
          <w:rPr>
            <w:rStyle w:val="Hyperlink"/>
          </w:rPr>
          <w:t>C.4.3</w:t>
        </w:r>
        <w:r w:rsidR="00E46A7B">
          <w:rPr>
            <w:rFonts w:asciiTheme="minorHAnsi" w:eastAsiaTheme="minorEastAsia" w:hAnsiTheme="minorHAnsi" w:cstheme="minorBidi"/>
            <w:sz w:val="22"/>
            <w:szCs w:val="22"/>
          </w:rPr>
          <w:tab/>
        </w:r>
        <w:r w:rsidR="00E46A7B" w:rsidRPr="00461340">
          <w:rPr>
            <w:rStyle w:val="Hyperlink"/>
          </w:rPr>
          <w:t>Shale and tight gas prospectivity</w:t>
        </w:r>
        <w:r w:rsidR="00E46A7B">
          <w:rPr>
            <w:webHidden/>
          </w:rPr>
          <w:tab/>
        </w:r>
        <w:r w:rsidR="00E46A7B">
          <w:rPr>
            <w:webHidden/>
          </w:rPr>
          <w:fldChar w:fldCharType="begin"/>
        </w:r>
        <w:r w:rsidR="00E46A7B">
          <w:rPr>
            <w:webHidden/>
          </w:rPr>
          <w:instrText xml:space="preserve"> PAGEREF _Toc517161154 \h </w:instrText>
        </w:r>
        <w:r w:rsidR="00E46A7B">
          <w:rPr>
            <w:webHidden/>
          </w:rPr>
        </w:r>
        <w:r w:rsidR="00E46A7B">
          <w:rPr>
            <w:webHidden/>
          </w:rPr>
          <w:fldChar w:fldCharType="separate"/>
        </w:r>
        <w:r w:rsidR="00640CCB">
          <w:rPr>
            <w:webHidden/>
          </w:rPr>
          <w:t>137</w:t>
        </w:r>
        <w:r w:rsidR="00E46A7B">
          <w:rPr>
            <w:webHidden/>
          </w:rPr>
          <w:fldChar w:fldCharType="end"/>
        </w:r>
      </w:hyperlink>
    </w:p>
    <w:p w14:paraId="07E26CD9" w14:textId="77777777" w:rsidR="00E46A7B" w:rsidRDefault="008079F1">
      <w:pPr>
        <w:pStyle w:val="TOC3"/>
        <w:rPr>
          <w:rFonts w:asciiTheme="minorHAnsi" w:eastAsiaTheme="minorEastAsia" w:hAnsiTheme="minorHAnsi" w:cstheme="minorBidi"/>
          <w:sz w:val="22"/>
          <w:szCs w:val="22"/>
        </w:rPr>
      </w:pPr>
      <w:hyperlink w:anchor="_Toc517161155" w:history="1">
        <w:r w:rsidR="00E46A7B" w:rsidRPr="00461340">
          <w:rPr>
            <w:rStyle w:val="Hyperlink"/>
          </w:rPr>
          <w:t>C.4.4</w:t>
        </w:r>
        <w:r w:rsidR="00E46A7B">
          <w:rPr>
            <w:rFonts w:asciiTheme="minorHAnsi" w:eastAsiaTheme="minorEastAsia" w:hAnsiTheme="minorHAnsi" w:cstheme="minorBidi"/>
            <w:sz w:val="22"/>
            <w:szCs w:val="22"/>
          </w:rPr>
          <w:tab/>
        </w:r>
        <w:r w:rsidR="00E46A7B" w:rsidRPr="00461340">
          <w:rPr>
            <w:rStyle w:val="Hyperlink"/>
          </w:rPr>
          <w:t>Gas market access and infrastructure</w:t>
        </w:r>
        <w:r w:rsidR="00E46A7B">
          <w:rPr>
            <w:webHidden/>
          </w:rPr>
          <w:tab/>
        </w:r>
        <w:r w:rsidR="00E46A7B">
          <w:rPr>
            <w:webHidden/>
          </w:rPr>
          <w:fldChar w:fldCharType="begin"/>
        </w:r>
        <w:r w:rsidR="00E46A7B">
          <w:rPr>
            <w:webHidden/>
          </w:rPr>
          <w:instrText xml:space="preserve"> PAGEREF _Toc517161155 \h </w:instrText>
        </w:r>
        <w:r w:rsidR="00E46A7B">
          <w:rPr>
            <w:webHidden/>
          </w:rPr>
        </w:r>
        <w:r w:rsidR="00E46A7B">
          <w:rPr>
            <w:webHidden/>
          </w:rPr>
          <w:fldChar w:fldCharType="separate"/>
        </w:r>
        <w:r w:rsidR="00640CCB">
          <w:rPr>
            <w:webHidden/>
          </w:rPr>
          <w:t>142</w:t>
        </w:r>
        <w:r w:rsidR="00E46A7B">
          <w:rPr>
            <w:webHidden/>
          </w:rPr>
          <w:fldChar w:fldCharType="end"/>
        </w:r>
      </w:hyperlink>
    </w:p>
    <w:p w14:paraId="147673A3" w14:textId="77777777" w:rsidR="00E46A7B" w:rsidRDefault="008079F1">
      <w:pPr>
        <w:pStyle w:val="TOC3"/>
        <w:rPr>
          <w:rFonts w:asciiTheme="minorHAnsi" w:eastAsiaTheme="minorEastAsia" w:hAnsiTheme="minorHAnsi" w:cstheme="minorBidi"/>
          <w:sz w:val="22"/>
          <w:szCs w:val="22"/>
        </w:rPr>
      </w:pPr>
      <w:hyperlink w:anchor="_Toc517161156" w:history="1">
        <w:r w:rsidR="00E46A7B" w:rsidRPr="00461340">
          <w:rPr>
            <w:rStyle w:val="Hyperlink"/>
          </w:rPr>
          <w:t>C.4.5</w:t>
        </w:r>
        <w:r w:rsidR="00E46A7B">
          <w:rPr>
            <w:rFonts w:asciiTheme="minorHAnsi" w:eastAsiaTheme="minorEastAsia" w:hAnsiTheme="minorHAnsi" w:cstheme="minorBidi"/>
            <w:sz w:val="22"/>
            <w:szCs w:val="22"/>
          </w:rPr>
          <w:tab/>
        </w:r>
        <w:r w:rsidR="00E46A7B" w:rsidRPr="00461340">
          <w:rPr>
            <w:rStyle w:val="Hyperlink"/>
          </w:rPr>
          <w:t>Regulatory environment impacting shale and tight gas exploration</w:t>
        </w:r>
        <w:r w:rsidR="00E46A7B">
          <w:rPr>
            <w:webHidden/>
          </w:rPr>
          <w:tab/>
        </w:r>
        <w:r w:rsidR="00E46A7B">
          <w:rPr>
            <w:webHidden/>
          </w:rPr>
          <w:fldChar w:fldCharType="begin"/>
        </w:r>
        <w:r w:rsidR="00E46A7B">
          <w:rPr>
            <w:webHidden/>
          </w:rPr>
          <w:instrText xml:space="preserve"> PAGEREF _Toc517161156 \h </w:instrText>
        </w:r>
        <w:r w:rsidR="00E46A7B">
          <w:rPr>
            <w:webHidden/>
          </w:rPr>
        </w:r>
        <w:r w:rsidR="00E46A7B">
          <w:rPr>
            <w:webHidden/>
          </w:rPr>
          <w:fldChar w:fldCharType="separate"/>
        </w:r>
        <w:r w:rsidR="00640CCB">
          <w:rPr>
            <w:webHidden/>
          </w:rPr>
          <w:t>143</w:t>
        </w:r>
        <w:r w:rsidR="00E46A7B">
          <w:rPr>
            <w:webHidden/>
          </w:rPr>
          <w:fldChar w:fldCharType="end"/>
        </w:r>
      </w:hyperlink>
    </w:p>
    <w:p w14:paraId="1F3EED8A" w14:textId="77777777" w:rsidR="00E46A7B" w:rsidRDefault="008079F1">
      <w:pPr>
        <w:pStyle w:val="TOC3"/>
        <w:rPr>
          <w:rFonts w:asciiTheme="minorHAnsi" w:eastAsiaTheme="minorEastAsia" w:hAnsiTheme="minorHAnsi" w:cstheme="minorBidi"/>
          <w:sz w:val="22"/>
          <w:szCs w:val="22"/>
        </w:rPr>
      </w:pPr>
      <w:hyperlink w:anchor="_Toc517161157" w:history="1">
        <w:r w:rsidR="00E46A7B" w:rsidRPr="00461340">
          <w:rPr>
            <w:rStyle w:val="Hyperlink"/>
          </w:rPr>
          <w:t>C.4.6</w:t>
        </w:r>
        <w:r w:rsidR="00E46A7B">
          <w:rPr>
            <w:rFonts w:asciiTheme="minorHAnsi" w:eastAsiaTheme="minorEastAsia" w:hAnsiTheme="minorHAnsi" w:cstheme="minorBidi"/>
            <w:sz w:val="22"/>
            <w:szCs w:val="22"/>
          </w:rPr>
          <w:tab/>
        </w:r>
        <w:r w:rsidR="00E46A7B" w:rsidRPr="00461340">
          <w:rPr>
            <w:rStyle w:val="Hyperlink"/>
          </w:rPr>
          <w:t>Hydrogeology and groundwater</w:t>
        </w:r>
        <w:r w:rsidR="00E46A7B">
          <w:rPr>
            <w:webHidden/>
          </w:rPr>
          <w:tab/>
        </w:r>
        <w:r w:rsidR="00E46A7B">
          <w:rPr>
            <w:webHidden/>
          </w:rPr>
          <w:fldChar w:fldCharType="begin"/>
        </w:r>
        <w:r w:rsidR="00E46A7B">
          <w:rPr>
            <w:webHidden/>
          </w:rPr>
          <w:instrText xml:space="preserve"> PAGEREF _Toc517161157 \h </w:instrText>
        </w:r>
        <w:r w:rsidR="00E46A7B">
          <w:rPr>
            <w:webHidden/>
          </w:rPr>
        </w:r>
        <w:r w:rsidR="00E46A7B">
          <w:rPr>
            <w:webHidden/>
          </w:rPr>
          <w:fldChar w:fldCharType="separate"/>
        </w:r>
        <w:r w:rsidR="00640CCB">
          <w:rPr>
            <w:webHidden/>
          </w:rPr>
          <w:t>145</w:t>
        </w:r>
        <w:r w:rsidR="00E46A7B">
          <w:rPr>
            <w:webHidden/>
          </w:rPr>
          <w:fldChar w:fldCharType="end"/>
        </w:r>
      </w:hyperlink>
    </w:p>
    <w:p w14:paraId="4C2B78E3" w14:textId="77777777" w:rsidR="00E46A7B" w:rsidRDefault="008079F1">
      <w:pPr>
        <w:pStyle w:val="TOC3"/>
        <w:rPr>
          <w:rFonts w:asciiTheme="minorHAnsi" w:eastAsiaTheme="minorEastAsia" w:hAnsiTheme="minorHAnsi" w:cstheme="minorBidi"/>
          <w:sz w:val="22"/>
          <w:szCs w:val="22"/>
        </w:rPr>
      </w:pPr>
      <w:hyperlink w:anchor="_Toc517161158" w:history="1">
        <w:r w:rsidR="00E46A7B" w:rsidRPr="00461340">
          <w:rPr>
            <w:rStyle w:val="Hyperlink"/>
          </w:rPr>
          <w:t>C.4.7</w:t>
        </w:r>
        <w:r w:rsidR="00E46A7B">
          <w:rPr>
            <w:rFonts w:asciiTheme="minorHAnsi" w:eastAsiaTheme="minorEastAsia" w:hAnsiTheme="minorHAnsi" w:cstheme="minorBidi"/>
            <w:sz w:val="22"/>
            <w:szCs w:val="22"/>
          </w:rPr>
          <w:tab/>
        </w:r>
        <w:r w:rsidR="00E46A7B" w:rsidRPr="00461340">
          <w:rPr>
            <w:rStyle w:val="Hyperlink"/>
          </w:rPr>
          <w:t>Surface water systems and hydrology</w:t>
        </w:r>
        <w:r w:rsidR="00E46A7B">
          <w:rPr>
            <w:webHidden/>
          </w:rPr>
          <w:tab/>
        </w:r>
        <w:r w:rsidR="00E46A7B">
          <w:rPr>
            <w:webHidden/>
          </w:rPr>
          <w:fldChar w:fldCharType="begin"/>
        </w:r>
        <w:r w:rsidR="00E46A7B">
          <w:rPr>
            <w:webHidden/>
          </w:rPr>
          <w:instrText xml:space="preserve"> PAGEREF _Toc517161158 \h </w:instrText>
        </w:r>
        <w:r w:rsidR="00E46A7B">
          <w:rPr>
            <w:webHidden/>
          </w:rPr>
        </w:r>
        <w:r w:rsidR="00E46A7B">
          <w:rPr>
            <w:webHidden/>
          </w:rPr>
          <w:fldChar w:fldCharType="separate"/>
        </w:r>
        <w:r w:rsidR="00640CCB">
          <w:rPr>
            <w:webHidden/>
          </w:rPr>
          <w:t>150</w:t>
        </w:r>
        <w:r w:rsidR="00E46A7B">
          <w:rPr>
            <w:webHidden/>
          </w:rPr>
          <w:fldChar w:fldCharType="end"/>
        </w:r>
      </w:hyperlink>
    </w:p>
    <w:p w14:paraId="3AC96752" w14:textId="77777777" w:rsidR="00E46A7B" w:rsidRDefault="008079F1">
      <w:pPr>
        <w:pStyle w:val="TOC3"/>
        <w:rPr>
          <w:rFonts w:asciiTheme="minorHAnsi" w:eastAsiaTheme="minorEastAsia" w:hAnsiTheme="minorHAnsi" w:cstheme="minorBidi"/>
          <w:sz w:val="22"/>
          <w:szCs w:val="22"/>
        </w:rPr>
      </w:pPr>
      <w:hyperlink w:anchor="_Toc517161159" w:history="1">
        <w:r w:rsidR="00E46A7B" w:rsidRPr="00461340">
          <w:rPr>
            <w:rStyle w:val="Hyperlink"/>
          </w:rPr>
          <w:t>C.4.8</w:t>
        </w:r>
        <w:r w:rsidR="00E46A7B">
          <w:rPr>
            <w:rFonts w:asciiTheme="minorHAnsi" w:eastAsiaTheme="minorEastAsia" w:hAnsiTheme="minorHAnsi" w:cstheme="minorBidi"/>
            <w:sz w:val="22"/>
            <w:szCs w:val="22"/>
          </w:rPr>
          <w:tab/>
        </w:r>
        <w:r w:rsidR="00E46A7B" w:rsidRPr="00461340">
          <w:rPr>
            <w:rStyle w:val="Hyperlink"/>
          </w:rPr>
          <w:t>Groundwater–surface water interactions</w:t>
        </w:r>
        <w:r w:rsidR="00E46A7B">
          <w:rPr>
            <w:webHidden/>
          </w:rPr>
          <w:tab/>
        </w:r>
        <w:r w:rsidR="00E46A7B">
          <w:rPr>
            <w:webHidden/>
          </w:rPr>
          <w:fldChar w:fldCharType="begin"/>
        </w:r>
        <w:r w:rsidR="00E46A7B">
          <w:rPr>
            <w:webHidden/>
          </w:rPr>
          <w:instrText xml:space="preserve"> PAGEREF _Toc517161159 \h </w:instrText>
        </w:r>
        <w:r w:rsidR="00E46A7B">
          <w:rPr>
            <w:webHidden/>
          </w:rPr>
        </w:r>
        <w:r w:rsidR="00E46A7B">
          <w:rPr>
            <w:webHidden/>
          </w:rPr>
          <w:fldChar w:fldCharType="separate"/>
        </w:r>
        <w:r w:rsidR="00640CCB">
          <w:rPr>
            <w:webHidden/>
          </w:rPr>
          <w:t>152</w:t>
        </w:r>
        <w:r w:rsidR="00E46A7B">
          <w:rPr>
            <w:webHidden/>
          </w:rPr>
          <w:fldChar w:fldCharType="end"/>
        </w:r>
      </w:hyperlink>
    </w:p>
    <w:p w14:paraId="5B8D79DF" w14:textId="77777777" w:rsidR="00E46A7B" w:rsidRDefault="008079F1">
      <w:pPr>
        <w:pStyle w:val="TOC3"/>
        <w:rPr>
          <w:rFonts w:asciiTheme="minorHAnsi" w:eastAsiaTheme="minorEastAsia" w:hAnsiTheme="minorHAnsi" w:cstheme="minorBidi"/>
          <w:sz w:val="22"/>
          <w:szCs w:val="22"/>
        </w:rPr>
      </w:pPr>
      <w:hyperlink w:anchor="_Toc517161160" w:history="1">
        <w:r w:rsidR="00E46A7B" w:rsidRPr="00461340">
          <w:rPr>
            <w:rStyle w:val="Hyperlink"/>
          </w:rPr>
          <w:t>C.4.9</w:t>
        </w:r>
        <w:r w:rsidR="00E46A7B">
          <w:rPr>
            <w:rFonts w:asciiTheme="minorHAnsi" w:eastAsiaTheme="minorEastAsia" w:hAnsiTheme="minorHAnsi" w:cstheme="minorBidi"/>
            <w:sz w:val="22"/>
            <w:szCs w:val="22"/>
          </w:rPr>
          <w:tab/>
        </w:r>
        <w:r w:rsidR="00E46A7B" w:rsidRPr="00461340">
          <w:rPr>
            <w:rStyle w:val="Hyperlink"/>
          </w:rPr>
          <w:t>Environmental assets</w:t>
        </w:r>
        <w:r w:rsidR="00E46A7B">
          <w:rPr>
            <w:webHidden/>
          </w:rPr>
          <w:tab/>
        </w:r>
        <w:r w:rsidR="00E46A7B">
          <w:rPr>
            <w:webHidden/>
          </w:rPr>
          <w:fldChar w:fldCharType="begin"/>
        </w:r>
        <w:r w:rsidR="00E46A7B">
          <w:rPr>
            <w:webHidden/>
          </w:rPr>
          <w:instrText xml:space="preserve"> PAGEREF _Toc517161160 \h </w:instrText>
        </w:r>
        <w:r w:rsidR="00E46A7B">
          <w:rPr>
            <w:webHidden/>
          </w:rPr>
        </w:r>
        <w:r w:rsidR="00E46A7B">
          <w:rPr>
            <w:webHidden/>
          </w:rPr>
          <w:fldChar w:fldCharType="separate"/>
        </w:r>
        <w:r w:rsidR="00640CCB">
          <w:rPr>
            <w:webHidden/>
          </w:rPr>
          <w:t>153</w:t>
        </w:r>
        <w:r w:rsidR="00E46A7B">
          <w:rPr>
            <w:webHidden/>
          </w:rPr>
          <w:fldChar w:fldCharType="end"/>
        </w:r>
      </w:hyperlink>
    </w:p>
    <w:p w14:paraId="5D894BFB" w14:textId="77777777" w:rsidR="00E46A7B" w:rsidRDefault="008079F1">
      <w:pPr>
        <w:pStyle w:val="TOC3"/>
        <w:rPr>
          <w:rFonts w:asciiTheme="minorHAnsi" w:eastAsiaTheme="minorEastAsia" w:hAnsiTheme="minorHAnsi" w:cstheme="minorBidi"/>
          <w:sz w:val="22"/>
          <w:szCs w:val="22"/>
        </w:rPr>
      </w:pPr>
      <w:hyperlink w:anchor="_Toc517161161" w:history="1">
        <w:r w:rsidR="00E46A7B" w:rsidRPr="00461340">
          <w:rPr>
            <w:rStyle w:val="Hyperlink"/>
          </w:rPr>
          <w:t>C.4.10</w:t>
        </w:r>
        <w:r w:rsidR="00E46A7B">
          <w:rPr>
            <w:rFonts w:asciiTheme="minorHAnsi" w:eastAsiaTheme="minorEastAsia" w:hAnsiTheme="minorHAnsi" w:cstheme="minorBidi"/>
            <w:sz w:val="22"/>
            <w:szCs w:val="22"/>
          </w:rPr>
          <w:tab/>
        </w:r>
        <w:r w:rsidR="00E46A7B" w:rsidRPr="00461340">
          <w:rPr>
            <w:rStyle w:val="Hyperlink"/>
          </w:rPr>
          <w:t>Social considerations</w:t>
        </w:r>
        <w:r w:rsidR="00E46A7B">
          <w:rPr>
            <w:webHidden/>
          </w:rPr>
          <w:tab/>
        </w:r>
        <w:r w:rsidR="00E46A7B">
          <w:rPr>
            <w:webHidden/>
          </w:rPr>
          <w:fldChar w:fldCharType="begin"/>
        </w:r>
        <w:r w:rsidR="00E46A7B">
          <w:rPr>
            <w:webHidden/>
          </w:rPr>
          <w:instrText xml:space="preserve"> PAGEREF _Toc517161161 \h </w:instrText>
        </w:r>
        <w:r w:rsidR="00E46A7B">
          <w:rPr>
            <w:webHidden/>
          </w:rPr>
        </w:r>
        <w:r w:rsidR="00E46A7B">
          <w:rPr>
            <w:webHidden/>
          </w:rPr>
          <w:fldChar w:fldCharType="separate"/>
        </w:r>
        <w:r w:rsidR="00640CCB">
          <w:rPr>
            <w:webHidden/>
          </w:rPr>
          <w:t>153</w:t>
        </w:r>
        <w:r w:rsidR="00E46A7B">
          <w:rPr>
            <w:webHidden/>
          </w:rPr>
          <w:fldChar w:fldCharType="end"/>
        </w:r>
      </w:hyperlink>
    </w:p>
    <w:p w14:paraId="7734D291" w14:textId="77777777" w:rsidR="00E46A7B" w:rsidRDefault="008079F1">
      <w:pPr>
        <w:pStyle w:val="TOC3"/>
        <w:rPr>
          <w:rFonts w:asciiTheme="minorHAnsi" w:eastAsiaTheme="minorEastAsia" w:hAnsiTheme="minorHAnsi" w:cstheme="minorBidi"/>
          <w:sz w:val="22"/>
          <w:szCs w:val="22"/>
        </w:rPr>
      </w:pPr>
      <w:hyperlink w:anchor="_Toc517161162" w:history="1">
        <w:r w:rsidR="00E46A7B" w:rsidRPr="00461340">
          <w:rPr>
            <w:rStyle w:val="Hyperlink"/>
          </w:rPr>
          <w:t>Key references</w:t>
        </w:r>
        <w:r w:rsidR="00E46A7B">
          <w:rPr>
            <w:webHidden/>
          </w:rPr>
          <w:tab/>
        </w:r>
        <w:r w:rsidR="00E46A7B">
          <w:rPr>
            <w:webHidden/>
          </w:rPr>
          <w:fldChar w:fldCharType="begin"/>
        </w:r>
        <w:r w:rsidR="00E46A7B">
          <w:rPr>
            <w:webHidden/>
          </w:rPr>
          <w:instrText xml:space="preserve"> PAGEREF _Toc517161162 \h </w:instrText>
        </w:r>
        <w:r w:rsidR="00E46A7B">
          <w:rPr>
            <w:webHidden/>
          </w:rPr>
        </w:r>
        <w:r w:rsidR="00E46A7B">
          <w:rPr>
            <w:webHidden/>
          </w:rPr>
          <w:fldChar w:fldCharType="separate"/>
        </w:r>
        <w:r w:rsidR="00640CCB">
          <w:rPr>
            <w:webHidden/>
          </w:rPr>
          <w:t>154</w:t>
        </w:r>
        <w:r w:rsidR="00E46A7B">
          <w:rPr>
            <w:webHidden/>
          </w:rPr>
          <w:fldChar w:fldCharType="end"/>
        </w:r>
      </w:hyperlink>
    </w:p>
    <w:p w14:paraId="407F0494" w14:textId="77777777" w:rsidR="00E46A7B" w:rsidRDefault="008079F1">
      <w:pPr>
        <w:pStyle w:val="TOC2"/>
        <w:rPr>
          <w:rFonts w:asciiTheme="minorHAnsi" w:eastAsiaTheme="minorEastAsia" w:hAnsiTheme="minorHAnsi" w:cstheme="minorBidi"/>
          <w:sz w:val="22"/>
          <w:szCs w:val="22"/>
        </w:rPr>
      </w:pPr>
      <w:hyperlink w:anchor="_Toc517161163" w:history="1">
        <w:r w:rsidR="00E46A7B" w:rsidRPr="00461340">
          <w:rPr>
            <w:rStyle w:val="Hyperlink"/>
          </w:rPr>
          <w:t>C.5</w:t>
        </w:r>
        <w:r w:rsidR="00E46A7B">
          <w:rPr>
            <w:rFonts w:asciiTheme="minorHAnsi" w:eastAsiaTheme="minorEastAsia" w:hAnsiTheme="minorHAnsi" w:cstheme="minorBidi"/>
            <w:sz w:val="22"/>
            <w:szCs w:val="22"/>
          </w:rPr>
          <w:tab/>
        </w:r>
        <w:r w:rsidR="00E46A7B" w:rsidRPr="00461340">
          <w:rPr>
            <w:rStyle w:val="Hyperlink"/>
          </w:rPr>
          <w:t>Georgina Basin</w:t>
        </w:r>
        <w:r w:rsidR="00E46A7B">
          <w:rPr>
            <w:webHidden/>
          </w:rPr>
          <w:tab/>
        </w:r>
        <w:r w:rsidR="00E46A7B">
          <w:rPr>
            <w:webHidden/>
          </w:rPr>
          <w:fldChar w:fldCharType="begin"/>
        </w:r>
        <w:r w:rsidR="00E46A7B">
          <w:rPr>
            <w:webHidden/>
          </w:rPr>
          <w:instrText xml:space="preserve"> PAGEREF _Toc517161163 \h </w:instrText>
        </w:r>
        <w:r w:rsidR="00E46A7B">
          <w:rPr>
            <w:webHidden/>
          </w:rPr>
        </w:r>
        <w:r w:rsidR="00E46A7B">
          <w:rPr>
            <w:webHidden/>
          </w:rPr>
          <w:fldChar w:fldCharType="separate"/>
        </w:r>
        <w:r w:rsidR="00640CCB">
          <w:rPr>
            <w:webHidden/>
          </w:rPr>
          <w:t>161</w:t>
        </w:r>
        <w:r w:rsidR="00E46A7B">
          <w:rPr>
            <w:webHidden/>
          </w:rPr>
          <w:fldChar w:fldCharType="end"/>
        </w:r>
      </w:hyperlink>
    </w:p>
    <w:p w14:paraId="63DF7E00" w14:textId="77777777" w:rsidR="00E46A7B" w:rsidRDefault="008079F1">
      <w:pPr>
        <w:pStyle w:val="TOC3"/>
        <w:rPr>
          <w:rFonts w:asciiTheme="minorHAnsi" w:eastAsiaTheme="minorEastAsia" w:hAnsiTheme="minorHAnsi" w:cstheme="minorBidi"/>
          <w:sz w:val="22"/>
          <w:szCs w:val="22"/>
        </w:rPr>
      </w:pPr>
      <w:hyperlink w:anchor="_Toc517161164" w:history="1">
        <w:r w:rsidR="00E46A7B" w:rsidRPr="00461340">
          <w:rPr>
            <w:rStyle w:val="Hyperlink"/>
          </w:rPr>
          <w:t>C.5.1</w:t>
        </w:r>
        <w:r w:rsidR="00E46A7B">
          <w:rPr>
            <w:rFonts w:asciiTheme="minorHAnsi" w:eastAsiaTheme="minorEastAsia" w:hAnsiTheme="minorHAnsi" w:cstheme="minorBidi"/>
            <w:sz w:val="22"/>
            <w:szCs w:val="22"/>
          </w:rPr>
          <w:tab/>
        </w:r>
        <w:r w:rsidR="00E46A7B" w:rsidRPr="00461340">
          <w:rPr>
            <w:rStyle w:val="Hyperlink"/>
          </w:rPr>
          <w:t>Basin Geology</w:t>
        </w:r>
        <w:r w:rsidR="00E46A7B">
          <w:rPr>
            <w:webHidden/>
          </w:rPr>
          <w:tab/>
        </w:r>
        <w:r w:rsidR="00E46A7B">
          <w:rPr>
            <w:webHidden/>
          </w:rPr>
          <w:fldChar w:fldCharType="begin"/>
        </w:r>
        <w:r w:rsidR="00E46A7B">
          <w:rPr>
            <w:webHidden/>
          </w:rPr>
          <w:instrText xml:space="preserve"> PAGEREF _Toc517161164 \h </w:instrText>
        </w:r>
        <w:r w:rsidR="00E46A7B">
          <w:rPr>
            <w:webHidden/>
          </w:rPr>
        </w:r>
        <w:r w:rsidR="00E46A7B">
          <w:rPr>
            <w:webHidden/>
          </w:rPr>
          <w:fldChar w:fldCharType="separate"/>
        </w:r>
        <w:r w:rsidR="00640CCB">
          <w:rPr>
            <w:webHidden/>
          </w:rPr>
          <w:t>162</w:t>
        </w:r>
        <w:r w:rsidR="00E46A7B">
          <w:rPr>
            <w:webHidden/>
          </w:rPr>
          <w:fldChar w:fldCharType="end"/>
        </w:r>
      </w:hyperlink>
    </w:p>
    <w:p w14:paraId="0FF1B6D8" w14:textId="77777777" w:rsidR="00E46A7B" w:rsidRDefault="008079F1">
      <w:pPr>
        <w:pStyle w:val="TOC3"/>
        <w:rPr>
          <w:rFonts w:asciiTheme="minorHAnsi" w:eastAsiaTheme="minorEastAsia" w:hAnsiTheme="minorHAnsi" w:cstheme="minorBidi"/>
          <w:sz w:val="22"/>
          <w:szCs w:val="22"/>
        </w:rPr>
      </w:pPr>
      <w:hyperlink w:anchor="_Toc517161165" w:history="1">
        <w:r w:rsidR="00E46A7B" w:rsidRPr="00461340">
          <w:rPr>
            <w:rStyle w:val="Hyperlink"/>
          </w:rPr>
          <w:t>C.5.2</w:t>
        </w:r>
        <w:r w:rsidR="00E46A7B">
          <w:rPr>
            <w:rFonts w:asciiTheme="minorHAnsi" w:eastAsiaTheme="minorEastAsia" w:hAnsiTheme="minorHAnsi" w:cstheme="minorBidi"/>
            <w:sz w:val="22"/>
            <w:szCs w:val="22"/>
          </w:rPr>
          <w:tab/>
        </w:r>
        <w:r w:rsidR="00E46A7B" w:rsidRPr="00461340">
          <w:rPr>
            <w:rStyle w:val="Hyperlink"/>
          </w:rPr>
          <w:t>Petroleum data coverage</w:t>
        </w:r>
        <w:r w:rsidR="00E46A7B">
          <w:rPr>
            <w:webHidden/>
          </w:rPr>
          <w:tab/>
        </w:r>
        <w:r w:rsidR="00E46A7B">
          <w:rPr>
            <w:webHidden/>
          </w:rPr>
          <w:fldChar w:fldCharType="begin"/>
        </w:r>
        <w:r w:rsidR="00E46A7B">
          <w:rPr>
            <w:webHidden/>
          </w:rPr>
          <w:instrText xml:space="preserve"> PAGEREF _Toc517161165 \h </w:instrText>
        </w:r>
        <w:r w:rsidR="00E46A7B">
          <w:rPr>
            <w:webHidden/>
          </w:rPr>
        </w:r>
        <w:r w:rsidR="00E46A7B">
          <w:rPr>
            <w:webHidden/>
          </w:rPr>
          <w:fldChar w:fldCharType="separate"/>
        </w:r>
        <w:r w:rsidR="00640CCB">
          <w:rPr>
            <w:webHidden/>
          </w:rPr>
          <w:t>165</w:t>
        </w:r>
        <w:r w:rsidR="00E46A7B">
          <w:rPr>
            <w:webHidden/>
          </w:rPr>
          <w:fldChar w:fldCharType="end"/>
        </w:r>
      </w:hyperlink>
    </w:p>
    <w:p w14:paraId="47004513" w14:textId="77777777" w:rsidR="00E46A7B" w:rsidRDefault="008079F1">
      <w:pPr>
        <w:pStyle w:val="TOC3"/>
        <w:rPr>
          <w:rFonts w:asciiTheme="minorHAnsi" w:eastAsiaTheme="minorEastAsia" w:hAnsiTheme="minorHAnsi" w:cstheme="minorBidi"/>
          <w:sz w:val="22"/>
          <w:szCs w:val="22"/>
        </w:rPr>
      </w:pPr>
      <w:hyperlink w:anchor="_Toc517161166" w:history="1">
        <w:r w:rsidR="00E46A7B" w:rsidRPr="00461340">
          <w:rPr>
            <w:rStyle w:val="Hyperlink"/>
          </w:rPr>
          <w:t>C.5.3</w:t>
        </w:r>
        <w:r w:rsidR="00E46A7B">
          <w:rPr>
            <w:rFonts w:asciiTheme="minorHAnsi" w:eastAsiaTheme="minorEastAsia" w:hAnsiTheme="minorHAnsi" w:cstheme="minorBidi"/>
            <w:sz w:val="22"/>
            <w:szCs w:val="22"/>
          </w:rPr>
          <w:tab/>
        </w:r>
        <w:r w:rsidR="00E46A7B" w:rsidRPr="00461340">
          <w:rPr>
            <w:rStyle w:val="Hyperlink"/>
          </w:rPr>
          <w:t>Shale and tight gas prospectivity</w:t>
        </w:r>
        <w:r w:rsidR="00E46A7B">
          <w:rPr>
            <w:webHidden/>
          </w:rPr>
          <w:tab/>
        </w:r>
        <w:r w:rsidR="00E46A7B">
          <w:rPr>
            <w:webHidden/>
          </w:rPr>
          <w:fldChar w:fldCharType="begin"/>
        </w:r>
        <w:r w:rsidR="00E46A7B">
          <w:rPr>
            <w:webHidden/>
          </w:rPr>
          <w:instrText xml:space="preserve"> PAGEREF _Toc517161166 \h </w:instrText>
        </w:r>
        <w:r w:rsidR="00E46A7B">
          <w:rPr>
            <w:webHidden/>
          </w:rPr>
        </w:r>
        <w:r w:rsidR="00E46A7B">
          <w:rPr>
            <w:webHidden/>
          </w:rPr>
          <w:fldChar w:fldCharType="separate"/>
        </w:r>
        <w:r w:rsidR="00640CCB">
          <w:rPr>
            <w:webHidden/>
          </w:rPr>
          <w:t>166</w:t>
        </w:r>
        <w:r w:rsidR="00E46A7B">
          <w:rPr>
            <w:webHidden/>
          </w:rPr>
          <w:fldChar w:fldCharType="end"/>
        </w:r>
      </w:hyperlink>
    </w:p>
    <w:p w14:paraId="7066C41D" w14:textId="77777777" w:rsidR="00E46A7B" w:rsidRDefault="008079F1">
      <w:pPr>
        <w:pStyle w:val="TOC3"/>
        <w:rPr>
          <w:rFonts w:asciiTheme="minorHAnsi" w:eastAsiaTheme="minorEastAsia" w:hAnsiTheme="minorHAnsi" w:cstheme="minorBidi"/>
          <w:sz w:val="22"/>
          <w:szCs w:val="22"/>
        </w:rPr>
      </w:pPr>
      <w:hyperlink w:anchor="_Toc517161167" w:history="1">
        <w:r w:rsidR="00E46A7B" w:rsidRPr="00461340">
          <w:rPr>
            <w:rStyle w:val="Hyperlink"/>
          </w:rPr>
          <w:t>C.5.4</w:t>
        </w:r>
        <w:r w:rsidR="00E46A7B">
          <w:rPr>
            <w:rFonts w:asciiTheme="minorHAnsi" w:eastAsiaTheme="minorEastAsia" w:hAnsiTheme="minorHAnsi" w:cstheme="minorBidi"/>
            <w:sz w:val="22"/>
            <w:szCs w:val="22"/>
          </w:rPr>
          <w:tab/>
        </w:r>
        <w:r w:rsidR="00E46A7B" w:rsidRPr="00461340">
          <w:rPr>
            <w:rStyle w:val="Hyperlink"/>
          </w:rPr>
          <w:t>Gas market access and infrastructure</w:t>
        </w:r>
        <w:r w:rsidR="00E46A7B">
          <w:rPr>
            <w:webHidden/>
          </w:rPr>
          <w:tab/>
        </w:r>
        <w:r w:rsidR="00E46A7B">
          <w:rPr>
            <w:webHidden/>
          </w:rPr>
          <w:fldChar w:fldCharType="begin"/>
        </w:r>
        <w:r w:rsidR="00E46A7B">
          <w:rPr>
            <w:webHidden/>
          </w:rPr>
          <w:instrText xml:space="preserve"> PAGEREF _Toc517161167 \h </w:instrText>
        </w:r>
        <w:r w:rsidR="00E46A7B">
          <w:rPr>
            <w:webHidden/>
          </w:rPr>
        </w:r>
        <w:r w:rsidR="00E46A7B">
          <w:rPr>
            <w:webHidden/>
          </w:rPr>
          <w:fldChar w:fldCharType="separate"/>
        </w:r>
        <w:r w:rsidR="00640CCB">
          <w:rPr>
            <w:webHidden/>
          </w:rPr>
          <w:t>170</w:t>
        </w:r>
        <w:r w:rsidR="00E46A7B">
          <w:rPr>
            <w:webHidden/>
          </w:rPr>
          <w:fldChar w:fldCharType="end"/>
        </w:r>
      </w:hyperlink>
    </w:p>
    <w:p w14:paraId="317E810D" w14:textId="77777777" w:rsidR="00E46A7B" w:rsidRDefault="008079F1">
      <w:pPr>
        <w:pStyle w:val="TOC3"/>
        <w:rPr>
          <w:rFonts w:asciiTheme="minorHAnsi" w:eastAsiaTheme="minorEastAsia" w:hAnsiTheme="minorHAnsi" w:cstheme="minorBidi"/>
          <w:sz w:val="22"/>
          <w:szCs w:val="22"/>
        </w:rPr>
      </w:pPr>
      <w:hyperlink w:anchor="_Toc517161168" w:history="1">
        <w:r w:rsidR="00E46A7B" w:rsidRPr="00461340">
          <w:rPr>
            <w:rStyle w:val="Hyperlink"/>
          </w:rPr>
          <w:t>C.5.5</w:t>
        </w:r>
        <w:r w:rsidR="00E46A7B">
          <w:rPr>
            <w:rFonts w:asciiTheme="minorHAnsi" w:eastAsiaTheme="minorEastAsia" w:hAnsiTheme="minorHAnsi" w:cstheme="minorBidi"/>
            <w:sz w:val="22"/>
            <w:szCs w:val="22"/>
          </w:rPr>
          <w:tab/>
        </w:r>
        <w:r w:rsidR="00E46A7B" w:rsidRPr="00461340">
          <w:rPr>
            <w:rStyle w:val="Hyperlink"/>
          </w:rPr>
          <w:t>Regulatory environment impacting shale and tight gas exploration</w:t>
        </w:r>
        <w:r w:rsidR="00E46A7B">
          <w:rPr>
            <w:webHidden/>
          </w:rPr>
          <w:tab/>
        </w:r>
        <w:r w:rsidR="00E46A7B">
          <w:rPr>
            <w:webHidden/>
          </w:rPr>
          <w:fldChar w:fldCharType="begin"/>
        </w:r>
        <w:r w:rsidR="00E46A7B">
          <w:rPr>
            <w:webHidden/>
          </w:rPr>
          <w:instrText xml:space="preserve"> PAGEREF _Toc517161168 \h </w:instrText>
        </w:r>
        <w:r w:rsidR="00E46A7B">
          <w:rPr>
            <w:webHidden/>
          </w:rPr>
        </w:r>
        <w:r w:rsidR="00E46A7B">
          <w:rPr>
            <w:webHidden/>
          </w:rPr>
          <w:fldChar w:fldCharType="separate"/>
        </w:r>
        <w:r w:rsidR="00640CCB">
          <w:rPr>
            <w:webHidden/>
          </w:rPr>
          <w:t>171</w:t>
        </w:r>
        <w:r w:rsidR="00E46A7B">
          <w:rPr>
            <w:webHidden/>
          </w:rPr>
          <w:fldChar w:fldCharType="end"/>
        </w:r>
      </w:hyperlink>
    </w:p>
    <w:p w14:paraId="5D299495" w14:textId="77777777" w:rsidR="00E46A7B" w:rsidRDefault="008079F1">
      <w:pPr>
        <w:pStyle w:val="TOC3"/>
        <w:rPr>
          <w:rFonts w:asciiTheme="minorHAnsi" w:eastAsiaTheme="minorEastAsia" w:hAnsiTheme="minorHAnsi" w:cstheme="minorBidi"/>
          <w:sz w:val="22"/>
          <w:szCs w:val="22"/>
        </w:rPr>
      </w:pPr>
      <w:hyperlink w:anchor="_Toc517161169" w:history="1">
        <w:r w:rsidR="00E46A7B" w:rsidRPr="00461340">
          <w:rPr>
            <w:rStyle w:val="Hyperlink"/>
          </w:rPr>
          <w:t>C.5.6</w:t>
        </w:r>
        <w:r w:rsidR="00E46A7B">
          <w:rPr>
            <w:rFonts w:asciiTheme="minorHAnsi" w:eastAsiaTheme="minorEastAsia" w:hAnsiTheme="minorHAnsi" w:cstheme="minorBidi"/>
            <w:sz w:val="22"/>
            <w:szCs w:val="22"/>
          </w:rPr>
          <w:tab/>
        </w:r>
        <w:r w:rsidR="00E46A7B" w:rsidRPr="00461340">
          <w:rPr>
            <w:rStyle w:val="Hyperlink"/>
          </w:rPr>
          <w:t>Hydrogeology and groundwater</w:t>
        </w:r>
        <w:r w:rsidR="00E46A7B">
          <w:rPr>
            <w:webHidden/>
          </w:rPr>
          <w:tab/>
        </w:r>
        <w:r w:rsidR="00E46A7B">
          <w:rPr>
            <w:webHidden/>
          </w:rPr>
          <w:fldChar w:fldCharType="begin"/>
        </w:r>
        <w:r w:rsidR="00E46A7B">
          <w:rPr>
            <w:webHidden/>
          </w:rPr>
          <w:instrText xml:space="preserve"> PAGEREF _Toc517161169 \h </w:instrText>
        </w:r>
        <w:r w:rsidR="00E46A7B">
          <w:rPr>
            <w:webHidden/>
          </w:rPr>
        </w:r>
        <w:r w:rsidR="00E46A7B">
          <w:rPr>
            <w:webHidden/>
          </w:rPr>
          <w:fldChar w:fldCharType="separate"/>
        </w:r>
        <w:r w:rsidR="00640CCB">
          <w:rPr>
            <w:webHidden/>
          </w:rPr>
          <w:t>172</w:t>
        </w:r>
        <w:r w:rsidR="00E46A7B">
          <w:rPr>
            <w:webHidden/>
          </w:rPr>
          <w:fldChar w:fldCharType="end"/>
        </w:r>
      </w:hyperlink>
    </w:p>
    <w:p w14:paraId="1F35EF33" w14:textId="77777777" w:rsidR="00E46A7B" w:rsidRDefault="008079F1">
      <w:pPr>
        <w:pStyle w:val="TOC3"/>
        <w:rPr>
          <w:rFonts w:asciiTheme="minorHAnsi" w:eastAsiaTheme="minorEastAsia" w:hAnsiTheme="minorHAnsi" w:cstheme="minorBidi"/>
          <w:sz w:val="22"/>
          <w:szCs w:val="22"/>
        </w:rPr>
      </w:pPr>
      <w:hyperlink w:anchor="_Toc517161170" w:history="1">
        <w:r w:rsidR="00E46A7B" w:rsidRPr="00461340">
          <w:rPr>
            <w:rStyle w:val="Hyperlink"/>
          </w:rPr>
          <w:t>C.5.7</w:t>
        </w:r>
        <w:r w:rsidR="00E46A7B">
          <w:rPr>
            <w:rFonts w:asciiTheme="minorHAnsi" w:eastAsiaTheme="minorEastAsia" w:hAnsiTheme="minorHAnsi" w:cstheme="minorBidi"/>
            <w:sz w:val="22"/>
            <w:szCs w:val="22"/>
          </w:rPr>
          <w:tab/>
        </w:r>
        <w:r w:rsidR="00E46A7B" w:rsidRPr="00461340">
          <w:rPr>
            <w:rStyle w:val="Hyperlink"/>
          </w:rPr>
          <w:t>Surface water systems and hydrology</w:t>
        </w:r>
        <w:r w:rsidR="00E46A7B">
          <w:rPr>
            <w:webHidden/>
          </w:rPr>
          <w:tab/>
        </w:r>
        <w:r w:rsidR="00E46A7B">
          <w:rPr>
            <w:webHidden/>
          </w:rPr>
          <w:fldChar w:fldCharType="begin"/>
        </w:r>
        <w:r w:rsidR="00E46A7B">
          <w:rPr>
            <w:webHidden/>
          </w:rPr>
          <w:instrText xml:space="preserve"> PAGEREF _Toc517161170 \h </w:instrText>
        </w:r>
        <w:r w:rsidR="00E46A7B">
          <w:rPr>
            <w:webHidden/>
          </w:rPr>
        </w:r>
        <w:r w:rsidR="00E46A7B">
          <w:rPr>
            <w:webHidden/>
          </w:rPr>
          <w:fldChar w:fldCharType="separate"/>
        </w:r>
        <w:r w:rsidR="00640CCB">
          <w:rPr>
            <w:webHidden/>
          </w:rPr>
          <w:t>176</w:t>
        </w:r>
        <w:r w:rsidR="00E46A7B">
          <w:rPr>
            <w:webHidden/>
          </w:rPr>
          <w:fldChar w:fldCharType="end"/>
        </w:r>
      </w:hyperlink>
    </w:p>
    <w:p w14:paraId="73262D8C" w14:textId="77777777" w:rsidR="00E46A7B" w:rsidRDefault="008079F1">
      <w:pPr>
        <w:pStyle w:val="TOC3"/>
        <w:rPr>
          <w:rFonts w:asciiTheme="minorHAnsi" w:eastAsiaTheme="minorEastAsia" w:hAnsiTheme="minorHAnsi" w:cstheme="minorBidi"/>
          <w:sz w:val="22"/>
          <w:szCs w:val="22"/>
        </w:rPr>
      </w:pPr>
      <w:hyperlink w:anchor="_Toc517161171" w:history="1">
        <w:r w:rsidR="00E46A7B" w:rsidRPr="00461340">
          <w:rPr>
            <w:rStyle w:val="Hyperlink"/>
          </w:rPr>
          <w:t>C.5.8</w:t>
        </w:r>
        <w:r w:rsidR="00E46A7B">
          <w:rPr>
            <w:rFonts w:asciiTheme="minorHAnsi" w:eastAsiaTheme="minorEastAsia" w:hAnsiTheme="minorHAnsi" w:cstheme="minorBidi"/>
            <w:sz w:val="22"/>
            <w:szCs w:val="22"/>
          </w:rPr>
          <w:tab/>
        </w:r>
        <w:r w:rsidR="00E46A7B" w:rsidRPr="00461340">
          <w:rPr>
            <w:rStyle w:val="Hyperlink"/>
          </w:rPr>
          <w:t>Groundwater–surface water interactions</w:t>
        </w:r>
        <w:r w:rsidR="00E46A7B">
          <w:rPr>
            <w:webHidden/>
          </w:rPr>
          <w:tab/>
        </w:r>
        <w:r w:rsidR="00E46A7B">
          <w:rPr>
            <w:webHidden/>
          </w:rPr>
          <w:fldChar w:fldCharType="begin"/>
        </w:r>
        <w:r w:rsidR="00E46A7B">
          <w:rPr>
            <w:webHidden/>
          </w:rPr>
          <w:instrText xml:space="preserve"> PAGEREF _Toc517161171 \h </w:instrText>
        </w:r>
        <w:r w:rsidR="00E46A7B">
          <w:rPr>
            <w:webHidden/>
          </w:rPr>
        </w:r>
        <w:r w:rsidR="00E46A7B">
          <w:rPr>
            <w:webHidden/>
          </w:rPr>
          <w:fldChar w:fldCharType="separate"/>
        </w:r>
        <w:r w:rsidR="00640CCB">
          <w:rPr>
            <w:webHidden/>
          </w:rPr>
          <w:t>177</w:t>
        </w:r>
        <w:r w:rsidR="00E46A7B">
          <w:rPr>
            <w:webHidden/>
          </w:rPr>
          <w:fldChar w:fldCharType="end"/>
        </w:r>
      </w:hyperlink>
    </w:p>
    <w:p w14:paraId="1AAE52A4" w14:textId="77777777" w:rsidR="00E46A7B" w:rsidRDefault="008079F1">
      <w:pPr>
        <w:pStyle w:val="TOC3"/>
        <w:rPr>
          <w:rFonts w:asciiTheme="minorHAnsi" w:eastAsiaTheme="minorEastAsia" w:hAnsiTheme="minorHAnsi" w:cstheme="minorBidi"/>
          <w:sz w:val="22"/>
          <w:szCs w:val="22"/>
        </w:rPr>
      </w:pPr>
      <w:hyperlink w:anchor="_Toc517161172" w:history="1">
        <w:r w:rsidR="00E46A7B" w:rsidRPr="00461340">
          <w:rPr>
            <w:rStyle w:val="Hyperlink"/>
          </w:rPr>
          <w:t>C.5.9</w:t>
        </w:r>
        <w:r w:rsidR="00E46A7B">
          <w:rPr>
            <w:rFonts w:asciiTheme="minorHAnsi" w:eastAsiaTheme="minorEastAsia" w:hAnsiTheme="minorHAnsi" w:cstheme="minorBidi"/>
            <w:sz w:val="22"/>
            <w:szCs w:val="22"/>
          </w:rPr>
          <w:tab/>
        </w:r>
        <w:r w:rsidR="00E46A7B" w:rsidRPr="00461340">
          <w:rPr>
            <w:rStyle w:val="Hyperlink"/>
          </w:rPr>
          <w:t>Environmental assets</w:t>
        </w:r>
        <w:r w:rsidR="00E46A7B">
          <w:rPr>
            <w:webHidden/>
          </w:rPr>
          <w:tab/>
        </w:r>
        <w:r w:rsidR="00E46A7B">
          <w:rPr>
            <w:webHidden/>
          </w:rPr>
          <w:fldChar w:fldCharType="begin"/>
        </w:r>
        <w:r w:rsidR="00E46A7B">
          <w:rPr>
            <w:webHidden/>
          </w:rPr>
          <w:instrText xml:space="preserve"> PAGEREF _Toc517161172 \h </w:instrText>
        </w:r>
        <w:r w:rsidR="00E46A7B">
          <w:rPr>
            <w:webHidden/>
          </w:rPr>
        </w:r>
        <w:r w:rsidR="00E46A7B">
          <w:rPr>
            <w:webHidden/>
          </w:rPr>
          <w:fldChar w:fldCharType="separate"/>
        </w:r>
        <w:r w:rsidR="00640CCB">
          <w:rPr>
            <w:webHidden/>
          </w:rPr>
          <w:t>178</w:t>
        </w:r>
        <w:r w:rsidR="00E46A7B">
          <w:rPr>
            <w:webHidden/>
          </w:rPr>
          <w:fldChar w:fldCharType="end"/>
        </w:r>
      </w:hyperlink>
    </w:p>
    <w:p w14:paraId="2CA51DF1" w14:textId="77777777" w:rsidR="00E46A7B" w:rsidRDefault="008079F1">
      <w:pPr>
        <w:pStyle w:val="TOC3"/>
        <w:rPr>
          <w:rFonts w:asciiTheme="minorHAnsi" w:eastAsiaTheme="minorEastAsia" w:hAnsiTheme="minorHAnsi" w:cstheme="minorBidi"/>
          <w:sz w:val="22"/>
          <w:szCs w:val="22"/>
        </w:rPr>
      </w:pPr>
      <w:hyperlink w:anchor="_Toc517161173" w:history="1">
        <w:r w:rsidR="00E46A7B" w:rsidRPr="00461340">
          <w:rPr>
            <w:rStyle w:val="Hyperlink"/>
          </w:rPr>
          <w:t>C.5.10</w:t>
        </w:r>
        <w:r w:rsidR="00E46A7B">
          <w:rPr>
            <w:rFonts w:asciiTheme="minorHAnsi" w:eastAsiaTheme="minorEastAsia" w:hAnsiTheme="minorHAnsi" w:cstheme="minorBidi"/>
            <w:sz w:val="22"/>
            <w:szCs w:val="22"/>
          </w:rPr>
          <w:tab/>
        </w:r>
        <w:r w:rsidR="00E46A7B" w:rsidRPr="00461340">
          <w:rPr>
            <w:rStyle w:val="Hyperlink"/>
          </w:rPr>
          <w:t>Social considerations</w:t>
        </w:r>
        <w:r w:rsidR="00E46A7B">
          <w:rPr>
            <w:webHidden/>
          </w:rPr>
          <w:tab/>
        </w:r>
        <w:r w:rsidR="00E46A7B">
          <w:rPr>
            <w:webHidden/>
          </w:rPr>
          <w:fldChar w:fldCharType="begin"/>
        </w:r>
        <w:r w:rsidR="00E46A7B">
          <w:rPr>
            <w:webHidden/>
          </w:rPr>
          <w:instrText xml:space="preserve"> PAGEREF _Toc517161173 \h </w:instrText>
        </w:r>
        <w:r w:rsidR="00E46A7B">
          <w:rPr>
            <w:webHidden/>
          </w:rPr>
        </w:r>
        <w:r w:rsidR="00E46A7B">
          <w:rPr>
            <w:webHidden/>
          </w:rPr>
          <w:fldChar w:fldCharType="separate"/>
        </w:r>
        <w:r w:rsidR="00640CCB">
          <w:rPr>
            <w:webHidden/>
          </w:rPr>
          <w:t>178</w:t>
        </w:r>
        <w:r w:rsidR="00E46A7B">
          <w:rPr>
            <w:webHidden/>
          </w:rPr>
          <w:fldChar w:fldCharType="end"/>
        </w:r>
      </w:hyperlink>
    </w:p>
    <w:p w14:paraId="557A8183" w14:textId="77777777" w:rsidR="00E46A7B" w:rsidRDefault="008079F1">
      <w:pPr>
        <w:pStyle w:val="TOC3"/>
        <w:rPr>
          <w:rFonts w:asciiTheme="minorHAnsi" w:eastAsiaTheme="minorEastAsia" w:hAnsiTheme="minorHAnsi" w:cstheme="minorBidi"/>
          <w:sz w:val="22"/>
          <w:szCs w:val="22"/>
        </w:rPr>
      </w:pPr>
      <w:hyperlink w:anchor="_Toc517161174" w:history="1">
        <w:r w:rsidR="00E46A7B" w:rsidRPr="00461340">
          <w:rPr>
            <w:rStyle w:val="Hyperlink"/>
          </w:rPr>
          <w:t>Key references</w:t>
        </w:r>
        <w:r w:rsidR="00E46A7B">
          <w:rPr>
            <w:webHidden/>
          </w:rPr>
          <w:tab/>
        </w:r>
        <w:r w:rsidR="00E46A7B">
          <w:rPr>
            <w:webHidden/>
          </w:rPr>
          <w:fldChar w:fldCharType="begin"/>
        </w:r>
        <w:r w:rsidR="00E46A7B">
          <w:rPr>
            <w:webHidden/>
          </w:rPr>
          <w:instrText xml:space="preserve"> PAGEREF _Toc517161174 \h </w:instrText>
        </w:r>
        <w:r w:rsidR="00E46A7B">
          <w:rPr>
            <w:webHidden/>
          </w:rPr>
        </w:r>
        <w:r w:rsidR="00E46A7B">
          <w:rPr>
            <w:webHidden/>
          </w:rPr>
          <w:fldChar w:fldCharType="separate"/>
        </w:r>
        <w:r w:rsidR="00640CCB">
          <w:rPr>
            <w:webHidden/>
          </w:rPr>
          <w:t>179</w:t>
        </w:r>
        <w:r w:rsidR="00E46A7B">
          <w:rPr>
            <w:webHidden/>
          </w:rPr>
          <w:fldChar w:fldCharType="end"/>
        </w:r>
      </w:hyperlink>
    </w:p>
    <w:p w14:paraId="57C76C0F" w14:textId="77777777" w:rsidR="00E46A7B" w:rsidRDefault="008079F1">
      <w:pPr>
        <w:pStyle w:val="TOC2"/>
        <w:rPr>
          <w:rFonts w:asciiTheme="minorHAnsi" w:eastAsiaTheme="minorEastAsia" w:hAnsiTheme="minorHAnsi" w:cstheme="minorBidi"/>
          <w:sz w:val="22"/>
          <w:szCs w:val="22"/>
        </w:rPr>
      </w:pPr>
      <w:hyperlink w:anchor="_Toc517161175" w:history="1">
        <w:r w:rsidR="00E46A7B" w:rsidRPr="00461340">
          <w:rPr>
            <w:rStyle w:val="Hyperlink"/>
          </w:rPr>
          <w:t>C.6</w:t>
        </w:r>
        <w:r w:rsidR="00E46A7B">
          <w:rPr>
            <w:rFonts w:asciiTheme="minorHAnsi" w:eastAsiaTheme="minorEastAsia" w:hAnsiTheme="minorHAnsi" w:cstheme="minorBidi"/>
            <w:sz w:val="22"/>
            <w:szCs w:val="22"/>
          </w:rPr>
          <w:tab/>
        </w:r>
        <w:r w:rsidR="00E46A7B" w:rsidRPr="00461340">
          <w:rPr>
            <w:rStyle w:val="Hyperlink"/>
          </w:rPr>
          <w:t>Gippsland Basin (Onshore)</w:t>
        </w:r>
        <w:r w:rsidR="00E46A7B">
          <w:rPr>
            <w:webHidden/>
          </w:rPr>
          <w:tab/>
        </w:r>
        <w:r w:rsidR="00E46A7B">
          <w:rPr>
            <w:webHidden/>
          </w:rPr>
          <w:fldChar w:fldCharType="begin"/>
        </w:r>
        <w:r w:rsidR="00E46A7B">
          <w:rPr>
            <w:webHidden/>
          </w:rPr>
          <w:instrText xml:space="preserve"> PAGEREF _Toc517161175 \h </w:instrText>
        </w:r>
        <w:r w:rsidR="00E46A7B">
          <w:rPr>
            <w:webHidden/>
          </w:rPr>
        </w:r>
        <w:r w:rsidR="00E46A7B">
          <w:rPr>
            <w:webHidden/>
          </w:rPr>
          <w:fldChar w:fldCharType="separate"/>
        </w:r>
        <w:r w:rsidR="00640CCB">
          <w:rPr>
            <w:webHidden/>
          </w:rPr>
          <w:t>187</w:t>
        </w:r>
        <w:r w:rsidR="00E46A7B">
          <w:rPr>
            <w:webHidden/>
          </w:rPr>
          <w:fldChar w:fldCharType="end"/>
        </w:r>
      </w:hyperlink>
    </w:p>
    <w:p w14:paraId="188963C1" w14:textId="77777777" w:rsidR="00E46A7B" w:rsidRDefault="008079F1">
      <w:pPr>
        <w:pStyle w:val="TOC3"/>
        <w:rPr>
          <w:rFonts w:asciiTheme="minorHAnsi" w:eastAsiaTheme="minorEastAsia" w:hAnsiTheme="minorHAnsi" w:cstheme="minorBidi"/>
          <w:sz w:val="22"/>
          <w:szCs w:val="22"/>
        </w:rPr>
      </w:pPr>
      <w:hyperlink w:anchor="_Toc517161176" w:history="1">
        <w:r w:rsidR="00E46A7B" w:rsidRPr="00461340">
          <w:rPr>
            <w:rStyle w:val="Hyperlink"/>
            <w:rFonts w:eastAsia="Times"/>
          </w:rPr>
          <w:t>C.6.1</w:t>
        </w:r>
        <w:r w:rsidR="00E46A7B">
          <w:rPr>
            <w:rFonts w:asciiTheme="minorHAnsi" w:eastAsiaTheme="minorEastAsia" w:hAnsiTheme="minorHAnsi" w:cstheme="minorBidi"/>
            <w:sz w:val="22"/>
            <w:szCs w:val="22"/>
          </w:rPr>
          <w:tab/>
        </w:r>
        <w:r w:rsidR="00E46A7B" w:rsidRPr="00461340">
          <w:rPr>
            <w:rStyle w:val="Hyperlink"/>
          </w:rPr>
          <w:t>Basin Geology</w:t>
        </w:r>
        <w:r w:rsidR="00E46A7B">
          <w:rPr>
            <w:webHidden/>
          </w:rPr>
          <w:tab/>
        </w:r>
        <w:r w:rsidR="00E46A7B">
          <w:rPr>
            <w:webHidden/>
          </w:rPr>
          <w:fldChar w:fldCharType="begin"/>
        </w:r>
        <w:r w:rsidR="00E46A7B">
          <w:rPr>
            <w:webHidden/>
          </w:rPr>
          <w:instrText xml:space="preserve"> PAGEREF _Toc517161176 \h </w:instrText>
        </w:r>
        <w:r w:rsidR="00E46A7B">
          <w:rPr>
            <w:webHidden/>
          </w:rPr>
        </w:r>
        <w:r w:rsidR="00E46A7B">
          <w:rPr>
            <w:webHidden/>
          </w:rPr>
          <w:fldChar w:fldCharType="separate"/>
        </w:r>
        <w:r w:rsidR="00640CCB">
          <w:rPr>
            <w:webHidden/>
          </w:rPr>
          <w:t>188</w:t>
        </w:r>
        <w:r w:rsidR="00E46A7B">
          <w:rPr>
            <w:webHidden/>
          </w:rPr>
          <w:fldChar w:fldCharType="end"/>
        </w:r>
      </w:hyperlink>
    </w:p>
    <w:p w14:paraId="69C49098" w14:textId="77777777" w:rsidR="00E46A7B" w:rsidRDefault="008079F1">
      <w:pPr>
        <w:pStyle w:val="TOC3"/>
        <w:rPr>
          <w:rFonts w:asciiTheme="minorHAnsi" w:eastAsiaTheme="minorEastAsia" w:hAnsiTheme="minorHAnsi" w:cstheme="minorBidi"/>
          <w:sz w:val="22"/>
          <w:szCs w:val="22"/>
        </w:rPr>
      </w:pPr>
      <w:hyperlink w:anchor="_Toc517161177" w:history="1">
        <w:r w:rsidR="00E46A7B" w:rsidRPr="00461340">
          <w:rPr>
            <w:rStyle w:val="Hyperlink"/>
          </w:rPr>
          <w:t>C.6.2</w:t>
        </w:r>
        <w:r w:rsidR="00E46A7B">
          <w:rPr>
            <w:rFonts w:asciiTheme="minorHAnsi" w:eastAsiaTheme="minorEastAsia" w:hAnsiTheme="minorHAnsi" w:cstheme="minorBidi"/>
            <w:sz w:val="22"/>
            <w:szCs w:val="22"/>
          </w:rPr>
          <w:tab/>
        </w:r>
        <w:r w:rsidR="00E46A7B" w:rsidRPr="00461340">
          <w:rPr>
            <w:rStyle w:val="Hyperlink"/>
          </w:rPr>
          <w:t>Petroleum data coverage</w:t>
        </w:r>
        <w:r w:rsidR="00E46A7B">
          <w:rPr>
            <w:webHidden/>
          </w:rPr>
          <w:tab/>
        </w:r>
        <w:r w:rsidR="00E46A7B">
          <w:rPr>
            <w:webHidden/>
          </w:rPr>
          <w:fldChar w:fldCharType="begin"/>
        </w:r>
        <w:r w:rsidR="00E46A7B">
          <w:rPr>
            <w:webHidden/>
          </w:rPr>
          <w:instrText xml:space="preserve"> PAGEREF _Toc517161177 \h </w:instrText>
        </w:r>
        <w:r w:rsidR="00E46A7B">
          <w:rPr>
            <w:webHidden/>
          </w:rPr>
        </w:r>
        <w:r w:rsidR="00E46A7B">
          <w:rPr>
            <w:webHidden/>
          </w:rPr>
          <w:fldChar w:fldCharType="separate"/>
        </w:r>
        <w:r w:rsidR="00640CCB">
          <w:rPr>
            <w:webHidden/>
          </w:rPr>
          <w:t>191</w:t>
        </w:r>
        <w:r w:rsidR="00E46A7B">
          <w:rPr>
            <w:webHidden/>
          </w:rPr>
          <w:fldChar w:fldCharType="end"/>
        </w:r>
      </w:hyperlink>
    </w:p>
    <w:p w14:paraId="34EBFAE0" w14:textId="77777777" w:rsidR="00E46A7B" w:rsidRDefault="008079F1">
      <w:pPr>
        <w:pStyle w:val="TOC3"/>
        <w:rPr>
          <w:rFonts w:asciiTheme="minorHAnsi" w:eastAsiaTheme="minorEastAsia" w:hAnsiTheme="minorHAnsi" w:cstheme="minorBidi"/>
          <w:sz w:val="22"/>
          <w:szCs w:val="22"/>
        </w:rPr>
      </w:pPr>
      <w:hyperlink w:anchor="_Toc517161178" w:history="1">
        <w:r w:rsidR="00E46A7B" w:rsidRPr="00461340">
          <w:rPr>
            <w:rStyle w:val="Hyperlink"/>
            <w:rFonts w:eastAsia="Times"/>
          </w:rPr>
          <w:t>C.6.3</w:t>
        </w:r>
        <w:r w:rsidR="00E46A7B">
          <w:rPr>
            <w:rFonts w:asciiTheme="minorHAnsi" w:eastAsiaTheme="minorEastAsia" w:hAnsiTheme="minorHAnsi" w:cstheme="minorBidi"/>
            <w:sz w:val="22"/>
            <w:szCs w:val="22"/>
          </w:rPr>
          <w:tab/>
        </w:r>
        <w:r w:rsidR="00E46A7B" w:rsidRPr="00461340">
          <w:rPr>
            <w:rStyle w:val="Hyperlink"/>
          </w:rPr>
          <w:t>Shale and tight gas prospectivity</w:t>
        </w:r>
        <w:r w:rsidR="00E46A7B">
          <w:rPr>
            <w:webHidden/>
          </w:rPr>
          <w:tab/>
        </w:r>
        <w:r w:rsidR="00E46A7B">
          <w:rPr>
            <w:webHidden/>
          </w:rPr>
          <w:fldChar w:fldCharType="begin"/>
        </w:r>
        <w:r w:rsidR="00E46A7B">
          <w:rPr>
            <w:webHidden/>
          </w:rPr>
          <w:instrText xml:space="preserve"> PAGEREF _Toc517161178 \h </w:instrText>
        </w:r>
        <w:r w:rsidR="00E46A7B">
          <w:rPr>
            <w:webHidden/>
          </w:rPr>
        </w:r>
        <w:r w:rsidR="00E46A7B">
          <w:rPr>
            <w:webHidden/>
          </w:rPr>
          <w:fldChar w:fldCharType="separate"/>
        </w:r>
        <w:r w:rsidR="00640CCB">
          <w:rPr>
            <w:webHidden/>
          </w:rPr>
          <w:t>192</w:t>
        </w:r>
        <w:r w:rsidR="00E46A7B">
          <w:rPr>
            <w:webHidden/>
          </w:rPr>
          <w:fldChar w:fldCharType="end"/>
        </w:r>
      </w:hyperlink>
    </w:p>
    <w:p w14:paraId="5C042D2E" w14:textId="77777777" w:rsidR="00E46A7B" w:rsidRDefault="008079F1">
      <w:pPr>
        <w:pStyle w:val="TOC3"/>
        <w:rPr>
          <w:rFonts w:asciiTheme="minorHAnsi" w:eastAsiaTheme="minorEastAsia" w:hAnsiTheme="minorHAnsi" w:cstheme="minorBidi"/>
          <w:sz w:val="22"/>
          <w:szCs w:val="22"/>
        </w:rPr>
      </w:pPr>
      <w:hyperlink w:anchor="_Toc517161179" w:history="1">
        <w:r w:rsidR="00E46A7B" w:rsidRPr="00461340">
          <w:rPr>
            <w:rStyle w:val="Hyperlink"/>
            <w:rFonts w:eastAsia="Times"/>
          </w:rPr>
          <w:t>C.6.4</w:t>
        </w:r>
        <w:r w:rsidR="00E46A7B">
          <w:rPr>
            <w:rFonts w:asciiTheme="minorHAnsi" w:eastAsiaTheme="minorEastAsia" w:hAnsiTheme="minorHAnsi" w:cstheme="minorBidi"/>
            <w:sz w:val="22"/>
            <w:szCs w:val="22"/>
          </w:rPr>
          <w:tab/>
        </w:r>
        <w:r w:rsidR="00E46A7B" w:rsidRPr="00461340">
          <w:rPr>
            <w:rStyle w:val="Hyperlink"/>
          </w:rPr>
          <w:t>Gas market access and infrastructure</w:t>
        </w:r>
        <w:r w:rsidR="00E46A7B">
          <w:rPr>
            <w:webHidden/>
          </w:rPr>
          <w:tab/>
        </w:r>
        <w:r w:rsidR="00E46A7B">
          <w:rPr>
            <w:webHidden/>
          </w:rPr>
          <w:fldChar w:fldCharType="begin"/>
        </w:r>
        <w:r w:rsidR="00E46A7B">
          <w:rPr>
            <w:webHidden/>
          </w:rPr>
          <w:instrText xml:space="preserve"> PAGEREF _Toc517161179 \h </w:instrText>
        </w:r>
        <w:r w:rsidR="00E46A7B">
          <w:rPr>
            <w:webHidden/>
          </w:rPr>
        </w:r>
        <w:r w:rsidR="00E46A7B">
          <w:rPr>
            <w:webHidden/>
          </w:rPr>
          <w:fldChar w:fldCharType="separate"/>
        </w:r>
        <w:r w:rsidR="00640CCB">
          <w:rPr>
            <w:webHidden/>
          </w:rPr>
          <w:t>195</w:t>
        </w:r>
        <w:r w:rsidR="00E46A7B">
          <w:rPr>
            <w:webHidden/>
          </w:rPr>
          <w:fldChar w:fldCharType="end"/>
        </w:r>
      </w:hyperlink>
    </w:p>
    <w:p w14:paraId="27461454" w14:textId="77777777" w:rsidR="00E46A7B" w:rsidRDefault="008079F1">
      <w:pPr>
        <w:pStyle w:val="TOC3"/>
        <w:rPr>
          <w:rFonts w:asciiTheme="minorHAnsi" w:eastAsiaTheme="minorEastAsia" w:hAnsiTheme="minorHAnsi" w:cstheme="minorBidi"/>
          <w:sz w:val="22"/>
          <w:szCs w:val="22"/>
        </w:rPr>
      </w:pPr>
      <w:hyperlink w:anchor="_Toc517161180" w:history="1">
        <w:r w:rsidR="00E46A7B" w:rsidRPr="00461340">
          <w:rPr>
            <w:rStyle w:val="Hyperlink"/>
          </w:rPr>
          <w:t>C.6.5</w:t>
        </w:r>
        <w:r w:rsidR="00E46A7B">
          <w:rPr>
            <w:rFonts w:asciiTheme="minorHAnsi" w:eastAsiaTheme="minorEastAsia" w:hAnsiTheme="minorHAnsi" w:cstheme="minorBidi"/>
            <w:sz w:val="22"/>
            <w:szCs w:val="22"/>
          </w:rPr>
          <w:tab/>
        </w:r>
        <w:r w:rsidR="00E46A7B" w:rsidRPr="00461340">
          <w:rPr>
            <w:rStyle w:val="Hyperlink"/>
          </w:rPr>
          <w:t>Regulatory environment impacting shale and tight gas exploration</w:t>
        </w:r>
        <w:r w:rsidR="00E46A7B">
          <w:rPr>
            <w:webHidden/>
          </w:rPr>
          <w:tab/>
        </w:r>
        <w:r w:rsidR="00E46A7B">
          <w:rPr>
            <w:webHidden/>
          </w:rPr>
          <w:fldChar w:fldCharType="begin"/>
        </w:r>
        <w:r w:rsidR="00E46A7B">
          <w:rPr>
            <w:webHidden/>
          </w:rPr>
          <w:instrText xml:space="preserve"> PAGEREF _Toc517161180 \h </w:instrText>
        </w:r>
        <w:r w:rsidR="00E46A7B">
          <w:rPr>
            <w:webHidden/>
          </w:rPr>
        </w:r>
        <w:r w:rsidR="00E46A7B">
          <w:rPr>
            <w:webHidden/>
          </w:rPr>
          <w:fldChar w:fldCharType="separate"/>
        </w:r>
        <w:r w:rsidR="00640CCB">
          <w:rPr>
            <w:webHidden/>
          </w:rPr>
          <w:t>196</w:t>
        </w:r>
        <w:r w:rsidR="00E46A7B">
          <w:rPr>
            <w:webHidden/>
          </w:rPr>
          <w:fldChar w:fldCharType="end"/>
        </w:r>
      </w:hyperlink>
    </w:p>
    <w:p w14:paraId="4686B375" w14:textId="77777777" w:rsidR="00E46A7B" w:rsidRDefault="008079F1">
      <w:pPr>
        <w:pStyle w:val="TOC3"/>
        <w:rPr>
          <w:rFonts w:asciiTheme="minorHAnsi" w:eastAsiaTheme="minorEastAsia" w:hAnsiTheme="minorHAnsi" w:cstheme="minorBidi"/>
          <w:sz w:val="22"/>
          <w:szCs w:val="22"/>
        </w:rPr>
      </w:pPr>
      <w:hyperlink w:anchor="_Toc517161181" w:history="1">
        <w:r w:rsidR="00E46A7B" w:rsidRPr="00461340">
          <w:rPr>
            <w:rStyle w:val="Hyperlink"/>
            <w:rFonts w:eastAsia="Times"/>
          </w:rPr>
          <w:t>C.6.6</w:t>
        </w:r>
        <w:r w:rsidR="00E46A7B">
          <w:rPr>
            <w:rFonts w:asciiTheme="minorHAnsi" w:eastAsiaTheme="minorEastAsia" w:hAnsiTheme="minorHAnsi" w:cstheme="minorBidi"/>
            <w:sz w:val="22"/>
            <w:szCs w:val="22"/>
          </w:rPr>
          <w:tab/>
        </w:r>
        <w:r w:rsidR="00E46A7B" w:rsidRPr="00461340">
          <w:rPr>
            <w:rStyle w:val="Hyperlink"/>
          </w:rPr>
          <w:t>Hydrogeology and groundwater</w:t>
        </w:r>
        <w:r w:rsidR="00E46A7B">
          <w:rPr>
            <w:webHidden/>
          </w:rPr>
          <w:tab/>
        </w:r>
        <w:r w:rsidR="00E46A7B">
          <w:rPr>
            <w:webHidden/>
          </w:rPr>
          <w:fldChar w:fldCharType="begin"/>
        </w:r>
        <w:r w:rsidR="00E46A7B">
          <w:rPr>
            <w:webHidden/>
          </w:rPr>
          <w:instrText xml:space="preserve"> PAGEREF _Toc517161181 \h </w:instrText>
        </w:r>
        <w:r w:rsidR="00E46A7B">
          <w:rPr>
            <w:webHidden/>
          </w:rPr>
        </w:r>
        <w:r w:rsidR="00E46A7B">
          <w:rPr>
            <w:webHidden/>
          </w:rPr>
          <w:fldChar w:fldCharType="separate"/>
        </w:r>
        <w:r w:rsidR="00640CCB">
          <w:rPr>
            <w:webHidden/>
          </w:rPr>
          <w:t>197</w:t>
        </w:r>
        <w:r w:rsidR="00E46A7B">
          <w:rPr>
            <w:webHidden/>
          </w:rPr>
          <w:fldChar w:fldCharType="end"/>
        </w:r>
      </w:hyperlink>
    </w:p>
    <w:p w14:paraId="389F5A48" w14:textId="77777777" w:rsidR="00E46A7B" w:rsidRDefault="008079F1">
      <w:pPr>
        <w:pStyle w:val="TOC3"/>
        <w:rPr>
          <w:rFonts w:asciiTheme="minorHAnsi" w:eastAsiaTheme="minorEastAsia" w:hAnsiTheme="minorHAnsi" w:cstheme="minorBidi"/>
          <w:sz w:val="22"/>
          <w:szCs w:val="22"/>
        </w:rPr>
      </w:pPr>
      <w:hyperlink w:anchor="_Toc517161182" w:history="1">
        <w:r w:rsidR="00E46A7B" w:rsidRPr="00461340">
          <w:rPr>
            <w:rStyle w:val="Hyperlink"/>
            <w:rFonts w:eastAsia="Times"/>
          </w:rPr>
          <w:t>C.6.7</w:t>
        </w:r>
        <w:r w:rsidR="00E46A7B">
          <w:rPr>
            <w:rFonts w:asciiTheme="minorHAnsi" w:eastAsiaTheme="minorEastAsia" w:hAnsiTheme="minorHAnsi" w:cstheme="minorBidi"/>
            <w:sz w:val="22"/>
            <w:szCs w:val="22"/>
          </w:rPr>
          <w:tab/>
        </w:r>
        <w:r w:rsidR="00E46A7B" w:rsidRPr="00461340">
          <w:rPr>
            <w:rStyle w:val="Hyperlink"/>
          </w:rPr>
          <w:t>Surface water systems and hydrology</w:t>
        </w:r>
        <w:r w:rsidR="00E46A7B">
          <w:rPr>
            <w:webHidden/>
          </w:rPr>
          <w:tab/>
        </w:r>
        <w:r w:rsidR="00E46A7B">
          <w:rPr>
            <w:webHidden/>
          </w:rPr>
          <w:fldChar w:fldCharType="begin"/>
        </w:r>
        <w:r w:rsidR="00E46A7B">
          <w:rPr>
            <w:webHidden/>
          </w:rPr>
          <w:instrText xml:space="preserve"> PAGEREF _Toc517161182 \h </w:instrText>
        </w:r>
        <w:r w:rsidR="00E46A7B">
          <w:rPr>
            <w:webHidden/>
          </w:rPr>
        </w:r>
        <w:r w:rsidR="00E46A7B">
          <w:rPr>
            <w:webHidden/>
          </w:rPr>
          <w:fldChar w:fldCharType="separate"/>
        </w:r>
        <w:r w:rsidR="00640CCB">
          <w:rPr>
            <w:webHidden/>
          </w:rPr>
          <w:t>201</w:t>
        </w:r>
        <w:r w:rsidR="00E46A7B">
          <w:rPr>
            <w:webHidden/>
          </w:rPr>
          <w:fldChar w:fldCharType="end"/>
        </w:r>
      </w:hyperlink>
    </w:p>
    <w:p w14:paraId="545760A2" w14:textId="77777777" w:rsidR="00E46A7B" w:rsidRDefault="008079F1">
      <w:pPr>
        <w:pStyle w:val="TOC3"/>
        <w:rPr>
          <w:rFonts w:asciiTheme="minorHAnsi" w:eastAsiaTheme="minorEastAsia" w:hAnsiTheme="minorHAnsi" w:cstheme="minorBidi"/>
          <w:sz w:val="22"/>
          <w:szCs w:val="22"/>
        </w:rPr>
      </w:pPr>
      <w:hyperlink w:anchor="_Toc517161183" w:history="1">
        <w:r w:rsidR="00E46A7B" w:rsidRPr="00461340">
          <w:rPr>
            <w:rStyle w:val="Hyperlink"/>
            <w:rFonts w:eastAsia="Times"/>
          </w:rPr>
          <w:t>C.6.8</w:t>
        </w:r>
        <w:r w:rsidR="00E46A7B">
          <w:rPr>
            <w:rFonts w:asciiTheme="minorHAnsi" w:eastAsiaTheme="minorEastAsia" w:hAnsiTheme="minorHAnsi" w:cstheme="minorBidi"/>
            <w:sz w:val="22"/>
            <w:szCs w:val="22"/>
          </w:rPr>
          <w:tab/>
        </w:r>
        <w:r w:rsidR="00E46A7B" w:rsidRPr="00461340">
          <w:rPr>
            <w:rStyle w:val="Hyperlink"/>
          </w:rPr>
          <w:t>Groundwater – surface water interactions</w:t>
        </w:r>
        <w:r w:rsidR="00E46A7B">
          <w:rPr>
            <w:webHidden/>
          </w:rPr>
          <w:tab/>
        </w:r>
        <w:r w:rsidR="00E46A7B">
          <w:rPr>
            <w:webHidden/>
          </w:rPr>
          <w:fldChar w:fldCharType="begin"/>
        </w:r>
        <w:r w:rsidR="00E46A7B">
          <w:rPr>
            <w:webHidden/>
          </w:rPr>
          <w:instrText xml:space="preserve"> PAGEREF _Toc517161183 \h </w:instrText>
        </w:r>
        <w:r w:rsidR="00E46A7B">
          <w:rPr>
            <w:webHidden/>
          </w:rPr>
        </w:r>
        <w:r w:rsidR="00E46A7B">
          <w:rPr>
            <w:webHidden/>
          </w:rPr>
          <w:fldChar w:fldCharType="separate"/>
        </w:r>
        <w:r w:rsidR="00640CCB">
          <w:rPr>
            <w:webHidden/>
          </w:rPr>
          <w:t>204</w:t>
        </w:r>
        <w:r w:rsidR="00E46A7B">
          <w:rPr>
            <w:webHidden/>
          </w:rPr>
          <w:fldChar w:fldCharType="end"/>
        </w:r>
      </w:hyperlink>
    </w:p>
    <w:p w14:paraId="372316F2" w14:textId="77777777" w:rsidR="00E46A7B" w:rsidRDefault="008079F1">
      <w:pPr>
        <w:pStyle w:val="TOC3"/>
        <w:rPr>
          <w:rFonts w:asciiTheme="minorHAnsi" w:eastAsiaTheme="minorEastAsia" w:hAnsiTheme="minorHAnsi" w:cstheme="minorBidi"/>
          <w:sz w:val="22"/>
          <w:szCs w:val="22"/>
        </w:rPr>
      </w:pPr>
      <w:hyperlink w:anchor="_Toc517161184" w:history="1">
        <w:r w:rsidR="00E46A7B" w:rsidRPr="00461340">
          <w:rPr>
            <w:rStyle w:val="Hyperlink"/>
            <w:rFonts w:eastAsia="Times"/>
          </w:rPr>
          <w:t>C.6.9</w:t>
        </w:r>
        <w:r w:rsidR="00E46A7B">
          <w:rPr>
            <w:rFonts w:asciiTheme="minorHAnsi" w:eastAsiaTheme="minorEastAsia" w:hAnsiTheme="minorHAnsi" w:cstheme="minorBidi"/>
            <w:sz w:val="22"/>
            <w:szCs w:val="22"/>
          </w:rPr>
          <w:tab/>
        </w:r>
        <w:r w:rsidR="00E46A7B" w:rsidRPr="00461340">
          <w:rPr>
            <w:rStyle w:val="Hyperlink"/>
          </w:rPr>
          <w:t>Environmental assets</w:t>
        </w:r>
        <w:r w:rsidR="00E46A7B">
          <w:rPr>
            <w:webHidden/>
          </w:rPr>
          <w:tab/>
        </w:r>
        <w:r w:rsidR="00E46A7B">
          <w:rPr>
            <w:webHidden/>
          </w:rPr>
          <w:fldChar w:fldCharType="begin"/>
        </w:r>
        <w:r w:rsidR="00E46A7B">
          <w:rPr>
            <w:webHidden/>
          </w:rPr>
          <w:instrText xml:space="preserve"> PAGEREF _Toc517161184 \h </w:instrText>
        </w:r>
        <w:r w:rsidR="00E46A7B">
          <w:rPr>
            <w:webHidden/>
          </w:rPr>
        </w:r>
        <w:r w:rsidR="00E46A7B">
          <w:rPr>
            <w:webHidden/>
          </w:rPr>
          <w:fldChar w:fldCharType="separate"/>
        </w:r>
        <w:r w:rsidR="00640CCB">
          <w:rPr>
            <w:webHidden/>
          </w:rPr>
          <w:t>205</w:t>
        </w:r>
        <w:r w:rsidR="00E46A7B">
          <w:rPr>
            <w:webHidden/>
          </w:rPr>
          <w:fldChar w:fldCharType="end"/>
        </w:r>
      </w:hyperlink>
    </w:p>
    <w:p w14:paraId="58341190" w14:textId="77777777" w:rsidR="00E46A7B" w:rsidRDefault="008079F1">
      <w:pPr>
        <w:pStyle w:val="TOC3"/>
        <w:rPr>
          <w:rFonts w:asciiTheme="minorHAnsi" w:eastAsiaTheme="minorEastAsia" w:hAnsiTheme="minorHAnsi" w:cstheme="minorBidi"/>
          <w:sz w:val="22"/>
          <w:szCs w:val="22"/>
        </w:rPr>
      </w:pPr>
      <w:hyperlink w:anchor="_Toc517161185" w:history="1">
        <w:r w:rsidR="00E46A7B" w:rsidRPr="00461340">
          <w:rPr>
            <w:rStyle w:val="Hyperlink"/>
            <w:rFonts w:eastAsia="Times"/>
          </w:rPr>
          <w:t>C.6.10</w:t>
        </w:r>
        <w:r w:rsidR="00E46A7B">
          <w:rPr>
            <w:rFonts w:asciiTheme="minorHAnsi" w:eastAsiaTheme="minorEastAsia" w:hAnsiTheme="minorHAnsi" w:cstheme="minorBidi"/>
            <w:sz w:val="22"/>
            <w:szCs w:val="22"/>
          </w:rPr>
          <w:tab/>
        </w:r>
        <w:r w:rsidR="00E46A7B" w:rsidRPr="00461340">
          <w:rPr>
            <w:rStyle w:val="Hyperlink"/>
          </w:rPr>
          <w:t>Social considerations</w:t>
        </w:r>
        <w:r w:rsidR="00E46A7B">
          <w:rPr>
            <w:webHidden/>
          </w:rPr>
          <w:tab/>
        </w:r>
        <w:r w:rsidR="00E46A7B">
          <w:rPr>
            <w:webHidden/>
          </w:rPr>
          <w:fldChar w:fldCharType="begin"/>
        </w:r>
        <w:r w:rsidR="00E46A7B">
          <w:rPr>
            <w:webHidden/>
          </w:rPr>
          <w:instrText xml:space="preserve"> PAGEREF _Toc517161185 \h </w:instrText>
        </w:r>
        <w:r w:rsidR="00E46A7B">
          <w:rPr>
            <w:webHidden/>
          </w:rPr>
        </w:r>
        <w:r w:rsidR="00E46A7B">
          <w:rPr>
            <w:webHidden/>
          </w:rPr>
          <w:fldChar w:fldCharType="separate"/>
        </w:r>
        <w:r w:rsidR="00640CCB">
          <w:rPr>
            <w:webHidden/>
          </w:rPr>
          <w:t>205</w:t>
        </w:r>
        <w:r w:rsidR="00E46A7B">
          <w:rPr>
            <w:webHidden/>
          </w:rPr>
          <w:fldChar w:fldCharType="end"/>
        </w:r>
      </w:hyperlink>
    </w:p>
    <w:p w14:paraId="60929E5F" w14:textId="77777777" w:rsidR="00E46A7B" w:rsidRDefault="008079F1">
      <w:pPr>
        <w:pStyle w:val="TOC3"/>
        <w:rPr>
          <w:rFonts w:asciiTheme="minorHAnsi" w:eastAsiaTheme="minorEastAsia" w:hAnsiTheme="minorHAnsi" w:cstheme="minorBidi"/>
          <w:sz w:val="22"/>
          <w:szCs w:val="22"/>
        </w:rPr>
      </w:pPr>
      <w:hyperlink w:anchor="_Toc517161186" w:history="1">
        <w:r w:rsidR="00E46A7B" w:rsidRPr="00461340">
          <w:rPr>
            <w:rStyle w:val="Hyperlink"/>
          </w:rPr>
          <w:t>Key references</w:t>
        </w:r>
        <w:r w:rsidR="00E46A7B">
          <w:rPr>
            <w:webHidden/>
          </w:rPr>
          <w:tab/>
        </w:r>
        <w:r w:rsidR="00E46A7B">
          <w:rPr>
            <w:webHidden/>
          </w:rPr>
          <w:fldChar w:fldCharType="begin"/>
        </w:r>
        <w:r w:rsidR="00E46A7B">
          <w:rPr>
            <w:webHidden/>
          </w:rPr>
          <w:instrText xml:space="preserve"> PAGEREF _Toc517161186 \h </w:instrText>
        </w:r>
        <w:r w:rsidR="00E46A7B">
          <w:rPr>
            <w:webHidden/>
          </w:rPr>
        </w:r>
        <w:r w:rsidR="00E46A7B">
          <w:rPr>
            <w:webHidden/>
          </w:rPr>
          <w:fldChar w:fldCharType="separate"/>
        </w:r>
        <w:r w:rsidR="00640CCB">
          <w:rPr>
            <w:webHidden/>
          </w:rPr>
          <w:t>206</w:t>
        </w:r>
        <w:r w:rsidR="00E46A7B">
          <w:rPr>
            <w:webHidden/>
          </w:rPr>
          <w:fldChar w:fldCharType="end"/>
        </w:r>
      </w:hyperlink>
    </w:p>
    <w:p w14:paraId="73D29347" w14:textId="77777777" w:rsidR="00E46A7B" w:rsidRDefault="008079F1">
      <w:pPr>
        <w:pStyle w:val="TOC2"/>
        <w:rPr>
          <w:rFonts w:asciiTheme="minorHAnsi" w:eastAsiaTheme="minorEastAsia" w:hAnsiTheme="minorHAnsi" w:cstheme="minorBidi"/>
          <w:sz w:val="22"/>
          <w:szCs w:val="22"/>
        </w:rPr>
      </w:pPr>
      <w:hyperlink w:anchor="_Toc517161187" w:history="1">
        <w:r w:rsidR="00E46A7B" w:rsidRPr="00461340">
          <w:rPr>
            <w:rStyle w:val="Hyperlink"/>
          </w:rPr>
          <w:t>C.7</w:t>
        </w:r>
        <w:r w:rsidR="00E46A7B">
          <w:rPr>
            <w:rFonts w:asciiTheme="minorHAnsi" w:eastAsiaTheme="minorEastAsia" w:hAnsiTheme="minorHAnsi" w:cstheme="minorBidi"/>
            <w:sz w:val="22"/>
            <w:szCs w:val="22"/>
          </w:rPr>
          <w:tab/>
        </w:r>
        <w:r w:rsidR="00E46A7B" w:rsidRPr="00461340">
          <w:rPr>
            <w:rStyle w:val="Hyperlink"/>
          </w:rPr>
          <w:t>Isa Superbasin</w:t>
        </w:r>
        <w:r w:rsidR="00E46A7B">
          <w:rPr>
            <w:webHidden/>
          </w:rPr>
          <w:tab/>
        </w:r>
        <w:r w:rsidR="00E46A7B">
          <w:rPr>
            <w:webHidden/>
          </w:rPr>
          <w:fldChar w:fldCharType="begin"/>
        </w:r>
        <w:r w:rsidR="00E46A7B">
          <w:rPr>
            <w:webHidden/>
          </w:rPr>
          <w:instrText xml:space="preserve"> PAGEREF _Toc517161187 \h </w:instrText>
        </w:r>
        <w:r w:rsidR="00E46A7B">
          <w:rPr>
            <w:webHidden/>
          </w:rPr>
        </w:r>
        <w:r w:rsidR="00E46A7B">
          <w:rPr>
            <w:webHidden/>
          </w:rPr>
          <w:fldChar w:fldCharType="separate"/>
        </w:r>
        <w:r w:rsidR="00640CCB">
          <w:rPr>
            <w:webHidden/>
          </w:rPr>
          <w:t>209</w:t>
        </w:r>
        <w:r w:rsidR="00E46A7B">
          <w:rPr>
            <w:webHidden/>
          </w:rPr>
          <w:fldChar w:fldCharType="end"/>
        </w:r>
      </w:hyperlink>
    </w:p>
    <w:p w14:paraId="7068F2CA" w14:textId="77777777" w:rsidR="00E46A7B" w:rsidRDefault="008079F1">
      <w:pPr>
        <w:pStyle w:val="TOC3"/>
        <w:rPr>
          <w:rFonts w:asciiTheme="minorHAnsi" w:eastAsiaTheme="minorEastAsia" w:hAnsiTheme="minorHAnsi" w:cstheme="minorBidi"/>
          <w:sz w:val="22"/>
          <w:szCs w:val="22"/>
        </w:rPr>
      </w:pPr>
      <w:hyperlink w:anchor="_Toc517161188" w:history="1">
        <w:r w:rsidR="00E46A7B" w:rsidRPr="00461340">
          <w:rPr>
            <w:rStyle w:val="Hyperlink"/>
          </w:rPr>
          <w:t>C.7.1</w:t>
        </w:r>
        <w:r w:rsidR="00E46A7B">
          <w:rPr>
            <w:rFonts w:asciiTheme="minorHAnsi" w:eastAsiaTheme="minorEastAsia" w:hAnsiTheme="minorHAnsi" w:cstheme="minorBidi"/>
            <w:sz w:val="22"/>
            <w:szCs w:val="22"/>
          </w:rPr>
          <w:tab/>
        </w:r>
        <w:r w:rsidR="00E46A7B" w:rsidRPr="00461340">
          <w:rPr>
            <w:rStyle w:val="Hyperlink"/>
          </w:rPr>
          <w:t>Basin Geology</w:t>
        </w:r>
        <w:r w:rsidR="00E46A7B">
          <w:rPr>
            <w:webHidden/>
          </w:rPr>
          <w:tab/>
        </w:r>
        <w:r w:rsidR="00E46A7B">
          <w:rPr>
            <w:webHidden/>
          </w:rPr>
          <w:fldChar w:fldCharType="begin"/>
        </w:r>
        <w:r w:rsidR="00E46A7B">
          <w:rPr>
            <w:webHidden/>
          </w:rPr>
          <w:instrText xml:space="preserve"> PAGEREF _Toc517161188 \h </w:instrText>
        </w:r>
        <w:r w:rsidR="00E46A7B">
          <w:rPr>
            <w:webHidden/>
          </w:rPr>
        </w:r>
        <w:r w:rsidR="00E46A7B">
          <w:rPr>
            <w:webHidden/>
          </w:rPr>
          <w:fldChar w:fldCharType="separate"/>
        </w:r>
        <w:r w:rsidR="00640CCB">
          <w:rPr>
            <w:webHidden/>
          </w:rPr>
          <w:t>210</w:t>
        </w:r>
        <w:r w:rsidR="00E46A7B">
          <w:rPr>
            <w:webHidden/>
          </w:rPr>
          <w:fldChar w:fldCharType="end"/>
        </w:r>
      </w:hyperlink>
    </w:p>
    <w:p w14:paraId="05373416" w14:textId="77777777" w:rsidR="00E46A7B" w:rsidRDefault="008079F1">
      <w:pPr>
        <w:pStyle w:val="TOC3"/>
        <w:rPr>
          <w:rFonts w:asciiTheme="minorHAnsi" w:eastAsiaTheme="minorEastAsia" w:hAnsiTheme="minorHAnsi" w:cstheme="minorBidi"/>
          <w:sz w:val="22"/>
          <w:szCs w:val="22"/>
        </w:rPr>
      </w:pPr>
      <w:hyperlink w:anchor="_Toc517161189" w:history="1">
        <w:r w:rsidR="00E46A7B" w:rsidRPr="00461340">
          <w:rPr>
            <w:rStyle w:val="Hyperlink"/>
          </w:rPr>
          <w:t>C.7.2</w:t>
        </w:r>
        <w:r w:rsidR="00E46A7B">
          <w:rPr>
            <w:rFonts w:asciiTheme="minorHAnsi" w:eastAsiaTheme="minorEastAsia" w:hAnsiTheme="minorHAnsi" w:cstheme="minorBidi"/>
            <w:sz w:val="22"/>
            <w:szCs w:val="22"/>
          </w:rPr>
          <w:tab/>
        </w:r>
        <w:r w:rsidR="00E46A7B" w:rsidRPr="00461340">
          <w:rPr>
            <w:rStyle w:val="Hyperlink"/>
          </w:rPr>
          <w:t>Petroleum data coverage</w:t>
        </w:r>
        <w:r w:rsidR="00E46A7B">
          <w:rPr>
            <w:webHidden/>
          </w:rPr>
          <w:tab/>
        </w:r>
        <w:r w:rsidR="00E46A7B">
          <w:rPr>
            <w:webHidden/>
          </w:rPr>
          <w:fldChar w:fldCharType="begin"/>
        </w:r>
        <w:r w:rsidR="00E46A7B">
          <w:rPr>
            <w:webHidden/>
          </w:rPr>
          <w:instrText xml:space="preserve"> PAGEREF _Toc517161189 \h </w:instrText>
        </w:r>
        <w:r w:rsidR="00E46A7B">
          <w:rPr>
            <w:webHidden/>
          </w:rPr>
        </w:r>
        <w:r w:rsidR="00E46A7B">
          <w:rPr>
            <w:webHidden/>
          </w:rPr>
          <w:fldChar w:fldCharType="separate"/>
        </w:r>
        <w:r w:rsidR="00640CCB">
          <w:rPr>
            <w:webHidden/>
          </w:rPr>
          <w:t>213</w:t>
        </w:r>
        <w:r w:rsidR="00E46A7B">
          <w:rPr>
            <w:webHidden/>
          </w:rPr>
          <w:fldChar w:fldCharType="end"/>
        </w:r>
      </w:hyperlink>
    </w:p>
    <w:p w14:paraId="31D5D77B" w14:textId="77777777" w:rsidR="00E46A7B" w:rsidRDefault="008079F1">
      <w:pPr>
        <w:pStyle w:val="TOC3"/>
        <w:rPr>
          <w:rFonts w:asciiTheme="minorHAnsi" w:eastAsiaTheme="minorEastAsia" w:hAnsiTheme="minorHAnsi" w:cstheme="minorBidi"/>
          <w:sz w:val="22"/>
          <w:szCs w:val="22"/>
        </w:rPr>
      </w:pPr>
      <w:hyperlink w:anchor="_Toc517161190" w:history="1">
        <w:r w:rsidR="00E46A7B" w:rsidRPr="00461340">
          <w:rPr>
            <w:rStyle w:val="Hyperlink"/>
          </w:rPr>
          <w:t>C.7.3</w:t>
        </w:r>
        <w:r w:rsidR="00E46A7B">
          <w:rPr>
            <w:rFonts w:asciiTheme="minorHAnsi" w:eastAsiaTheme="minorEastAsia" w:hAnsiTheme="minorHAnsi" w:cstheme="minorBidi"/>
            <w:sz w:val="22"/>
            <w:szCs w:val="22"/>
          </w:rPr>
          <w:tab/>
        </w:r>
        <w:r w:rsidR="00E46A7B" w:rsidRPr="00461340">
          <w:rPr>
            <w:rStyle w:val="Hyperlink"/>
          </w:rPr>
          <w:t>Shale and tight gas prospectivity</w:t>
        </w:r>
        <w:r w:rsidR="00E46A7B">
          <w:rPr>
            <w:webHidden/>
          </w:rPr>
          <w:tab/>
        </w:r>
        <w:r w:rsidR="00E46A7B">
          <w:rPr>
            <w:webHidden/>
          </w:rPr>
          <w:fldChar w:fldCharType="begin"/>
        </w:r>
        <w:r w:rsidR="00E46A7B">
          <w:rPr>
            <w:webHidden/>
          </w:rPr>
          <w:instrText xml:space="preserve"> PAGEREF _Toc517161190 \h </w:instrText>
        </w:r>
        <w:r w:rsidR="00E46A7B">
          <w:rPr>
            <w:webHidden/>
          </w:rPr>
        </w:r>
        <w:r w:rsidR="00E46A7B">
          <w:rPr>
            <w:webHidden/>
          </w:rPr>
          <w:fldChar w:fldCharType="separate"/>
        </w:r>
        <w:r w:rsidR="00640CCB">
          <w:rPr>
            <w:webHidden/>
          </w:rPr>
          <w:t>214</w:t>
        </w:r>
        <w:r w:rsidR="00E46A7B">
          <w:rPr>
            <w:webHidden/>
          </w:rPr>
          <w:fldChar w:fldCharType="end"/>
        </w:r>
      </w:hyperlink>
    </w:p>
    <w:p w14:paraId="73B858F4" w14:textId="77777777" w:rsidR="00E46A7B" w:rsidRDefault="008079F1">
      <w:pPr>
        <w:pStyle w:val="TOC3"/>
        <w:rPr>
          <w:rFonts w:asciiTheme="minorHAnsi" w:eastAsiaTheme="minorEastAsia" w:hAnsiTheme="minorHAnsi" w:cstheme="minorBidi"/>
          <w:sz w:val="22"/>
          <w:szCs w:val="22"/>
        </w:rPr>
      </w:pPr>
      <w:hyperlink w:anchor="_Toc517161191" w:history="1">
        <w:r w:rsidR="00E46A7B" w:rsidRPr="00461340">
          <w:rPr>
            <w:rStyle w:val="Hyperlink"/>
          </w:rPr>
          <w:t>C.7.4</w:t>
        </w:r>
        <w:r w:rsidR="00E46A7B">
          <w:rPr>
            <w:rFonts w:asciiTheme="minorHAnsi" w:eastAsiaTheme="minorEastAsia" w:hAnsiTheme="minorHAnsi" w:cstheme="minorBidi"/>
            <w:sz w:val="22"/>
            <w:szCs w:val="22"/>
          </w:rPr>
          <w:tab/>
        </w:r>
        <w:r w:rsidR="00E46A7B" w:rsidRPr="00461340">
          <w:rPr>
            <w:rStyle w:val="Hyperlink"/>
          </w:rPr>
          <w:t>Gas market access and infrastructure</w:t>
        </w:r>
        <w:r w:rsidR="00E46A7B">
          <w:rPr>
            <w:webHidden/>
          </w:rPr>
          <w:tab/>
        </w:r>
        <w:r w:rsidR="00E46A7B">
          <w:rPr>
            <w:webHidden/>
          </w:rPr>
          <w:fldChar w:fldCharType="begin"/>
        </w:r>
        <w:r w:rsidR="00E46A7B">
          <w:rPr>
            <w:webHidden/>
          </w:rPr>
          <w:instrText xml:space="preserve"> PAGEREF _Toc517161191 \h </w:instrText>
        </w:r>
        <w:r w:rsidR="00E46A7B">
          <w:rPr>
            <w:webHidden/>
          </w:rPr>
        </w:r>
        <w:r w:rsidR="00E46A7B">
          <w:rPr>
            <w:webHidden/>
          </w:rPr>
          <w:fldChar w:fldCharType="separate"/>
        </w:r>
        <w:r w:rsidR="00640CCB">
          <w:rPr>
            <w:webHidden/>
          </w:rPr>
          <w:t>218</w:t>
        </w:r>
        <w:r w:rsidR="00E46A7B">
          <w:rPr>
            <w:webHidden/>
          </w:rPr>
          <w:fldChar w:fldCharType="end"/>
        </w:r>
      </w:hyperlink>
    </w:p>
    <w:p w14:paraId="02398F97" w14:textId="77777777" w:rsidR="00E46A7B" w:rsidRDefault="008079F1">
      <w:pPr>
        <w:pStyle w:val="TOC3"/>
        <w:rPr>
          <w:rFonts w:asciiTheme="minorHAnsi" w:eastAsiaTheme="minorEastAsia" w:hAnsiTheme="minorHAnsi" w:cstheme="minorBidi"/>
          <w:sz w:val="22"/>
          <w:szCs w:val="22"/>
        </w:rPr>
      </w:pPr>
      <w:hyperlink w:anchor="_Toc517161192" w:history="1">
        <w:r w:rsidR="00E46A7B" w:rsidRPr="00461340">
          <w:rPr>
            <w:rStyle w:val="Hyperlink"/>
          </w:rPr>
          <w:t>C.7.5</w:t>
        </w:r>
        <w:r w:rsidR="00E46A7B">
          <w:rPr>
            <w:rFonts w:asciiTheme="minorHAnsi" w:eastAsiaTheme="minorEastAsia" w:hAnsiTheme="minorHAnsi" w:cstheme="minorBidi"/>
            <w:sz w:val="22"/>
            <w:szCs w:val="22"/>
          </w:rPr>
          <w:tab/>
        </w:r>
        <w:r w:rsidR="00E46A7B" w:rsidRPr="00461340">
          <w:rPr>
            <w:rStyle w:val="Hyperlink"/>
          </w:rPr>
          <w:t>Regulatory environment impacting shale and tight gas exploration</w:t>
        </w:r>
        <w:r w:rsidR="00E46A7B">
          <w:rPr>
            <w:webHidden/>
          </w:rPr>
          <w:tab/>
        </w:r>
        <w:r w:rsidR="00E46A7B">
          <w:rPr>
            <w:webHidden/>
          </w:rPr>
          <w:fldChar w:fldCharType="begin"/>
        </w:r>
        <w:r w:rsidR="00E46A7B">
          <w:rPr>
            <w:webHidden/>
          </w:rPr>
          <w:instrText xml:space="preserve"> PAGEREF _Toc517161192 \h </w:instrText>
        </w:r>
        <w:r w:rsidR="00E46A7B">
          <w:rPr>
            <w:webHidden/>
          </w:rPr>
        </w:r>
        <w:r w:rsidR="00E46A7B">
          <w:rPr>
            <w:webHidden/>
          </w:rPr>
          <w:fldChar w:fldCharType="separate"/>
        </w:r>
        <w:r w:rsidR="00640CCB">
          <w:rPr>
            <w:webHidden/>
          </w:rPr>
          <w:t>219</w:t>
        </w:r>
        <w:r w:rsidR="00E46A7B">
          <w:rPr>
            <w:webHidden/>
          </w:rPr>
          <w:fldChar w:fldCharType="end"/>
        </w:r>
      </w:hyperlink>
    </w:p>
    <w:p w14:paraId="75464C93" w14:textId="77777777" w:rsidR="00E46A7B" w:rsidRDefault="008079F1">
      <w:pPr>
        <w:pStyle w:val="TOC3"/>
        <w:rPr>
          <w:rFonts w:asciiTheme="minorHAnsi" w:eastAsiaTheme="minorEastAsia" w:hAnsiTheme="minorHAnsi" w:cstheme="minorBidi"/>
          <w:sz w:val="22"/>
          <w:szCs w:val="22"/>
        </w:rPr>
      </w:pPr>
      <w:hyperlink w:anchor="_Toc517161193" w:history="1">
        <w:r w:rsidR="00E46A7B" w:rsidRPr="00461340">
          <w:rPr>
            <w:rStyle w:val="Hyperlink"/>
          </w:rPr>
          <w:t>C.7.6</w:t>
        </w:r>
        <w:r w:rsidR="00E46A7B">
          <w:rPr>
            <w:rFonts w:asciiTheme="minorHAnsi" w:eastAsiaTheme="minorEastAsia" w:hAnsiTheme="minorHAnsi" w:cstheme="minorBidi"/>
            <w:sz w:val="22"/>
            <w:szCs w:val="22"/>
          </w:rPr>
          <w:tab/>
        </w:r>
        <w:r w:rsidR="00E46A7B" w:rsidRPr="00461340">
          <w:rPr>
            <w:rStyle w:val="Hyperlink"/>
          </w:rPr>
          <w:t>Hydrogeology and groundwater</w:t>
        </w:r>
        <w:r w:rsidR="00E46A7B">
          <w:rPr>
            <w:webHidden/>
          </w:rPr>
          <w:tab/>
        </w:r>
        <w:r w:rsidR="00E46A7B">
          <w:rPr>
            <w:webHidden/>
          </w:rPr>
          <w:fldChar w:fldCharType="begin"/>
        </w:r>
        <w:r w:rsidR="00E46A7B">
          <w:rPr>
            <w:webHidden/>
          </w:rPr>
          <w:instrText xml:space="preserve"> PAGEREF _Toc517161193 \h </w:instrText>
        </w:r>
        <w:r w:rsidR="00E46A7B">
          <w:rPr>
            <w:webHidden/>
          </w:rPr>
        </w:r>
        <w:r w:rsidR="00E46A7B">
          <w:rPr>
            <w:webHidden/>
          </w:rPr>
          <w:fldChar w:fldCharType="separate"/>
        </w:r>
        <w:r w:rsidR="00640CCB">
          <w:rPr>
            <w:webHidden/>
          </w:rPr>
          <w:t>220</w:t>
        </w:r>
        <w:r w:rsidR="00E46A7B">
          <w:rPr>
            <w:webHidden/>
          </w:rPr>
          <w:fldChar w:fldCharType="end"/>
        </w:r>
      </w:hyperlink>
    </w:p>
    <w:p w14:paraId="24F49081" w14:textId="77777777" w:rsidR="00E46A7B" w:rsidRDefault="008079F1">
      <w:pPr>
        <w:pStyle w:val="TOC3"/>
        <w:rPr>
          <w:rFonts w:asciiTheme="minorHAnsi" w:eastAsiaTheme="minorEastAsia" w:hAnsiTheme="minorHAnsi" w:cstheme="minorBidi"/>
          <w:sz w:val="22"/>
          <w:szCs w:val="22"/>
        </w:rPr>
      </w:pPr>
      <w:hyperlink w:anchor="_Toc517161194" w:history="1">
        <w:r w:rsidR="00E46A7B" w:rsidRPr="00461340">
          <w:rPr>
            <w:rStyle w:val="Hyperlink"/>
          </w:rPr>
          <w:t>C.7.7</w:t>
        </w:r>
        <w:r w:rsidR="00E46A7B">
          <w:rPr>
            <w:rFonts w:asciiTheme="minorHAnsi" w:eastAsiaTheme="minorEastAsia" w:hAnsiTheme="minorHAnsi" w:cstheme="minorBidi"/>
            <w:sz w:val="22"/>
            <w:szCs w:val="22"/>
          </w:rPr>
          <w:tab/>
        </w:r>
        <w:r w:rsidR="00E46A7B" w:rsidRPr="00461340">
          <w:rPr>
            <w:rStyle w:val="Hyperlink"/>
          </w:rPr>
          <w:t>Surface water hydrology</w:t>
        </w:r>
        <w:r w:rsidR="00E46A7B">
          <w:rPr>
            <w:webHidden/>
          </w:rPr>
          <w:tab/>
        </w:r>
        <w:r w:rsidR="00E46A7B">
          <w:rPr>
            <w:webHidden/>
          </w:rPr>
          <w:fldChar w:fldCharType="begin"/>
        </w:r>
        <w:r w:rsidR="00E46A7B">
          <w:rPr>
            <w:webHidden/>
          </w:rPr>
          <w:instrText xml:space="preserve"> PAGEREF _Toc517161194 \h </w:instrText>
        </w:r>
        <w:r w:rsidR="00E46A7B">
          <w:rPr>
            <w:webHidden/>
          </w:rPr>
        </w:r>
        <w:r w:rsidR="00E46A7B">
          <w:rPr>
            <w:webHidden/>
          </w:rPr>
          <w:fldChar w:fldCharType="separate"/>
        </w:r>
        <w:r w:rsidR="00640CCB">
          <w:rPr>
            <w:webHidden/>
          </w:rPr>
          <w:t>227</w:t>
        </w:r>
        <w:r w:rsidR="00E46A7B">
          <w:rPr>
            <w:webHidden/>
          </w:rPr>
          <w:fldChar w:fldCharType="end"/>
        </w:r>
      </w:hyperlink>
    </w:p>
    <w:p w14:paraId="55585B09" w14:textId="77777777" w:rsidR="00E46A7B" w:rsidRDefault="008079F1">
      <w:pPr>
        <w:pStyle w:val="TOC3"/>
        <w:rPr>
          <w:rFonts w:asciiTheme="minorHAnsi" w:eastAsiaTheme="minorEastAsia" w:hAnsiTheme="minorHAnsi" w:cstheme="minorBidi"/>
          <w:sz w:val="22"/>
          <w:szCs w:val="22"/>
        </w:rPr>
      </w:pPr>
      <w:hyperlink w:anchor="_Toc517161195" w:history="1">
        <w:r w:rsidR="00E46A7B" w:rsidRPr="00461340">
          <w:rPr>
            <w:rStyle w:val="Hyperlink"/>
          </w:rPr>
          <w:t>C.7.8</w:t>
        </w:r>
        <w:r w:rsidR="00E46A7B">
          <w:rPr>
            <w:rFonts w:asciiTheme="minorHAnsi" w:eastAsiaTheme="minorEastAsia" w:hAnsiTheme="minorHAnsi" w:cstheme="minorBidi"/>
            <w:sz w:val="22"/>
            <w:szCs w:val="22"/>
          </w:rPr>
          <w:tab/>
        </w:r>
        <w:r w:rsidR="00E46A7B" w:rsidRPr="00461340">
          <w:rPr>
            <w:rStyle w:val="Hyperlink"/>
          </w:rPr>
          <w:t>Groundwater – surface water interactions</w:t>
        </w:r>
        <w:r w:rsidR="00E46A7B">
          <w:rPr>
            <w:webHidden/>
          </w:rPr>
          <w:tab/>
        </w:r>
        <w:r w:rsidR="00E46A7B">
          <w:rPr>
            <w:webHidden/>
          </w:rPr>
          <w:fldChar w:fldCharType="begin"/>
        </w:r>
        <w:r w:rsidR="00E46A7B">
          <w:rPr>
            <w:webHidden/>
          </w:rPr>
          <w:instrText xml:space="preserve"> PAGEREF _Toc517161195 \h </w:instrText>
        </w:r>
        <w:r w:rsidR="00E46A7B">
          <w:rPr>
            <w:webHidden/>
          </w:rPr>
        </w:r>
        <w:r w:rsidR="00E46A7B">
          <w:rPr>
            <w:webHidden/>
          </w:rPr>
          <w:fldChar w:fldCharType="separate"/>
        </w:r>
        <w:r w:rsidR="00640CCB">
          <w:rPr>
            <w:webHidden/>
          </w:rPr>
          <w:t>228</w:t>
        </w:r>
        <w:r w:rsidR="00E46A7B">
          <w:rPr>
            <w:webHidden/>
          </w:rPr>
          <w:fldChar w:fldCharType="end"/>
        </w:r>
      </w:hyperlink>
    </w:p>
    <w:p w14:paraId="39A94E9F" w14:textId="77777777" w:rsidR="00E46A7B" w:rsidRDefault="008079F1">
      <w:pPr>
        <w:pStyle w:val="TOC3"/>
        <w:rPr>
          <w:rFonts w:asciiTheme="minorHAnsi" w:eastAsiaTheme="minorEastAsia" w:hAnsiTheme="minorHAnsi" w:cstheme="minorBidi"/>
          <w:sz w:val="22"/>
          <w:szCs w:val="22"/>
        </w:rPr>
      </w:pPr>
      <w:hyperlink w:anchor="_Toc517161196" w:history="1">
        <w:r w:rsidR="00E46A7B" w:rsidRPr="00461340">
          <w:rPr>
            <w:rStyle w:val="Hyperlink"/>
          </w:rPr>
          <w:t>C.7.9</w:t>
        </w:r>
        <w:r w:rsidR="00E46A7B">
          <w:rPr>
            <w:rFonts w:asciiTheme="minorHAnsi" w:eastAsiaTheme="minorEastAsia" w:hAnsiTheme="minorHAnsi" w:cstheme="minorBidi"/>
            <w:sz w:val="22"/>
            <w:szCs w:val="22"/>
          </w:rPr>
          <w:tab/>
        </w:r>
        <w:r w:rsidR="00E46A7B" w:rsidRPr="00461340">
          <w:rPr>
            <w:rStyle w:val="Hyperlink"/>
          </w:rPr>
          <w:t>Environmental assets</w:t>
        </w:r>
        <w:r w:rsidR="00E46A7B">
          <w:rPr>
            <w:webHidden/>
          </w:rPr>
          <w:tab/>
        </w:r>
        <w:r w:rsidR="00E46A7B">
          <w:rPr>
            <w:webHidden/>
          </w:rPr>
          <w:fldChar w:fldCharType="begin"/>
        </w:r>
        <w:r w:rsidR="00E46A7B">
          <w:rPr>
            <w:webHidden/>
          </w:rPr>
          <w:instrText xml:space="preserve"> PAGEREF _Toc517161196 \h </w:instrText>
        </w:r>
        <w:r w:rsidR="00E46A7B">
          <w:rPr>
            <w:webHidden/>
          </w:rPr>
        </w:r>
        <w:r w:rsidR="00E46A7B">
          <w:rPr>
            <w:webHidden/>
          </w:rPr>
          <w:fldChar w:fldCharType="separate"/>
        </w:r>
        <w:r w:rsidR="00640CCB">
          <w:rPr>
            <w:webHidden/>
          </w:rPr>
          <w:t>229</w:t>
        </w:r>
        <w:r w:rsidR="00E46A7B">
          <w:rPr>
            <w:webHidden/>
          </w:rPr>
          <w:fldChar w:fldCharType="end"/>
        </w:r>
      </w:hyperlink>
    </w:p>
    <w:p w14:paraId="2F3A083F" w14:textId="77777777" w:rsidR="00E46A7B" w:rsidRDefault="008079F1">
      <w:pPr>
        <w:pStyle w:val="TOC3"/>
        <w:rPr>
          <w:rFonts w:asciiTheme="minorHAnsi" w:eastAsiaTheme="minorEastAsia" w:hAnsiTheme="minorHAnsi" w:cstheme="minorBidi"/>
          <w:sz w:val="22"/>
          <w:szCs w:val="22"/>
        </w:rPr>
      </w:pPr>
      <w:hyperlink w:anchor="_Toc517161197" w:history="1">
        <w:r w:rsidR="00E46A7B" w:rsidRPr="00461340">
          <w:rPr>
            <w:rStyle w:val="Hyperlink"/>
          </w:rPr>
          <w:t>C.7.10</w:t>
        </w:r>
        <w:r w:rsidR="00E46A7B">
          <w:rPr>
            <w:rFonts w:asciiTheme="minorHAnsi" w:eastAsiaTheme="minorEastAsia" w:hAnsiTheme="minorHAnsi" w:cstheme="minorBidi"/>
            <w:sz w:val="22"/>
            <w:szCs w:val="22"/>
          </w:rPr>
          <w:tab/>
        </w:r>
        <w:r w:rsidR="00E46A7B" w:rsidRPr="00461340">
          <w:rPr>
            <w:rStyle w:val="Hyperlink"/>
          </w:rPr>
          <w:t>Social considerations</w:t>
        </w:r>
        <w:r w:rsidR="00E46A7B">
          <w:rPr>
            <w:webHidden/>
          </w:rPr>
          <w:tab/>
        </w:r>
        <w:r w:rsidR="00E46A7B">
          <w:rPr>
            <w:webHidden/>
          </w:rPr>
          <w:fldChar w:fldCharType="begin"/>
        </w:r>
        <w:r w:rsidR="00E46A7B">
          <w:rPr>
            <w:webHidden/>
          </w:rPr>
          <w:instrText xml:space="preserve"> PAGEREF _Toc517161197 \h </w:instrText>
        </w:r>
        <w:r w:rsidR="00E46A7B">
          <w:rPr>
            <w:webHidden/>
          </w:rPr>
        </w:r>
        <w:r w:rsidR="00E46A7B">
          <w:rPr>
            <w:webHidden/>
          </w:rPr>
          <w:fldChar w:fldCharType="separate"/>
        </w:r>
        <w:r w:rsidR="00640CCB">
          <w:rPr>
            <w:webHidden/>
          </w:rPr>
          <w:t>229</w:t>
        </w:r>
        <w:r w:rsidR="00E46A7B">
          <w:rPr>
            <w:webHidden/>
          </w:rPr>
          <w:fldChar w:fldCharType="end"/>
        </w:r>
      </w:hyperlink>
    </w:p>
    <w:p w14:paraId="605B3499" w14:textId="77777777" w:rsidR="00E46A7B" w:rsidRDefault="008079F1">
      <w:pPr>
        <w:pStyle w:val="TOC3"/>
        <w:rPr>
          <w:rFonts w:asciiTheme="minorHAnsi" w:eastAsiaTheme="minorEastAsia" w:hAnsiTheme="minorHAnsi" w:cstheme="minorBidi"/>
          <w:sz w:val="22"/>
          <w:szCs w:val="22"/>
        </w:rPr>
      </w:pPr>
      <w:hyperlink w:anchor="_Toc517161198" w:history="1">
        <w:r w:rsidR="00E46A7B" w:rsidRPr="00461340">
          <w:rPr>
            <w:rStyle w:val="Hyperlink"/>
          </w:rPr>
          <w:t>Key references</w:t>
        </w:r>
        <w:r w:rsidR="00E46A7B">
          <w:rPr>
            <w:webHidden/>
          </w:rPr>
          <w:tab/>
        </w:r>
        <w:r w:rsidR="00E46A7B">
          <w:rPr>
            <w:webHidden/>
          </w:rPr>
          <w:fldChar w:fldCharType="begin"/>
        </w:r>
        <w:r w:rsidR="00E46A7B">
          <w:rPr>
            <w:webHidden/>
          </w:rPr>
          <w:instrText xml:space="preserve"> PAGEREF _Toc517161198 \h </w:instrText>
        </w:r>
        <w:r w:rsidR="00E46A7B">
          <w:rPr>
            <w:webHidden/>
          </w:rPr>
        </w:r>
        <w:r w:rsidR="00E46A7B">
          <w:rPr>
            <w:webHidden/>
          </w:rPr>
          <w:fldChar w:fldCharType="separate"/>
        </w:r>
        <w:r w:rsidR="00640CCB">
          <w:rPr>
            <w:webHidden/>
          </w:rPr>
          <w:t>231</w:t>
        </w:r>
        <w:r w:rsidR="00E46A7B">
          <w:rPr>
            <w:webHidden/>
          </w:rPr>
          <w:fldChar w:fldCharType="end"/>
        </w:r>
      </w:hyperlink>
    </w:p>
    <w:p w14:paraId="25FDB803" w14:textId="77777777" w:rsidR="00E46A7B" w:rsidRDefault="008079F1">
      <w:pPr>
        <w:pStyle w:val="TOC2"/>
        <w:rPr>
          <w:rFonts w:asciiTheme="minorHAnsi" w:eastAsiaTheme="minorEastAsia" w:hAnsiTheme="minorHAnsi" w:cstheme="minorBidi"/>
          <w:sz w:val="22"/>
          <w:szCs w:val="22"/>
        </w:rPr>
      </w:pPr>
      <w:hyperlink w:anchor="_Toc517161199" w:history="1">
        <w:r w:rsidR="00E46A7B" w:rsidRPr="00461340">
          <w:rPr>
            <w:rStyle w:val="Hyperlink"/>
          </w:rPr>
          <w:t>C.8</w:t>
        </w:r>
        <w:r w:rsidR="00E46A7B">
          <w:rPr>
            <w:rFonts w:asciiTheme="minorHAnsi" w:eastAsiaTheme="minorEastAsia" w:hAnsiTheme="minorHAnsi" w:cstheme="minorBidi"/>
            <w:sz w:val="22"/>
            <w:szCs w:val="22"/>
          </w:rPr>
          <w:tab/>
        </w:r>
        <w:r w:rsidR="00E46A7B" w:rsidRPr="00461340">
          <w:rPr>
            <w:rStyle w:val="Hyperlink"/>
          </w:rPr>
          <w:t>McArthur Basin</w:t>
        </w:r>
        <w:r w:rsidR="00E46A7B">
          <w:rPr>
            <w:webHidden/>
          </w:rPr>
          <w:tab/>
        </w:r>
        <w:r w:rsidR="00E46A7B">
          <w:rPr>
            <w:webHidden/>
          </w:rPr>
          <w:fldChar w:fldCharType="begin"/>
        </w:r>
        <w:r w:rsidR="00E46A7B">
          <w:rPr>
            <w:webHidden/>
          </w:rPr>
          <w:instrText xml:space="preserve"> PAGEREF _Toc517161199 \h </w:instrText>
        </w:r>
        <w:r w:rsidR="00E46A7B">
          <w:rPr>
            <w:webHidden/>
          </w:rPr>
        </w:r>
        <w:r w:rsidR="00E46A7B">
          <w:rPr>
            <w:webHidden/>
          </w:rPr>
          <w:fldChar w:fldCharType="separate"/>
        </w:r>
        <w:r w:rsidR="00640CCB">
          <w:rPr>
            <w:webHidden/>
          </w:rPr>
          <w:t>237</w:t>
        </w:r>
        <w:r w:rsidR="00E46A7B">
          <w:rPr>
            <w:webHidden/>
          </w:rPr>
          <w:fldChar w:fldCharType="end"/>
        </w:r>
      </w:hyperlink>
    </w:p>
    <w:p w14:paraId="11890A2F" w14:textId="77777777" w:rsidR="00E46A7B" w:rsidRDefault="008079F1">
      <w:pPr>
        <w:pStyle w:val="TOC3"/>
        <w:rPr>
          <w:rFonts w:asciiTheme="minorHAnsi" w:eastAsiaTheme="minorEastAsia" w:hAnsiTheme="minorHAnsi" w:cstheme="minorBidi"/>
          <w:sz w:val="22"/>
          <w:szCs w:val="22"/>
        </w:rPr>
      </w:pPr>
      <w:hyperlink w:anchor="_Toc517161200" w:history="1">
        <w:r w:rsidR="00E46A7B" w:rsidRPr="00461340">
          <w:rPr>
            <w:rStyle w:val="Hyperlink"/>
          </w:rPr>
          <w:t>C.8.1</w:t>
        </w:r>
        <w:r w:rsidR="00E46A7B">
          <w:rPr>
            <w:rFonts w:asciiTheme="minorHAnsi" w:eastAsiaTheme="minorEastAsia" w:hAnsiTheme="minorHAnsi" w:cstheme="minorBidi"/>
            <w:sz w:val="22"/>
            <w:szCs w:val="22"/>
          </w:rPr>
          <w:tab/>
        </w:r>
        <w:r w:rsidR="00E46A7B" w:rsidRPr="00461340">
          <w:rPr>
            <w:rStyle w:val="Hyperlink"/>
          </w:rPr>
          <w:t>Basin geology</w:t>
        </w:r>
        <w:r w:rsidR="00E46A7B">
          <w:rPr>
            <w:webHidden/>
          </w:rPr>
          <w:tab/>
        </w:r>
        <w:r w:rsidR="00E46A7B">
          <w:rPr>
            <w:webHidden/>
          </w:rPr>
          <w:fldChar w:fldCharType="begin"/>
        </w:r>
        <w:r w:rsidR="00E46A7B">
          <w:rPr>
            <w:webHidden/>
          </w:rPr>
          <w:instrText xml:space="preserve"> PAGEREF _Toc517161200 \h </w:instrText>
        </w:r>
        <w:r w:rsidR="00E46A7B">
          <w:rPr>
            <w:webHidden/>
          </w:rPr>
        </w:r>
        <w:r w:rsidR="00E46A7B">
          <w:rPr>
            <w:webHidden/>
          </w:rPr>
          <w:fldChar w:fldCharType="separate"/>
        </w:r>
        <w:r w:rsidR="00640CCB">
          <w:rPr>
            <w:webHidden/>
          </w:rPr>
          <w:t>238</w:t>
        </w:r>
        <w:r w:rsidR="00E46A7B">
          <w:rPr>
            <w:webHidden/>
          </w:rPr>
          <w:fldChar w:fldCharType="end"/>
        </w:r>
      </w:hyperlink>
    </w:p>
    <w:p w14:paraId="51585E4D" w14:textId="77777777" w:rsidR="00E46A7B" w:rsidRDefault="008079F1">
      <w:pPr>
        <w:pStyle w:val="TOC3"/>
        <w:rPr>
          <w:rFonts w:asciiTheme="minorHAnsi" w:eastAsiaTheme="minorEastAsia" w:hAnsiTheme="minorHAnsi" w:cstheme="minorBidi"/>
          <w:sz w:val="22"/>
          <w:szCs w:val="22"/>
        </w:rPr>
      </w:pPr>
      <w:hyperlink w:anchor="_Toc517161201" w:history="1">
        <w:r w:rsidR="00E46A7B" w:rsidRPr="00461340">
          <w:rPr>
            <w:rStyle w:val="Hyperlink"/>
          </w:rPr>
          <w:t>C.8.2</w:t>
        </w:r>
        <w:r w:rsidR="00E46A7B">
          <w:rPr>
            <w:rFonts w:asciiTheme="minorHAnsi" w:eastAsiaTheme="minorEastAsia" w:hAnsiTheme="minorHAnsi" w:cstheme="minorBidi"/>
            <w:sz w:val="22"/>
            <w:szCs w:val="22"/>
          </w:rPr>
          <w:tab/>
        </w:r>
        <w:r w:rsidR="00E46A7B" w:rsidRPr="00461340">
          <w:rPr>
            <w:rStyle w:val="Hyperlink"/>
          </w:rPr>
          <w:t>Petroleum data coverage</w:t>
        </w:r>
        <w:r w:rsidR="00E46A7B">
          <w:rPr>
            <w:webHidden/>
          </w:rPr>
          <w:tab/>
        </w:r>
        <w:r w:rsidR="00E46A7B">
          <w:rPr>
            <w:webHidden/>
          </w:rPr>
          <w:fldChar w:fldCharType="begin"/>
        </w:r>
        <w:r w:rsidR="00E46A7B">
          <w:rPr>
            <w:webHidden/>
          </w:rPr>
          <w:instrText xml:space="preserve"> PAGEREF _Toc517161201 \h </w:instrText>
        </w:r>
        <w:r w:rsidR="00E46A7B">
          <w:rPr>
            <w:webHidden/>
          </w:rPr>
        </w:r>
        <w:r w:rsidR="00E46A7B">
          <w:rPr>
            <w:webHidden/>
          </w:rPr>
          <w:fldChar w:fldCharType="separate"/>
        </w:r>
        <w:r w:rsidR="00640CCB">
          <w:rPr>
            <w:webHidden/>
          </w:rPr>
          <w:t>241</w:t>
        </w:r>
        <w:r w:rsidR="00E46A7B">
          <w:rPr>
            <w:webHidden/>
          </w:rPr>
          <w:fldChar w:fldCharType="end"/>
        </w:r>
      </w:hyperlink>
    </w:p>
    <w:p w14:paraId="462696C6" w14:textId="77777777" w:rsidR="00E46A7B" w:rsidRDefault="008079F1">
      <w:pPr>
        <w:pStyle w:val="TOC3"/>
        <w:rPr>
          <w:rFonts w:asciiTheme="minorHAnsi" w:eastAsiaTheme="minorEastAsia" w:hAnsiTheme="minorHAnsi" w:cstheme="minorBidi"/>
          <w:sz w:val="22"/>
          <w:szCs w:val="22"/>
        </w:rPr>
      </w:pPr>
      <w:hyperlink w:anchor="_Toc517161202" w:history="1">
        <w:r w:rsidR="00E46A7B" w:rsidRPr="00461340">
          <w:rPr>
            <w:rStyle w:val="Hyperlink"/>
          </w:rPr>
          <w:t>C.8.3</w:t>
        </w:r>
        <w:r w:rsidR="00E46A7B">
          <w:rPr>
            <w:rFonts w:asciiTheme="minorHAnsi" w:eastAsiaTheme="minorEastAsia" w:hAnsiTheme="minorHAnsi" w:cstheme="minorBidi"/>
            <w:sz w:val="22"/>
            <w:szCs w:val="22"/>
          </w:rPr>
          <w:tab/>
        </w:r>
        <w:r w:rsidR="00E46A7B" w:rsidRPr="00461340">
          <w:rPr>
            <w:rStyle w:val="Hyperlink"/>
          </w:rPr>
          <w:t>Shale and tight gas prospectivity</w:t>
        </w:r>
        <w:r w:rsidR="00E46A7B">
          <w:rPr>
            <w:webHidden/>
          </w:rPr>
          <w:tab/>
        </w:r>
        <w:r w:rsidR="00E46A7B">
          <w:rPr>
            <w:webHidden/>
          </w:rPr>
          <w:fldChar w:fldCharType="begin"/>
        </w:r>
        <w:r w:rsidR="00E46A7B">
          <w:rPr>
            <w:webHidden/>
          </w:rPr>
          <w:instrText xml:space="preserve"> PAGEREF _Toc517161202 \h </w:instrText>
        </w:r>
        <w:r w:rsidR="00E46A7B">
          <w:rPr>
            <w:webHidden/>
          </w:rPr>
        </w:r>
        <w:r w:rsidR="00E46A7B">
          <w:rPr>
            <w:webHidden/>
          </w:rPr>
          <w:fldChar w:fldCharType="separate"/>
        </w:r>
        <w:r w:rsidR="00640CCB">
          <w:rPr>
            <w:webHidden/>
          </w:rPr>
          <w:t>242</w:t>
        </w:r>
        <w:r w:rsidR="00E46A7B">
          <w:rPr>
            <w:webHidden/>
          </w:rPr>
          <w:fldChar w:fldCharType="end"/>
        </w:r>
      </w:hyperlink>
    </w:p>
    <w:p w14:paraId="51730BDC" w14:textId="77777777" w:rsidR="00E46A7B" w:rsidRDefault="008079F1">
      <w:pPr>
        <w:pStyle w:val="TOC3"/>
        <w:rPr>
          <w:rFonts w:asciiTheme="minorHAnsi" w:eastAsiaTheme="minorEastAsia" w:hAnsiTheme="minorHAnsi" w:cstheme="minorBidi"/>
          <w:sz w:val="22"/>
          <w:szCs w:val="22"/>
        </w:rPr>
      </w:pPr>
      <w:hyperlink w:anchor="_Toc517161203" w:history="1">
        <w:r w:rsidR="00E46A7B" w:rsidRPr="00461340">
          <w:rPr>
            <w:rStyle w:val="Hyperlink"/>
          </w:rPr>
          <w:t>C.8.4</w:t>
        </w:r>
        <w:r w:rsidR="00E46A7B">
          <w:rPr>
            <w:rFonts w:asciiTheme="minorHAnsi" w:eastAsiaTheme="minorEastAsia" w:hAnsiTheme="minorHAnsi" w:cstheme="minorBidi"/>
            <w:sz w:val="22"/>
            <w:szCs w:val="22"/>
          </w:rPr>
          <w:tab/>
        </w:r>
        <w:r w:rsidR="00E46A7B" w:rsidRPr="00461340">
          <w:rPr>
            <w:rStyle w:val="Hyperlink"/>
          </w:rPr>
          <w:t>Gas market access and infrastructure</w:t>
        </w:r>
        <w:r w:rsidR="00E46A7B">
          <w:rPr>
            <w:webHidden/>
          </w:rPr>
          <w:tab/>
        </w:r>
        <w:r w:rsidR="00E46A7B">
          <w:rPr>
            <w:webHidden/>
          </w:rPr>
          <w:fldChar w:fldCharType="begin"/>
        </w:r>
        <w:r w:rsidR="00E46A7B">
          <w:rPr>
            <w:webHidden/>
          </w:rPr>
          <w:instrText xml:space="preserve"> PAGEREF _Toc517161203 \h </w:instrText>
        </w:r>
        <w:r w:rsidR="00E46A7B">
          <w:rPr>
            <w:webHidden/>
          </w:rPr>
        </w:r>
        <w:r w:rsidR="00E46A7B">
          <w:rPr>
            <w:webHidden/>
          </w:rPr>
          <w:fldChar w:fldCharType="separate"/>
        </w:r>
        <w:r w:rsidR="00640CCB">
          <w:rPr>
            <w:webHidden/>
          </w:rPr>
          <w:t>246</w:t>
        </w:r>
        <w:r w:rsidR="00E46A7B">
          <w:rPr>
            <w:webHidden/>
          </w:rPr>
          <w:fldChar w:fldCharType="end"/>
        </w:r>
      </w:hyperlink>
    </w:p>
    <w:p w14:paraId="459AE045" w14:textId="77777777" w:rsidR="00E46A7B" w:rsidRDefault="008079F1">
      <w:pPr>
        <w:pStyle w:val="TOC3"/>
        <w:rPr>
          <w:rFonts w:asciiTheme="minorHAnsi" w:eastAsiaTheme="minorEastAsia" w:hAnsiTheme="minorHAnsi" w:cstheme="minorBidi"/>
          <w:sz w:val="22"/>
          <w:szCs w:val="22"/>
        </w:rPr>
      </w:pPr>
      <w:hyperlink w:anchor="_Toc517161204" w:history="1">
        <w:r w:rsidR="00E46A7B" w:rsidRPr="00461340">
          <w:rPr>
            <w:rStyle w:val="Hyperlink"/>
          </w:rPr>
          <w:t>C.8.5</w:t>
        </w:r>
        <w:r w:rsidR="00E46A7B">
          <w:rPr>
            <w:rFonts w:asciiTheme="minorHAnsi" w:eastAsiaTheme="minorEastAsia" w:hAnsiTheme="minorHAnsi" w:cstheme="minorBidi"/>
            <w:sz w:val="22"/>
            <w:szCs w:val="22"/>
          </w:rPr>
          <w:tab/>
        </w:r>
        <w:r w:rsidR="00E46A7B" w:rsidRPr="00461340">
          <w:rPr>
            <w:rStyle w:val="Hyperlink"/>
          </w:rPr>
          <w:t>Regulatory environment impacting shale and tight gas exploration</w:t>
        </w:r>
        <w:r w:rsidR="00E46A7B">
          <w:rPr>
            <w:webHidden/>
          </w:rPr>
          <w:tab/>
        </w:r>
        <w:r w:rsidR="00E46A7B">
          <w:rPr>
            <w:webHidden/>
          </w:rPr>
          <w:fldChar w:fldCharType="begin"/>
        </w:r>
        <w:r w:rsidR="00E46A7B">
          <w:rPr>
            <w:webHidden/>
          </w:rPr>
          <w:instrText xml:space="preserve"> PAGEREF _Toc517161204 \h </w:instrText>
        </w:r>
        <w:r w:rsidR="00E46A7B">
          <w:rPr>
            <w:webHidden/>
          </w:rPr>
        </w:r>
        <w:r w:rsidR="00E46A7B">
          <w:rPr>
            <w:webHidden/>
          </w:rPr>
          <w:fldChar w:fldCharType="separate"/>
        </w:r>
        <w:r w:rsidR="00640CCB">
          <w:rPr>
            <w:webHidden/>
          </w:rPr>
          <w:t>247</w:t>
        </w:r>
        <w:r w:rsidR="00E46A7B">
          <w:rPr>
            <w:webHidden/>
          </w:rPr>
          <w:fldChar w:fldCharType="end"/>
        </w:r>
      </w:hyperlink>
    </w:p>
    <w:p w14:paraId="619A9FBD" w14:textId="77777777" w:rsidR="00E46A7B" w:rsidRDefault="008079F1">
      <w:pPr>
        <w:pStyle w:val="TOC3"/>
        <w:rPr>
          <w:rFonts w:asciiTheme="minorHAnsi" w:eastAsiaTheme="minorEastAsia" w:hAnsiTheme="minorHAnsi" w:cstheme="minorBidi"/>
          <w:sz w:val="22"/>
          <w:szCs w:val="22"/>
        </w:rPr>
      </w:pPr>
      <w:hyperlink w:anchor="_Toc517161205" w:history="1">
        <w:r w:rsidR="00E46A7B" w:rsidRPr="00461340">
          <w:rPr>
            <w:rStyle w:val="Hyperlink"/>
          </w:rPr>
          <w:t>C.8.6</w:t>
        </w:r>
        <w:r w:rsidR="00E46A7B">
          <w:rPr>
            <w:rFonts w:asciiTheme="minorHAnsi" w:eastAsiaTheme="minorEastAsia" w:hAnsiTheme="minorHAnsi" w:cstheme="minorBidi"/>
            <w:sz w:val="22"/>
            <w:szCs w:val="22"/>
          </w:rPr>
          <w:tab/>
        </w:r>
        <w:r w:rsidR="00E46A7B" w:rsidRPr="00461340">
          <w:rPr>
            <w:rStyle w:val="Hyperlink"/>
          </w:rPr>
          <w:t>Hydrogeology and groundwater</w:t>
        </w:r>
        <w:r w:rsidR="00E46A7B">
          <w:rPr>
            <w:webHidden/>
          </w:rPr>
          <w:tab/>
        </w:r>
        <w:r w:rsidR="00E46A7B">
          <w:rPr>
            <w:webHidden/>
          </w:rPr>
          <w:fldChar w:fldCharType="begin"/>
        </w:r>
        <w:r w:rsidR="00E46A7B">
          <w:rPr>
            <w:webHidden/>
          </w:rPr>
          <w:instrText xml:space="preserve"> PAGEREF _Toc517161205 \h </w:instrText>
        </w:r>
        <w:r w:rsidR="00E46A7B">
          <w:rPr>
            <w:webHidden/>
          </w:rPr>
        </w:r>
        <w:r w:rsidR="00E46A7B">
          <w:rPr>
            <w:webHidden/>
          </w:rPr>
          <w:fldChar w:fldCharType="separate"/>
        </w:r>
        <w:r w:rsidR="00640CCB">
          <w:rPr>
            <w:webHidden/>
          </w:rPr>
          <w:t>248</w:t>
        </w:r>
        <w:r w:rsidR="00E46A7B">
          <w:rPr>
            <w:webHidden/>
          </w:rPr>
          <w:fldChar w:fldCharType="end"/>
        </w:r>
      </w:hyperlink>
    </w:p>
    <w:p w14:paraId="03EF0C5A" w14:textId="77777777" w:rsidR="00E46A7B" w:rsidRDefault="008079F1">
      <w:pPr>
        <w:pStyle w:val="TOC3"/>
        <w:rPr>
          <w:rFonts w:asciiTheme="minorHAnsi" w:eastAsiaTheme="minorEastAsia" w:hAnsiTheme="minorHAnsi" w:cstheme="minorBidi"/>
          <w:sz w:val="22"/>
          <w:szCs w:val="22"/>
        </w:rPr>
      </w:pPr>
      <w:hyperlink w:anchor="_Toc517161206" w:history="1">
        <w:r w:rsidR="00E46A7B" w:rsidRPr="00461340">
          <w:rPr>
            <w:rStyle w:val="Hyperlink"/>
          </w:rPr>
          <w:t>C.8.7</w:t>
        </w:r>
        <w:r w:rsidR="00E46A7B">
          <w:rPr>
            <w:rFonts w:asciiTheme="minorHAnsi" w:eastAsiaTheme="minorEastAsia" w:hAnsiTheme="minorHAnsi" w:cstheme="minorBidi"/>
            <w:sz w:val="22"/>
            <w:szCs w:val="22"/>
          </w:rPr>
          <w:tab/>
        </w:r>
        <w:r w:rsidR="00E46A7B" w:rsidRPr="00461340">
          <w:rPr>
            <w:rStyle w:val="Hyperlink"/>
          </w:rPr>
          <w:t>Surface water systems and hydrology</w:t>
        </w:r>
        <w:r w:rsidR="00E46A7B">
          <w:rPr>
            <w:webHidden/>
          </w:rPr>
          <w:tab/>
        </w:r>
        <w:r w:rsidR="00E46A7B">
          <w:rPr>
            <w:webHidden/>
          </w:rPr>
          <w:fldChar w:fldCharType="begin"/>
        </w:r>
        <w:r w:rsidR="00E46A7B">
          <w:rPr>
            <w:webHidden/>
          </w:rPr>
          <w:instrText xml:space="preserve"> PAGEREF _Toc517161206 \h </w:instrText>
        </w:r>
        <w:r w:rsidR="00E46A7B">
          <w:rPr>
            <w:webHidden/>
          </w:rPr>
        </w:r>
        <w:r w:rsidR="00E46A7B">
          <w:rPr>
            <w:webHidden/>
          </w:rPr>
          <w:fldChar w:fldCharType="separate"/>
        </w:r>
        <w:r w:rsidR="00640CCB">
          <w:rPr>
            <w:webHidden/>
          </w:rPr>
          <w:t>253</w:t>
        </w:r>
        <w:r w:rsidR="00E46A7B">
          <w:rPr>
            <w:webHidden/>
          </w:rPr>
          <w:fldChar w:fldCharType="end"/>
        </w:r>
      </w:hyperlink>
    </w:p>
    <w:p w14:paraId="04B98163" w14:textId="77777777" w:rsidR="00E46A7B" w:rsidRDefault="008079F1">
      <w:pPr>
        <w:pStyle w:val="TOC3"/>
        <w:rPr>
          <w:rFonts w:asciiTheme="minorHAnsi" w:eastAsiaTheme="minorEastAsia" w:hAnsiTheme="minorHAnsi" w:cstheme="minorBidi"/>
          <w:sz w:val="22"/>
          <w:szCs w:val="22"/>
        </w:rPr>
      </w:pPr>
      <w:hyperlink w:anchor="_Toc517161207" w:history="1">
        <w:r w:rsidR="00E46A7B" w:rsidRPr="00461340">
          <w:rPr>
            <w:rStyle w:val="Hyperlink"/>
          </w:rPr>
          <w:t>C.8.8</w:t>
        </w:r>
        <w:r w:rsidR="00E46A7B">
          <w:rPr>
            <w:rFonts w:asciiTheme="minorHAnsi" w:eastAsiaTheme="minorEastAsia" w:hAnsiTheme="minorHAnsi" w:cstheme="minorBidi"/>
            <w:sz w:val="22"/>
            <w:szCs w:val="22"/>
          </w:rPr>
          <w:tab/>
        </w:r>
        <w:r w:rsidR="00E46A7B" w:rsidRPr="00461340">
          <w:rPr>
            <w:rStyle w:val="Hyperlink"/>
          </w:rPr>
          <w:t>Groundwater–surface water interactions</w:t>
        </w:r>
        <w:r w:rsidR="00E46A7B">
          <w:rPr>
            <w:webHidden/>
          </w:rPr>
          <w:tab/>
        </w:r>
        <w:r w:rsidR="00E46A7B">
          <w:rPr>
            <w:webHidden/>
          </w:rPr>
          <w:fldChar w:fldCharType="begin"/>
        </w:r>
        <w:r w:rsidR="00E46A7B">
          <w:rPr>
            <w:webHidden/>
          </w:rPr>
          <w:instrText xml:space="preserve"> PAGEREF _Toc517161207 \h </w:instrText>
        </w:r>
        <w:r w:rsidR="00E46A7B">
          <w:rPr>
            <w:webHidden/>
          </w:rPr>
        </w:r>
        <w:r w:rsidR="00E46A7B">
          <w:rPr>
            <w:webHidden/>
          </w:rPr>
          <w:fldChar w:fldCharType="separate"/>
        </w:r>
        <w:r w:rsidR="00640CCB">
          <w:rPr>
            <w:webHidden/>
          </w:rPr>
          <w:t>255</w:t>
        </w:r>
        <w:r w:rsidR="00E46A7B">
          <w:rPr>
            <w:webHidden/>
          </w:rPr>
          <w:fldChar w:fldCharType="end"/>
        </w:r>
      </w:hyperlink>
    </w:p>
    <w:p w14:paraId="5BA55847" w14:textId="77777777" w:rsidR="00E46A7B" w:rsidRDefault="008079F1">
      <w:pPr>
        <w:pStyle w:val="TOC3"/>
        <w:rPr>
          <w:rFonts w:asciiTheme="minorHAnsi" w:eastAsiaTheme="minorEastAsia" w:hAnsiTheme="minorHAnsi" w:cstheme="minorBidi"/>
          <w:sz w:val="22"/>
          <w:szCs w:val="22"/>
        </w:rPr>
      </w:pPr>
      <w:hyperlink w:anchor="_Toc517161208" w:history="1">
        <w:r w:rsidR="00E46A7B" w:rsidRPr="00461340">
          <w:rPr>
            <w:rStyle w:val="Hyperlink"/>
          </w:rPr>
          <w:t>C.8.9</w:t>
        </w:r>
        <w:r w:rsidR="00E46A7B">
          <w:rPr>
            <w:rFonts w:asciiTheme="minorHAnsi" w:eastAsiaTheme="minorEastAsia" w:hAnsiTheme="minorHAnsi" w:cstheme="minorBidi"/>
            <w:sz w:val="22"/>
            <w:szCs w:val="22"/>
          </w:rPr>
          <w:tab/>
        </w:r>
        <w:r w:rsidR="00E46A7B" w:rsidRPr="00461340">
          <w:rPr>
            <w:rStyle w:val="Hyperlink"/>
          </w:rPr>
          <w:t>Environmental assets</w:t>
        </w:r>
        <w:r w:rsidR="00E46A7B">
          <w:rPr>
            <w:webHidden/>
          </w:rPr>
          <w:tab/>
        </w:r>
        <w:r w:rsidR="00E46A7B">
          <w:rPr>
            <w:webHidden/>
          </w:rPr>
          <w:fldChar w:fldCharType="begin"/>
        </w:r>
        <w:r w:rsidR="00E46A7B">
          <w:rPr>
            <w:webHidden/>
          </w:rPr>
          <w:instrText xml:space="preserve"> PAGEREF _Toc517161208 \h </w:instrText>
        </w:r>
        <w:r w:rsidR="00E46A7B">
          <w:rPr>
            <w:webHidden/>
          </w:rPr>
        </w:r>
        <w:r w:rsidR="00E46A7B">
          <w:rPr>
            <w:webHidden/>
          </w:rPr>
          <w:fldChar w:fldCharType="separate"/>
        </w:r>
        <w:r w:rsidR="00640CCB">
          <w:rPr>
            <w:webHidden/>
          </w:rPr>
          <w:t>256</w:t>
        </w:r>
        <w:r w:rsidR="00E46A7B">
          <w:rPr>
            <w:webHidden/>
          </w:rPr>
          <w:fldChar w:fldCharType="end"/>
        </w:r>
      </w:hyperlink>
    </w:p>
    <w:p w14:paraId="7138872A" w14:textId="77777777" w:rsidR="00E46A7B" w:rsidRDefault="008079F1">
      <w:pPr>
        <w:pStyle w:val="TOC3"/>
        <w:rPr>
          <w:rFonts w:asciiTheme="minorHAnsi" w:eastAsiaTheme="minorEastAsia" w:hAnsiTheme="minorHAnsi" w:cstheme="minorBidi"/>
          <w:sz w:val="22"/>
          <w:szCs w:val="22"/>
        </w:rPr>
      </w:pPr>
      <w:hyperlink w:anchor="_Toc517161209" w:history="1">
        <w:r w:rsidR="00E46A7B" w:rsidRPr="00461340">
          <w:rPr>
            <w:rStyle w:val="Hyperlink"/>
          </w:rPr>
          <w:t>C.8.10</w:t>
        </w:r>
        <w:r w:rsidR="00E46A7B">
          <w:rPr>
            <w:rFonts w:asciiTheme="minorHAnsi" w:eastAsiaTheme="minorEastAsia" w:hAnsiTheme="minorHAnsi" w:cstheme="minorBidi"/>
            <w:sz w:val="22"/>
            <w:szCs w:val="22"/>
          </w:rPr>
          <w:tab/>
        </w:r>
        <w:r w:rsidR="00E46A7B" w:rsidRPr="00461340">
          <w:rPr>
            <w:rStyle w:val="Hyperlink"/>
          </w:rPr>
          <w:t>Social considerations</w:t>
        </w:r>
        <w:r w:rsidR="00E46A7B">
          <w:rPr>
            <w:webHidden/>
          </w:rPr>
          <w:tab/>
        </w:r>
        <w:r w:rsidR="00E46A7B">
          <w:rPr>
            <w:webHidden/>
          </w:rPr>
          <w:fldChar w:fldCharType="begin"/>
        </w:r>
        <w:r w:rsidR="00E46A7B">
          <w:rPr>
            <w:webHidden/>
          </w:rPr>
          <w:instrText xml:space="preserve"> PAGEREF _Toc517161209 \h </w:instrText>
        </w:r>
        <w:r w:rsidR="00E46A7B">
          <w:rPr>
            <w:webHidden/>
          </w:rPr>
        </w:r>
        <w:r w:rsidR="00E46A7B">
          <w:rPr>
            <w:webHidden/>
          </w:rPr>
          <w:fldChar w:fldCharType="separate"/>
        </w:r>
        <w:r w:rsidR="00640CCB">
          <w:rPr>
            <w:webHidden/>
          </w:rPr>
          <w:t>256</w:t>
        </w:r>
        <w:r w:rsidR="00E46A7B">
          <w:rPr>
            <w:webHidden/>
          </w:rPr>
          <w:fldChar w:fldCharType="end"/>
        </w:r>
      </w:hyperlink>
    </w:p>
    <w:p w14:paraId="20A63B43" w14:textId="77777777" w:rsidR="00E46A7B" w:rsidRDefault="008079F1">
      <w:pPr>
        <w:pStyle w:val="TOC3"/>
        <w:rPr>
          <w:rFonts w:asciiTheme="minorHAnsi" w:eastAsiaTheme="minorEastAsia" w:hAnsiTheme="minorHAnsi" w:cstheme="minorBidi"/>
          <w:sz w:val="22"/>
          <w:szCs w:val="22"/>
        </w:rPr>
      </w:pPr>
      <w:hyperlink w:anchor="_Toc517161210" w:history="1">
        <w:r w:rsidR="00E46A7B" w:rsidRPr="00461340">
          <w:rPr>
            <w:rStyle w:val="Hyperlink"/>
          </w:rPr>
          <w:t>Key references</w:t>
        </w:r>
        <w:r w:rsidR="00E46A7B">
          <w:rPr>
            <w:webHidden/>
          </w:rPr>
          <w:tab/>
        </w:r>
        <w:r w:rsidR="00E46A7B">
          <w:rPr>
            <w:webHidden/>
          </w:rPr>
          <w:fldChar w:fldCharType="begin"/>
        </w:r>
        <w:r w:rsidR="00E46A7B">
          <w:rPr>
            <w:webHidden/>
          </w:rPr>
          <w:instrText xml:space="preserve"> PAGEREF _Toc517161210 \h </w:instrText>
        </w:r>
        <w:r w:rsidR="00E46A7B">
          <w:rPr>
            <w:webHidden/>
          </w:rPr>
        </w:r>
        <w:r w:rsidR="00E46A7B">
          <w:rPr>
            <w:webHidden/>
          </w:rPr>
          <w:fldChar w:fldCharType="separate"/>
        </w:r>
        <w:r w:rsidR="00640CCB">
          <w:rPr>
            <w:webHidden/>
          </w:rPr>
          <w:t>257</w:t>
        </w:r>
        <w:r w:rsidR="00E46A7B">
          <w:rPr>
            <w:webHidden/>
          </w:rPr>
          <w:fldChar w:fldCharType="end"/>
        </w:r>
      </w:hyperlink>
    </w:p>
    <w:p w14:paraId="243C4D7D" w14:textId="77777777" w:rsidR="00E46A7B" w:rsidRDefault="008079F1">
      <w:pPr>
        <w:pStyle w:val="TOC2"/>
        <w:rPr>
          <w:rFonts w:asciiTheme="minorHAnsi" w:eastAsiaTheme="minorEastAsia" w:hAnsiTheme="minorHAnsi" w:cstheme="minorBidi"/>
          <w:sz w:val="22"/>
          <w:szCs w:val="22"/>
        </w:rPr>
      </w:pPr>
      <w:hyperlink w:anchor="_Toc517161211" w:history="1">
        <w:r w:rsidR="00E46A7B" w:rsidRPr="00461340">
          <w:rPr>
            <w:rStyle w:val="Hyperlink"/>
          </w:rPr>
          <w:t>C.9</w:t>
        </w:r>
        <w:r w:rsidR="00E46A7B">
          <w:rPr>
            <w:rFonts w:asciiTheme="minorHAnsi" w:eastAsiaTheme="minorEastAsia" w:hAnsiTheme="minorHAnsi" w:cstheme="minorBidi"/>
            <w:sz w:val="22"/>
            <w:szCs w:val="22"/>
          </w:rPr>
          <w:tab/>
        </w:r>
        <w:r w:rsidR="00E46A7B" w:rsidRPr="00461340">
          <w:rPr>
            <w:rStyle w:val="Hyperlink"/>
          </w:rPr>
          <w:t>Otway Basin (Onshore)</w:t>
        </w:r>
        <w:r w:rsidR="00E46A7B">
          <w:rPr>
            <w:webHidden/>
          </w:rPr>
          <w:tab/>
        </w:r>
        <w:r w:rsidR="00E46A7B">
          <w:rPr>
            <w:webHidden/>
          </w:rPr>
          <w:fldChar w:fldCharType="begin"/>
        </w:r>
        <w:r w:rsidR="00E46A7B">
          <w:rPr>
            <w:webHidden/>
          </w:rPr>
          <w:instrText xml:space="preserve"> PAGEREF _Toc517161211 \h </w:instrText>
        </w:r>
        <w:r w:rsidR="00E46A7B">
          <w:rPr>
            <w:webHidden/>
          </w:rPr>
        </w:r>
        <w:r w:rsidR="00E46A7B">
          <w:rPr>
            <w:webHidden/>
          </w:rPr>
          <w:fldChar w:fldCharType="separate"/>
        </w:r>
        <w:r w:rsidR="00640CCB">
          <w:rPr>
            <w:webHidden/>
          </w:rPr>
          <w:t>265</w:t>
        </w:r>
        <w:r w:rsidR="00E46A7B">
          <w:rPr>
            <w:webHidden/>
          </w:rPr>
          <w:fldChar w:fldCharType="end"/>
        </w:r>
      </w:hyperlink>
    </w:p>
    <w:p w14:paraId="38756736" w14:textId="77777777" w:rsidR="00E46A7B" w:rsidRDefault="008079F1">
      <w:pPr>
        <w:pStyle w:val="TOC3"/>
        <w:rPr>
          <w:rFonts w:asciiTheme="minorHAnsi" w:eastAsiaTheme="minorEastAsia" w:hAnsiTheme="minorHAnsi" w:cstheme="minorBidi"/>
          <w:sz w:val="22"/>
          <w:szCs w:val="22"/>
        </w:rPr>
      </w:pPr>
      <w:hyperlink w:anchor="_Toc517161212" w:history="1">
        <w:r w:rsidR="00E46A7B" w:rsidRPr="00461340">
          <w:rPr>
            <w:rStyle w:val="Hyperlink"/>
          </w:rPr>
          <w:t>C.9.1</w:t>
        </w:r>
        <w:r w:rsidR="00E46A7B">
          <w:rPr>
            <w:rFonts w:asciiTheme="minorHAnsi" w:eastAsiaTheme="minorEastAsia" w:hAnsiTheme="minorHAnsi" w:cstheme="minorBidi"/>
            <w:sz w:val="22"/>
            <w:szCs w:val="22"/>
          </w:rPr>
          <w:tab/>
        </w:r>
        <w:r w:rsidR="00E46A7B" w:rsidRPr="00461340">
          <w:rPr>
            <w:rStyle w:val="Hyperlink"/>
          </w:rPr>
          <w:t>Basin Geology</w:t>
        </w:r>
        <w:r w:rsidR="00E46A7B">
          <w:rPr>
            <w:webHidden/>
          </w:rPr>
          <w:tab/>
        </w:r>
        <w:r w:rsidR="00E46A7B">
          <w:rPr>
            <w:webHidden/>
          </w:rPr>
          <w:fldChar w:fldCharType="begin"/>
        </w:r>
        <w:r w:rsidR="00E46A7B">
          <w:rPr>
            <w:webHidden/>
          </w:rPr>
          <w:instrText xml:space="preserve"> PAGEREF _Toc517161212 \h </w:instrText>
        </w:r>
        <w:r w:rsidR="00E46A7B">
          <w:rPr>
            <w:webHidden/>
          </w:rPr>
        </w:r>
        <w:r w:rsidR="00E46A7B">
          <w:rPr>
            <w:webHidden/>
          </w:rPr>
          <w:fldChar w:fldCharType="separate"/>
        </w:r>
        <w:r w:rsidR="00640CCB">
          <w:rPr>
            <w:webHidden/>
          </w:rPr>
          <w:t>266</w:t>
        </w:r>
        <w:r w:rsidR="00E46A7B">
          <w:rPr>
            <w:webHidden/>
          </w:rPr>
          <w:fldChar w:fldCharType="end"/>
        </w:r>
      </w:hyperlink>
    </w:p>
    <w:p w14:paraId="0B05624E" w14:textId="77777777" w:rsidR="00E46A7B" w:rsidRDefault="008079F1">
      <w:pPr>
        <w:pStyle w:val="TOC3"/>
        <w:rPr>
          <w:rFonts w:asciiTheme="minorHAnsi" w:eastAsiaTheme="minorEastAsia" w:hAnsiTheme="minorHAnsi" w:cstheme="minorBidi"/>
          <w:sz w:val="22"/>
          <w:szCs w:val="22"/>
        </w:rPr>
      </w:pPr>
      <w:hyperlink w:anchor="_Toc517161213" w:history="1">
        <w:r w:rsidR="00E46A7B" w:rsidRPr="00461340">
          <w:rPr>
            <w:rStyle w:val="Hyperlink"/>
          </w:rPr>
          <w:t>C.9.2</w:t>
        </w:r>
        <w:r w:rsidR="00E46A7B">
          <w:rPr>
            <w:rFonts w:asciiTheme="minorHAnsi" w:eastAsiaTheme="minorEastAsia" w:hAnsiTheme="minorHAnsi" w:cstheme="minorBidi"/>
            <w:sz w:val="22"/>
            <w:szCs w:val="22"/>
          </w:rPr>
          <w:tab/>
        </w:r>
        <w:r w:rsidR="00E46A7B" w:rsidRPr="00461340">
          <w:rPr>
            <w:rStyle w:val="Hyperlink"/>
          </w:rPr>
          <w:t>Petroleum data coverage</w:t>
        </w:r>
        <w:r w:rsidR="00E46A7B">
          <w:rPr>
            <w:webHidden/>
          </w:rPr>
          <w:tab/>
        </w:r>
        <w:r w:rsidR="00E46A7B">
          <w:rPr>
            <w:webHidden/>
          </w:rPr>
          <w:fldChar w:fldCharType="begin"/>
        </w:r>
        <w:r w:rsidR="00E46A7B">
          <w:rPr>
            <w:webHidden/>
          </w:rPr>
          <w:instrText xml:space="preserve"> PAGEREF _Toc517161213 \h </w:instrText>
        </w:r>
        <w:r w:rsidR="00E46A7B">
          <w:rPr>
            <w:webHidden/>
          </w:rPr>
        </w:r>
        <w:r w:rsidR="00E46A7B">
          <w:rPr>
            <w:webHidden/>
          </w:rPr>
          <w:fldChar w:fldCharType="separate"/>
        </w:r>
        <w:r w:rsidR="00640CCB">
          <w:rPr>
            <w:webHidden/>
          </w:rPr>
          <w:t>269</w:t>
        </w:r>
        <w:r w:rsidR="00E46A7B">
          <w:rPr>
            <w:webHidden/>
          </w:rPr>
          <w:fldChar w:fldCharType="end"/>
        </w:r>
      </w:hyperlink>
    </w:p>
    <w:p w14:paraId="6898FC16" w14:textId="77777777" w:rsidR="00E46A7B" w:rsidRDefault="008079F1">
      <w:pPr>
        <w:pStyle w:val="TOC3"/>
        <w:rPr>
          <w:rFonts w:asciiTheme="minorHAnsi" w:eastAsiaTheme="minorEastAsia" w:hAnsiTheme="minorHAnsi" w:cstheme="minorBidi"/>
          <w:sz w:val="22"/>
          <w:szCs w:val="22"/>
        </w:rPr>
      </w:pPr>
      <w:hyperlink w:anchor="_Toc517161214" w:history="1">
        <w:r w:rsidR="00E46A7B" w:rsidRPr="00461340">
          <w:rPr>
            <w:rStyle w:val="Hyperlink"/>
          </w:rPr>
          <w:t>C.9.3</w:t>
        </w:r>
        <w:r w:rsidR="00E46A7B">
          <w:rPr>
            <w:rFonts w:asciiTheme="minorHAnsi" w:eastAsiaTheme="minorEastAsia" w:hAnsiTheme="minorHAnsi" w:cstheme="minorBidi"/>
            <w:sz w:val="22"/>
            <w:szCs w:val="22"/>
          </w:rPr>
          <w:tab/>
        </w:r>
        <w:r w:rsidR="00E46A7B" w:rsidRPr="00461340">
          <w:rPr>
            <w:rStyle w:val="Hyperlink"/>
          </w:rPr>
          <w:t>Shale and tight gas prospectivity</w:t>
        </w:r>
        <w:r w:rsidR="00E46A7B">
          <w:rPr>
            <w:webHidden/>
          </w:rPr>
          <w:tab/>
        </w:r>
        <w:r w:rsidR="00E46A7B">
          <w:rPr>
            <w:webHidden/>
          </w:rPr>
          <w:fldChar w:fldCharType="begin"/>
        </w:r>
        <w:r w:rsidR="00E46A7B">
          <w:rPr>
            <w:webHidden/>
          </w:rPr>
          <w:instrText xml:space="preserve"> PAGEREF _Toc517161214 \h </w:instrText>
        </w:r>
        <w:r w:rsidR="00E46A7B">
          <w:rPr>
            <w:webHidden/>
          </w:rPr>
        </w:r>
        <w:r w:rsidR="00E46A7B">
          <w:rPr>
            <w:webHidden/>
          </w:rPr>
          <w:fldChar w:fldCharType="separate"/>
        </w:r>
        <w:r w:rsidR="00640CCB">
          <w:rPr>
            <w:webHidden/>
          </w:rPr>
          <w:t>270</w:t>
        </w:r>
        <w:r w:rsidR="00E46A7B">
          <w:rPr>
            <w:webHidden/>
          </w:rPr>
          <w:fldChar w:fldCharType="end"/>
        </w:r>
      </w:hyperlink>
    </w:p>
    <w:p w14:paraId="500BC935" w14:textId="77777777" w:rsidR="00E46A7B" w:rsidRDefault="008079F1">
      <w:pPr>
        <w:pStyle w:val="TOC3"/>
        <w:rPr>
          <w:rFonts w:asciiTheme="minorHAnsi" w:eastAsiaTheme="minorEastAsia" w:hAnsiTheme="minorHAnsi" w:cstheme="minorBidi"/>
          <w:sz w:val="22"/>
          <w:szCs w:val="22"/>
        </w:rPr>
      </w:pPr>
      <w:hyperlink w:anchor="_Toc517161215" w:history="1">
        <w:r w:rsidR="00E46A7B" w:rsidRPr="00461340">
          <w:rPr>
            <w:rStyle w:val="Hyperlink"/>
          </w:rPr>
          <w:t>C.9.4</w:t>
        </w:r>
        <w:r w:rsidR="00E46A7B">
          <w:rPr>
            <w:rFonts w:asciiTheme="minorHAnsi" w:eastAsiaTheme="minorEastAsia" w:hAnsiTheme="minorHAnsi" w:cstheme="minorBidi"/>
            <w:sz w:val="22"/>
            <w:szCs w:val="22"/>
          </w:rPr>
          <w:tab/>
        </w:r>
        <w:r w:rsidR="00E46A7B" w:rsidRPr="00461340">
          <w:rPr>
            <w:rStyle w:val="Hyperlink"/>
          </w:rPr>
          <w:t>Gas market access and infrastructure</w:t>
        </w:r>
        <w:r w:rsidR="00E46A7B">
          <w:rPr>
            <w:webHidden/>
          </w:rPr>
          <w:tab/>
        </w:r>
        <w:r w:rsidR="00E46A7B">
          <w:rPr>
            <w:webHidden/>
          </w:rPr>
          <w:fldChar w:fldCharType="begin"/>
        </w:r>
        <w:r w:rsidR="00E46A7B">
          <w:rPr>
            <w:webHidden/>
          </w:rPr>
          <w:instrText xml:space="preserve"> PAGEREF _Toc517161215 \h </w:instrText>
        </w:r>
        <w:r w:rsidR="00E46A7B">
          <w:rPr>
            <w:webHidden/>
          </w:rPr>
        </w:r>
        <w:r w:rsidR="00E46A7B">
          <w:rPr>
            <w:webHidden/>
          </w:rPr>
          <w:fldChar w:fldCharType="separate"/>
        </w:r>
        <w:r w:rsidR="00640CCB">
          <w:rPr>
            <w:webHidden/>
          </w:rPr>
          <w:t>273</w:t>
        </w:r>
        <w:r w:rsidR="00E46A7B">
          <w:rPr>
            <w:webHidden/>
          </w:rPr>
          <w:fldChar w:fldCharType="end"/>
        </w:r>
      </w:hyperlink>
    </w:p>
    <w:p w14:paraId="6F32E1B3" w14:textId="77777777" w:rsidR="00E46A7B" w:rsidRDefault="008079F1">
      <w:pPr>
        <w:pStyle w:val="TOC3"/>
        <w:rPr>
          <w:rFonts w:asciiTheme="minorHAnsi" w:eastAsiaTheme="minorEastAsia" w:hAnsiTheme="minorHAnsi" w:cstheme="minorBidi"/>
          <w:sz w:val="22"/>
          <w:szCs w:val="22"/>
        </w:rPr>
      </w:pPr>
      <w:hyperlink w:anchor="_Toc517161216" w:history="1">
        <w:r w:rsidR="00E46A7B" w:rsidRPr="00461340">
          <w:rPr>
            <w:rStyle w:val="Hyperlink"/>
          </w:rPr>
          <w:t>C.9.5</w:t>
        </w:r>
        <w:r w:rsidR="00E46A7B">
          <w:rPr>
            <w:rFonts w:asciiTheme="minorHAnsi" w:eastAsiaTheme="minorEastAsia" w:hAnsiTheme="minorHAnsi" w:cstheme="minorBidi"/>
            <w:sz w:val="22"/>
            <w:szCs w:val="22"/>
          </w:rPr>
          <w:tab/>
        </w:r>
        <w:r w:rsidR="00E46A7B" w:rsidRPr="00461340">
          <w:rPr>
            <w:rStyle w:val="Hyperlink"/>
          </w:rPr>
          <w:t>Regulatory environment impacting shale and tight gas exploration</w:t>
        </w:r>
        <w:r w:rsidR="00E46A7B">
          <w:rPr>
            <w:webHidden/>
          </w:rPr>
          <w:tab/>
        </w:r>
        <w:r w:rsidR="00E46A7B">
          <w:rPr>
            <w:webHidden/>
          </w:rPr>
          <w:fldChar w:fldCharType="begin"/>
        </w:r>
        <w:r w:rsidR="00E46A7B">
          <w:rPr>
            <w:webHidden/>
          </w:rPr>
          <w:instrText xml:space="preserve"> PAGEREF _Toc517161216 \h </w:instrText>
        </w:r>
        <w:r w:rsidR="00E46A7B">
          <w:rPr>
            <w:webHidden/>
          </w:rPr>
        </w:r>
        <w:r w:rsidR="00E46A7B">
          <w:rPr>
            <w:webHidden/>
          </w:rPr>
          <w:fldChar w:fldCharType="separate"/>
        </w:r>
        <w:r w:rsidR="00640CCB">
          <w:rPr>
            <w:webHidden/>
          </w:rPr>
          <w:t>274</w:t>
        </w:r>
        <w:r w:rsidR="00E46A7B">
          <w:rPr>
            <w:webHidden/>
          </w:rPr>
          <w:fldChar w:fldCharType="end"/>
        </w:r>
      </w:hyperlink>
    </w:p>
    <w:p w14:paraId="0E097C01" w14:textId="77777777" w:rsidR="00E46A7B" w:rsidRDefault="008079F1">
      <w:pPr>
        <w:pStyle w:val="TOC3"/>
        <w:rPr>
          <w:rFonts w:asciiTheme="minorHAnsi" w:eastAsiaTheme="minorEastAsia" w:hAnsiTheme="minorHAnsi" w:cstheme="minorBidi"/>
          <w:sz w:val="22"/>
          <w:szCs w:val="22"/>
        </w:rPr>
      </w:pPr>
      <w:hyperlink w:anchor="_Toc517161217" w:history="1">
        <w:r w:rsidR="00E46A7B" w:rsidRPr="00461340">
          <w:rPr>
            <w:rStyle w:val="Hyperlink"/>
          </w:rPr>
          <w:t>C.9.6</w:t>
        </w:r>
        <w:r w:rsidR="00E46A7B">
          <w:rPr>
            <w:rFonts w:asciiTheme="minorHAnsi" w:eastAsiaTheme="minorEastAsia" w:hAnsiTheme="minorHAnsi" w:cstheme="minorBidi"/>
            <w:sz w:val="22"/>
            <w:szCs w:val="22"/>
          </w:rPr>
          <w:tab/>
        </w:r>
        <w:r w:rsidR="00E46A7B" w:rsidRPr="00461340">
          <w:rPr>
            <w:rStyle w:val="Hyperlink"/>
          </w:rPr>
          <w:t>Hydrogeology and groundwater</w:t>
        </w:r>
        <w:r w:rsidR="00E46A7B">
          <w:rPr>
            <w:webHidden/>
          </w:rPr>
          <w:tab/>
        </w:r>
        <w:r w:rsidR="00E46A7B">
          <w:rPr>
            <w:webHidden/>
          </w:rPr>
          <w:fldChar w:fldCharType="begin"/>
        </w:r>
        <w:r w:rsidR="00E46A7B">
          <w:rPr>
            <w:webHidden/>
          </w:rPr>
          <w:instrText xml:space="preserve"> PAGEREF _Toc517161217 \h </w:instrText>
        </w:r>
        <w:r w:rsidR="00E46A7B">
          <w:rPr>
            <w:webHidden/>
          </w:rPr>
        </w:r>
        <w:r w:rsidR="00E46A7B">
          <w:rPr>
            <w:webHidden/>
          </w:rPr>
          <w:fldChar w:fldCharType="separate"/>
        </w:r>
        <w:r w:rsidR="00640CCB">
          <w:rPr>
            <w:webHidden/>
          </w:rPr>
          <w:t>276</w:t>
        </w:r>
        <w:r w:rsidR="00E46A7B">
          <w:rPr>
            <w:webHidden/>
          </w:rPr>
          <w:fldChar w:fldCharType="end"/>
        </w:r>
      </w:hyperlink>
    </w:p>
    <w:p w14:paraId="1CE6DC1A" w14:textId="77777777" w:rsidR="00E46A7B" w:rsidRDefault="008079F1">
      <w:pPr>
        <w:pStyle w:val="TOC3"/>
        <w:rPr>
          <w:rFonts w:asciiTheme="minorHAnsi" w:eastAsiaTheme="minorEastAsia" w:hAnsiTheme="minorHAnsi" w:cstheme="minorBidi"/>
          <w:sz w:val="22"/>
          <w:szCs w:val="22"/>
        </w:rPr>
      </w:pPr>
      <w:hyperlink w:anchor="_Toc517161218" w:history="1">
        <w:r w:rsidR="00E46A7B" w:rsidRPr="00461340">
          <w:rPr>
            <w:rStyle w:val="Hyperlink"/>
          </w:rPr>
          <w:t>C.9.7</w:t>
        </w:r>
        <w:r w:rsidR="00E46A7B">
          <w:rPr>
            <w:rFonts w:asciiTheme="minorHAnsi" w:eastAsiaTheme="minorEastAsia" w:hAnsiTheme="minorHAnsi" w:cstheme="minorBidi"/>
            <w:sz w:val="22"/>
            <w:szCs w:val="22"/>
          </w:rPr>
          <w:tab/>
        </w:r>
        <w:r w:rsidR="00E46A7B" w:rsidRPr="00461340">
          <w:rPr>
            <w:rStyle w:val="Hyperlink"/>
          </w:rPr>
          <w:t>Surface water hydrology</w:t>
        </w:r>
        <w:r w:rsidR="00E46A7B">
          <w:rPr>
            <w:webHidden/>
          </w:rPr>
          <w:tab/>
        </w:r>
        <w:r w:rsidR="00E46A7B">
          <w:rPr>
            <w:webHidden/>
          </w:rPr>
          <w:fldChar w:fldCharType="begin"/>
        </w:r>
        <w:r w:rsidR="00E46A7B">
          <w:rPr>
            <w:webHidden/>
          </w:rPr>
          <w:instrText xml:space="preserve"> PAGEREF _Toc517161218 \h </w:instrText>
        </w:r>
        <w:r w:rsidR="00E46A7B">
          <w:rPr>
            <w:webHidden/>
          </w:rPr>
        </w:r>
        <w:r w:rsidR="00E46A7B">
          <w:rPr>
            <w:webHidden/>
          </w:rPr>
          <w:fldChar w:fldCharType="separate"/>
        </w:r>
        <w:r w:rsidR="00640CCB">
          <w:rPr>
            <w:webHidden/>
          </w:rPr>
          <w:t>280</w:t>
        </w:r>
        <w:r w:rsidR="00E46A7B">
          <w:rPr>
            <w:webHidden/>
          </w:rPr>
          <w:fldChar w:fldCharType="end"/>
        </w:r>
      </w:hyperlink>
    </w:p>
    <w:p w14:paraId="5F968B97" w14:textId="77777777" w:rsidR="00E46A7B" w:rsidRDefault="008079F1">
      <w:pPr>
        <w:pStyle w:val="TOC3"/>
        <w:rPr>
          <w:rFonts w:asciiTheme="minorHAnsi" w:eastAsiaTheme="minorEastAsia" w:hAnsiTheme="minorHAnsi" w:cstheme="minorBidi"/>
          <w:sz w:val="22"/>
          <w:szCs w:val="22"/>
        </w:rPr>
      </w:pPr>
      <w:hyperlink w:anchor="_Toc517161219" w:history="1">
        <w:r w:rsidR="00E46A7B" w:rsidRPr="00461340">
          <w:rPr>
            <w:rStyle w:val="Hyperlink"/>
          </w:rPr>
          <w:t>C.9.8</w:t>
        </w:r>
        <w:r w:rsidR="00E46A7B">
          <w:rPr>
            <w:rFonts w:asciiTheme="minorHAnsi" w:eastAsiaTheme="minorEastAsia" w:hAnsiTheme="minorHAnsi" w:cstheme="minorBidi"/>
            <w:sz w:val="22"/>
            <w:szCs w:val="22"/>
          </w:rPr>
          <w:tab/>
        </w:r>
        <w:r w:rsidR="00E46A7B" w:rsidRPr="00461340">
          <w:rPr>
            <w:rStyle w:val="Hyperlink"/>
          </w:rPr>
          <w:t>Groundwater – surface water interactions</w:t>
        </w:r>
        <w:r w:rsidR="00E46A7B">
          <w:rPr>
            <w:webHidden/>
          </w:rPr>
          <w:tab/>
        </w:r>
        <w:r w:rsidR="00E46A7B">
          <w:rPr>
            <w:webHidden/>
          </w:rPr>
          <w:fldChar w:fldCharType="begin"/>
        </w:r>
        <w:r w:rsidR="00E46A7B">
          <w:rPr>
            <w:webHidden/>
          </w:rPr>
          <w:instrText xml:space="preserve"> PAGEREF _Toc517161219 \h </w:instrText>
        </w:r>
        <w:r w:rsidR="00E46A7B">
          <w:rPr>
            <w:webHidden/>
          </w:rPr>
        </w:r>
        <w:r w:rsidR="00E46A7B">
          <w:rPr>
            <w:webHidden/>
          </w:rPr>
          <w:fldChar w:fldCharType="separate"/>
        </w:r>
        <w:r w:rsidR="00640CCB">
          <w:rPr>
            <w:webHidden/>
          </w:rPr>
          <w:t>281</w:t>
        </w:r>
        <w:r w:rsidR="00E46A7B">
          <w:rPr>
            <w:webHidden/>
          </w:rPr>
          <w:fldChar w:fldCharType="end"/>
        </w:r>
      </w:hyperlink>
    </w:p>
    <w:p w14:paraId="2D75F7E6" w14:textId="77777777" w:rsidR="00E46A7B" w:rsidRDefault="008079F1">
      <w:pPr>
        <w:pStyle w:val="TOC3"/>
        <w:rPr>
          <w:rFonts w:asciiTheme="minorHAnsi" w:eastAsiaTheme="minorEastAsia" w:hAnsiTheme="minorHAnsi" w:cstheme="minorBidi"/>
          <w:sz w:val="22"/>
          <w:szCs w:val="22"/>
        </w:rPr>
      </w:pPr>
      <w:hyperlink w:anchor="_Toc517161220" w:history="1">
        <w:r w:rsidR="00E46A7B" w:rsidRPr="00461340">
          <w:rPr>
            <w:rStyle w:val="Hyperlink"/>
          </w:rPr>
          <w:t>C.9.9</w:t>
        </w:r>
        <w:r w:rsidR="00E46A7B">
          <w:rPr>
            <w:rFonts w:asciiTheme="minorHAnsi" w:eastAsiaTheme="minorEastAsia" w:hAnsiTheme="minorHAnsi" w:cstheme="minorBidi"/>
            <w:sz w:val="22"/>
            <w:szCs w:val="22"/>
          </w:rPr>
          <w:tab/>
        </w:r>
        <w:r w:rsidR="00E46A7B" w:rsidRPr="00461340">
          <w:rPr>
            <w:rStyle w:val="Hyperlink"/>
          </w:rPr>
          <w:t>Environmental assets</w:t>
        </w:r>
        <w:r w:rsidR="00E46A7B">
          <w:rPr>
            <w:webHidden/>
          </w:rPr>
          <w:tab/>
        </w:r>
        <w:r w:rsidR="00E46A7B">
          <w:rPr>
            <w:webHidden/>
          </w:rPr>
          <w:fldChar w:fldCharType="begin"/>
        </w:r>
        <w:r w:rsidR="00E46A7B">
          <w:rPr>
            <w:webHidden/>
          </w:rPr>
          <w:instrText xml:space="preserve"> PAGEREF _Toc517161220 \h </w:instrText>
        </w:r>
        <w:r w:rsidR="00E46A7B">
          <w:rPr>
            <w:webHidden/>
          </w:rPr>
        </w:r>
        <w:r w:rsidR="00E46A7B">
          <w:rPr>
            <w:webHidden/>
          </w:rPr>
          <w:fldChar w:fldCharType="separate"/>
        </w:r>
        <w:r w:rsidR="00640CCB">
          <w:rPr>
            <w:webHidden/>
          </w:rPr>
          <w:t>281</w:t>
        </w:r>
        <w:r w:rsidR="00E46A7B">
          <w:rPr>
            <w:webHidden/>
          </w:rPr>
          <w:fldChar w:fldCharType="end"/>
        </w:r>
      </w:hyperlink>
    </w:p>
    <w:p w14:paraId="21B3F671" w14:textId="77777777" w:rsidR="00E46A7B" w:rsidRDefault="008079F1">
      <w:pPr>
        <w:pStyle w:val="TOC3"/>
        <w:rPr>
          <w:rFonts w:asciiTheme="minorHAnsi" w:eastAsiaTheme="minorEastAsia" w:hAnsiTheme="minorHAnsi" w:cstheme="minorBidi"/>
          <w:sz w:val="22"/>
          <w:szCs w:val="22"/>
        </w:rPr>
      </w:pPr>
      <w:hyperlink w:anchor="_Toc517161221" w:history="1">
        <w:r w:rsidR="00E46A7B" w:rsidRPr="00461340">
          <w:rPr>
            <w:rStyle w:val="Hyperlink"/>
          </w:rPr>
          <w:t>C.9.10</w:t>
        </w:r>
        <w:r w:rsidR="00E46A7B">
          <w:rPr>
            <w:rFonts w:asciiTheme="minorHAnsi" w:eastAsiaTheme="minorEastAsia" w:hAnsiTheme="minorHAnsi" w:cstheme="minorBidi"/>
            <w:sz w:val="22"/>
            <w:szCs w:val="22"/>
          </w:rPr>
          <w:tab/>
        </w:r>
        <w:r w:rsidR="00E46A7B" w:rsidRPr="00461340">
          <w:rPr>
            <w:rStyle w:val="Hyperlink"/>
          </w:rPr>
          <w:t>Social considerations</w:t>
        </w:r>
        <w:r w:rsidR="00E46A7B">
          <w:rPr>
            <w:webHidden/>
          </w:rPr>
          <w:tab/>
        </w:r>
        <w:r w:rsidR="00E46A7B">
          <w:rPr>
            <w:webHidden/>
          </w:rPr>
          <w:fldChar w:fldCharType="begin"/>
        </w:r>
        <w:r w:rsidR="00E46A7B">
          <w:rPr>
            <w:webHidden/>
          </w:rPr>
          <w:instrText xml:space="preserve"> PAGEREF _Toc517161221 \h </w:instrText>
        </w:r>
        <w:r w:rsidR="00E46A7B">
          <w:rPr>
            <w:webHidden/>
          </w:rPr>
        </w:r>
        <w:r w:rsidR="00E46A7B">
          <w:rPr>
            <w:webHidden/>
          </w:rPr>
          <w:fldChar w:fldCharType="separate"/>
        </w:r>
        <w:r w:rsidR="00640CCB">
          <w:rPr>
            <w:webHidden/>
          </w:rPr>
          <w:t>282</w:t>
        </w:r>
        <w:r w:rsidR="00E46A7B">
          <w:rPr>
            <w:webHidden/>
          </w:rPr>
          <w:fldChar w:fldCharType="end"/>
        </w:r>
      </w:hyperlink>
    </w:p>
    <w:p w14:paraId="10021642" w14:textId="77777777" w:rsidR="00E46A7B" w:rsidRDefault="008079F1">
      <w:pPr>
        <w:pStyle w:val="TOC3"/>
        <w:rPr>
          <w:rFonts w:asciiTheme="minorHAnsi" w:eastAsiaTheme="minorEastAsia" w:hAnsiTheme="minorHAnsi" w:cstheme="minorBidi"/>
          <w:sz w:val="22"/>
          <w:szCs w:val="22"/>
        </w:rPr>
      </w:pPr>
      <w:hyperlink w:anchor="_Toc517161222" w:history="1">
        <w:r w:rsidR="00E46A7B" w:rsidRPr="00461340">
          <w:rPr>
            <w:rStyle w:val="Hyperlink"/>
          </w:rPr>
          <w:t>Key references</w:t>
        </w:r>
        <w:r w:rsidR="00E46A7B">
          <w:rPr>
            <w:webHidden/>
          </w:rPr>
          <w:tab/>
        </w:r>
        <w:r w:rsidR="00E46A7B">
          <w:rPr>
            <w:webHidden/>
          </w:rPr>
          <w:fldChar w:fldCharType="begin"/>
        </w:r>
        <w:r w:rsidR="00E46A7B">
          <w:rPr>
            <w:webHidden/>
          </w:rPr>
          <w:instrText xml:space="preserve"> PAGEREF _Toc517161222 \h </w:instrText>
        </w:r>
        <w:r w:rsidR="00E46A7B">
          <w:rPr>
            <w:webHidden/>
          </w:rPr>
        </w:r>
        <w:r w:rsidR="00E46A7B">
          <w:rPr>
            <w:webHidden/>
          </w:rPr>
          <w:fldChar w:fldCharType="separate"/>
        </w:r>
        <w:r w:rsidR="00640CCB">
          <w:rPr>
            <w:webHidden/>
          </w:rPr>
          <w:t>283</w:t>
        </w:r>
        <w:r w:rsidR="00E46A7B">
          <w:rPr>
            <w:webHidden/>
          </w:rPr>
          <w:fldChar w:fldCharType="end"/>
        </w:r>
      </w:hyperlink>
    </w:p>
    <w:p w14:paraId="677092D5" w14:textId="0455EC3D" w:rsidR="003053C7" w:rsidRPr="0013472C" w:rsidRDefault="003450C4" w:rsidP="00EA0B2F">
      <w:pPr>
        <w:pStyle w:val="BodyText"/>
      </w:pPr>
      <w:r>
        <w:rPr>
          <w:noProof/>
        </w:rPr>
        <w:fldChar w:fldCharType="end"/>
      </w:r>
    </w:p>
    <w:p w14:paraId="64BDD835" w14:textId="77777777" w:rsidR="00A943B2" w:rsidRDefault="004D139E" w:rsidP="00FE2FF7">
      <w:pPr>
        <w:pStyle w:val="TOCHeading"/>
      </w:pPr>
      <w:r w:rsidRPr="007A56F9">
        <w:lastRenderedPageBreak/>
        <w:t>F</w:t>
      </w:r>
      <w:r w:rsidR="00A943B2" w:rsidRPr="007A56F9">
        <w:t>igures</w:t>
      </w:r>
    </w:p>
    <w:p w14:paraId="6FF46725" w14:textId="77777777" w:rsidR="009F079F" w:rsidRDefault="004B38AE">
      <w:pPr>
        <w:pStyle w:val="TableofFigures"/>
        <w:rPr>
          <w:rFonts w:asciiTheme="minorHAnsi" w:eastAsiaTheme="minorEastAsia" w:hAnsiTheme="minorHAnsi" w:cstheme="minorBidi"/>
          <w:noProof/>
          <w:color w:val="auto"/>
          <w:sz w:val="22"/>
          <w:szCs w:val="22"/>
        </w:rPr>
      </w:pPr>
      <w:r>
        <w:rPr>
          <w:sz w:val="22"/>
        </w:rPr>
        <w:fldChar w:fldCharType="begin"/>
      </w:r>
      <w:r w:rsidR="003053C7">
        <w:instrText xml:space="preserve"> TOC \h \z \c "Apx Figure" </w:instrText>
      </w:r>
      <w:r>
        <w:rPr>
          <w:sz w:val="22"/>
        </w:rPr>
        <w:fldChar w:fldCharType="separate"/>
      </w:r>
      <w:hyperlink w:anchor="_Toc508972050" w:history="1">
        <w:r w:rsidR="009F079F" w:rsidRPr="00D31A39">
          <w:rPr>
            <w:rStyle w:val="Hyperlink"/>
            <w:noProof/>
          </w:rPr>
          <w:t>Figure A.1 Graphical representation of the SPE/WPC/AAPG/SPEE resources classification system. The system defines the major recoverable resources classes: Production, Reserves, Contingent Resources, and Prospective Resources, as well as Unrecoverable petroleum (PRMS, 2007). The "Range of Uncertainty" reflects a range of estimated quantities potentially recoverable from an accumulation by a project, while the vertical axis represents the "Chance of Commerciality", that is, the chance that the project that will be developed and reach commercial producing status.</w:t>
        </w:r>
        <w:r w:rsidR="009F079F">
          <w:rPr>
            <w:noProof/>
            <w:webHidden/>
          </w:rPr>
          <w:tab/>
        </w:r>
        <w:r w:rsidR="009F079F">
          <w:rPr>
            <w:noProof/>
            <w:webHidden/>
          </w:rPr>
          <w:fldChar w:fldCharType="begin"/>
        </w:r>
        <w:r w:rsidR="009F079F">
          <w:rPr>
            <w:noProof/>
            <w:webHidden/>
          </w:rPr>
          <w:instrText xml:space="preserve"> PAGEREF _Toc508972050 \h </w:instrText>
        </w:r>
        <w:r w:rsidR="009F079F">
          <w:rPr>
            <w:noProof/>
            <w:webHidden/>
          </w:rPr>
        </w:r>
        <w:r w:rsidR="009F079F">
          <w:rPr>
            <w:noProof/>
            <w:webHidden/>
          </w:rPr>
          <w:fldChar w:fldCharType="separate"/>
        </w:r>
        <w:r w:rsidR="00640CCB">
          <w:rPr>
            <w:noProof/>
            <w:webHidden/>
          </w:rPr>
          <w:t>3</w:t>
        </w:r>
        <w:r w:rsidR="009F079F">
          <w:rPr>
            <w:noProof/>
            <w:webHidden/>
          </w:rPr>
          <w:fldChar w:fldCharType="end"/>
        </w:r>
      </w:hyperlink>
    </w:p>
    <w:p w14:paraId="0E25F12D" w14:textId="77777777" w:rsidR="009F079F" w:rsidRDefault="008079F1">
      <w:pPr>
        <w:pStyle w:val="TableofFigures"/>
        <w:rPr>
          <w:rFonts w:asciiTheme="minorHAnsi" w:eastAsiaTheme="minorEastAsia" w:hAnsiTheme="minorHAnsi" w:cstheme="minorBidi"/>
          <w:noProof/>
          <w:color w:val="auto"/>
          <w:sz w:val="22"/>
          <w:szCs w:val="22"/>
        </w:rPr>
      </w:pPr>
      <w:hyperlink w:anchor="_Toc508972051" w:history="1">
        <w:r w:rsidR="009F079F" w:rsidRPr="00D31A39">
          <w:rPr>
            <w:rStyle w:val="Hyperlink"/>
            <w:noProof/>
          </w:rPr>
          <w:t>Figure A.2 Classification of development stages based on project maturity (PRMS, 2007).</w:t>
        </w:r>
        <w:r w:rsidR="009F079F">
          <w:rPr>
            <w:noProof/>
            <w:webHidden/>
          </w:rPr>
          <w:tab/>
        </w:r>
        <w:r w:rsidR="009F079F">
          <w:rPr>
            <w:noProof/>
            <w:webHidden/>
          </w:rPr>
          <w:fldChar w:fldCharType="begin"/>
        </w:r>
        <w:r w:rsidR="009F079F">
          <w:rPr>
            <w:noProof/>
            <w:webHidden/>
          </w:rPr>
          <w:instrText xml:space="preserve"> PAGEREF _Toc508972051 \h </w:instrText>
        </w:r>
        <w:r w:rsidR="009F079F">
          <w:rPr>
            <w:noProof/>
            <w:webHidden/>
          </w:rPr>
        </w:r>
        <w:r w:rsidR="009F079F">
          <w:rPr>
            <w:noProof/>
            <w:webHidden/>
          </w:rPr>
          <w:fldChar w:fldCharType="separate"/>
        </w:r>
        <w:r w:rsidR="00640CCB">
          <w:rPr>
            <w:noProof/>
            <w:webHidden/>
          </w:rPr>
          <w:t>7</w:t>
        </w:r>
        <w:r w:rsidR="009F079F">
          <w:rPr>
            <w:noProof/>
            <w:webHidden/>
          </w:rPr>
          <w:fldChar w:fldCharType="end"/>
        </w:r>
      </w:hyperlink>
    </w:p>
    <w:p w14:paraId="60A2130D" w14:textId="77777777" w:rsidR="009F079F" w:rsidRDefault="008079F1">
      <w:pPr>
        <w:pStyle w:val="TableofFigures"/>
        <w:rPr>
          <w:rFonts w:asciiTheme="minorHAnsi" w:eastAsiaTheme="minorEastAsia" w:hAnsiTheme="minorHAnsi" w:cstheme="minorBidi"/>
          <w:noProof/>
          <w:color w:val="auto"/>
          <w:sz w:val="22"/>
          <w:szCs w:val="22"/>
        </w:rPr>
      </w:pPr>
      <w:hyperlink w:anchor="_Toc508972052" w:history="1">
        <w:r w:rsidR="009F079F" w:rsidRPr="00D31A39">
          <w:rPr>
            <w:rStyle w:val="Hyperlink"/>
            <w:noProof/>
          </w:rPr>
          <w:t>Figure A.3 Australian basins classified by level of exploration activity for shale/ tight gas. Labelled sedimentary basins are those with reported contingent (2C) or prospective resources and on-going industry activity (as permitted by current regulatory environments). Basin outlines are sourced from Stewart et al. (2013), with the exception of the Isa Superbasin, which has been estimated from DNRM (2017). Oil and gas pipelines from GA (2015a). Key wells targeting shale and/or tight gas plays are also shown. Note that this well coverage is not exhaustive, as there are inconsistencies between how wells have been classified depending on the information source.</w:t>
        </w:r>
        <w:r w:rsidR="009F079F">
          <w:rPr>
            <w:noProof/>
            <w:webHidden/>
          </w:rPr>
          <w:tab/>
        </w:r>
        <w:r w:rsidR="009F079F">
          <w:rPr>
            <w:noProof/>
            <w:webHidden/>
          </w:rPr>
          <w:fldChar w:fldCharType="begin"/>
        </w:r>
        <w:r w:rsidR="009F079F">
          <w:rPr>
            <w:noProof/>
            <w:webHidden/>
          </w:rPr>
          <w:instrText xml:space="preserve"> PAGEREF _Toc508972052 \h </w:instrText>
        </w:r>
        <w:r w:rsidR="009F079F">
          <w:rPr>
            <w:noProof/>
            <w:webHidden/>
          </w:rPr>
        </w:r>
        <w:r w:rsidR="009F079F">
          <w:rPr>
            <w:noProof/>
            <w:webHidden/>
          </w:rPr>
          <w:fldChar w:fldCharType="separate"/>
        </w:r>
        <w:r w:rsidR="00640CCB">
          <w:rPr>
            <w:noProof/>
            <w:webHidden/>
          </w:rPr>
          <w:t>11</w:t>
        </w:r>
        <w:r w:rsidR="009F079F">
          <w:rPr>
            <w:noProof/>
            <w:webHidden/>
          </w:rPr>
          <w:fldChar w:fldCharType="end"/>
        </w:r>
      </w:hyperlink>
    </w:p>
    <w:p w14:paraId="44C1D368" w14:textId="77777777" w:rsidR="009F079F" w:rsidRDefault="008079F1">
      <w:pPr>
        <w:pStyle w:val="TableofFigures"/>
        <w:rPr>
          <w:rFonts w:asciiTheme="minorHAnsi" w:eastAsiaTheme="minorEastAsia" w:hAnsiTheme="minorHAnsi" w:cstheme="minorBidi"/>
          <w:noProof/>
          <w:color w:val="auto"/>
          <w:sz w:val="22"/>
          <w:szCs w:val="22"/>
        </w:rPr>
      </w:pPr>
      <w:hyperlink w:anchor="_Toc508972053" w:history="1">
        <w:r w:rsidR="009F079F" w:rsidRPr="00D31A39">
          <w:rPr>
            <w:rStyle w:val="Hyperlink"/>
            <w:noProof/>
          </w:rPr>
          <w:t>Figure B.1 Classification of principal aquifer types from the national hydrogeology map (Jacobson and Lau, 1987).</w:t>
        </w:r>
        <w:r w:rsidR="009F079F">
          <w:rPr>
            <w:noProof/>
            <w:webHidden/>
          </w:rPr>
          <w:tab/>
        </w:r>
        <w:r w:rsidR="009F079F">
          <w:rPr>
            <w:noProof/>
            <w:webHidden/>
          </w:rPr>
          <w:fldChar w:fldCharType="begin"/>
        </w:r>
        <w:r w:rsidR="009F079F">
          <w:rPr>
            <w:noProof/>
            <w:webHidden/>
          </w:rPr>
          <w:instrText xml:space="preserve"> PAGEREF _Toc508972053 \h </w:instrText>
        </w:r>
        <w:r w:rsidR="009F079F">
          <w:rPr>
            <w:noProof/>
            <w:webHidden/>
          </w:rPr>
        </w:r>
        <w:r w:rsidR="009F079F">
          <w:rPr>
            <w:noProof/>
            <w:webHidden/>
          </w:rPr>
          <w:fldChar w:fldCharType="separate"/>
        </w:r>
        <w:r w:rsidR="00640CCB">
          <w:rPr>
            <w:noProof/>
            <w:webHidden/>
          </w:rPr>
          <w:t>28</w:t>
        </w:r>
        <w:r w:rsidR="009F079F">
          <w:rPr>
            <w:noProof/>
            <w:webHidden/>
          </w:rPr>
          <w:fldChar w:fldCharType="end"/>
        </w:r>
      </w:hyperlink>
    </w:p>
    <w:p w14:paraId="5AD81605" w14:textId="77777777" w:rsidR="009F079F" w:rsidRDefault="008079F1">
      <w:pPr>
        <w:pStyle w:val="TableofFigures"/>
        <w:rPr>
          <w:rFonts w:asciiTheme="minorHAnsi" w:eastAsiaTheme="minorEastAsia" w:hAnsiTheme="minorHAnsi" w:cstheme="minorBidi"/>
          <w:noProof/>
          <w:color w:val="auto"/>
          <w:sz w:val="22"/>
          <w:szCs w:val="22"/>
        </w:rPr>
      </w:pPr>
      <w:hyperlink w:anchor="_Toc508972054" w:history="1">
        <w:r w:rsidR="009F079F" w:rsidRPr="00D31A39">
          <w:rPr>
            <w:rStyle w:val="Hyperlink"/>
            <w:noProof/>
          </w:rPr>
          <w:t>Figure B.2 Depth of groundwater bores in the basins analysed, derived from the National Groundwater Information System (BOM, 2016).</w:t>
        </w:r>
        <w:r w:rsidR="009F079F">
          <w:rPr>
            <w:noProof/>
            <w:webHidden/>
          </w:rPr>
          <w:tab/>
        </w:r>
        <w:r w:rsidR="009F079F">
          <w:rPr>
            <w:noProof/>
            <w:webHidden/>
          </w:rPr>
          <w:fldChar w:fldCharType="begin"/>
        </w:r>
        <w:r w:rsidR="009F079F">
          <w:rPr>
            <w:noProof/>
            <w:webHidden/>
          </w:rPr>
          <w:instrText xml:space="preserve"> PAGEREF _Toc508972054 \h </w:instrText>
        </w:r>
        <w:r w:rsidR="009F079F">
          <w:rPr>
            <w:noProof/>
            <w:webHidden/>
          </w:rPr>
        </w:r>
        <w:r w:rsidR="009F079F">
          <w:rPr>
            <w:noProof/>
            <w:webHidden/>
          </w:rPr>
          <w:fldChar w:fldCharType="separate"/>
        </w:r>
        <w:r w:rsidR="00640CCB">
          <w:rPr>
            <w:noProof/>
            <w:webHidden/>
          </w:rPr>
          <w:t>29</w:t>
        </w:r>
        <w:r w:rsidR="009F079F">
          <w:rPr>
            <w:noProof/>
            <w:webHidden/>
          </w:rPr>
          <w:fldChar w:fldCharType="end"/>
        </w:r>
      </w:hyperlink>
    </w:p>
    <w:p w14:paraId="2ED1A478" w14:textId="77777777" w:rsidR="009F079F" w:rsidRDefault="008079F1">
      <w:pPr>
        <w:pStyle w:val="TableofFigures"/>
        <w:rPr>
          <w:rFonts w:asciiTheme="minorHAnsi" w:eastAsiaTheme="minorEastAsia" w:hAnsiTheme="minorHAnsi" w:cstheme="minorBidi"/>
          <w:noProof/>
          <w:color w:val="auto"/>
          <w:sz w:val="22"/>
          <w:szCs w:val="22"/>
        </w:rPr>
      </w:pPr>
      <w:hyperlink w:anchor="_Toc508972055" w:history="1">
        <w:r w:rsidR="009F079F" w:rsidRPr="00D31A39">
          <w:rPr>
            <w:rStyle w:val="Hyperlink"/>
            <w:noProof/>
          </w:rPr>
          <w:t>Figure B.3 Estimated salinity values, expressed as total dissolved solids (mg/L) for groundwater bores in the National Groundwater Information System (BoM, 2016).</w:t>
        </w:r>
        <w:r w:rsidR="009F079F">
          <w:rPr>
            <w:noProof/>
            <w:webHidden/>
          </w:rPr>
          <w:tab/>
        </w:r>
        <w:r w:rsidR="009F079F">
          <w:rPr>
            <w:noProof/>
            <w:webHidden/>
          </w:rPr>
          <w:fldChar w:fldCharType="begin"/>
        </w:r>
        <w:r w:rsidR="009F079F">
          <w:rPr>
            <w:noProof/>
            <w:webHidden/>
          </w:rPr>
          <w:instrText xml:space="preserve"> PAGEREF _Toc508972055 \h </w:instrText>
        </w:r>
        <w:r w:rsidR="009F079F">
          <w:rPr>
            <w:noProof/>
            <w:webHidden/>
          </w:rPr>
        </w:r>
        <w:r w:rsidR="009F079F">
          <w:rPr>
            <w:noProof/>
            <w:webHidden/>
          </w:rPr>
          <w:fldChar w:fldCharType="separate"/>
        </w:r>
        <w:r w:rsidR="00640CCB">
          <w:rPr>
            <w:noProof/>
            <w:webHidden/>
          </w:rPr>
          <w:t>30</w:t>
        </w:r>
        <w:r w:rsidR="009F079F">
          <w:rPr>
            <w:noProof/>
            <w:webHidden/>
          </w:rPr>
          <w:fldChar w:fldCharType="end"/>
        </w:r>
      </w:hyperlink>
    </w:p>
    <w:p w14:paraId="3B9F6397" w14:textId="77777777" w:rsidR="009F079F" w:rsidRDefault="008079F1">
      <w:pPr>
        <w:pStyle w:val="TableofFigures"/>
        <w:rPr>
          <w:rFonts w:asciiTheme="minorHAnsi" w:eastAsiaTheme="minorEastAsia" w:hAnsiTheme="minorHAnsi" w:cstheme="minorBidi"/>
          <w:noProof/>
          <w:color w:val="auto"/>
          <w:sz w:val="22"/>
          <w:szCs w:val="22"/>
        </w:rPr>
      </w:pPr>
      <w:hyperlink w:anchor="_Toc508972056" w:history="1">
        <w:r w:rsidR="009F079F" w:rsidRPr="00D31A39">
          <w:rPr>
            <w:rStyle w:val="Hyperlink"/>
            <w:noProof/>
          </w:rPr>
          <w:t>Figure B.4 Density of groundwater bores found in the National Groundwater Information System, as displayed in Australian Groundwater Insight (BOM, 2015).</w:t>
        </w:r>
        <w:r w:rsidR="009F079F">
          <w:rPr>
            <w:noProof/>
            <w:webHidden/>
          </w:rPr>
          <w:tab/>
        </w:r>
        <w:r w:rsidR="009F079F">
          <w:rPr>
            <w:noProof/>
            <w:webHidden/>
          </w:rPr>
          <w:fldChar w:fldCharType="begin"/>
        </w:r>
        <w:r w:rsidR="009F079F">
          <w:rPr>
            <w:noProof/>
            <w:webHidden/>
          </w:rPr>
          <w:instrText xml:space="preserve"> PAGEREF _Toc508972056 \h </w:instrText>
        </w:r>
        <w:r w:rsidR="009F079F">
          <w:rPr>
            <w:noProof/>
            <w:webHidden/>
          </w:rPr>
        </w:r>
        <w:r w:rsidR="009F079F">
          <w:rPr>
            <w:noProof/>
            <w:webHidden/>
          </w:rPr>
          <w:fldChar w:fldCharType="separate"/>
        </w:r>
        <w:r w:rsidR="00640CCB">
          <w:rPr>
            <w:noProof/>
            <w:webHidden/>
          </w:rPr>
          <w:t>31</w:t>
        </w:r>
        <w:r w:rsidR="009F079F">
          <w:rPr>
            <w:noProof/>
            <w:webHidden/>
          </w:rPr>
          <w:fldChar w:fldCharType="end"/>
        </w:r>
      </w:hyperlink>
    </w:p>
    <w:p w14:paraId="6CBC6315" w14:textId="77777777" w:rsidR="009F079F" w:rsidRDefault="008079F1">
      <w:pPr>
        <w:pStyle w:val="TableofFigures"/>
        <w:rPr>
          <w:rFonts w:asciiTheme="minorHAnsi" w:eastAsiaTheme="minorEastAsia" w:hAnsiTheme="minorHAnsi" w:cstheme="minorBidi"/>
          <w:noProof/>
          <w:color w:val="auto"/>
          <w:sz w:val="22"/>
          <w:szCs w:val="22"/>
        </w:rPr>
      </w:pPr>
      <w:hyperlink w:anchor="_Toc508972057" w:history="1">
        <w:r w:rsidR="009F079F" w:rsidRPr="00D31A39">
          <w:rPr>
            <w:rStyle w:val="Hyperlink"/>
            <w:noProof/>
          </w:rPr>
          <w:t>Figure B.5 Location of internationally important (Ramsar-listed) wetlands and nationally important wetlands (Directory of Important Wetlands in Australia) found within the extents of each basin area (DoEE, 2016a; DoEE, 2010).</w:t>
        </w:r>
        <w:r w:rsidR="009F079F">
          <w:rPr>
            <w:noProof/>
            <w:webHidden/>
          </w:rPr>
          <w:tab/>
        </w:r>
        <w:r w:rsidR="009F079F">
          <w:rPr>
            <w:noProof/>
            <w:webHidden/>
          </w:rPr>
          <w:fldChar w:fldCharType="begin"/>
        </w:r>
        <w:r w:rsidR="009F079F">
          <w:rPr>
            <w:noProof/>
            <w:webHidden/>
          </w:rPr>
          <w:instrText xml:space="preserve"> PAGEREF _Toc508972057 \h </w:instrText>
        </w:r>
        <w:r w:rsidR="009F079F">
          <w:rPr>
            <w:noProof/>
            <w:webHidden/>
          </w:rPr>
        </w:r>
        <w:r w:rsidR="009F079F">
          <w:rPr>
            <w:noProof/>
            <w:webHidden/>
          </w:rPr>
          <w:fldChar w:fldCharType="separate"/>
        </w:r>
        <w:r w:rsidR="00640CCB">
          <w:rPr>
            <w:noProof/>
            <w:webHidden/>
          </w:rPr>
          <w:t>32</w:t>
        </w:r>
        <w:r w:rsidR="009F079F">
          <w:rPr>
            <w:noProof/>
            <w:webHidden/>
          </w:rPr>
          <w:fldChar w:fldCharType="end"/>
        </w:r>
      </w:hyperlink>
    </w:p>
    <w:p w14:paraId="1232048F" w14:textId="77777777" w:rsidR="009F079F" w:rsidRDefault="008079F1">
      <w:pPr>
        <w:pStyle w:val="TableofFigures"/>
        <w:rPr>
          <w:rFonts w:asciiTheme="minorHAnsi" w:eastAsiaTheme="minorEastAsia" w:hAnsiTheme="minorHAnsi" w:cstheme="minorBidi"/>
          <w:noProof/>
          <w:color w:val="auto"/>
          <w:sz w:val="22"/>
          <w:szCs w:val="22"/>
        </w:rPr>
      </w:pPr>
      <w:hyperlink w:anchor="_Toc508972058" w:history="1">
        <w:r w:rsidR="009F079F" w:rsidRPr="00D31A39">
          <w:rPr>
            <w:rStyle w:val="Hyperlink"/>
            <w:noProof/>
          </w:rPr>
          <w:t>Figure B.6 Geographic extent of areas with at least a moderate potential for groundwater-dependent ecosystems, as found in the Groundwater Dependent Ecosystem Atlas (BOM, 2017).</w:t>
        </w:r>
        <w:r w:rsidR="009F079F">
          <w:rPr>
            <w:noProof/>
            <w:webHidden/>
          </w:rPr>
          <w:tab/>
        </w:r>
        <w:r w:rsidR="009F079F">
          <w:rPr>
            <w:noProof/>
            <w:webHidden/>
          </w:rPr>
          <w:fldChar w:fldCharType="begin"/>
        </w:r>
        <w:r w:rsidR="009F079F">
          <w:rPr>
            <w:noProof/>
            <w:webHidden/>
          </w:rPr>
          <w:instrText xml:space="preserve"> PAGEREF _Toc508972058 \h </w:instrText>
        </w:r>
        <w:r w:rsidR="009F079F">
          <w:rPr>
            <w:noProof/>
            <w:webHidden/>
          </w:rPr>
        </w:r>
        <w:r w:rsidR="009F079F">
          <w:rPr>
            <w:noProof/>
            <w:webHidden/>
          </w:rPr>
          <w:fldChar w:fldCharType="separate"/>
        </w:r>
        <w:r w:rsidR="00640CCB">
          <w:rPr>
            <w:noProof/>
            <w:webHidden/>
          </w:rPr>
          <w:t>33</w:t>
        </w:r>
        <w:r w:rsidR="009F079F">
          <w:rPr>
            <w:noProof/>
            <w:webHidden/>
          </w:rPr>
          <w:fldChar w:fldCharType="end"/>
        </w:r>
      </w:hyperlink>
    </w:p>
    <w:p w14:paraId="23E59307" w14:textId="77777777" w:rsidR="009F079F" w:rsidRDefault="008079F1">
      <w:pPr>
        <w:pStyle w:val="TableofFigures"/>
        <w:rPr>
          <w:rFonts w:asciiTheme="minorHAnsi" w:eastAsiaTheme="minorEastAsia" w:hAnsiTheme="minorHAnsi" w:cstheme="minorBidi"/>
          <w:noProof/>
          <w:color w:val="auto"/>
          <w:sz w:val="22"/>
          <w:szCs w:val="22"/>
        </w:rPr>
      </w:pPr>
      <w:hyperlink w:anchor="_Toc508972059" w:history="1">
        <w:r w:rsidR="009F079F" w:rsidRPr="00D31A39">
          <w:rPr>
            <w:rStyle w:val="Hyperlink"/>
            <w:noProof/>
          </w:rPr>
          <w:t>Figure B.7 Extent of protected areas and reserves found in the Collaborative Australian Protected Area Database (DoEE, 2016b).</w:t>
        </w:r>
        <w:r w:rsidR="009F079F">
          <w:rPr>
            <w:noProof/>
            <w:webHidden/>
          </w:rPr>
          <w:tab/>
        </w:r>
        <w:r w:rsidR="009F079F">
          <w:rPr>
            <w:noProof/>
            <w:webHidden/>
          </w:rPr>
          <w:fldChar w:fldCharType="begin"/>
        </w:r>
        <w:r w:rsidR="009F079F">
          <w:rPr>
            <w:noProof/>
            <w:webHidden/>
          </w:rPr>
          <w:instrText xml:space="preserve"> PAGEREF _Toc508972059 \h </w:instrText>
        </w:r>
        <w:r w:rsidR="009F079F">
          <w:rPr>
            <w:noProof/>
            <w:webHidden/>
          </w:rPr>
        </w:r>
        <w:r w:rsidR="009F079F">
          <w:rPr>
            <w:noProof/>
            <w:webHidden/>
          </w:rPr>
          <w:fldChar w:fldCharType="separate"/>
        </w:r>
        <w:r w:rsidR="00640CCB">
          <w:rPr>
            <w:noProof/>
            <w:webHidden/>
          </w:rPr>
          <w:t>34</w:t>
        </w:r>
        <w:r w:rsidR="009F079F">
          <w:rPr>
            <w:noProof/>
            <w:webHidden/>
          </w:rPr>
          <w:fldChar w:fldCharType="end"/>
        </w:r>
      </w:hyperlink>
    </w:p>
    <w:p w14:paraId="39464C69"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0" w:history="1">
        <w:r w:rsidR="009F079F" w:rsidRPr="00D31A39">
          <w:rPr>
            <w:rStyle w:val="Hyperlink"/>
            <w:noProof/>
          </w:rPr>
          <w:t>Figure B.8 Extent of areas identified as Indigenous Protected Area in the Collaborative Australian Protected Area Database, and areas where Native Title has been determined to exist (DoEE, 2016b; NNTT, 2017a).</w:t>
        </w:r>
        <w:r w:rsidR="009F079F">
          <w:rPr>
            <w:noProof/>
            <w:webHidden/>
          </w:rPr>
          <w:tab/>
        </w:r>
        <w:r w:rsidR="009F079F">
          <w:rPr>
            <w:noProof/>
            <w:webHidden/>
          </w:rPr>
          <w:fldChar w:fldCharType="begin"/>
        </w:r>
        <w:r w:rsidR="009F079F">
          <w:rPr>
            <w:noProof/>
            <w:webHidden/>
          </w:rPr>
          <w:instrText xml:space="preserve"> PAGEREF _Toc508972060 \h </w:instrText>
        </w:r>
        <w:r w:rsidR="009F079F">
          <w:rPr>
            <w:noProof/>
            <w:webHidden/>
          </w:rPr>
        </w:r>
        <w:r w:rsidR="009F079F">
          <w:rPr>
            <w:noProof/>
            <w:webHidden/>
          </w:rPr>
          <w:fldChar w:fldCharType="separate"/>
        </w:r>
        <w:r w:rsidR="00640CCB">
          <w:rPr>
            <w:noProof/>
            <w:webHidden/>
          </w:rPr>
          <w:t>35</w:t>
        </w:r>
        <w:r w:rsidR="009F079F">
          <w:rPr>
            <w:noProof/>
            <w:webHidden/>
          </w:rPr>
          <w:fldChar w:fldCharType="end"/>
        </w:r>
      </w:hyperlink>
    </w:p>
    <w:p w14:paraId="58EE1BF4"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1" w:history="1">
        <w:r w:rsidR="009F079F" w:rsidRPr="00D31A39">
          <w:rPr>
            <w:rStyle w:val="Hyperlink"/>
            <w:noProof/>
          </w:rPr>
          <w:t>Figure B.9 Distribution of population, expressed as a population density of people per square kilometre in the Australian Population Grid (ABS, 2016).</w:t>
        </w:r>
        <w:r w:rsidR="009F079F">
          <w:rPr>
            <w:noProof/>
            <w:webHidden/>
          </w:rPr>
          <w:tab/>
        </w:r>
        <w:r w:rsidR="009F079F">
          <w:rPr>
            <w:noProof/>
            <w:webHidden/>
          </w:rPr>
          <w:fldChar w:fldCharType="begin"/>
        </w:r>
        <w:r w:rsidR="009F079F">
          <w:rPr>
            <w:noProof/>
            <w:webHidden/>
          </w:rPr>
          <w:instrText xml:space="preserve"> PAGEREF _Toc508972061 \h </w:instrText>
        </w:r>
        <w:r w:rsidR="009F079F">
          <w:rPr>
            <w:noProof/>
            <w:webHidden/>
          </w:rPr>
        </w:r>
        <w:r w:rsidR="009F079F">
          <w:rPr>
            <w:noProof/>
            <w:webHidden/>
          </w:rPr>
          <w:fldChar w:fldCharType="separate"/>
        </w:r>
        <w:r w:rsidR="00640CCB">
          <w:rPr>
            <w:noProof/>
            <w:webHidden/>
          </w:rPr>
          <w:t>36</w:t>
        </w:r>
        <w:r w:rsidR="009F079F">
          <w:rPr>
            <w:noProof/>
            <w:webHidden/>
          </w:rPr>
          <w:fldChar w:fldCharType="end"/>
        </w:r>
      </w:hyperlink>
    </w:p>
    <w:p w14:paraId="41B3483E"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2" w:history="1">
        <w:r w:rsidR="009F079F" w:rsidRPr="00D31A39">
          <w:rPr>
            <w:rStyle w:val="Hyperlink"/>
            <w:noProof/>
          </w:rPr>
          <w:t>Figure B.10 Land use types as identified in the Catchment-scale Land Use Mapping of Australia dataset (ABARES, 2016).</w:t>
        </w:r>
        <w:r w:rsidR="009F079F">
          <w:rPr>
            <w:noProof/>
            <w:webHidden/>
          </w:rPr>
          <w:tab/>
        </w:r>
        <w:r w:rsidR="009F079F">
          <w:rPr>
            <w:noProof/>
            <w:webHidden/>
          </w:rPr>
          <w:fldChar w:fldCharType="begin"/>
        </w:r>
        <w:r w:rsidR="009F079F">
          <w:rPr>
            <w:noProof/>
            <w:webHidden/>
          </w:rPr>
          <w:instrText xml:space="preserve"> PAGEREF _Toc508972062 \h </w:instrText>
        </w:r>
        <w:r w:rsidR="009F079F">
          <w:rPr>
            <w:noProof/>
            <w:webHidden/>
          </w:rPr>
        </w:r>
        <w:r w:rsidR="009F079F">
          <w:rPr>
            <w:noProof/>
            <w:webHidden/>
          </w:rPr>
          <w:fldChar w:fldCharType="separate"/>
        </w:r>
        <w:r w:rsidR="00640CCB">
          <w:rPr>
            <w:noProof/>
            <w:webHidden/>
          </w:rPr>
          <w:t>37</w:t>
        </w:r>
        <w:r w:rsidR="009F079F">
          <w:rPr>
            <w:noProof/>
            <w:webHidden/>
          </w:rPr>
          <w:fldChar w:fldCharType="end"/>
        </w:r>
      </w:hyperlink>
    </w:p>
    <w:p w14:paraId="15E73BE2"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3" w:history="1">
        <w:r w:rsidR="009F079F" w:rsidRPr="00D31A39">
          <w:rPr>
            <w:rStyle w:val="Hyperlink"/>
            <w:noProof/>
          </w:rPr>
          <w:t>Figure B.11 Surface water systems, including catchments, major rivers and their perenniality, overlying the Amadeus Basin (BOM, 2014).</w:t>
        </w:r>
        <w:r w:rsidR="009F079F">
          <w:rPr>
            <w:noProof/>
            <w:webHidden/>
          </w:rPr>
          <w:tab/>
        </w:r>
        <w:r w:rsidR="009F079F">
          <w:rPr>
            <w:noProof/>
            <w:webHidden/>
          </w:rPr>
          <w:fldChar w:fldCharType="begin"/>
        </w:r>
        <w:r w:rsidR="009F079F">
          <w:rPr>
            <w:noProof/>
            <w:webHidden/>
          </w:rPr>
          <w:instrText xml:space="preserve"> PAGEREF _Toc508972063 \h </w:instrText>
        </w:r>
        <w:r w:rsidR="009F079F">
          <w:rPr>
            <w:noProof/>
            <w:webHidden/>
          </w:rPr>
        </w:r>
        <w:r w:rsidR="009F079F">
          <w:rPr>
            <w:noProof/>
            <w:webHidden/>
          </w:rPr>
          <w:fldChar w:fldCharType="separate"/>
        </w:r>
        <w:r w:rsidR="00640CCB">
          <w:rPr>
            <w:noProof/>
            <w:webHidden/>
          </w:rPr>
          <w:t>38</w:t>
        </w:r>
        <w:r w:rsidR="009F079F">
          <w:rPr>
            <w:noProof/>
            <w:webHidden/>
          </w:rPr>
          <w:fldChar w:fldCharType="end"/>
        </w:r>
      </w:hyperlink>
    </w:p>
    <w:p w14:paraId="62F0F9E8"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4" w:history="1">
        <w:r w:rsidR="009F079F" w:rsidRPr="00D31A39">
          <w:rPr>
            <w:rStyle w:val="Hyperlink"/>
            <w:noProof/>
          </w:rPr>
          <w:t>Figure B.12 Surface water systems, including catchments, major rivers and their perenniality, overlying the Bowen Basin (BOM, 2014).</w:t>
        </w:r>
        <w:r w:rsidR="009F079F">
          <w:rPr>
            <w:noProof/>
            <w:webHidden/>
          </w:rPr>
          <w:tab/>
        </w:r>
        <w:r w:rsidR="009F079F">
          <w:rPr>
            <w:noProof/>
            <w:webHidden/>
          </w:rPr>
          <w:fldChar w:fldCharType="begin"/>
        </w:r>
        <w:r w:rsidR="009F079F">
          <w:rPr>
            <w:noProof/>
            <w:webHidden/>
          </w:rPr>
          <w:instrText xml:space="preserve"> PAGEREF _Toc508972064 \h </w:instrText>
        </w:r>
        <w:r w:rsidR="009F079F">
          <w:rPr>
            <w:noProof/>
            <w:webHidden/>
          </w:rPr>
        </w:r>
        <w:r w:rsidR="009F079F">
          <w:rPr>
            <w:noProof/>
            <w:webHidden/>
          </w:rPr>
          <w:fldChar w:fldCharType="separate"/>
        </w:r>
        <w:r w:rsidR="00640CCB">
          <w:rPr>
            <w:noProof/>
            <w:webHidden/>
          </w:rPr>
          <w:t>39</w:t>
        </w:r>
        <w:r w:rsidR="009F079F">
          <w:rPr>
            <w:noProof/>
            <w:webHidden/>
          </w:rPr>
          <w:fldChar w:fldCharType="end"/>
        </w:r>
      </w:hyperlink>
    </w:p>
    <w:p w14:paraId="51B02AF2"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5" w:history="1">
        <w:r w:rsidR="009F079F" w:rsidRPr="00D31A39">
          <w:rPr>
            <w:rStyle w:val="Hyperlink"/>
            <w:noProof/>
          </w:rPr>
          <w:t>Figure B.13 Surface water systems, including catchments, major rivers and their perenniality, overlying the Clarence-Moreton Basin (BOM, 2014).</w:t>
        </w:r>
        <w:r w:rsidR="009F079F">
          <w:rPr>
            <w:noProof/>
            <w:webHidden/>
          </w:rPr>
          <w:tab/>
        </w:r>
        <w:r w:rsidR="009F079F">
          <w:rPr>
            <w:noProof/>
            <w:webHidden/>
          </w:rPr>
          <w:fldChar w:fldCharType="begin"/>
        </w:r>
        <w:r w:rsidR="009F079F">
          <w:rPr>
            <w:noProof/>
            <w:webHidden/>
          </w:rPr>
          <w:instrText xml:space="preserve"> PAGEREF _Toc508972065 \h </w:instrText>
        </w:r>
        <w:r w:rsidR="009F079F">
          <w:rPr>
            <w:noProof/>
            <w:webHidden/>
          </w:rPr>
        </w:r>
        <w:r w:rsidR="009F079F">
          <w:rPr>
            <w:noProof/>
            <w:webHidden/>
          </w:rPr>
          <w:fldChar w:fldCharType="separate"/>
        </w:r>
        <w:r w:rsidR="00640CCB">
          <w:rPr>
            <w:noProof/>
            <w:webHidden/>
          </w:rPr>
          <w:t>39</w:t>
        </w:r>
        <w:r w:rsidR="009F079F">
          <w:rPr>
            <w:noProof/>
            <w:webHidden/>
          </w:rPr>
          <w:fldChar w:fldCharType="end"/>
        </w:r>
      </w:hyperlink>
    </w:p>
    <w:p w14:paraId="6E6C74CE"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6" w:history="1">
        <w:r w:rsidR="009F079F" w:rsidRPr="00D31A39">
          <w:rPr>
            <w:rStyle w:val="Hyperlink"/>
            <w:noProof/>
          </w:rPr>
          <w:t>Figure B.14 Surface water systems, including catchments, major rivers and their perenniality, overlying the Cooper Basin (BOM, 2014).</w:t>
        </w:r>
        <w:r w:rsidR="009F079F">
          <w:rPr>
            <w:noProof/>
            <w:webHidden/>
          </w:rPr>
          <w:tab/>
        </w:r>
        <w:r w:rsidR="009F079F">
          <w:rPr>
            <w:noProof/>
            <w:webHidden/>
          </w:rPr>
          <w:fldChar w:fldCharType="begin"/>
        </w:r>
        <w:r w:rsidR="009F079F">
          <w:rPr>
            <w:noProof/>
            <w:webHidden/>
          </w:rPr>
          <w:instrText xml:space="preserve"> PAGEREF _Toc508972066 \h </w:instrText>
        </w:r>
        <w:r w:rsidR="009F079F">
          <w:rPr>
            <w:noProof/>
            <w:webHidden/>
          </w:rPr>
        </w:r>
        <w:r w:rsidR="009F079F">
          <w:rPr>
            <w:noProof/>
            <w:webHidden/>
          </w:rPr>
          <w:fldChar w:fldCharType="separate"/>
        </w:r>
        <w:r w:rsidR="00640CCB">
          <w:rPr>
            <w:noProof/>
            <w:webHidden/>
          </w:rPr>
          <w:t>40</w:t>
        </w:r>
        <w:r w:rsidR="009F079F">
          <w:rPr>
            <w:noProof/>
            <w:webHidden/>
          </w:rPr>
          <w:fldChar w:fldCharType="end"/>
        </w:r>
      </w:hyperlink>
    </w:p>
    <w:p w14:paraId="51C9FC72"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7" w:history="1">
        <w:r w:rsidR="009F079F" w:rsidRPr="00D31A39">
          <w:rPr>
            <w:rStyle w:val="Hyperlink"/>
            <w:noProof/>
          </w:rPr>
          <w:t>Figure B.15 Surface water systems, including catchments, major rivers and their perenniality, overlying the Georgina Basin (BOM, 2014).</w:t>
        </w:r>
        <w:r w:rsidR="009F079F">
          <w:rPr>
            <w:noProof/>
            <w:webHidden/>
          </w:rPr>
          <w:tab/>
        </w:r>
        <w:r w:rsidR="009F079F">
          <w:rPr>
            <w:noProof/>
            <w:webHidden/>
          </w:rPr>
          <w:fldChar w:fldCharType="begin"/>
        </w:r>
        <w:r w:rsidR="009F079F">
          <w:rPr>
            <w:noProof/>
            <w:webHidden/>
          </w:rPr>
          <w:instrText xml:space="preserve"> PAGEREF _Toc508972067 \h </w:instrText>
        </w:r>
        <w:r w:rsidR="009F079F">
          <w:rPr>
            <w:noProof/>
            <w:webHidden/>
          </w:rPr>
        </w:r>
        <w:r w:rsidR="009F079F">
          <w:rPr>
            <w:noProof/>
            <w:webHidden/>
          </w:rPr>
          <w:fldChar w:fldCharType="separate"/>
        </w:r>
        <w:r w:rsidR="00640CCB">
          <w:rPr>
            <w:noProof/>
            <w:webHidden/>
          </w:rPr>
          <w:t>40</w:t>
        </w:r>
        <w:r w:rsidR="009F079F">
          <w:rPr>
            <w:noProof/>
            <w:webHidden/>
          </w:rPr>
          <w:fldChar w:fldCharType="end"/>
        </w:r>
      </w:hyperlink>
    </w:p>
    <w:p w14:paraId="4CE673C3"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8" w:history="1">
        <w:r w:rsidR="009F079F" w:rsidRPr="00D31A39">
          <w:rPr>
            <w:rStyle w:val="Hyperlink"/>
            <w:noProof/>
          </w:rPr>
          <w:t>Figure B.16 Surface water systems, including catchments, major rivers and their perenniality, overlying the Gippsland Basin (BOM, 2014).</w:t>
        </w:r>
        <w:r w:rsidR="009F079F">
          <w:rPr>
            <w:noProof/>
            <w:webHidden/>
          </w:rPr>
          <w:tab/>
        </w:r>
        <w:r w:rsidR="009F079F">
          <w:rPr>
            <w:noProof/>
            <w:webHidden/>
          </w:rPr>
          <w:fldChar w:fldCharType="begin"/>
        </w:r>
        <w:r w:rsidR="009F079F">
          <w:rPr>
            <w:noProof/>
            <w:webHidden/>
          </w:rPr>
          <w:instrText xml:space="preserve"> PAGEREF _Toc508972068 \h </w:instrText>
        </w:r>
        <w:r w:rsidR="009F079F">
          <w:rPr>
            <w:noProof/>
            <w:webHidden/>
          </w:rPr>
        </w:r>
        <w:r w:rsidR="009F079F">
          <w:rPr>
            <w:noProof/>
            <w:webHidden/>
          </w:rPr>
          <w:fldChar w:fldCharType="separate"/>
        </w:r>
        <w:r w:rsidR="00640CCB">
          <w:rPr>
            <w:noProof/>
            <w:webHidden/>
          </w:rPr>
          <w:t>41</w:t>
        </w:r>
        <w:r w:rsidR="009F079F">
          <w:rPr>
            <w:noProof/>
            <w:webHidden/>
          </w:rPr>
          <w:fldChar w:fldCharType="end"/>
        </w:r>
      </w:hyperlink>
    </w:p>
    <w:p w14:paraId="3FF3CB38" w14:textId="77777777" w:rsidR="009F079F" w:rsidRDefault="008079F1">
      <w:pPr>
        <w:pStyle w:val="TableofFigures"/>
        <w:rPr>
          <w:rFonts w:asciiTheme="minorHAnsi" w:eastAsiaTheme="minorEastAsia" w:hAnsiTheme="minorHAnsi" w:cstheme="minorBidi"/>
          <w:noProof/>
          <w:color w:val="auto"/>
          <w:sz w:val="22"/>
          <w:szCs w:val="22"/>
        </w:rPr>
      </w:pPr>
      <w:hyperlink w:anchor="_Toc508972069" w:history="1">
        <w:r w:rsidR="009F079F" w:rsidRPr="00D31A39">
          <w:rPr>
            <w:rStyle w:val="Hyperlink"/>
            <w:noProof/>
          </w:rPr>
          <w:t>Figure B.17 Surface water systems, including catchments, major rivers and their perenniality, overlying the McArthur Basin (BOM, 2014).</w:t>
        </w:r>
        <w:r w:rsidR="009F079F">
          <w:rPr>
            <w:noProof/>
            <w:webHidden/>
          </w:rPr>
          <w:tab/>
        </w:r>
        <w:r w:rsidR="009F079F">
          <w:rPr>
            <w:noProof/>
            <w:webHidden/>
          </w:rPr>
          <w:fldChar w:fldCharType="begin"/>
        </w:r>
        <w:r w:rsidR="009F079F">
          <w:rPr>
            <w:noProof/>
            <w:webHidden/>
          </w:rPr>
          <w:instrText xml:space="preserve"> PAGEREF _Toc508972069 \h </w:instrText>
        </w:r>
        <w:r w:rsidR="009F079F">
          <w:rPr>
            <w:noProof/>
            <w:webHidden/>
          </w:rPr>
        </w:r>
        <w:r w:rsidR="009F079F">
          <w:rPr>
            <w:noProof/>
            <w:webHidden/>
          </w:rPr>
          <w:fldChar w:fldCharType="separate"/>
        </w:r>
        <w:r w:rsidR="00640CCB">
          <w:rPr>
            <w:noProof/>
            <w:webHidden/>
          </w:rPr>
          <w:t>41</w:t>
        </w:r>
        <w:r w:rsidR="009F079F">
          <w:rPr>
            <w:noProof/>
            <w:webHidden/>
          </w:rPr>
          <w:fldChar w:fldCharType="end"/>
        </w:r>
      </w:hyperlink>
    </w:p>
    <w:p w14:paraId="06C7F2D9" w14:textId="77777777" w:rsidR="009F079F" w:rsidRDefault="008079F1">
      <w:pPr>
        <w:pStyle w:val="TableofFigures"/>
        <w:rPr>
          <w:rFonts w:asciiTheme="minorHAnsi" w:eastAsiaTheme="minorEastAsia" w:hAnsiTheme="minorHAnsi" w:cstheme="minorBidi"/>
          <w:noProof/>
          <w:color w:val="auto"/>
          <w:sz w:val="22"/>
          <w:szCs w:val="22"/>
        </w:rPr>
      </w:pPr>
      <w:hyperlink w:anchor="_Toc508972070" w:history="1">
        <w:r w:rsidR="009F079F" w:rsidRPr="00D31A39">
          <w:rPr>
            <w:rStyle w:val="Hyperlink"/>
            <w:noProof/>
          </w:rPr>
          <w:t>Figure B.18 Surface water systems, including catchments, major rivers and their perenniality, overlying the Mount Isa Province, and therefore including the Isa Superbasin (BOM, 2014).</w:t>
        </w:r>
        <w:r w:rsidR="009F079F">
          <w:rPr>
            <w:noProof/>
            <w:webHidden/>
          </w:rPr>
          <w:tab/>
        </w:r>
        <w:r w:rsidR="009F079F">
          <w:rPr>
            <w:noProof/>
            <w:webHidden/>
          </w:rPr>
          <w:fldChar w:fldCharType="begin"/>
        </w:r>
        <w:r w:rsidR="009F079F">
          <w:rPr>
            <w:noProof/>
            <w:webHidden/>
          </w:rPr>
          <w:instrText xml:space="preserve"> PAGEREF _Toc508972070 \h </w:instrText>
        </w:r>
        <w:r w:rsidR="009F079F">
          <w:rPr>
            <w:noProof/>
            <w:webHidden/>
          </w:rPr>
        </w:r>
        <w:r w:rsidR="009F079F">
          <w:rPr>
            <w:noProof/>
            <w:webHidden/>
          </w:rPr>
          <w:fldChar w:fldCharType="separate"/>
        </w:r>
        <w:r w:rsidR="00640CCB">
          <w:rPr>
            <w:noProof/>
            <w:webHidden/>
          </w:rPr>
          <w:t>42</w:t>
        </w:r>
        <w:r w:rsidR="009F079F">
          <w:rPr>
            <w:noProof/>
            <w:webHidden/>
          </w:rPr>
          <w:fldChar w:fldCharType="end"/>
        </w:r>
      </w:hyperlink>
    </w:p>
    <w:p w14:paraId="3FBC1798" w14:textId="77777777" w:rsidR="009F079F" w:rsidRDefault="008079F1">
      <w:pPr>
        <w:pStyle w:val="TableofFigures"/>
        <w:rPr>
          <w:rFonts w:asciiTheme="minorHAnsi" w:eastAsiaTheme="minorEastAsia" w:hAnsiTheme="minorHAnsi" w:cstheme="minorBidi"/>
          <w:noProof/>
          <w:color w:val="auto"/>
          <w:sz w:val="22"/>
          <w:szCs w:val="22"/>
        </w:rPr>
      </w:pPr>
      <w:hyperlink w:anchor="_Toc508972071" w:history="1">
        <w:r w:rsidR="009F079F" w:rsidRPr="00D31A39">
          <w:rPr>
            <w:rStyle w:val="Hyperlink"/>
            <w:noProof/>
          </w:rPr>
          <w:t>Figure B.19 Surface water systems, including catchments, major rivers and their perenniality, overlying the Otway Basin (BOM, 2014).</w:t>
        </w:r>
        <w:r w:rsidR="009F079F">
          <w:rPr>
            <w:noProof/>
            <w:webHidden/>
          </w:rPr>
          <w:tab/>
        </w:r>
        <w:r w:rsidR="009F079F">
          <w:rPr>
            <w:noProof/>
            <w:webHidden/>
          </w:rPr>
          <w:fldChar w:fldCharType="begin"/>
        </w:r>
        <w:r w:rsidR="009F079F">
          <w:rPr>
            <w:noProof/>
            <w:webHidden/>
          </w:rPr>
          <w:instrText xml:space="preserve"> PAGEREF _Toc508972071 \h </w:instrText>
        </w:r>
        <w:r w:rsidR="009F079F">
          <w:rPr>
            <w:noProof/>
            <w:webHidden/>
          </w:rPr>
        </w:r>
        <w:r w:rsidR="009F079F">
          <w:rPr>
            <w:noProof/>
            <w:webHidden/>
          </w:rPr>
          <w:fldChar w:fldCharType="separate"/>
        </w:r>
        <w:r w:rsidR="00640CCB">
          <w:rPr>
            <w:noProof/>
            <w:webHidden/>
          </w:rPr>
          <w:t>42</w:t>
        </w:r>
        <w:r w:rsidR="009F079F">
          <w:rPr>
            <w:noProof/>
            <w:webHidden/>
          </w:rPr>
          <w:fldChar w:fldCharType="end"/>
        </w:r>
      </w:hyperlink>
    </w:p>
    <w:p w14:paraId="2DE1F4DE" w14:textId="5493568A" w:rsidR="009F079F" w:rsidRDefault="008079F1">
      <w:pPr>
        <w:pStyle w:val="TableofFigures"/>
        <w:rPr>
          <w:rFonts w:asciiTheme="minorHAnsi" w:eastAsiaTheme="minorEastAsia" w:hAnsiTheme="minorHAnsi" w:cstheme="minorBidi"/>
          <w:noProof/>
          <w:color w:val="auto"/>
          <w:sz w:val="22"/>
          <w:szCs w:val="22"/>
        </w:rPr>
      </w:pPr>
      <w:hyperlink w:anchor="_Toc508972072" w:history="1">
        <w:r w:rsidR="009F079F" w:rsidRPr="00D31A39">
          <w:rPr>
            <w:rStyle w:val="Hyperlink"/>
            <w:noProof/>
          </w:rPr>
          <w:t>Figure C.1 Location of the Amadeus Basin on a base map of surface geology from Carr et al. (2016). The surface geology is from the 1:1,000,000 scale geology map of Australia (Raymond, 2009), and the outline of the Amadeus Basin is from Stewart et al. (2013). (b) Map of the Amadeus Basin showing locations of the key depocentres (after Lindsay and Korsch, 1989, 1991).</w:t>
        </w:r>
        <w:r w:rsidR="009F079F">
          <w:rPr>
            <w:noProof/>
            <w:webHidden/>
          </w:rPr>
          <w:tab/>
        </w:r>
        <w:r w:rsidR="009F079F">
          <w:rPr>
            <w:noProof/>
            <w:webHidden/>
          </w:rPr>
          <w:fldChar w:fldCharType="begin"/>
        </w:r>
        <w:r w:rsidR="009F079F">
          <w:rPr>
            <w:noProof/>
            <w:webHidden/>
          </w:rPr>
          <w:instrText xml:space="preserve"> PAGEREF _Toc508972072 \h </w:instrText>
        </w:r>
        <w:r w:rsidR="009F079F">
          <w:rPr>
            <w:noProof/>
            <w:webHidden/>
          </w:rPr>
        </w:r>
        <w:r w:rsidR="009F079F">
          <w:rPr>
            <w:noProof/>
            <w:webHidden/>
          </w:rPr>
          <w:fldChar w:fldCharType="separate"/>
        </w:r>
        <w:r w:rsidR="00640CCB">
          <w:rPr>
            <w:noProof/>
            <w:webHidden/>
          </w:rPr>
          <w:t>47</w:t>
        </w:r>
        <w:r w:rsidR="009F079F">
          <w:rPr>
            <w:noProof/>
            <w:webHidden/>
          </w:rPr>
          <w:fldChar w:fldCharType="end"/>
        </w:r>
      </w:hyperlink>
    </w:p>
    <w:p w14:paraId="507BA989" w14:textId="336BE106" w:rsidR="009F079F" w:rsidRDefault="008079F1">
      <w:pPr>
        <w:pStyle w:val="TableofFigures"/>
        <w:rPr>
          <w:rFonts w:asciiTheme="minorHAnsi" w:eastAsiaTheme="minorEastAsia" w:hAnsiTheme="minorHAnsi" w:cstheme="minorBidi"/>
          <w:noProof/>
          <w:color w:val="auto"/>
          <w:sz w:val="22"/>
          <w:szCs w:val="22"/>
        </w:rPr>
      </w:pPr>
      <w:hyperlink w:anchor="_Toc508972073" w:history="1">
        <w:r w:rsidR="009F079F" w:rsidRPr="00D31A39">
          <w:rPr>
            <w:rStyle w:val="Hyperlink"/>
            <w:noProof/>
          </w:rPr>
          <w:t>Figure C.2 Lithostratigraphy of the Amadeus Basin (from Carr et al. (2016); modified from Edgoose (2013), Haines and Allen (2014) and Munson (2014)). Supersequences in the Neoproterozoic follow Walter et al. (1995). Chart also shows locations of key source rocks, reservoirs and hydrocarbon discoveries and shows in the basin. Geological time scale on left hand side is not to scale.</w:t>
        </w:r>
        <w:r w:rsidR="009F079F">
          <w:rPr>
            <w:noProof/>
            <w:webHidden/>
          </w:rPr>
          <w:tab/>
        </w:r>
        <w:r w:rsidR="009F079F">
          <w:rPr>
            <w:noProof/>
            <w:webHidden/>
          </w:rPr>
          <w:fldChar w:fldCharType="begin"/>
        </w:r>
        <w:r w:rsidR="009F079F">
          <w:rPr>
            <w:noProof/>
            <w:webHidden/>
          </w:rPr>
          <w:instrText xml:space="preserve"> PAGEREF _Toc508972073 \h </w:instrText>
        </w:r>
        <w:r w:rsidR="009F079F">
          <w:rPr>
            <w:noProof/>
            <w:webHidden/>
          </w:rPr>
        </w:r>
        <w:r w:rsidR="009F079F">
          <w:rPr>
            <w:noProof/>
            <w:webHidden/>
          </w:rPr>
          <w:fldChar w:fldCharType="separate"/>
        </w:r>
        <w:r w:rsidR="00640CCB">
          <w:rPr>
            <w:noProof/>
            <w:webHidden/>
          </w:rPr>
          <w:t>48</w:t>
        </w:r>
        <w:r w:rsidR="009F079F">
          <w:rPr>
            <w:noProof/>
            <w:webHidden/>
          </w:rPr>
          <w:fldChar w:fldCharType="end"/>
        </w:r>
      </w:hyperlink>
    </w:p>
    <w:p w14:paraId="3323D226" w14:textId="4CA46471" w:rsidR="009F079F" w:rsidRDefault="008079F1">
      <w:pPr>
        <w:pStyle w:val="TableofFigures"/>
        <w:rPr>
          <w:rFonts w:asciiTheme="minorHAnsi" w:eastAsiaTheme="minorEastAsia" w:hAnsiTheme="minorHAnsi" w:cstheme="minorBidi"/>
          <w:noProof/>
          <w:color w:val="auto"/>
          <w:sz w:val="22"/>
          <w:szCs w:val="22"/>
        </w:rPr>
      </w:pPr>
      <w:hyperlink w:anchor="_Toc508972074" w:history="1">
        <w:r w:rsidR="009F079F" w:rsidRPr="00D31A39">
          <w:rPr>
            <w:rStyle w:val="Hyperlink"/>
            <w:noProof/>
          </w:rPr>
          <w:t>Figure C.3 Location of petroleum exploration wells the Amadeus Basin (NTGS, 2017). Amadeus Basin outline from Stewart et al. (2013). Location of 2D seismic reflection lines updated from compilation in Carr et al. (2016), using NTGS (2017b). Well data from NTGS (2017a).</w:t>
        </w:r>
        <w:r w:rsidR="009F079F">
          <w:rPr>
            <w:noProof/>
            <w:webHidden/>
          </w:rPr>
          <w:tab/>
        </w:r>
        <w:r w:rsidR="009F079F">
          <w:rPr>
            <w:noProof/>
            <w:webHidden/>
          </w:rPr>
          <w:fldChar w:fldCharType="begin"/>
        </w:r>
        <w:r w:rsidR="009F079F">
          <w:rPr>
            <w:noProof/>
            <w:webHidden/>
          </w:rPr>
          <w:instrText xml:space="preserve"> PAGEREF _Toc508972074 \h </w:instrText>
        </w:r>
        <w:r w:rsidR="009F079F">
          <w:rPr>
            <w:noProof/>
            <w:webHidden/>
          </w:rPr>
        </w:r>
        <w:r w:rsidR="009F079F">
          <w:rPr>
            <w:noProof/>
            <w:webHidden/>
          </w:rPr>
          <w:fldChar w:fldCharType="separate"/>
        </w:r>
        <w:r w:rsidR="00640CCB">
          <w:rPr>
            <w:noProof/>
            <w:webHidden/>
          </w:rPr>
          <w:t>50</w:t>
        </w:r>
        <w:r w:rsidR="009F079F">
          <w:rPr>
            <w:noProof/>
            <w:webHidden/>
          </w:rPr>
          <w:fldChar w:fldCharType="end"/>
        </w:r>
      </w:hyperlink>
    </w:p>
    <w:p w14:paraId="0041CC6F" w14:textId="59AE24E8" w:rsidR="009F079F" w:rsidRDefault="008079F1">
      <w:pPr>
        <w:pStyle w:val="TableofFigures"/>
        <w:rPr>
          <w:rFonts w:asciiTheme="minorHAnsi" w:eastAsiaTheme="minorEastAsia" w:hAnsiTheme="minorHAnsi" w:cstheme="minorBidi"/>
          <w:noProof/>
          <w:color w:val="auto"/>
          <w:sz w:val="22"/>
          <w:szCs w:val="22"/>
        </w:rPr>
      </w:pPr>
      <w:hyperlink w:anchor="_Toc508972075" w:history="1">
        <w:r w:rsidR="009F079F" w:rsidRPr="00D31A39">
          <w:rPr>
            <w:rStyle w:val="Hyperlink"/>
            <w:noProof/>
          </w:rPr>
          <w:t>Figure C.4 Cross-section showing unconventional plays of the lower Larapinta Group (Warner et al., 2012).</w:t>
        </w:r>
        <w:r w:rsidR="009F079F">
          <w:rPr>
            <w:noProof/>
            <w:webHidden/>
          </w:rPr>
          <w:tab/>
        </w:r>
        <w:r w:rsidR="009F079F">
          <w:rPr>
            <w:noProof/>
            <w:webHidden/>
          </w:rPr>
          <w:fldChar w:fldCharType="begin"/>
        </w:r>
        <w:r w:rsidR="009F079F">
          <w:rPr>
            <w:noProof/>
            <w:webHidden/>
          </w:rPr>
          <w:instrText xml:space="preserve"> PAGEREF _Toc508972075 \h </w:instrText>
        </w:r>
        <w:r w:rsidR="009F079F">
          <w:rPr>
            <w:noProof/>
            <w:webHidden/>
          </w:rPr>
        </w:r>
        <w:r w:rsidR="009F079F">
          <w:rPr>
            <w:noProof/>
            <w:webHidden/>
          </w:rPr>
          <w:fldChar w:fldCharType="separate"/>
        </w:r>
        <w:r w:rsidR="00640CCB">
          <w:rPr>
            <w:noProof/>
            <w:webHidden/>
          </w:rPr>
          <w:t>51</w:t>
        </w:r>
        <w:r w:rsidR="009F079F">
          <w:rPr>
            <w:noProof/>
            <w:webHidden/>
          </w:rPr>
          <w:fldChar w:fldCharType="end"/>
        </w:r>
      </w:hyperlink>
    </w:p>
    <w:p w14:paraId="774C5C84" w14:textId="08CABAAA" w:rsidR="009F079F" w:rsidRDefault="008079F1">
      <w:pPr>
        <w:pStyle w:val="TableofFigures"/>
        <w:rPr>
          <w:rFonts w:asciiTheme="minorHAnsi" w:eastAsiaTheme="minorEastAsia" w:hAnsiTheme="minorHAnsi" w:cstheme="minorBidi"/>
          <w:noProof/>
          <w:color w:val="auto"/>
          <w:sz w:val="22"/>
          <w:szCs w:val="22"/>
        </w:rPr>
      </w:pPr>
      <w:hyperlink w:anchor="_Toc508972076" w:history="1">
        <w:r w:rsidR="009F079F" w:rsidRPr="00D31A39">
          <w:rPr>
            <w:rStyle w:val="Hyperlink"/>
            <w:noProof/>
          </w:rPr>
          <w:t>Figure C.5 Producing fields and location of fracture stimulated wells. Approximate extent of the Horn Valley Siltstone is source from Ahmad and Scrimgeour (2013).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_Toc508972076 \h </w:instrText>
        </w:r>
        <w:r w:rsidR="009F079F">
          <w:rPr>
            <w:noProof/>
            <w:webHidden/>
          </w:rPr>
        </w:r>
        <w:r w:rsidR="009F079F">
          <w:rPr>
            <w:noProof/>
            <w:webHidden/>
          </w:rPr>
          <w:fldChar w:fldCharType="separate"/>
        </w:r>
        <w:r w:rsidR="00640CCB">
          <w:rPr>
            <w:noProof/>
            <w:webHidden/>
          </w:rPr>
          <w:t>53</w:t>
        </w:r>
        <w:r w:rsidR="009F079F">
          <w:rPr>
            <w:noProof/>
            <w:webHidden/>
          </w:rPr>
          <w:fldChar w:fldCharType="end"/>
        </w:r>
      </w:hyperlink>
    </w:p>
    <w:p w14:paraId="47863BE0" w14:textId="6467D230" w:rsidR="009F079F" w:rsidRDefault="008079F1">
      <w:pPr>
        <w:pStyle w:val="TableofFigures"/>
        <w:rPr>
          <w:rFonts w:asciiTheme="minorHAnsi" w:eastAsiaTheme="minorEastAsia" w:hAnsiTheme="minorHAnsi" w:cstheme="minorBidi"/>
          <w:noProof/>
          <w:color w:val="auto"/>
          <w:sz w:val="22"/>
          <w:szCs w:val="22"/>
        </w:rPr>
      </w:pPr>
      <w:hyperlink w:anchor="_Toc508972077" w:history="1">
        <w:r w:rsidR="009F079F" w:rsidRPr="00D31A39">
          <w:rPr>
            <w:rStyle w:val="Hyperlink"/>
            <w:noProof/>
          </w:rPr>
          <w:t>Figure C.6 Infrastructure, pipelines and production facilities. Oil and gas infrastructure from GA (2015a). Processing facilities from GA (2015b).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_Toc508972077 \h </w:instrText>
        </w:r>
        <w:r w:rsidR="009F079F">
          <w:rPr>
            <w:noProof/>
            <w:webHidden/>
          </w:rPr>
        </w:r>
        <w:r w:rsidR="009F079F">
          <w:rPr>
            <w:noProof/>
            <w:webHidden/>
          </w:rPr>
          <w:fldChar w:fldCharType="separate"/>
        </w:r>
        <w:r w:rsidR="00640CCB">
          <w:rPr>
            <w:noProof/>
            <w:webHidden/>
          </w:rPr>
          <w:t>56</w:t>
        </w:r>
        <w:r w:rsidR="009F079F">
          <w:rPr>
            <w:noProof/>
            <w:webHidden/>
          </w:rPr>
          <w:fldChar w:fldCharType="end"/>
        </w:r>
      </w:hyperlink>
    </w:p>
    <w:p w14:paraId="03B3D546" w14:textId="7DF771BF" w:rsidR="009F079F" w:rsidRDefault="008079F1">
      <w:pPr>
        <w:pStyle w:val="TableofFigures"/>
        <w:rPr>
          <w:rFonts w:asciiTheme="minorHAnsi" w:eastAsiaTheme="minorEastAsia" w:hAnsiTheme="minorHAnsi" w:cstheme="minorBidi"/>
          <w:noProof/>
          <w:color w:val="auto"/>
          <w:sz w:val="22"/>
          <w:szCs w:val="22"/>
        </w:rPr>
      </w:pPr>
      <w:hyperlink w:anchor="_Toc508972078" w:history="1">
        <w:r w:rsidR="009F079F" w:rsidRPr="00D31A39">
          <w:rPr>
            <w:rStyle w:val="Hyperlink"/>
            <w:noProof/>
          </w:rPr>
          <w:t>Figure C.7 North-south geological cross section of the Alice Springs Area (NT DLRM, 2016).</w:t>
        </w:r>
        <w:r w:rsidR="009F079F">
          <w:rPr>
            <w:noProof/>
            <w:webHidden/>
          </w:rPr>
          <w:tab/>
        </w:r>
        <w:r w:rsidR="009F079F">
          <w:rPr>
            <w:noProof/>
            <w:webHidden/>
          </w:rPr>
          <w:fldChar w:fldCharType="begin"/>
        </w:r>
        <w:r w:rsidR="009F079F">
          <w:rPr>
            <w:noProof/>
            <w:webHidden/>
          </w:rPr>
          <w:instrText xml:space="preserve"> PAGEREF _Toc508972078 \h </w:instrText>
        </w:r>
        <w:r w:rsidR="009F079F">
          <w:rPr>
            <w:noProof/>
            <w:webHidden/>
          </w:rPr>
        </w:r>
        <w:r w:rsidR="009F079F">
          <w:rPr>
            <w:noProof/>
            <w:webHidden/>
          </w:rPr>
          <w:fldChar w:fldCharType="separate"/>
        </w:r>
        <w:r w:rsidR="00640CCB">
          <w:rPr>
            <w:noProof/>
            <w:webHidden/>
          </w:rPr>
          <w:t>58</w:t>
        </w:r>
        <w:r w:rsidR="009F079F">
          <w:rPr>
            <w:noProof/>
            <w:webHidden/>
          </w:rPr>
          <w:fldChar w:fldCharType="end"/>
        </w:r>
      </w:hyperlink>
    </w:p>
    <w:p w14:paraId="25098A31" w14:textId="18D3A553" w:rsidR="009F079F" w:rsidRDefault="008079F1">
      <w:pPr>
        <w:pStyle w:val="TableofFigures"/>
        <w:rPr>
          <w:rFonts w:asciiTheme="minorHAnsi" w:eastAsiaTheme="minorEastAsia" w:hAnsiTheme="minorHAnsi" w:cstheme="minorBidi"/>
          <w:noProof/>
          <w:color w:val="auto"/>
          <w:sz w:val="22"/>
          <w:szCs w:val="22"/>
        </w:rPr>
      </w:pPr>
      <w:hyperlink w:anchor="_Toc508972079" w:history="1">
        <w:r w:rsidR="009F079F" w:rsidRPr="00D31A39">
          <w:rPr>
            <w:rStyle w:val="Hyperlink"/>
            <w:noProof/>
          </w:rPr>
          <w:t xml:space="preserve">Figure C.8 Location of the Bowen Basin </w:t>
        </w:r>
        <w:r w:rsidR="009F079F" w:rsidRPr="00D31A39">
          <w:rPr>
            <w:rStyle w:val="Hyperlink"/>
            <w:noProof/>
            <w:lang w:eastAsia="ja-JP"/>
          </w:rPr>
          <w:t>on a base map of 1:2,500,000 scale surface geology (Raymond et al., 2012). Basin outlines from Stewart et al. (2013). Black line shows location of cross-section in Figure C.9.</w:t>
        </w:r>
        <w:r w:rsidR="009F079F">
          <w:rPr>
            <w:noProof/>
            <w:webHidden/>
          </w:rPr>
          <w:tab/>
        </w:r>
        <w:r w:rsidR="009F079F">
          <w:rPr>
            <w:noProof/>
            <w:webHidden/>
          </w:rPr>
          <w:fldChar w:fldCharType="begin"/>
        </w:r>
        <w:r w:rsidR="009F079F">
          <w:rPr>
            <w:noProof/>
            <w:webHidden/>
          </w:rPr>
          <w:instrText xml:space="preserve"> PAGEREF _Toc508972079 \h </w:instrText>
        </w:r>
        <w:r w:rsidR="009F079F">
          <w:rPr>
            <w:noProof/>
            <w:webHidden/>
          </w:rPr>
        </w:r>
        <w:r w:rsidR="009F079F">
          <w:rPr>
            <w:noProof/>
            <w:webHidden/>
          </w:rPr>
          <w:fldChar w:fldCharType="separate"/>
        </w:r>
        <w:r w:rsidR="00640CCB">
          <w:rPr>
            <w:noProof/>
            <w:webHidden/>
          </w:rPr>
          <w:t>73</w:t>
        </w:r>
        <w:r w:rsidR="009F079F">
          <w:rPr>
            <w:noProof/>
            <w:webHidden/>
          </w:rPr>
          <w:fldChar w:fldCharType="end"/>
        </w:r>
      </w:hyperlink>
    </w:p>
    <w:p w14:paraId="7A073045" w14:textId="0A7A1B3A" w:rsidR="009F079F" w:rsidRDefault="008079F1">
      <w:pPr>
        <w:pStyle w:val="TableofFigures"/>
        <w:rPr>
          <w:rFonts w:asciiTheme="minorHAnsi" w:eastAsiaTheme="minorEastAsia" w:hAnsiTheme="minorHAnsi" w:cstheme="minorBidi"/>
          <w:noProof/>
          <w:color w:val="auto"/>
          <w:sz w:val="22"/>
          <w:szCs w:val="22"/>
        </w:rPr>
      </w:pPr>
      <w:hyperlink w:anchor="_Toc508972080" w:history="1">
        <w:r w:rsidR="009F079F" w:rsidRPr="00D31A39">
          <w:rPr>
            <w:rStyle w:val="Hyperlink"/>
            <w:noProof/>
          </w:rPr>
          <w:t>Figure C.9 Schematic cross-section across the central Taroom Trough showing overall synclinal architecture of the trough (Draper, 2013). Location of cross-section shown in Figure C.8.</w:t>
        </w:r>
        <w:r w:rsidR="009F079F">
          <w:rPr>
            <w:noProof/>
            <w:webHidden/>
          </w:rPr>
          <w:tab/>
        </w:r>
        <w:r w:rsidR="009F079F">
          <w:rPr>
            <w:noProof/>
            <w:webHidden/>
          </w:rPr>
          <w:fldChar w:fldCharType="begin"/>
        </w:r>
        <w:r w:rsidR="009F079F">
          <w:rPr>
            <w:noProof/>
            <w:webHidden/>
          </w:rPr>
          <w:instrText xml:space="preserve"> PAGEREF _Toc508972080 \h </w:instrText>
        </w:r>
        <w:r w:rsidR="009F079F">
          <w:rPr>
            <w:noProof/>
            <w:webHidden/>
          </w:rPr>
        </w:r>
        <w:r w:rsidR="009F079F">
          <w:rPr>
            <w:noProof/>
            <w:webHidden/>
          </w:rPr>
          <w:fldChar w:fldCharType="separate"/>
        </w:r>
        <w:r w:rsidR="00640CCB">
          <w:rPr>
            <w:noProof/>
            <w:webHidden/>
          </w:rPr>
          <w:t>74</w:t>
        </w:r>
        <w:r w:rsidR="009F079F">
          <w:rPr>
            <w:noProof/>
            <w:webHidden/>
          </w:rPr>
          <w:fldChar w:fldCharType="end"/>
        </w:r>
      </w:hyperlink>
    </w:p>
    <w:p w14:paraId="00D3C94C" w14:textId="09732AC8" w:rsidR="009F079F" w:rsidRDefault="008079F1">
      <w:pPr>
        <w:pStyle w:val="TableofFigures"/>
        <w:rPr>
          <w:rFonts w:asciiTheme="minorHAnsi" w:eastAsiaTheme="minorEastAsia" w:hAnsiTheme="minorHAnsi" w:cstheme="minorBidi"/>
          <w:noProof/>
          <w:color w:val="auto"/>
          <w:sz w:val="22"/>
          <w:szCs w:val="22"/>
        </w:rPr>
      </w:pPr>
      <w:hyperlink w:anchor="_Toc508972081" w:history="1">
        <w:r w:rsidR="009F079F" w:rsidRPr="00D31A39">
          <w:rPr>
            <w:rStyle w:val="Hyperlink"/>
            <w:noProof/>
          </w:rPr>
          <w:t>Figure C.10 Bowen Basin stratigraphy (Draper, 2013)</w:t>
        </w:r>
        <w:r w:rsidR="009F079F">
          <w:rPr>
            <w:noProof/>
            <w:webHidden/>
          </w:rPr>
          <w:tab/>
        </w:r>
        <w:r w:rsidR="009F079F">
          <w:rPr>
            <w:noProof/>
            <w:webHidden/>
          </w:rPr>
          <w:fldChar w:fldCharType="begin"/>
        </w:r>
        <w:r w:rsidR="009F079F">
          <w:rPr>
            <w:noProof/>
            <w:webHidden/>
          </w:rPr>
          <w:instrText xml:space="preserve"> PAGEREF _Toc508972081 \h </w:instrText>
        </w:r>
        <w:r w:rsidR="009F079F">
          <w:rPr>
            <w:noProof/>
            <w:webHidden/>
          </w:rPr>
        </w:r>
        <w:r w:rsidR="009F079F">
          <w:rPr>
            <w:noProof/>
            <w:webHidden/>
          </w:rPr>
          <w:fldChar w:fldCharType="separate"/>
        </w:r>
        <w:r w:rsidR="00640CCB">
          <w:rPr>
            <w:noProof/>
            <w:webHidden/>
          </w:rPr>
          <w:t>75</w:t>
        </w:r>
        <w:r w:rsidR="009F079F">
          <w:rPr>
            <w:noProof/>
            <w:webHidden/>
          </w:rPr>
          <w:fldChar w:fldCharType="end"/>
        </w:r>
      </w:hyperlink>
    </w:p>
    <w:p w14:paraId="57DE103F" w14:textId="223D02AA" w:rsidR="009F079F" w:rsidRDefault="008079F1">
      <w:pPr>
        <w:pStyle w:val="TableofFigures"/>
        <w:rPr>
          <w:rFonts w:asciiTheme="minorHAnsi" w:eastAsiaTheme="minorEastAsia" w:hAnsiTheme="minorHAnsi" w:cstheme="minorBidi"/>
          <w:noProof/>
          <w:color w:val="auto"/>
          <w:sz w:val="22"/>
          <w:szCs w:val="22"/>
        </w:rPr>
      </w:pPr>
      <w:hyperlink w:anchor="_Toc508972082" w:history="1">
        <w:r w:rsidR="009F079F" w:rsidRPr="00D31A39">
          <w:rPr>
            <w:rStyle w:val="Hyperlink"/>
            <w:noProof/>
          </w:rPr>
          <w:t>Figure C.11 Location of wells and seismic data, Bowen Basin. Bowen Basin outline from Stewart et al. (2013). Petroleum well data from DNRME (2017a). Seismic data coverage DNRME (2017b-d).</w:t>
        </w:r>
        <w:r w:rsidR="009F079F">
          <w:rPr>
            <w:noProof/>
            <w:webHidden/>
          </w:rPr>
          <w:tab/>
        </w:r>
        <w:r w:rsidR="009F079F">
          <w:rPr>
            <w:noProof/>
            <w:webHidden/>
          </w:rPr>
          <w:fldChar w:fldCharType="begin"/>
        </w:r>
        <w:r w:rsidR="009F079F">
          <w:rPr>
            <w:noProof/>
            <w:webHidden/>
          </w:rPr>
          <w:instrText xml:space="preserve"> PAGEREF _Toc508972082 \h </w:instrText>
        </w:r>
        <w:r w:rsidR="009F079F">
          <w:rPr>
            <w:noProof/>
            <w:webHidden/>
          </w:rPr>
        </w:r>
        <w:r w:rsidR="009F079F">
          <w:rPr>
            <w:noProof/>
            <w:webHidden/>
          </w:rPr>
          <w:fldChar w:fldCharType="separate"/>
        </w:r>
        <w:r w:rsidR="00640CCB">
          <w:rPr>
            <w:noProof/>
            <w:webHidden/>
          </w:rPr>
          <w:t>76</w:t>
        </w:r>
        <w:r w:rsidR="009F079F">
          <w:rPr>
            <w:noProof/>
            <w:webHidden/>
          </w:rPr>
          <w:fldChar w:fldCharType="end"/>
        </w:r>
      </w:hyperlink>
    </w:p>
    <w:p w14:paraId="7D221E18" w14:textId="199BFC97" w:rsidR="009F079F" w:rsidRDefault="008079F1">
      <w:pPr>
        <w:pStyle w:val="TableofFigures"/>
        <w:rPr>
          <w:rFonts w:asciiTheme="minorHAnsi" w:eastAsiaTheme="minorEastAsia" w:hAnsiTheme="minorHAnsi" w:cstheme="minorBidi"/>
          <w:noProof/>
          <w:color w:val="auto"/>
          <w:sz w:val="22"/>
          <w:szCs w:val="22"/>
        </w:rPr>
      </w:pPr>
      <w:hyperlink w:anchor="_Toc508972083" w:history="1">
        <w:r w:rsidR="009F079F" w:rsidRPr="00D31A39">
          <w:rPr>
            <w:rStyle w:val="Hyperlink"/>
            <w:noProof/>
          </w:rPr>
          <w:t>Figure C.12 Wells targeting shale/tight gas plays shown on the depth grid for the base of the Rewan Group/top Bandanna Formation. Approximate tight/shale gas play is indicated by the 4,000 m contour.</w:t>
        </w:r>
        <w:r w:rsidR="009F079F">
          <w:rPr>
            <w:noProof/>
            <w:webHidden/>
          </w:rPr>
          <w:tab/>
        </w:r>
        <w:r w:rsidR="009F079F">
          <w:rPr>
            <w:noProof/>
            <w:webHidden/>
          </w:rPr>
          <w:fldChar w:fldCharType="begin"/>
        </w:r>
        <w:r w:rsidR="009F079F">
          <w:rPr>
            <w:noProof/>
            <w:webHidden/>
          </w:rPr>
          <w:instrText xml:space="preserve"> PAGEREF _Toc508972083 \h </w:instrText>
        </w:r>
        <w:r w:rsidR="009F079F">
          <w:rPr>
            <w:noProof/>
            <w:webHidden/>
          </w:rPr>
        </w:r>
        <w:r w:rsidR="009F079F">
          <w:rPr>
            <w:noProof/>
            <w:webHidden/>
          </w:rPr>
          <w:fldChar w:fldCharType="separate"/>
        </w:r>
        <w:r w:rsidR="00640CCB">
          <w:rPr>
            <w:noProof/>
            <w:webHidden/>
          </w:rPr>
          <w:t>78</w:t>
        </w:r>
        <w:r w:rsidR="009F079F">
          <w:rPr>
            <w:noProof/>
            <w:webHidden/>
          </w:rPr>
          <w:fldChar w:fldCharType="end"/>
        </w:r>
      </w:hyperlink>
    </w:p>
    <w:p w14:paraId="20E988E4" w14:textId="1035F59D" w:rsidR="009F079F" w:rsidRDefault="008079F1">
      <w:pPr>
        <w:pStyle w:val="TableofFigures"/>
        <w:rPr>
          <w:rFonts w:asciiTheme="minorHAnsi" w:eastAsiaTheme="minorEastAsia" w:hAnsiTheme="minorHAnsi" w:cstheme="minorBidi"/>
          <w:noProof/>
          <w:color w:val="auto"/>
          <w:sz w:val="22"/>
          <w:szCs w:val="22"/>
        </w:rPr>
      </w:pPr>
      <w:hyperlink w:anchor="_Toc508972084" w:history="1">
        <w:r w:rsidR="009F079F" w:rsidRPr="00D31A39">
          <w:rPr>
            <w:rStyle w:val="Hyperlink"/>
            <w:noProof/>
          </w:rPr>
          <w:t>Figure C.13 Bowen Basin infrastructure, pipelines and production facilities. Oil and gas infrastructure from GA (2015a). Processing facilities from GA (2015b).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_Toc508972084 \h </w:instrText>
        </w:r>
        <w:r w:rsidR="009F079F">
          <w:rPr>
            <w:noProof/>
            <w:webHidden/>
          </w:rPr>
        </w:r>
        <w:r w:rsidR="009F079F">
          <w:rPr>
            <w:noProof/>
            <w:webHidden/>
          </w:rPr>
          <w:fldChar w:fldCharType="separate"/>
        </w:r>
        <w:r w:rsidR="00640CCB">
          <w:rPr>
            <w:noProof/>
            <w:webHidden/>
          </w:rPr>
          <w:t>81</w:t>
        </w:r>
        <w:r w:rsidR="009F079F">
          <w:rPr>
            <w:noProof/>
            <w:webHidden/>
          </w:rPr>
          <w:fldChar w:fldCharType="end"/>
        </w:r>
      </w:hyperlink>
    </w:p>
    <w:p w14:paraId="3A354435" w14:textId="011C49D4" w:rsidR="009F079F" w:rsidRDefault="008079F1">
      <w:pPr>
        <w:pStyle w:val="TableofFigures"/>
        <w:rPr>
          <w:rFonts w:asciiTheme="minorHAnsi" w:eastAsiaTheme="minorEastAsia" w:hAnsiTheme="minorHAnsi" w:cstheme="minorBidi"/>
          <w:noProof/>
          <w:color w:val="auto"/>
          <w:sz w:val="22"/>
          <w:szCs w:val="22"/>
        </w:rPr>
      </w:pPr>
      <w:hyperlink w:anchor="_Toc508972085" w:history="1">
        <w:r w:rsidR="009F079F" w:rsidRPr="00D31A39">
          <w:rPr>
            <w:rStyle w:val="Hyperlink"/>
            <w:noProof/>
          </w:rPr>
          <w:t>Figure C.14 Hydrostratigraphic relationships in the Surat Basin, Coonamble Embayment and adjoining Eromanga Basin of the Great Artesian Basin (extracted from Smerdon and Ransley, 2012). The yellow box identifies the Bowen Basin as underlying the Great Artesian Basin, with the red box showing this relationship to the overlying Surat Basin hydrostratigraphy.</w:t>
        </w:r>
        <w:r w:rsidR="009F079F">
          <w:rPr>
            <w:noProof/>
            <w:webHidden/>
          </w:rPr>
          <w:tab/>
        </w:r>
        <w:r w:rsidR="009F079F">
          <w:rPr>
            <w:noProof/>
            <w:webHidden/>
          </w:rPr>
          <w:fldChar w:fldCharType="begin"/>
        </w:r>
        <w:r w:rsidR="009F079F">
          <w:rPr>
            <w:noProof/>
            <w:webHidden/>
          </w:rPr>
          <w:instrText xml:space="preserve"> PAGEREF _Toc508972085 \h </w:instrText>
        </w:r>
        <w:r w:rsidR="009F079F">
          <w:rPr>
            <w:noProof/>
            <w:webHidden/>
          </w:rPr>
        </w:r>
        <w:r w:rsidR="009F079F">
          <w:rPr>
            <w:noProof/>
            <w:webHidden/>
          </w:rPr>
          <w:fldChar w:fldCharType="separate"/>
        </w:r>
        <w:r w:rsidR="00640CCB">
          <w:rPr>
            <w:noProof/>
            <w:webHidden/>
          </w:rPr>
          <w:t>84</w:t>
        </w:r>
        <w:r w:rsidR="009F079F">
          <w:rPr>
            <w:noProof/>
            <w:webHidden/>
          </w:rPr>
          <w:fldChar w:fldCharType="end"/>
        </w:r>
      </w:hyperlink>
    </w:p>
    <w:p w14:paraId="288673A1" w14:textId="3548E990" w:rsidR="009F079F" w:rsidRDefault="008079F1">
      <w:pPr>
        <w:pStyle w:val="TableofFigures"/>
        <w:rPr>
          <w:rFonts w:asciiTheme="minorHAnsi" w:eastAsiaTheme="minorEastAsia" w:hAnsiTheme="minorHAnsi" w:cstheme="minorBidi"/>
          <w:noProof/>
          <w:color w:val="auto"/>
          <w:sz w:val="22"/>
          <w:szCs w:val="22"/>
        </w:rPr>
      </w:pPr>
      <w:hyperlink w:anchor="_Toc508972086" w:history="1">
        <w:r w:rsidR="009F079F" w:rsidRPr="00D31A39">
          <w:rPr>
            <w:rStyle w:val="Hyperlink"/>
            <w:noProof/>
          </w:rPr>
          <w:t>Figure C.15 Hydrostratigraphy of the Bowen Basin from a representative location in the northern area, where the Surat Basin does not occur (Arrow Energy, 2012)</w:t>
        </w:r>
        <w:r w:rsidR="009F079F">
          <w:rPr>
            <w:noProof/>
            <w:webHidden/>
          </w:rPr>
          <w:tab/>
        </w:r>
        <w:r w:rsidR="009F079F">
          <w:rPr>
            <w:noProof/>
            <w:webHidden/>
          </w:rPr>
          <w:fldChar w:fldCharType="begin"/>
        </w:r>
        <w:r w:rsidR="009F079F">
          <w:rPr>
            <w:noProof/>
            <w:webHidden/>
          </w:rPr>
          <w:instrText xml:space="preserve"> PAGEREF _Toc508972086 \h </w:instrText>
        </w:r>
        <w:r w:rsidR="009F079F">
          <w:rPr>
            <w:noProof/>
            <w:webHidden/>
          </w:rPr>
        </w:r>
        <w:r w:rsidR="009F079F">
          <w:rPr>
            <w:noProof/>
            <w:webHidden/>
          </w:rPr>
          <w:fldChar w:fldCharType="separate"/>
        </w:r>
        <w:r w:rsidR="00640CCB">
          <w:rPr>
            <w:noProof/>
            <w:webHidden/>
          </w:rPr>
          <w:t>85</w:t>
        </w:r>
        <w:r w:rsidR="009F079F">
          <w:rPr>
            <w:noProof/>
            <w:webHidden/>
          </w:rPr>
          <w:fldChar w:fldCharType="end"/>
        </w:r>
      </w:hyperlink>
    </w:p>
    <w:p w14:paraId="490EC12D" w14:textId="4934FED9" w:rsidR="009F079F" w:rsidRDefault="008079F1">
      <w:pPr>
        <w:pStyle w:val="TableofFigures"/>
        <w:rPr>
          <w:rFonts w:asciiTheme="minorHAnsi" w:eastAsiaTheme="minorEastAsia" w:hAnsiTheme="minorHAnsi" w:cstheme="minorBidi"/>
          <w:noProof/>
          <w:color w:val="auto"/>
          <w:sz w:val="22"/>
          <w:szCs w:val="22"/>
        </w:rPr>
      </w:pPr>
      <w:hyperlink w:anchor="_Toc508972087" w:history="1">
        <w:r w:rsidR="009F079F" w:rsidRPr="00D31A39">
          <w:rPr>
            <w:rStyle w:val="Hyperlink"/>
            <w:noProof/>
          </w:rPr>
          <w:t>Figure C.16 Conceptual model for the northern Bowen Basin, as an east-west cross-section. The majority of groundwater flow is in the coal seams of the Blackwater Group (Arrow Energy 2012).</w:t>
        </w:r>
        <w:r w:rsidR="009F079F">
          <w:rPr>
            <w:noProof/>
            <w:webHidden/>
          </w:rPr>
          <w:tab/>
        </w:r>
        <w:r w:rsidR="009F079F">
          <w:rPr>
            <w:noProof/>
            <w:webHidden/>
          </w:rPr>
          <w:fldChar w:fldCharType="begin"/>
        </w:r>
        <w:r w:rsidR="009F079F">
          <w:rPr>
            <w:noProof/>
            <w:webHidden/>
          </w:rPr>
          <w:instrText xml:space="preserve"> PAGEREF _Toc508972087 \h </w:instrText>
        </w:r>
        <w:r w:rsidR="009F079F">
          <w:rPr>
            <w:noProof/>
            <w:webHidden/>
          </w:rPr>
        </w:r>
        <w:r w:rsidR="009F079F">
          <w:rPr>
            <w:noProof/>
            <w:webHidden/>
          </w:rPr>
          <w:fldChar w:fldCharType="separate"/>
        </w:r>
        <w:r w:rsidR="00640CCB">
          <w:rPr>
            <w:noProof/>
            <w:webHidden/>
          </w:rPr>
          <w:t>88</w:t>
        </w:r>
        <w:r w:rsidR="009F079F">
          <w:rPr>
            <w:noProof/>
            <w:webHidden/>
          </w:rPr>
          <w:fldChar w:fldCharType="end"/>
        </w:r>
      </w:hyperlink>
    </w:p>
    <w:p w14:paraId="5615C572" w14:textId="11219F64" w:rsidR="009F079F" w:rsidRDefault="008079F1">
      <w:pPr>
        <w:pStyle w:val="TableofFigures"/>
        <w:rPr>
          <w:rFonts w:asciiTheme="minorHAnsi" w:eastAsiaTheme="minorEastAsia" w:hAnsiTheme="minorHAnsi" w:cstheme="minorBidi"/>
          <w:noProof/>
          <w:color w:val="auto"/>
          <w:sz w:val="22"/>
          <w:szCs w:val="22"/>
        </w:rPr>
      </w:pPr>
      <w:hyperlink w:anchor="_Toc508972088" w:history="1">
        <w:r w:rsidR="009F079F" w:rsidRPr="00D31A39">
          <w:rPr>
            <w:rStyle w:val="Hyperlink"/>
            <w:noProof/>
          </w:rPr>
          <w:t>Figure C.17 Fitzroy River catchment, showing the Comet, Brown, Nogoa, and Dawson Rivers tributing from the south, and the various weirs and water supply schemes of this catchment (DNRM, 2015)</w:t>
        </w:r>
        <w:r w:rsidR="009F079F">
          <w:rPr>
            <w:noProof/>
            <w:webHidden/>
          </w:rPr>
          <w:tab/>
        </w:r>
        <w:r w:rsidR="009F079F">
          <w:rPr>
            <w:noProof/>
            <w:webHidden/>
          </w:rPr>
          <w:fldChar w:fldCharType="begin"/>
        </w:r>
        <w:r w:rsidR="009F079F">
          <w:rPr>
            <w:noProof/>
            <w:webHidden/>
          </w:rPr>
          <w:instrText xml:space="preserve"> PAGEREF _Toc508972088 \h </w:instrText>
        </w:r>
        <w:r w:rsidR="009F079F">
          <w:rPr>
            <w:noProof/>
            <w:webHidden/>
          </w:rPr>
        </w:r>
        <w:r w:rsidR="009F079F">
          <w:rPr>
            <w:noProof/>
            <w:webHidden/>
          </w:rPr>
          <w:fldChar w:fldCharType="separate"/>
        </w:r>
        <w:r w:rsidR="00640CCB">
          <w:rPr>
            <w:noProof/>
            <w:webHidden/>
          </w:rPr>
          <w:t>91</w:t>
        </w:r>
        <w:r w:rsidR="009F079F">
          <w:rPr>
            <w:noProof/>
            <w:webHidden/>
          </w:rPr>
          <w:fldChar w:fldCharType="end"/>
        </w:r>
      </w:hyperlink>
    </w:p>
    <w:p w14:paraId="1C44880C" w14:textId="51EC854F" w:rsidR="009F079F" w:rsidRDefault="008079F1">
      <w:pPr>
        <w:pStyle w:val="TableofFigures"/>
        <w:rPr>
          <w:rFonts w:asciiTheme="minorHAnsi" w:eastAsiaTheme="minorEastAsia" w:hAnsiTheme="minorHAnsi" w:cstheme="minorBidi"/>
          <w:noProof/>
          <w:color w:val="auto"/>
          <w:sz w:val="22"/>
          <w:szCs w:val="22"/>
        </w:rPr>
      </w:pPr>
      <w:hyperlink w:anchor="_Toc508972089" w:history="1">
        <w:r w:rsidR="009F079F" w:rsidRPr="00D31A39">
          <w:rPr>
            <w:rStyle w:val="Hyperlink"/>
            <w:noProof/>
          </w:rPr>
          <w:t>Figure C.18 The distribution of streamflow variation between months for selected components of the Fitzroy River catchment. Red = downstream discharge; Green = southern headwaters; Blue = north-eastern headwaters. From Larsen et al. (2013)</w:t>
        </w:r>
        <w:r w:rsidR="009F079F">
          <w:rPr>
            <w:noProof/>
            <w:webHidden/>
          </w:rPr>
          <w:tab/>
        </w:r>
        <w:r w:rsidR="009F079F">
          <w:rPr>
            <w:noProof/>
            <w:webHidden/>
          </w:rPr>
          <w:fldChar w:fldCharType="begin"/>
        </w:r>
        <w:r w:rsidR="009F079F">
          <w:rPr>
            <w:noProof/>
            <w:webHidden/>
          </w:rPr>
          <w:instrText xml:space="preserve"> PAGEREF _Toc508972089 \h </w:instrText>
        </w:r>
        <w:r w:rsidR="009F079F">
          <w:rPr>
            <w:noProof/>
            <w:webHidden/>
          </w:rPr>
        </w:r>
        <w:r w:rsidR="009F079F">
          <w:rPr>
            <w:noProof/>
            <w:webHidden/>
          </w:rPr>
          <w:fldChar w:fldCharType="separate"/>
        </w:r>
        <w:r w:rsidR="00640CCB">
          <w:rPr>
            <w:noProof/>
            <w:webHidden/>
          </w:rPr>
          <w:t>92</w:t>
        </w:r>
        <w:r w:rsidR="009F079F">
          <w:rPr>
            <w:noProof/>
            <w:webHidden/>
          </w:rPr>
          <w:fldChar w:fldCharType="end"/>
        </w:r>
      </w:hyperlink>
    </w:p>
    <w:p w14:paraId="0C2401D7" w14:textId="79C31A90" w:rsidR="009F079F" w:rsidRDefault="008079F1">
      <w:pPr>
        <w:pStyle w:val="TableofFigures"/>
        <w:rPr>
          <w:rFonts w:asciiTheme="minorHAnsi" w:eastAsiaTheme="minorEastAsia" w:hAnsiTheme="minorHAnsi" w:cstheme="minorBidi"/>
          <w:noProof/>
          <w:color w:val="auto"/>
          <w:sz w:val="22"/>
          <w:szCs w:val="22"/>
        </w:rPr>
      </w:pPr>
      <w:hyperlink w:anchor="_Toc508972090" w:history="1">
        <w:r w:rsidR="009F079F" w:rsidRPr="00D31A39">
          <w:rPr>
            <w:rStyle w:val="Hyperlink"/>
            <w:noProof/>
          </w:rPr>
          <w:t>Figure C.19 Examples of stream hydrographs from the Dawson River catchment in the Fitzroy River region overlying the northern Bowen Basin. (A) daily streamflow for Nathan Gorge; (B) annual streamflow at Glebe. Extracted from SKM and Sunwater (2012)</w:t>
        </w:r>
        <w:r w:rsidR="009F079F">
          <w:rPr>
            <w:noProof/>
            <w:webHidden/>
          </w:rPr>
          <w:tab/>
        </w:r>
        <w:r w:rsidR="009F079F">
          <w:rPr>
            <w:noProof/>
            <w:webHidden/>
          </w:rPr>
          <w:fldChar w:fldCharType="begin"/>
        </w:r>
        <w:r w:rsidR="009F079F">
          <w:rPr>
            <w:noProof/>
            <w:webHidden/>
          </w:rPr>
          <w:instrText xml:space="preserve"> PAGEREF _Toc508972090 \h </w:instrText>
        </w:r>
        <w:r w:rsidR="009F079F">
          <w:rPr>
            <w:noProof/>
            <w:webHidden/>
          </w:rPr>
        </w:r>
        <w:r w:rsidR="009F079F">
          <w:rPr>
            <w:noProof/>
            <w:webHidden/>
          </w:rPr>
          <w:fldChar w:fldCharType="separate"/>
        </w:r>
        <w:r w:rsidR="00640CCB">
          <w:rPr>
            <w:noProof/>
            <w:webHidden/>
          </w:rPr>
          <w:t>93</w:t>
        </w:r>
        <w:r w:rsidR="009F079F">
          <w:rPr>
            <w:noProof/>
            <w:webHidden/>
          </w:rPr>
          <w:fldChar w:fldCharType="end"/>
        </w:r>
      </w:hyperlink>
    </w:p>
    <w:p w14:paraId="5C674189" w14:textId="4CDEF19C" w:rsidR="009F079F" w:rsidRDefault="008079F1">
      <w:pPr>
        <w:pStyle w:val="TableofFigures"/>
        <w:rPr>
          <w:rFonts w:asciiTheme="minorHAnsi" w:eastAsiaTheme="minorEastAsia" w:hAnsiTheme="minorHAnsi" w:cstheme="minorBidi"/>
          <w:noProof/>
          <w:color w:val="auto"/>
          <w:sz w:val="22"/>
          <w:szCs w:val="22"/>
        </w:rPr>
      </w:pPr>
      <w:hyperlink w:anchor="_Toc508972091" w:history="1">
        <w:r w:rsidR="009F079F" w:rsidRPr="00D31A39">
          <w:rPr>
            <w:rStyle w:val="Hyperlink"/>
            <w:noProof/>
          </w:rPr>
          <w:t>Figure C.20 Map of the Condamine–Balonne catchment, showing the various components of the stream network and streamflow gauging stations. Flow is from mostly east to west in the Condamine River, before becoming generally north to south in the Darling River downstream of this catchment. Figure adapted from CSIRO (2008).</w:t>
        </w:r>
        <w:r w:rsidR="009F079F">
          <w:rPr>
            <w:noProof/>
            <w:webHidden/>
          </w:rPr>
          <w:tab/>
        </w:r>
        <w:r w:rsidR="009F079F">
          <w:rPr>
            <w:noProof/>
            <w:webHidden/>
          </w:rPr>
          <w:fldChar w:fldCharType="begin"/>
        </w:r>
        <w:r w:rsidR="009F079F">
          <w:rPr>
            <w:noProof/>
            <w:webHidden/>
          </w:rPr>
          <w:instrText xml:space="preserve"> PAGEREF _Toc508972091 \h </w:instrText>
        </w:r>
        <w:r w:rsidR="009F079F">
          <w:rPr>
            <w:noProof/>
            <w:webHidden/>
          </w:rPr>
        </w:r>
        <w:r w:rsidR="009F079F">
          <w:rPr>
            <w:noProof/>
            <w:webHidden/>
          </w:rPr>
          <w:fldChar w:fldCharType="separate"/>
        </w:r>
        <w:r w:rsidR="00640CCB">
          <w:rPr>
            <w:noProof/>
            <w:webHidden/>
          </w:rPr>
          <w:t>94</w:t>
        </w:r>
        <w:r w:rsidR="009F079F">
          <w:rPr>
            <w:noProof/>
            <w:webHidden/>
          </w:rPr>
          <w:fldChar w:fldCharType="end"/>
        </w:r>
      </w:hyperlink>
    </w:p>
    <w:p w14:paraId="004A19F6" w14:textId="1FE7CBB6" w:rsidR="009F079F" w:rsidRDefault="008079F1">
      <w:pPr>
        <w:pStyle w:val="TableofFigures"/>
        <w:rPr>
          <w:rFonts w:asciiTheme="minorHAnsi" w:eastAsiaTheme="minorEastAsia" w:hAnsiTheme="minorHAnsi" w:cstheme="minorBidi"/>
          <w:noProof/>
          <w:color w:val="auto"/>
          <w:sz w:val="22"/>
          <w:szCs w:val="22"/>
        </w:rPr>
      </w:pPr>
      <w:hyperlink w:anchor="_Toc508972092" w:history="1">
        <w:r w:rsidR="009F079F" w:rsidRPr="00D31A39">
          <w:rPr>
            <w:rStyle w:val="Hyperlink"/>
            <w:noProof/>
          </w:rPr>
          <w:t>Figure C.21 Time-series data for the Condamine River catchment. (A) annual rainfall variation; (B) annual runoff variation; (C) variation between months for rainfall; (D) variation between months for runoff. Runoff (mm) multiplied by catchment area provides streamflow, so these graphs are indicative of the catchment as a whole. Figure adapted from CSIRO (2008).</w:t>
        </w:r>
        <w:r w:rsidR="009F079F">
          <w:rPr>
            <w:noProof/>
            <w:webHidden/>
          </w:rPr>
          <w:tab/>
        </w:r>
        <w:r w:rsidR="009F079F">
          <w:rPr>
            <w:noProof/>
            <w:webHidden/>
          </w:rPr>
          <w:fldChar w:fldCharType="begin"/>
        </w:r>
        <w:r w:rsidR="009F079F">
          <w:rPr>
            <w:noProof/>
            <w:webHidden/>
          </w:rPr>
          <w:instrText xml:space="preserve"> PAGEREF _Toc508972092 \h </w:instrText>
        </w:r>
        <w:r w:rsidR="009F079F">
          <w:rPr>
            <w:noProof/>
            <w:webHidden/>
          </w:rPr>
        </w:r>
        <w:r w:rsidR="009F079F">
          <w:rPr>
            <w:noProof/>
            <w:webHidden/>
          </w:rPr>
          <w:fldChar w:fldCharType="separate"/>
        </w:r>
        <w:r w:rsidR="00640CCB">
          <w:rPr>
            <w:noProof/>
            <w:webHidden/>
          </w:rPr>
          <w:t>95</w:t>
        </w:r>
        <w:r w:rsidR="009F079F">
          <w:rPr>
            <w:noProof/>
            <w:webHidden/>
          </w:rPr>
          <w:fldChar w:fldCharType="end"/>
        </w:r>
      </w:hyperlink>
    </w:p>
    <w:p w14:paraId="35D2A924" w14:textId="1A7EB706" w:rsidR="009F079F" w:rsidRDefault="008079F1">
      <w:pPr>
        <w:pStyle w:val="TableofFigures"/>
        <w:rPr>
          <w:rFonts w:asciiTheme="minorHAnsi" w:eastAsiaTheme="minorEastAsia" w:hAnsiTheme="minorHAnsi" w:cstheme="minorBidi"/>
          <w:noProof/>
          <w:color w:val="auto"/>
          <w:sz w:val="22"/>
          <w:szCs w:val="22"/>
        </w:rPr>
      </w:pPr>
      <w:hyperlink w:anchor="_Toc508972093" w:history="1">
        <w:r w:rsidR="009F079F" w:rsidRPr="00D31A39">
          <w:rPr>
            <w:rStyle w:val="Hyperlink"/>
            <w:noProof/>
          </w:rPr>
          <w:t>Figure C.22 Surface water – groundwater connectivity in the Maranoa-Balonne-Condamine subregion, overlying the southern Bowen Basin (Welsh et al., 2014).</w:t>
        </w:r>
        <w:r w:rsidR="009F079F">
          <w:rPr>
            <w:noProof/>
            <w:webHidden/>
          </w:rPr>
          <w:tab/>
        </w:r>
        <w:r w:rsidR="009F079F">
          <w:rPr>
            <w:noProof/>
            <w:webHidden/>
          </w:rPr>
          <w:fldChar w:fldCharType="begin"/>
        </w:r>
        <w:r w:rsidR="009F079F">
          <w:rPr>
            <w:noProof/>
            <w:webHidden/>
          </w:rPr>
          <w:instrText xml:space="preserve"> PAGEREF _Toc508972093 \h </w:instrText>
        </w:r>
        <w:r w:rsidR="009F079F">
          <w:rPr>
            <w:noProof/>
            <w:webHidden/>
          </w:rPr>
        </w:r>
        <w:r w:rsidR="009F079F">
          <w:rPr>
            <w:noProof/>
            <w:webHidden/>
          </w:rPr>
          <w:fldChar w:fldCharType="separate"/>
        </w:r>
        <w:r w:rsidR="00640CCB">
          <w:rPr>
            <w:noProof/>
            <w:webHidden/>
          </w:rPr>
          <w:t>96</w:t>
        </w:r>
        <w:r w:rsidR="009F079F">
          <w:rPr>
            <w:noProof/>
            <w:webHidden/>
          </w:rPr>
          <w:fldChar w:fldCharType="end"/>
        </w:r>
      </w:hyperlink>
    </w:p>
    <w:p w14:paraId="6DAF9B73" w14:textId="0A40139C" w:rsidR="009F079F" w:rsidRDefault="008079F1">
      <w:pPr>
        <w:pStyle w:val="TableofFigures"/>
        <w:rPr>
          <w:rFonts w:asciiTheme="minorHAnsi" w:eastAsiaTheme="minorEastAsia" w:hAnsiTheme="minorHAnsi" w:cstheme="minorBidi"/>
          <w:noProof/>
          <w:color w:val="auto"/>
          <w:sz w:val="22"/>
          <w:szCs w:val="22"/>
        </w:rPr>
      </w:pPr>
      <w:hyperlink w:anchor="_Toc508972094" w:history="1">
        <w:r w:rsidR="009F079F" w:rsidRPr="00D31A39">
          <w:rPr>
            <w:rStyle w:val="Hyperlink"/>
            <w:noProof/>
          </w:rPr>
          <w:t xml:space="preserve">Figure C.23 Location of the Clarence-Moreton Basin on a </w:t>
        </w:r>
        <w:r w:rsidR="009F079F" w:rsidRPr="00D31A39">
          <w:rPr>
            <w:rStyle w:val="Hyperlink"/>
            <w:noProof/>
            <w:lang w:eastAsia="ja-JP"/>
          </w:rPr>
          <w:t>base map of 1:2,500,000 scale surface geology (Raymond et al., 2012)</w:t>
        </w:r>
        <w:r w:rsidR="009F079F" w:rsidRPr="00D31A39">
          <w:rPr>
            <w:rStyle w:val="Hyperlink"/>
            <w:noProof/>
          </w:rPr>
          <w:t>. Clarence-Moreton and Surat basin outlines from Stewart et al. (2013).</w:t>
        </w:r>
        <w:r w:rsidR="009F079F">
          <w:rPr>
            <w:noProof/>
            <w:webHidden/>
          </w:rPr>
          <w:tab/>
        </w:r>
        <w:r w:rsidR="009F079F">
          <w:rPr>
            <w:noProof/>
            <w:webHidden/>
          </w:rPr>
          <w:fldChar w:fldCharType="begin"/>
        </w:r>
        <w:r w:rsidR="009F079F">
          <w:rPr>
            <w:noProof/>
            <w:webHidden/>
          </w:rPr>
          <w:instrText xml:space="preserve"> PAGEREF _Toc508972094 \h </w:instrText>
        </w:r>
        <w:r w:rsidR="009F079F">
          <w:rPr>
            <w:noProof/>
            <w:webHidden/>
          </w:rPr>
        </w:r>
        <w:r w:rsidR="009F079F">
          <w:rPr>
            <w:noProof/>
            <w:webHidden/>
          </w:rPr>
          <w:fldChar w:fldCharType="separate"/>
        </w:r>
        <w:r w:rsidR="00640CCB">
          <w:rPr>
            <w:noProof/>
            <w:webHidden/>
          </w:rPr>
          <w:t>105</w:t>
        </w:r>
        <w:r w:rsidR="009F079F">
          <w:rPr>
            <w:noProof/>
            <w:webHidden/>
          </w:rPr>
          <w:fldChar w:fldCharType="end"/>
        </w:r>
      </w:hyperlink>
    </w:p>
    <w:p w14:paraId="04EB7D0C" w14:textId="573D0483" w:rsidR="009F079F" w:rsidRDefault="008079F1">
      <w:pPr>
        <w:pStyle w:val="TableofFigures"/>
        <w:rPr>
          <w:rFonts w:asciiTheme="minorHAnsi" w:eastAsiaTheme="minorEastAsia" w:hAnsiTheme="minorHAnsi" w:cstheme="minorBidi"/>
          <w:noProof/>
          <w:color w:val="auto"/>
          <w:sz w:val="22"/>
          <w:szCs w:val="22"/>
        </w:rPr>
      </w:pPr>
      <w:hyperlink w:anchor="_Toc508972095" w:history="1">
        <w:r w:rsidR="009F079F" w:rsidRPr="00D31A39">
          <w:rPr>
            <w:rStyle w:val="Hyperlink"/>
            <w:noProof/>
          </w:rPr>
          <w:t xml:space="preserve">Figure C.24 Structural elements, </w:t>
        </w:r>
        <w:r w:rsidR="009F079F" w:rsidRPr="00D31A39">
          <w:rPr>
            <w:rStyle w:val="Hyperlink"/>
            <w:rFonts w:eastAsia="MS Mincho"/>
            <w:noProof/>
            <w:lang w:eastAsia="ja-JP"/>
          </w:rPr>
          <w:t>onshore and offshore Clarence-Moreton</w:t>
        </w:r>
        <w:r w:rsidR="009F079F" w:rsidRPr="00D31A39">
          <w:rPr>
            <w:rStyle w:val="Hyperlink"/>
            <w:noProof/>
          </w:rPr>
          <w:t xml:space="preserve"> Basin</w:t>
        </w:r>
        <w:r w:rsidR="009F079F" w:rsidRPr="00D31A39">
          <w:rPr>
            <w:rStyle w:val="Hyperlink"/>
            <w:rFonts w:eastAsia="MS Mincho"/>
            <w:noProof/>
            <w:lang w:eastAsia="ja-JP"/>
          </w:rPr>
          <w:t xml:space="preserve"> (from Totterdell et al., 2014).</w:t>
        </w:r>
        <w:r w:rsidR="009F079F">
          <w:rPr>
            <w:noProof/>
            <w:webHidden/>
          </w:rPr>
          <w:tab/>
        </w:r>
        <w:r w:rsidR="009F079F">
          <w:rPr>
            <w:noProof/>
            <w:webHidden/>
          </w:rPr>
          <w:fldChar w:fldCharType="begin"/>
        </w:r>
        <w:r w:rsidR="009F079F">
          <w:rPr>
            <w:noProof/>
            <w:webHidden/>
          </w:rPr>
          <w:instrText xml:space="preserve"> PAGEREF _Toc508972095 \h </w:instrText>
        </w:r>
        <w:r w:rsidR="009F079F">
          <w:rPr>
            <w:noProof/>
            <w:webHidden/>
          </w:rPr>
        </w:r>
        <w:r w:rsidR="009F079F">
          <w:rPr>
            <w:noProof/>
            <w:webHidden/>
          </w:rPr>
          <w:fldChar w:fldCharType="separate"/>
        </w:r>
        <w:r w:rsidR="00640CCB">
          <w:rPr>
            <w:noProof/>
            <w:webHidden/>
          </w:rPr>
          <w:t>106</w:t>
        </w:r>
        <w:r w:rsidR="009F079F">
          <w:rPr>
            <w:noProof/>
            <w:webHidden/>
          </w:rPr>
          <w:fldChar w:fldCharType="end"/>
        </w:r>
      </w:hyperlink>
    </w:p>
    <w:p w14:paraId="5928E8FC" w14:textId="5AE3024F" w:rsidR="009F079F" w:rsidRDefault="008079F1">
      <w:pPr>
        <w:pStyle w:val="TableofFigures"/>
        <w:rPr>
          <w:rFonts w:asciiTheme="minorHAnsi" w:eastAsiaTheme="minorEastAsia" w:hAnsiTheme="minorHAnsi" w:cstheme="minorBidi"/>
          <w:noProof/>
          <w:color w:val="auto"/>
          <w:sz w:val="22"/>
          <w:szCs w:val="22"/>
        </w:rPr>
      </w:pPr>
      <w:hyperlink w:anchor="_Toc508972096" w:history="1">
        <w:r w:rsidR="009F079F" w:rsidRPr="00D31A39">
          <w:rPr>
            <w:rStyle w:val="Hyperlink"/>
            <w:noProof/>
          </w:rPr>
          <w:t xml:space="preserve">Figure C.25 Geological cross-section of the </w:t>
        </w:r>
        <w:r w:rsidR="009F079F" w:rsidRPr="00D31A39">
          <w:rPr>
            <w:rStyle w:val="Hyperlink"/>
            <w:noProof/>
            <w:lang w:eastAsia="ja-JP"/>
          </w:rPr>
          <w:t>Nymboida, Ipswich and Clarence-Moreton</w:t>
        </w:r>
        <w:r w:rsidR="009F079F" w:rsidRPr="00D31A39">
          <w:rPr>
            <w:rStyle w:val="Hyperlink"/>
            <w:noProof/>
          </w:rPr>
          <w:t xml:space="preserve"> </w:t>
        </w:r>
        <w:r w:rsidR="009F079F" w:rsidRPr="00D31A39">
          <w:rPr>
            <w:rStyle w:val="Hyperlink"/>
            <w:noProof/>
            <w:lang w:eastAsia="ja-JP"/>
          </w:rPr>
          <w:t>basins (after Ingram and Robinson, 1996). Location of cross-section shown in Figure C.23.</w:t>
        </w:r>
        <w:r w:rsidR="009F079F">
          <w:rPr>
            <w:noProof/>
            <w:webHidden/>
          </w:rPr>
          <w:tab/>
        </w:r>
        <w:r w:rsidR="009F079F">
          <w:rPr>
            <w:noProof/>
            <w:webHidden/>
          </w:rPr>
          <w:fldChar w:fldCharType="begin"/>
        </w:r>
        <w:r w:rsidR="009F079F">
          <w:rPr>
            <w:noProof/>
            <w:webHidden/>
          </w:rPr>
          <w:instrText xml:space="preserve"> PAGEREF _Toc508972096 \h </w:instrText>
        </w:r>
        <w:r w:rsidR="009F079F">
          <w:rPr>
            <w:noProof/>
            <w:webHidden/>
          </w:rPr>
        </w:r>
        <w:r w:rsidR="009F079F">
          <w:rPr>
            <w:noProof/>
            <w:webHidden/>
          </w:rPr>
          <w:fldChar w:fldCharType="separate"/>
        </w:r>
        <w:r w:rsidR="00640CCB">
          <w:rPr>
            <w:noProof/>
            <w:webHidden/>
          </w:rPr>
          <w:t>107</w:t>
        </w:r>
        <w:r w:rsidR="009F079F">
          <w:rPr>
            <w:noProof/>
            <w:webHidden/>
          </w:rPr>
          <w:fldChar w:fldCharType="end"/>
        </w:r>
      </w:hyperlink>
    </w:p>
    <w:p w14:paraId="117EEB29" w14:textId="51DC800B" w:rsidR="009F079F" w:rsidRDefault="008079F1">
      <w:pPr>
        <w:pStyle w:val="TableofFigures"/>
        <w:rPr>
          <w:rFonts w:asciiTheme="minorHAnsi" w:eastAsiaTheme="minorEastAsia" w:hAnsiTheme="minorHAnsi" w:cstheme="minorBidi"/>
          <w:noProof/>
          <w:color w:val="auto"/>
          <w:sz w:val="22"/>
          <w:szCs w:val="22"/>
        </w:rPr>
      </w:pPr>
      <w:hyperlink w:anchor="_Toc508972097" w:history="1">
        <w:r w:rsidR="009F079F" w:rsidRPr="00D31A39">
          <w:rPr>
            <w:rStyle w:val="Hyperlink"/>
            <w:noProof/>
          </w:rPr>
          <w:t>Figure C.26 Lithostratigraphy and hydrostratigraphy of the Clarence-Moreton Basin (after Rassam et al., 2014; Wells and O’Brien, 1994; Doig and Stanmore, 2012; Raiber and Cox, 2012)</w:t>
        </w:r>
        <w:r w:rsidR="009F079F">
          <w:rPr>
            <w:noProof/>
            <w:webHidden/>
          </w:rPr>
          <w:tab/>
        </w:r>
        <w:r w:rsidR="009F079F">
          <w:rPr>
            <w:noProof/>
            <w:webHidden/>
          </w:rPr>
          <w:fldChar w:fldCharType="begin"/>
        </w:r>
        <w:r w:rsidR="009F079F">
          <w:rPr>
            <w:noProof/>
            <w:webHidden/>
          </w:rPr>
          <w:instrText xml:space="preserve"> PAGEREF _Toc508972097 \h </w:instrText>
        </w:r>
        <w:r w:rsidR="009F079F">
          <w:rPr>
            <w:noProof/>
            <w:webHidden/>
          </w:rPr>
        </w:r>
        <w:r w:rsidR="009F079F">
          <w:rPr>
            <w:noProof/>
            <w:webHidden/>
          </w:rPr>
          <w:fldChar w:fldCharType="separate"/>
        </w:r>
        <w:r w:rsidR="00640CCB">
          <w:rPr>
            <w:noProof/>
            <w:webHidden/>
          </w:rPr>
          <w:t>108</w:t>
        </w:r>
        <w:r w:rsidR="009F079F">
          <w:rPr>
            <w:noProof/>
            <w:webHidden/>
          </w:rPr>
          <w:fldChar w:fldCharType="end"/>
        </w:r>
      </w:hyperlink>
    </w:p>
    <w:p w14:paraId="4D102EAE" w14:textId="1328FCB1" w:rsidR="009F079F" w:rsidRDefault="008079F1">
      <w:pPr>
        <w:pStyle w:val="TableofFigures"/>
        <w:rPr>
          <w:rFonts w:asciiTheme="minorHAnsi" w:eastAsiaTheme="minorEastAsia" w:hAnsiTheme="minorHAnsi" w:cstheme="minorBidi"/>
          <w:noProof/>
          <w:color w:val="auto"/>
          <w:sz w:val="22"/>
          <w:szCs w:val="22"/>
        </w:rPr>
      </w:pPr>
      <w:hyperlink w:anchor="_Toc508972098" w:history="1">
        <w:r w:rsidR="009F079F" w:rsidRPr="00D31A39">
          <w:rPr>
            <w:rStyle w:val="Hyperlink"/>
            <w:noProof/>
          </w:rPr>
          <w:t>Figure C.27 Location of wells and seismic data, Clarence-Moreton Basin. Clarence-Moreton Basin outline from Stewart et al. (2013). Petroleum well data from DNRME (2017a) and DREMP (2017). Seismic data coverage from DNRME (2017b-d) and GSNSW (2017).</w:t>
        </w:r>
        <w:r w:rsidR="009F079F">
          <w:rPr>
            <w:noProof/>
            <w:webHidden/>
          </w:rPr>
          <w:tab/>
        </w:r>
        <w:r w:rsidR="009F079F">
          <w:rPr>
            <w:noProof/>
            <w:webHidden/>
          </w:rPr>
          <w:fldChar w:fldCharType="begin"/>
        </w:r>
        <w:r w:rsidR="009F079F">
          <w:rPr>
            <w:noProof/>
            <w:webHidden/>
          </w:rPr>
          <w:instrText xml:space="preserve"> PAGEREF _Toc508972098 \h </w:instrText>
        </w:r>
        <w:r w:rsidR="009F079F">
          <w:rPr>
            <w:noProof/>
            <w:webHidden/>
          </w:rPr>
        </w:r>
        <w:r w:rsidR="009F079F">
          <w:rPr>
            <w:noProof/>
            <w:webHidden/>
          </w:rPr>
          <w:fldChar w:fldCharType="separate"/>
        </w:r>
        <w:r w:rsidR="00640CCB">
          <w:rPr>
            <w:noProof/>
            <w:webHidden/>
          </w:rPr>
          <w:t>109</w:t>
        </w:r>
        <w:r w:rsidR="009F079F">
          <w:rPr>
            <w:noProof/>
            <w:webHidden/>
          </w:rPr>
          <w:fldChar w:fldCharType="end"/>
        </w:r>
      </w:hyperlink>
    </w:p>
    <w:p w14:paraId="00DB9831" w14:textId="2672CBD9" w:rsidR="009F079F" w:rsidRDefault="008079F1">
      <w:pPr>
        <w:pStyle w:val="TableofFigures"/>
        <w:rPr>
          <w:rFonts w:asciiTheme="minorHAnsi" w:eastAsiaTheme="minorEastAsia" w:hAnsiTheme="minorHAnsi" w:cstheme="minorBidi"/>
          <w:noProof/>
          <w:color w:val="auto"/>
          <w:sz w:val="22"/>
          <w:szCs w:val="22"/>
        </w:rPr>
      </w:pPr>
      <w:hyperlink w:anchor="_Toc508972099" w:history="1">
        <w:r w:rsidR="009F079F" w:rsidRPr="00D31A39">
          <w:rPr>
            <w:rStyle w:val="Hyperlink"/>
            <w:noProof/>
          </w:rPr>
          <w:t>Figure C.28 Location of Kingfisher EO1 and approximate play extent based on maturity (O’Brien et al., 1994b).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_Toc508972099 \h </w:instrText>
        </w:r>
        <w:r w:rsidR="009F079F">
          <w:rPr>
            <w:noProof/>
            <w:webHidden/>
          </w:rPr>
        </w:r>
        <w:r w:rsidR="009F079F">
          <w:rPr>
            <w:noProof/>
            <w:webHidden/>
          </w:rPr>
          <w:fldChar w:fldCharType="separate"/>
        </w:r>
        <w:r w:rsidR="00640CCB">
          <w:rPr>
            <w:noProof/>
            <w:webHidden/>
          </w:rPr>
          <w:t>111</w:t>
        </w:r>
        <w:r w:rsidR="009F079F">
          <w:rPr>
            <w:noProof/>
            <w:webHidden/>
          </w:rPr>
          <w:fldChar w:fldCharType="end"/>
        </w:r>
      </w:hyperlink>
    </w:p>
    <w:p w14:paraId="036A2E27" w14:textId="1D030A7E" w:rsidR="009F079F" w:rsidRDefault="008079F1">
      <w:pPr>
        <w:pStyle w:val="TableofFigures"/>
        <w:rPr>
          <w:rFonts w:asciiTheme="minorHAnsi" w:eastAsiaTheme="minorEastAsia" w:hAnsiTheme="minorHAnsi" w:cstheme="minorBidi"/>
          <w:noProof/>
          <w:color w:val="auto"/>
          <w:sz w:val="22"/>
          <w:szCs w:val="22"/>
        </w:rPr>
      </w:pPr>
      <w:hyperlink w:anchor="_Toc508972100" w:history="1">
        <w:r w:rsidR="009F079F" w:rsidRPr="00D31A39">
          <w:rPr>
            <w:rStyle w:val="Hyperlink"/>
            <w:noProof/>
          </w:rPr>
          <w:t>Figure C.29 Clarence-Moreton Basin and adjacent areas infrastructure, pipelines and production facilities. Oil and gas infrastructure from GA (2015a). Processing facilities from GA (2015b).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_Toc508972100 \h </w:instrText>
        </w:r>
        <w:r w:rsidR="009F079F">
          <w:rPr>
            <w:noProof/>
            <w:webHidden/>
          </w:rPr>
        </w:r>
        <w:r w:rsidR="009F079F">
          <w:rPr>
            <w:noProof/>
            <w:webHidden/>
          </w:rPr>
          <w:fldChar w:fldCharType="separate"/>
        </w:r>
        <w:r w:rsidR="00640CCB">
          <w:rPr>
            <w:noProof/>
            <w:webHidden/>
          </w:rPr>
          <w:t>113</w:t>
        </w:r>
        <w:r w:rsidR="009F079F">
          <w:rPr>
            <w:noProof/>
            <w:webHidden/>
          </w:rPr>
          <w:fldChar w:fldCharType="end"/>
        </w:r>
      </w:hyperlink>
    </w:p>
    <w:p w14:paraId="1B7930F0" w14:textId="18B64244" w:rsidR="009F079F" w:rsidRDefault="008079F1">
      <w:pPr>
        <w:pStyle w:val="TableofFigures"/>
        <w:rPr>
          <w:rFonts w:asciiTheme="minorHAnsi" w:eastAsiaTheme="minorEastAsia" w:hAnsiTheme="minorHAnsi" w:cstheme="minorBidi"/>
          <w:noProof/>
          <w:color w:val="auto"/>
          <w:sz w:val="22"/>
          <w:szCs w:val="22"/>
        </w:rPr>
      </w:pPr>
      <w:hyperlink w:anchor="_Toc508972101" w:history="1">
        <w:r w:rsidR="009F079F" w:rsidRPr="00D31A39">
          <w:rPr>
            <w:rStyle w:val="Hyperlink"/>
            <w:noProof/>
          </w:rPr>
          <w:t>Figure C.30 Changes in groundwater flow (Source Figure 2 in Department of Natural Resources and Mines (2012)).</w:t>
        </w:r>
        <w:r w:rsidR="009F079F">
          <w:rPr>
            <w:noProof/>
            <w:webHidden/>
          </w:rPr>
          <w:tab/>
        </w:r>
        <w:r w:rsidR="009F079F">
          <w:rPr>
            <w:noProof/>
            <w:webHidden/>
          </w:rPr>
          <w:fldChar w:fldCharType="begin"/>
        </w:r>
        <w:r w:rsidR="009F079F">
          <w:rPr>
            <w:noProof/>
            <w:webHidden/>
          </w:rPr>
          <w:instrText xml:space="preserve"> PAGEREF _Toc508972101 \h </w:instrText>
        </w:r>
        <w:r w:rsidR="009F079F">
          <w:rPr>
            <w:noProof/>
            <w:webHidden/>
          </w:rPr>
        </w:r>
        <w:r w:rsidR="009F079F">
          <w:rPr>
            <w:noProof/>
            <w:webHidden/>
          </w:rPr>
          <w:fldChar w:fldCharType="separate"/>
        </w:r>
        <w:r w:rsidR="00640CCB">
          <w:rPr>
            <w:noProof/>
            <w:webHidden/>
          </w:rPr>
          <w:t>118</w:t>
        </w:r>
        <w:r w:rsidR="009F079F">
          <w:rPr>
            <w:noProof/>
            <w:webHidden/>
          </w:rPr>
          <w:fldChar w:fldCharType="end"/>
        </w:r>
      </w:hyperlink>
    </w:p>
    <w:p w14:paraId="135730F5" w14:textId="2318F0EA" w:rsidR="009F079F" w:rsidRDefault="008079F1">
      <w:pPr>
        <w:pStyle w:val="TableofFigures"/>
        <w:rPr>
          <w:rFonts w:asciiTheme="minorHAnsi" w:eastAsiaTheme="minorEastAsia" w:hAnsiTheme="minorHAnsi" w:cstheme="minorBidi"/>
          <w:noProof/>
          <w:color w:val="auto"/>
          <w:sz w:val="22"/>
          <w:szCs w:val="22"/>
        </w:rPr>
      </w:pPr>
      <w:hyperlink w:anchor="_Toc508972102" w:history="1">
        <w:r w:rsidR="009F079F" w:rsidRPr="00D31A39">
          <w:rPr>
            <w:rStyle w:val="Hyperlink"/>
            <w:noProof/>
          </w:rPr>
          <w:t>Figure C.31 Cooper Basin structural elements overlain on the top pre-Permian basement horizon (Hall et al., 2015; Carr et al., 2016), with the basin outline from Stewart et al., (2013).</w:t>
        </w:r>
        <w:r w:rsidR="009F079F">
          <w:rPr>
            <w:noProof/>
            <w:webHidden/>
          </w:rPr>
          <w:tab/>
        </w:r>
        <w:r w:rsidR="009F079F">
          <w:rPr>
            <w:noProof/>
            <w:webHidden/>
          </w:rPr>
          <w:fldChar w:fldCharType="begin"/>
        </w:r>
        <w:r w:rsidR="009F079F">
          <w:rPr>
            <w:noProof/>
            <w:webHidden/>
          </w:rPr>
          <w:instrText xml:space="preserve"> PAGEREF _Toc508972102 \h </w:instrText>
        </w:r>
        <w:r w:rsidR="009F079F">
          <w:rPr>
            <w:noProof/>
            <w:webHidden/>
          </w:rPr>
        </w:r>
        <w:r w:rsidR="009F079F">
          <w:rPr>
            <w:noProof/>
            <w:webHidden/>
          </w:rPr>
          <w:fldChar w:fldCharType="separate"/>
        </w:r>
        <w:r w:rsidR="00640CCB">
          <w:rPr>
            <w:noProof/>
            <w:webHidden/>
          </w:rPr>
          <w:t>134</w:t>
        </w:r>
        <w:r w:rsidR="009F079F">
          <w:rPr>
            <w:noProof/>
            <w:webHidden/>
          </w:rPr>
          <w:fldChar w:fldCharType="end"/>
        </w:r>
      </w:hyperlink>
    </w:p>
    <w:p w14:paraId="12FDE6F5" w14:textId="0EDEFC0E" w:rsidR="009F079F" w:rsidRDefault="008079F1">
      <w:pPr>
        <w:pStyle w:val="TableofFigures"/>
        <w:rPr>
          <w:rFonts w:asciiTheme="minorHAnsi" w:eastAsiaTheme="minorEastAsia" w:hAnsiTheme="minorHAnsi" w:cstheme="minorBidi"/>
          <w:noProof/>
          <w:color w:val="auto"/>
          <w:sz w:val="22"/>
          <w:szCs w:val="22"/>
        </w:rPr>
      </w:pPr>
      <w:hyperlink w:anchor="_Toc508972103" w:history="1">
        <w:r w:rsidR="009F079F" w:rsidRPr="00D31A39">
          <w:rPr>
            <w:rStyle w:val="Hyperlink"/>
            <w:noProof/>
          </w:rPr>
          <w:t>Figure C.32 Stratigraphy of the Cooper Basin showing depositional facies, conventional petroleum occurrences and identified source rocks (Hall et al., 2015; Carr et al., 2016).</w:t>
        </w:r>
        <w:r w:rsidR="009F079F">
          <w:rPr>
            <w:noProof/>
            <w:webHidden/>
          </w:rPr>
          <w:tab/>
        </w:r>
        <w:r w:rsidR="009F079F">
          <w:rPr>
            <w:noProof/>
            <w:webHidden/>
          </w:rPr>
          <w:fldChar w:fldCharType="begin"/>
        </w:r>
        <w:r w:rsidR="009F079F">
          <w:rPr>
            <w:noProof/>
            <w:webHidden/>
          </w:rPr>
          <w:instrText xml:space="preserve"> PAGEREF _Toc508972103 \h </w:instrText>
        </w:r>
        <w:r w:rsidR="009F079F">
          <w:rPr>
            <w:noProof/>
            <w:webHidden/>
          </w:rPr>
        </w:r>
        <w:r w:rsidR="009F079F">
          <w:rPr>
            <w:noProof/>
            <w:webHidden/>
          </w:rPr>
          <w:fldChar w:fldCharType="separate"/>
        </w:r>
        <w:r w:rsidR="00640CCB">
          <w:rPr>
            <w:noProof/>
            <w:webHidden/>
          </w:rPr>
          <w:t>135</w:t>
        </w:r>
        <w:r w:rsidR="009F079F">
          <w:rPr>
            <w:noProof/>
            <w:webHidden/>
          </w:rPr>
          <w:fldChar w:fldCharType="end"/>
        </w:r>
      </w:hyperlink>
    </w:p>
    <w:p w14:paraId="31920CD3" w14:textId="1B785DA9" w:rsidR="009F079F" w:rsidRDefault="008079F1">
      <w:pPr>
        <w:pStyle w:val="TableofFigures"/>
        <w:rPr>
          <w:rFonts w:asciiTheme="minorHAnsi" w:eastAsiaTheme="minorEastAsia" w:hAnsiTheme="minorHAnsi" w:cstheme="minorBidi"/>
          <w:noProof/>
          <w:color w:val="auto"/>
          <w:sz w:val="22"/>
          <w:szCs w:val="22"/>
        </w:rPr>
      </w:pPr>
      <w:hyperlink w:anchor="_Toc508972104" w:history="1">
        <w:r w:rsidR="009F079F" w:rsidRPr="00D31A39">
          <w:rPr>
            <w:rStyle w:val="Hyperlink"/>
            <w:noProof/>
          </w:rPr>
          <w:t>Figure C.33 Cooper Basin petroleum exploration wells current to 2017 and seismic data coverage (2D and 3D). Cooper Basin outline from Stewart et al. (2013). Petroleum well data from DNRME (2017a) and DPCSA (2017d). Seismic data coverage from DNRME (2017b-d) and DPCSA (2017a, e).</w:t>
        </w:r>
        <w:r w:rsidR="009F079F">
          <w:rPr>
            <w:noProof/>
            <w:webHidden/>
          </w:rPr>
          <w:tab/>
        </w:r>
        <w:r w:rsidR="009F079F">
          <w:rPr>
            <w:noProof/>
            <w:webHidden/>
          </w:rPr>
          <w:fldChar w:fldCharType="begin"/>
        </w:r>
        <w:r w:rsidR="009F079F">
          <w:rPr>
            <w:noProof/>
            <w:webHidden/>
          </w:rPr>
          <w:instrText xml:space="preserve"> PAGEREF _Toc508972104 \h </w:instrText>
        </w:r>
        <w:r w:rsidR="009F079F">
          <w:rPr>
            <w:noProof/>
            <w:webHidden/>
          </w:rPr>
        </w:r>
        <w:r w:rsidR="009F079F">
          <w:rPr>
            <w:noProof/>
            <w:webHidden/>
          </w:rPr>
          <w:fldChar w:fldCharType="separate"/>
        </w:r>
        <w:r w:rsidR="00640CCB">
          <w:rPr>
            <w:noProof/>
            <w:webHidden/>
          </w:rPr>
          <w:t>136</w:t>
        </w:r>
        <w:r w:rsidR="009F079F">
          <w:rPr>
            <w:noProof/>
            <w:webHidden/>
          </w:rPr>
          <w:fldChar w:fldCharType="end"/>
        </w:r>
      </w:hyperlink>
    </w:p>
    <w:p w14:paraId="4B02C53E" w14:textId="73ADD530" w:rsidR="009F079F" w:rsidRDefault="008079F1">
      <w:pPr>
        <w:pStyle w:val="TableofFigures"/>
        <w:rPr>
          <w:rFonts w:asciiTheme="minorHAnsi" w:eastAsiaTheme="minorEastAsia" w:hAnsiTheme="minorHAnsi" w:cstheme="minorBidi"/>
          <w:noProof/>
          <w:color w:val="auto"/>
          <w:sz w:val="22"/>
          <w:szCs w:val="22"/>
        </w:rPr>
      </w:pPr>
      <w:hyperlink w:anchor="_Toc508972105" w:history="1">
        <w:r w:rsidR="009F079F" w:rsidRPr="00D31A39">
          <w:rPr>
            <w:rStyle w:val="Hyperlink"/>
            <w:noProof/>
          </w:rPr>
          <w:t>Figure C.34 Wells targeting shale or tight gas plays (source: Geoscience Australia), approximate shale and tight gas play extents (modified from USGS, 2016), conventional oil and gas fields, and pipelines.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_Toc508972105 \h </w:instrText>
        </w:r>
        <w:r w:rsidR="009F079F">
          <w:rPr>
            <w:noProof/>
            <w:webHidden/>
          </w:rPr>
        </w:r>
        <w:r w:rsidR="009F079F">
          <w:rPr>
            <w:noProof/>
            <w:webHidden/>
          </w:rPr>
          <w:fldChar w:fldCharType="separate"/>
        </w:r>
        <w:r w:rsidR="00640CCB">
          <w:rPr>
            <w:noProof/>
            <w:webHidden/>
          </w:rPr>
          <w:t>140</w:t>
        </w:r>
        <w:r w:rsidR="009F079F">
          <w:rPr>
            <w:noProof/>
            <w:webHidden/>
          </w:rPr>
          <w:fldChar w:fldCharType="end"/>
        </w:r>
      </w:hyperlink>
    </w:p>
    <w:p w14:paraId="4455C1C3" w14:textId="6ED88680" w:rsidR="009F079F" w:rsidRDefault="008079F1">
      <w:pPr>
        <w:pStyle w:val="TableofFigures"/>
        <w:rPr>
          <w:rFonts w:asciiTheme="minorHAnsi" w:eastAsiaTheme="minorEastAsia" w:hAnsiTheme="minorHAnsi" w:cstheme="minorBidi"/>
          <w:noProof/>
          <w:color w:val="auto"/>
          <w:sz w:val="22"/>
          <w:szCs w:val="22"/>
        </w:rPr>
      </w:pPr>
      <w:hyperlink w:anchor="_Toc508972106" w:history="1">
        <w:r w:rsidR="009F079F" w:rsidRPr="00D31A39">
          <w:rPr>
            <w:rStyle w:val="Hyperlink"/>
            <w:noProof/>
          </w:rPr>
          <w:t xml:space="preserve">Figure C.35 Cooper Basin infrastructure, pipelines and production facilities. Oil and gas infrastructure from GA (2015a). Processing facilities from GA (2015b).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w:t>
        </w:r>
        <w:r w:rsidR="009F079F" w:rsidRPr="00D31A39">
          <w:rPr>
            <w:rStyle w:val="Hyperlink"/>
            <w:noProof/>
          </w:rPr>
          <w:lastRenderedPageBreak/>
          <w:t>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_Toc508972106 \h </w:instrText>
        </w:r>
        <w:r w:rsidR="009F079F">
          <w:rPr>
            <w:noProof/>
            <w:webHidden/>
          </w:rPr>
        </w:r>
        <w:r w:rsidR="009F079F">
          <w:rPr>
            <w:noProof/>
            <w:webHidden/>
          </w:rPr>
          <w:fldChar w:fldCharType="separate"/>
        </w:r>
        <w:r w:rsidR="00640CCB">
          <w:rPr>
            <w:noProof/>
            <w:webHidden/>
          </w:rPr>
          <w:t>143</w:t>
        </w:r>
        <w:r w:rsidR="009F079F">
          <w:rPr>
            <w:noProof/>
            <w:webHidden/>
          </w:rPr>
          <w:fldChar w:fldCharType="end"/>
        </w:r>
      </w:hyperlink>
    </w:p>
    <w:p w14:paraId="28F73D18" w14:textId="03ACC448" w:rsidR="009F079F" w:rsidRDefault="008079F1">
      <w:pPr>
        <w:pStyle w:val="TableofFigures"/>
        <w:rPr>
          <w:rFonts w:asciiTheme="minorHAnsi" w:eastAsiaTheme="minorEastAsia" w:hAnsiTheme="minorHAnsi" w:cstheme="minorBidi"/>
          <w:noProof/>
          <w:color w:val="auto"/>
          <w:sz w:val="22"/>
          <w:szCs w:val="22"/>
        </w:rPr>
      </w:pPr>
      <w:hyperlink w:anchor="_Toc508972107" w:history="1">
        <w:r w:rsidR="009F079F" w:rsidRPr="00D31A39">
          <w:rPr>
            <w:rStyle w:val="Hyperlink"/>
            <w:noProof/>
          </w:rPr>
          <w:t>Figure C.36 Hydrostratigraphy of the Great Artesian Basin, highlighting the variation in aquifers and aquitards of the Eromanga Basin (in red box) as it overlies the Cooper Basin (adapted from Ransley et al., 2015).</w:t>
        </w:r>
        <w:r w:rsidR="009F079F">
          <w:rPr>
            <w:noProof/>
            <w:webHidden/>
          </w:rPr>
          <w:tab/>
        </w:r>
        <w:r w:rsidR="009F079F">
          <w:rPr>
            <w:noProof/>
            <w:webHidden/>
          </w:rPr>
          <w:fldChar w:fldCharType="begin"/>
        </w:r>
        <w:r w:rsidR="009F079F">
          <w:rPr>
            <w:noProof/>
            <w:webHidden/>
          </w:rPr>
          <w:instrText xml:space="preserve"> PAGEREF _Toc508972107 \h </w:instrText>
        </w:r>
        <w:r w:rsidR="009F079F">
          <w:rPr>
            <w:noProof/>
            <w:webHidden/>
          </w:rPr>
        </w:r>
        <w:r w:rsidR="009F079F">
          <w:rPr>
            <w:noProof/>
            <w:webHidden/>
          </w:rPr>
          <w:fldChar w:fldCharType="separate"/>
        </w:r>
        <w:r w:rsidR="00640CCB">
          <w:rPr>
            <w:noProof/>
            <w:webHidden/>
          </w:rPr>
          <w:t>147</w:t>
        </w:r>
        <w:r w:rsidR="009F079F">
          <w:rPr>
            <w:noProof/>
            <w:webHidden/>
          </w:rPr>
          <w:fldChar w:fldCharType="end"/>
        </w:r>
      </w:hyperlink>
    </w:p>
    <w:p w14:paraId="2FEF80BC" w14:textId="15F2A14D" w:rsidR="009F079F" w:rsidRDefault="008079F1">
      <w:pPr>
        <w:pStyle w:val="TableofFigures"/>
        <w:rPr>
          <w:rFonts w:asciiTheme="minorHAnsi" w:eastAsiaTheme="minorEastAsia" w:hAnsiTheme="minorHAnsi" w:cstheme="minorBidi"/>
          <w:noProof/>
          <w:color w:val="auto"/>
          <w:sz w:val="22"/>
          <w:szCs w:val="22"/>
        </w:rPr>
      </w:pPr>
      <w:hyperlink w:anchor="_Toc508972108" w:history="1">
        <w:r w:rsidR="009F079F" w:rsidRPr="00D31A39">
          <w:rPr>
            <w:rStyle w:val="Hyperlink"/>
            <w:noProof/>
          </w:rPr>
          <w:t>Figure C.37 Potentiometric surface of the Cadna-owie/Algebuckina aquifer around the Cooper Basin (labelled as Cooper subregion), calculated from a density-corrected perspective (Smith et al., 2015).</w:t>
        </w:r>
        <w:r w:rsidR="009F079F">
          <w:rPr>
            <w:noProof/>
            <w:webHidden/>
          </w:rPr>
          <w:tab/>
        </w:r>
        <w:r w:rsidR="009F079F">
          <w:rPr>
            <w:noProof/>
            <w:webHidden/>
          </w:rPr>
          <w:fldChar w:fldCharType="begin"/>
        </w:r>
        <w:r w:rsidR="009F079F">
          <w:rPr>
            <w:noProof/>
            <w:webHidden/>
          </w:rPr>
          <w:instrText xml:space="preserve"> PAGEREF _Toc508972108 \h </w:instrText>
        </w:r>
        <w:r w:rsidR="009F079F">
          <w:rPr>
            <w:noProof/>
            <w:webHidden/>
          </w:rPr>
        </w:r>
        <w:r w:rsidR="009F079F">
          <w:rPr>
            <w:noProof/>
            <w:webHidden/>
          </w:rPr>
          <w:fldChar w:fldCharType="separate"/>
        </w:r>
        <w:r w:rsidR="00640CCB">
          <w:rPr>
            <w:noProof/>
            <w:webHidden/>
          </w:rPr>
          <w:t>149</w:t>
        </w:r>
        <w:r w:rsidR="009F079F">
          <w:rPr>
            <w:noProof/>
            <w:webHidden/>
          </w:rPr>
          <w:fldChar w:fldCharType="end"/>
        </w:r>
      </w:hyperlink>
    </w:p>
    <w:p w14:paraId="122A7CEC" w14:textId="1822C1B8" w:rsidR="009F079F" w:rsidRDefault="008079F1">
      <w:pPr>
        <w:pStyle w:val="TableofFigures"/>
        <w:rPr>
          <w:rFonts w:asciiTheme="minorHAnsi" w:eastAsiaTheme="minorEastAsia" w:hAnsiTheme="minorHAnsi" w:cstheme="minorBidi"/>
          <w:noProof/>
          <w:color w:val="auto"/>
          <w:sz w:val="22"/>
          <w:szCs w:val="22"/>
        </w:rPr>
      </w:pPr>
      <w:hyperlink w:anchor="_Toc508972109" w:history="1">
        <w:r w:rsidR="009F079F" w:rsidRPr="00D31A39">
          <w:rPr>
            <w:rStyle w:val="Hyperlink"/>
            <w:noProof/>
          </w:rPr>
          <w:t>Figure C.38 Location of the Georgina Basin on a base map of surface geology from Carr et al. (2016). The surface geology is from the 1:1,000,000 scale geology map of Australia (Raymond, 2009), and the outline of the Georgina Basin is from Stewart et al. (2013).</w:t>
        </w:r>
        <w:r w:rsidR="009F079F">
          <w:rPr>
            <w:noProof/>
            <w:webHidden/>
          </w:rPr>
          <w:tab/>
        </w:r>
        <w:r w:rsidR="009F079F">
          <w:rPr>
            <w:noProof/>
            <w:webHidden/>
          </w:rPr>
          <w:fldChar w:fldCharType="begin"/>
        </w:r>
        <w:r w:rsidR="009F079F">
          <w:rPr>
            <w:noProof/>
            <w:webHidden/>
          </w:rPr>
          <w:instrText xml:space="preserve"> PAGEREF _Toc508972109 \h </w:instrText>
        </w:r>
        <w:r w:rsidR="009F079F">
          <w:rPr>
            <w:noProof/>
            <w:webHidden/>
          </w:rPr>
        </w:r>
        <w:r w:rsidR="009F079F">
          <w:rPr>
            <w:noProof/>
            <w:webHidden/>
          </w:rPr>
          <w:fldChar w:fldCharType="separate"/>
        </w:r>
        <w:r w:rsidR="00640CCB">
          <w:rPr>
            <w:noProof/>
            <w:webHidden/>
          </w:rPr>
          <w:t>163</w:t>
        </w:r>
        <w:r w:rsidR="009F079F">
          <w:rPr>
            <w:noProof/>
            <w:webHidden/>
          </w:rPr>
          <w:fldChar w:fldCharType="end"/>
        </w:r>
      </w:hyperlink>
    </w:p>
    <w:p w14:paraId="03072E4C" w14:textId="086E72E9" w:rsidR="009F079F" w:rsidRDefault="008079F1">
      <w:pPr>
        <w:pStyle w:val="TableofFigures"/>
        <w:rPr>
          <w:rFonts w:asciiTheme="minorHAnsi" w:eastAsiaTheme="minorEastAsia" w:hAnsiTheme="minorHAnsi" w:cstheme="minorBidi"/>
          <w:noProof/>
          <w:color w:val="auto"/>
          <w:sz w:val="22"/>
          <w:szCs w:val="22"/>
        </w:rPr>
      </w:pPr>
      <w:hyperlink w:anchor="_Toc508972110" w:history="1">
        <w:r w:rsidR="009F079F" w:rsidRPr="00D31A39">
          <w:rPr>
            <w:rStyle w:val="Hyperlink"/>
            <w:noProof/>
          </w:rPr>
          <w:t xml:space="preserve">Figure C.39 </w:t>
        </w:r>
        <w:r w:rsidR="009F079F" w:rsidRPr="00D31A39">
          <w:rPr>
            <w:rStyle w:val="Hyperlink"/>
            <w:rFonts w:eastAsia="TimesNewRomanPSMT"/>
            <w:noProof/>
          </w:rPr>
          <w:t>S</w:t>
        </w:r>
        <w:r w:rsidR="009F079F" w:rsidRPr="00D31A39">
          <w:rPr>
            <w:rStyle w:val="Hyperlink"/>
            <w:noProof/>
          </w:rPr>
          <w:t>tratigraphy of the Georgina Basin from Carr et al. (2016). Early Paleozoic stratigraphy showing the locations of key source rocks and hydrocarbon shows in the Cambrian to Ordovician part of the basin. Note that Devonian units in the Dulcie Syncline (Dulcie Sandstone) and Toko Syncline (Cravens Peak beds) have been omitted from this figure.</w:t>
        </w:r>
        <w:r w:rsidR="009F079F">
          <w:rPr>
            <w:noProof/>
            <w:webHidden/>
          </w:rPr>
          <w:tab/>
        </w:r>
        <w:r w:rsidR="009F079F">
          <w:rPr>
            <w:noProof/>
            <w:webHidden/>
          </w:rPr>
          <w:fldChar w:fldCharType="begin"/>
        </w:r>
        <w:r w:rsidR="009F079F">
          <w:rPr>
            <w:noProof/>
            <w:webHidden/>
          </w:rPr>
          <w:instrText xml:space="preserve"> PAGEREF _Toc508972110 \h </w:instrText>
        </w:r>
        <w:r w:rsidR="009F079F">
          <w:rPr>
            <w:noProof/>
            <w:webHidden/>
          </w:rPr>
        </w:r>
        <w:r w:rsidR="009F079F">
          <w:rPr>
            <w:noProof/>
            <w:webHidden/>
          </w:rPr>
          <w:fldChar w:fldCharType="separate"/>
        </w:r>
        <w:r w:rsidR="00640CCB">
          <w:rPr>
            <w:noProof/>
            <w:webHidden/>
          </w:rPr>
          <w:t>164</w:t>
        </w:r>
        <w:r w:rsidR="009F079F">
          <w:rPr>
            <w:noProof/>
            <w:webHidden/>
          </w:rPr>
          <w:fldChar w:fldCharType="end"/>
        </w:r>
      </w:hyperlink>
    </w:p>
    <w:p w14:paraId="4587D4CD" w14:textId="103AF790" w:rsidR="009F079F" w:rsidRDefault="008079F1">
      <w:pPr>
        <w:pStyle w:val="TableofFigures"/>
        <w:rPr>
          <w:rFonts w:asciiTheme="minorHAnsi" w:eastAsiaTheme="minorEastAsia" w:hAnsiTheme="minorHAnsi" w:cstheme="minorBidi"/>
          <w:noProof/>
          <w:color w:val="auto"/>
          <w:sz w:val="22"/>
          <w:szCs w:val="22"/>
        </w:rPr>
      </w:pPr>
      <w:hyperlink w:anchor="_Toc508972111" w:history="1">
        <w:r w:rsidR="009F079F" w:rsidRPr="00D31A39">
          <w:rPr>
            <w:rStyle w:val="Hyperlink"/>
            <w:noProof/>
          </w:rPr>
          <w:t>Figure C.40 Georgina Basin petroleum exploration wells, stratigraphic drill holes. Georgina Basin outline from Stewart et al. (2013). Well locations from DNMRE (2017a) and NTGS (2017a). Seismic data from DNMRE (2017b-d) and NTGS (2017b).</w:t>
        </w:r>
        <w:r w:rsidR="009F079F">
          <w:rPr>
            <w:noProof/>
            <w:webHidden/>
          </w:rPr>
          <w:tab/>
        </w:r>
        <w:r w:rsidR="009F079F">
          <w:rPr>
            <w:noProof/>
            <w:webHidden/>
          </w:rPr>
          <w:fldChar w:fldCharType="begin"/>
        </w:r>
        <w:r w:rsidR="009F079F">
          <w:rPr>
            <w:noProof/>
            <w:webHidden/>
          </w:rPr>
          <w:instrText xml:space="preserve"> PAGEREF _Toc508972111 \h </w:instrText>
        </w:r>
        <w:r w:rsidR="009F079F">
          <w:rPr>
            <w:noProof/>
            <w:webHidden/>
          </w:rPr>
        </w:r>
        <w:r w:rsidR="009F079F">
          <w:rPr>
            <w:noProof/>
            <w:webHidden/>
          </w:rPr>
          <w:fldChar w:fldCharType="separate"/>
        </w:r>
        <w:r w:rsidR="00640CCB">
          <w:rPr>
            <w:noProof/>
            <w:webHidden/>
          </w:rPr>
          <w:t>166</w:t>
        </w:r>
        <w:r w:rsidR="009F079F">
          <w:rPr>
            <w:noProof/>
            <w:webHidden/>
          </w:rPr>
          <w:fldChar w:fldCharType="end"/>
        </w:r>
      </w:hyperlink>
    </w:p>
    <w:p w14:paraId="06FBA95A" w14:textId="41381B84" w:rsidR="009F079F" w:rsidRDefault="008079F1">
      <w:pPr>
        <w:pStyle w:val="TableofFigures"/>
        <w:rPr>
          <w:rFonts w:asciiTheme="minorHAnsi" w:eastAsiaTheme="minorEastAsia" w:hAnsiTheme="minorHAnsi" w:cstheme="minorBidi"/>
          <w:noProof/>
          <w:color w:val="auto"/>
          <w:sz w:val="22"/>
          <w:szCs w:val="22"/>
        </w:rPr>
      </w:pPr>
      <w:hyperlink w:anchor="_Toc508972112" w:history="1">
        <w:r w:rsidR="009F079F" w:rsidRPr="00D31A39">
          <w:rPr>
            <w:rStyle w:val="Hyperlink"/>
            <w:noProof/>
          </w:rPr>
          <w:t>Figure C.41 Wells targeting shale or tight gas plays compiled from various industry and government sources. Well locations from DNMR (2017a) and NTGS, 2017). Approximate area within which key prospective shales are likely to be present is based on Munson (2014); Scientific Inquiry into Hydraulic Fracturing in the Northern Territory (</w:t>
        </w:r>
        <w:r w:rsidR="00CF4C23" w:rsidRPr="00D31A39">
          <w:rPr>
            <w:rStyle w:val="Hyperlink"/>
            <w:noProof/>
          </w:rPr>
          <w:t>201</w:t>
        </w:r>
        <w:r w:rsidR="00CF4C23">
          <w:rPr>
            <w:rStyle w:val="Hyperlink"/>
            <w:noProof/>
          </w:rPr>
          <w:t>8</w:t>
        </w:r>
        <w:r w:rsidR="009F079F" w:rsidRPr="00D31A39">
          <w:rPr>
            <w:rStyle w:val="Hyperlink"/>
            <w:noProof/>
          </w:rPr>
          <w:t>) and DMRN (2017b).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_Toc508972112 \h </w:instrText>
        </w:r>
        <w:r w:rsidR="009F079F">
          <w:rPr>
            <w:noProof/>
            <w:webHidden/>
          </w:rPr>
        </w:r>
        <w:r w:rsidR="009F079F">
          <w:rPr>
            <w:noProof/>
            <w:webHidden/>
          </w:rPr>
          <w:fldChar w:fldCharType="separate"/>
        </w:r>
        <w:r w:rsidR="00640CCB">
          <w:rPr>
            <w:noProof/>
            <w:webHidden/>
          </w:rPr>
          <w:t>168</w:t>
        </w:r>
        <w:r w:rsidR="009F079F">
          <w:rPr>
            <w:noProof/>
            <w:webHidden/>
          </w:rPr>
          <w:fldChar w:fldCharType="end"/>
        </w:r>
      </w:hyperlink>
    </w:p>
    <w:p w14:paraId="7F9C82E3" w14:textId="20846661" w:rsidR="009F079F" w:rsidRDefault="008079F1">
      <w:pPr>
        <w:pStyle w:val="TableofFigures"/>
        <w:rPr>
          <w:rFonts w:asciiTheme="minorHAnsi" w:eastAsiaTheme="minorEastAsia" w:hAnsiTheme="minorHAnsi" w:cstheme="minorBidi"/>
          <w:noProof/>
          <w:color w:val="auto"/>
          <w:sz w:val="22"/>
          <w:szCs w:val="22"/>
        </w:rPr>
      </w:pPr>
      <w:hyperlink w:anchor="_Toc508972113" w:history="1">
        <w:r w:rsidR="009F079F" w:rsidRPr="00D31A39">
          <w:rPr>
            <w:rStyle w:val="Hyperlink"/>
            <w:noProof/>
          </w:rPr>
          <w:t>Figure C.42 Georgina Basin infrastructure, pipelines and production facilities. Oil and gas infrastructure from GA (2015a). Processing facilities from GA (2015b).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_Toc508972113 \h </w:instrText>
        </w:r>
        <w:r w:rsidR="009F079F">
          <w:rPr>
            <w:noProof/>
            <w:webHidden/>
          </w:rPr>
        </w:r>
        <w:r w:rsidR="009F079F">
          <w:rPr>
            <w:noProof/>
            <w:webHidden/>
          </w:rPr>
          <w:fldChar w:fldCharType="separate"/>
        </w:r>
        <w:r w:rsidR="00640CCB">
          <w:rPr>
            <w:noProof/>
            <w:webHidden/>
          </w:rPr>
          <w:t>170</w:t>
        </w:r>
        <w:r w:rsidR="009F079F">
          <w:rPr>
            <w:noProof/>
            <w:webHidden/>
          </w:rPr>
          <w:fldChar w:fldCharType="end"/>
        </w:r>
      </w:hyperlink>
    </w:p>
    <w:p w14:paraId="32562A36" w14:textId="12585F66" w:rsidR="009F079F" w:rsidRDefault="008079F1">
      <w:pPr>
        <w:pStyle w:val="TableofFigures"/>
        <w:rPr>
          <w:rFonts w:asciiTheme="minorHAnsi" w:eastAsiaTheme="minorEastAsia" w:hAnsiTheme="minorHAnsi" w:cstheme="minorBidi"/>
          <w:noProof/>
          <w:color w:val="auto"/>
          <w:sz w:val="22"/>
          <w:szCs w:val="22"/>
        </w:rPr>
      </w:pPr>
      <w:hyperlink w:anchor="_Toc508972114" w:history="1">
        <w:r w:rsidR="009F079F" w:rsidRPr="00D31A39">
          <w:rPr>
            <w:rStyle w:val="Hyperlink"/>
            <w:noProof/>
          </w:rPr>
          <w:t>Figure C.43 Regional groundwater flow in the Cambrian limestones of the northern portion of the Georgina Basin (adapted from Knapton 2009).</w:t>
        </w:r>
        <w:r w:rsidR="009F079F">
          <w:rPr>
            <w:noProof/>
            <w:webHidden/>
          </w:rPr>
          <w:tab/>
        </w:r>
        <w:r w:rsidR="009F079F">
          <w:rPr>
            <w:noProof/>
            <w:webHidden/>
          </w:rPr>
          <w:fldChar w:fldCharType="begin"/>
        </w:r>
        <w:r w:rsidR="009F079F">
          <w:rPr>
            <w:noProof/>
            <w:webHidden/>
          </w:rPr>
          <w:instrText xml:space="preserve"> PAGEREF _Toc508972114 \h </w:instrText>
        </w:r>
        <w:r w:rsidR="009F079F">
          <w:rPr>
            <w:noProof/>
            <w:webHidden/>
          </w:rPr>
        </w:r>
        <w:r w:rsidR="009F079F">
          <w:rPr>
            <w:noProof/>
            <w:webHidden/>
          </w:rPr>
          <w:fldChar w:fldCharType="separate"/>
        </w:r>
        <w:r w:rsidR="00640CCB">
          <w:rPr>
            <w:noProof/>
            <w:webHidden/>
          </w:rPr>
          <w:t>174</w:t>
        </w:r>
        <w:r w:rsidR="009F079F">
          <w:rPr>
            <w:noProof/>
            <w:webHidden/>
          </w:rPr>
          <w:fldChar w:fldCharType="end"/>
        </w:r>
      </w:hyperlink>
    </w:p>
    <w:p w14:paraId="2E9E3B1A" w14:textId="63507C75" w:rsidR="009F079F" w:rsidRDefault="008079F1">
      <w:pPr>
        <w:pStyle w:val="TableofFigures"/>
        <w:rPr>
          <w:rFonts w:asciiTheme="minorHAnsi" w:eastAsiaTheme="minorEastAsia" w:hAnsiTheme="minorHAnsi" w:cstheme="minorBidi"/>
          <w:noProof/>
          <w:color w:val="auto"/>
          <w:sz w:val="22"/>
          <w:szCs w:val="22"/>
        </w:rPr>
      </w:pPr>
      <w:hyperlink w:anchor="_Toc508972115" w:history="1">
        <w:r w:rsidR="009F079F" w:rsidRPr="00D31A39">
          <w:rPr>
            <w:rStyle w:val="Hyperlink"/>
            <w:noProof/>
          </w:rPr>
          <w:t>Figure C.44 Composite potentiometric surface for all aquifers in the in the southeastern Georgina Basin (adapted from Randal, 1978).</w:t>
        </w:r>
        <w:r w:rsidR="009F079F">
          <w:rPr>
            <w:noProof/>
            <w:webHidden/>
          </w:rPr>
          <w:tab/>
        </w:r>
        <w:r w:rsidR="009F079F">
          <w:rPr>
            <w:noProof/>
            <w:webHidden/>
          </w:rPr>
          <w:fldChar w:fldCharType="begin"/>
        </w:r>
        <w:r w:rsidR="009F079F">
          <w:rPr>
            <w:noProof/>
            <w:webHidden/>
          </w:rPr>
          <w:instrText xml:space="preserve"> PAGEREF _Toc508972115 \h </w:instrText>
        </w:r>
        <w:r w:rsidR="009F079F">
          <w:rPr>
            <w:noProof/>
            <w:webHidden/>
          </w:rPr>
        </w:r>
        <w:r w:rsidR="009F079F">
          <w:rPr>
            <w:noProof/>
            <w:webHidden/>
          </w:rPr>
          <w:fldChar w:fldCharType="separate"/>
        </w:r>
        <w:r w:rsidR="00640CCB">
          <w:rPr>
            <w:noProof/>
            <w:webHidden/>
          </w:rPr>
          <w:t>175</w:t>
        </w:r>
        <w:r w:rsidR="009F079F">
          <w:rPr>
            <w:noProof/>
            <w:webHidden/>
          </w:rPr>
          <w:fldChar w:fldCharType="end"/>
        </w:r>
      </w:hyperlink>
    </w:p>
    <w:p w14:paraId="074E13FD" w14:textId="21C37B62" w:rsidR="009F079F" w:rsidRDefault="008079F1">
      <w:pPr>
        <w:pStyle w:val="TableofFigures"/>
        <w:rPr>
          <w:rFonts w:asciiTheme="minorHAnsi" w:eastAsiaTheme="minorEastAsia" w:hAnsiTheme="minorHAnsi" w:cstheme="minorBidi"/>
          <w:noProof/>
          <w:color w:val="auto"/>
          <w:sz w:val="22"/>
          <w:szCs w:val="22"/>
        </w:rPr>
      </w:pPr>
      <w:hyperlink w:anchor="_Toc508972116" w:history="1">
        <w:r w:rsidR="009F079F" w:rsidRPr="00D31A39">
          <w:rPr>
            <w:rStyle w:val="Hyperlink"/>
            <w:noProof/>
          </w:rPr>
          <w:t>Figure C.45 Geology of the onshore Gippsland Basin including faults and structural elements (Yates et al., 2015).</w:t>
        </w:r>
        <w:r w:rsidR="009F079F">
          <w:rPr>
            <w:noProof/>
            <w:webHidden/>
          </w:rPr>
          <w:tab/>
        </w:r>
        <w:r w:rsidR="009F079F">
          <w:rPr>
            <w:noProof/>
            <w:webHidden/>
          </w:rPr>
          <w:fldChar w:fldCharType="begin"/>
        </w:r>
        <w:r w:rsidR="009F079F">
          <w:rPr>
            <w:noProof/>
            <w:webHidden/>
          </w:rPr>
          <w:instrText xml:space="preserve"> PAGEREF _Toc508972116 \h </w:instrText>
        </w:r>
        <w:r w:rsidR="009F079F">
          <w:rPr>
            <w:noProof/>
            <w:webHidden/>
          </w:rPr>
        </w:r>
        <w:r w:rsidR="009F079F">
          <w:rPr>
            <w:noProof/>
            <w:webHidden/>
          </w:rPr>
          <w:fldChar w:fldCharType="separate"/>
        </w:r>
        <w:r w:rsidR="00640CCB">
          <w:rPr>
            <w:noProof/>
            <w:webHidden/>
          </w:rPr>
          <w:t>189</w:t>
        </w:r>
        <w:r w:rsidR="009F079F">
          <w:rPr>
            <w:noProof/>
            <w:webHidden/>
          </w:rPr>
          <w:fldChar w:fldCharType="end"/>
        </w:r>
      </w:hyperlink>
    </w:p>
    <w:p w14:paraId="59618595" w14:textId="63612123" w:rsidR="009F079F" w:rsidRDefault="008079F1">
      <w:pPr>
        <w:pStyle w:val="TableofFigures"/>
        <w:rPr>
          <w:rFonts w:asciiTheme="minorHAnsi" w:eastAsiaTheme="minorEastAsia" w:hAnsiTheme="minorHAnsi" w:cstheme="minorBidi"/>
          <w:noProof/>
          <w:color w:val="auto"/>
          <w:sz w:val="22"/>
          <w:szCs w:val="22"/>
        </w:rPr>
      </w:pPr>
      <w:hyperlink w:anchor="_Toc508972117" w:history="1">
        <w:r w:rsidR="009F079F" w:rsidRPr="00D31A39">
          <w:rPr>
            <w:rStyle w:val="Hyperlink"/>
            <w:noProof/>
          </w:rPr>
          <w:t>Figure C.46 Stratigraphy of the onshore Gippsland Basin (Yates et al., 2015), refer to Figure C.45 for the location of the structural elements.</w:t>
        </w:r>
        <w:r w:rsidR="009F079F">
          <w:rPr>
            <w:noProof/>
            <w:webHidden/>
          </w:rPr>
          <w:tab/>
        </w:r>
        <w:r w:rsidR="009F079F">
          <w:rPr>
            <w:noProof/>
            <w:webHidden/>
          </w:rPr>
          <w:fldChar w:fldCharType="begin"/>
        </w:r>
        <w:r w:rsidR="009F079F">
          <w:rPr>
            <w:noProof/>
            <w:webHidden/>
          </w:rPr>
          <w:instrText xml:space="preserve"> PAGEREF _Toc508972117 \h </w:instrText>
        </w:r>
        <w:r w:rsidR="009F079F">
          <w:rPr>
            <w:noProof/>
            <w:webHidden/>
          </w:rPr>
        </w:r>
        <w:r w:rsidR="009F079F">
          <w:rPr>
            <w:noProof/>
            <w:webHidden/>
          </w:rPr>
          <w:fldChar w:fldCharType="separate"/>
        </w:r>
        <w:r w:rsidR="00640CCB">
          <w:rPr>
            <w:noProof/>
            <w:webHidden/>
          </w:rPr>
          <w:t>190</w:t>
        </w:r>
        <w:r w:rsidR="009F079F">
          <w:rPr>
            <w:noProof/>
            <w:webHidden/>
          </w:rPr>
          <w:fldChar w:fldCharType="end"/>
        </w:r>
      </w:hyperlink>
    </w:p>
    <w:p w14:paraId="0D4E9992" w14:textId="204120F2" w:rsidR="009F079F" w:rsidRDefault="008079F1">
      <w:pPr>
        <w:pStyle w:val="TableofFigures"/>
        <w:rPr>
          <w:rFonts w:asciiTheme="minorHAnsi" w:eastAsiaTheme="minorEastAsia" w:hAnsiTheme="minorHAnsi" w:cstheme="minorBidi"/>
          <w:noProof/>
          <w:color w:val="auto"/>
          <w:sz w:val="22"/>
          <w:szCs w:val="22"/>
        </w:rPr>
      </w:pPr>
      <w:hyperlink w:anchor="_Toc508972118" w:history="1">
        <w:r w:rsidR="009F079F" w:rsidRPr="00D31A39">
          <w:rPr>
            <w:rStyle w:val="Hyperlink"/>
            <w:noProof/>
          </w:rPr>
          <w:t>Figure C.47 Gippsland Basin petroleum exploration wells and seismic data coverage. Gippsland Basin outline from Stewart et al. (2013). Petroleum well data from GSV (2017a). Seismic data coverage from GSV (2009) and GSV (2017b).</w:t>
        </w:r>
        <w:r w:rsidR="009F079F">
          <w:rPr>
            <w:noProof/>
            <w:webHidden/>
          </w:rPr>
          <w:tab/>
        </w:r>
        <w:r w:rsidR="009F079F">
          <w:rPr>
            <w:noProof/>
            <w:webHidden/>
          </w:rPr>
          <w:fldChar w:fldCharType="begin"/>
        </w:r>
        <w:r w:rsidR="009F079F">
          <w:rPr>
            <w:noProof/>
            <w:webHidden/>
          </w:rPr>
          <w:instrText xml:space="preserve"> PAGEREF _Toc508972118 \h </w:instrText>
        </w:r>
        <w:r w:rsidR="009F079F">
          <w:rPr>
            <w:noProof/>
            <w:webHidden/>
          </w:rPr>
        </w:r>
        <w:r w:rsidR="009F079F">
          <w:rPr>
            <w:noProof/>
            <w:webHidden/>
          </w:rPr>
          <w:fldChar w:fldCharType="separate"/>
        </w:r>
        <w:r w:rsidR="00640CCB">
          <w:rPr>
            <w:noProof/>
            <w:webHidden/>
          </w:rPr>
          <w:t>191</w:t>
        </w:r>
        <w:r w:rsidR="009F079F">
          <w:rPr>
            <w:noProof/>
            <w:webHidden/>
          </w:rPr>
          <w:fldChar w:fldCharType="end"/>
        </w:r>
      </w:hyperlink>
    </w:p>
    <w:p w14:paraId="1B6633DC" w14:textId="7D99A699" w:rsidR="009F079F" w:rsidRDefault="008079F1">
      <w:pPr>
        <w:pStyle w:val="TableofFigures"/>
        <w:rPr>
          <w:rFonts w:asciiTheme="minorHAnsi" w:eastAsiaTheme="minorEastAsia" w:hAnsiTheme="minorHAnsi" w:cstheme="minorBidi"/>
          <w:noProof/>
          <w:color w:val="auto"/>
          <w:sz w:val="22"/>
          <w:szCs w:val="22"/>
        </w:rPr>
      </w:pPr>
      <w:hyperlink w:anchor="_Toc508972119" w:history="1">
        <w:r w:rsidR="009F079F" w:rsidRPr="00D31A39">
          <w:rPr>
            <w:rStyle w:val="Hyperlink"/>
            <w:noProof/>
          </w:rPr>
          <w:t>Figure C.48 Wells targeting shale or tight gas plays and approximate play extents modified from Geoscience Australia (2017). Strzelecki Group play extent based on the sub-regional scale tight/shale development scenario from Goldie Divko (2015).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_Toc508972119 \h </w:instrText>
        </w:r>
        <w:r w:rsidR="009F079F">
          <w:rPr>
            <w:noProof/>
            <w:webHidden/>
          </w:rPr>
        </w:r>
        <w:r w:rsidR="009F079F">
          <w:rPr>
            <w:noProof/>
            <w:webHidden/>
          </w:rPr>
          <w:fldChar w:fldCharType="separate"/>
        </w:r>
        <w:r w:rsidR="00640CCB">
          <w:rPr>
            <w:noProof/>
            <w:webHidden/>
          </w:rPr>
          <w:t>193</w:t>
        </w:r>
        <w:r w:rsidR="009F079F">
          <w:rPr>
            <w:noProof/>
            <w:webHidden/>
          </w:rPr>
          <w:fldChar w:fldCharType="end"/>
        </w:r>
      </w:hyperlink>
    </w:p>
    <w:p w14:paraId="3AE02CC7" w14:textId="0A992EC0" w:rsidR="009F079F" w:rsidRDefault="008079F1">
      <w:pPr>
        <w:pStyle w:val="TableofFigures"/>
        <w:rPr>
          <w:rFonts w:asciiTheme="minorHAnsi" w:eastAsiaTheme="minorEastAsia" w:hAnsiTheme="minorHAnsi" w:cstheme="minorBidi"/>
          <w:noProof/>
          <w:color w:val="auto"/>
          <w:sz w:val="22"/>
          <w:szCs w:val="22"/>
        </w:rPr>
      </w:pPr>
      <w:hyperlink w:anchor="_Toc508972120" w:history="1">
        <w:r w:rsidR="009F079F" w:rsidRPr="00D31A39">
          <w:rPr>
            <w:rStyle w:val="Hyperlink"/>
            <w:noProof/>
          </w:rPr>
          <w:t>Figure C.49 Gippsland Basin petroleum fields, pipelines and production facilities. Oil and gas infrastructure from GA (2015a). Processing facilities from GA (2015b).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_Toc508972120 \h </w:instrText>
        </w:r>
        <w:r w:rsidR="009F079F">
          <w:rPr>
            <w:noProof/>
            <w:webHidden/>
          </w:rPr>
        </w:r>
        <w:r w:rsidR="009F079F">
          <w:rPr>
            <w:noProof/>
            <w:webHidden/>
          </w:rPr>
          <w:fldChar w:fldCharType="separate"/>
        </w:r>
        <w:r w:rsidR="00640CCB">
          <w:rPr>
            <w:noProof/>
            <w:webHidden/>
          </w:rPr>
          <w:t>196</w:t>
        </w:r>
        <w:r w:rsidR="009F079F">
          <w:rPr>
            <w:noProof/>
            <w:webHidden/>
          </w:rPr>
          <w:fldChar w:fldCharType="end"/>
        </w:r>
      </w:hyperlink>
    </w:p>
    <w:p w14:paraId="4522AE6D" w14:textId="31A33645" w:rsidR="009F079F" w:rsidRDefault="008079F1">
      <w:pPr>
        <w:pStyle w:val="TableofFigures"/>
        <w:rPr>
          <w:rFonts w:asciiTheme="minorHAnsi" w:eastAsiaTheme="minorEastAsia" w:hAnsiTheme="minorHAnsi" w:cstheme="minorBidi"/>
          <w:noProof/>
          <w:color w:val="auto"/>
          <w:sz w:val="22"/>
          <w:szCs w:val="22"/>
        </w:rPr>
      </w:pPr>
      <w:hyperlink w:anchor="_Toc508972121" w:history="1">
        <w:r w:rsidR="009F079F" w:rsidRPr="00D31A39">
          <w:rPr>
            <w:rStyle w:val="Hyperlink"/>
            <w:noProof/>
          </w:rPr>
          <w:t>Figure C.50 Hydrostratigraphy of the onshore Gippsland Basin (Source: Yates et al., 2015).</w:t>
        </w:r>
        <w:r w:rsidR="009F079F">
          <w:rPr>
            <w:noProof/>
            <w:webHidden/>
          </w:rPr>
          <w:tab/>
        </w:r>
        <w:r w:rsidR="009F079F">
          <w:rPr>
            <w:noProof/>
            <w:webHidden/>
          </w:rPr>
          <w:fldChar w:fldCharType="begin"/>
        </w:r>
        <w:r w:rsidR="009F079F">
          <w:rPr>
            <w:noProof/>
            <w:webHidden/>
          </w:rPr>
          <w:instrText xml:space="preserve"> PAGEREF _Toc508972121 \h </w:instrText>
        </w:r>
        <w:r w:rsidR="009F079F">
          <w:rPr>
            <w:noProof/>
            <w:webHidden/>
          </w:rPr>
        </w:r>
        <w:r w:rsidR="009F079F">
          <w:rPr>
            <w:noProof/>
            <w:webHidden/>
          </w:rPr>
          <w:fldChar w:fldCharType="separate"/>
        </w:r>
        <w:r w:rsidR="00640CCB">
          <w:rPr>
            <w:noProof/>
            <w:webHidden/>
          </w:rPr>
          <w:t>199</w:t>
        </w:r>
        <w:r w:rsidR="009F079F">
          <w:rPr>
            <w:noProof/>
            <w:webHidden/>
          </w:rPr>
          <w:fldChar w:fldCharType="end"/>
        </w:r>
      </w:hyperlink>
    </w:p>
    <w:p w14:paraId="5E8A6729" w14:textId="5D65C996" w:rsidR="009F079F" w:rsidRDefault="008079F1">
      <w:pPr>
        <w:pStyle w:val="TableofFigures"/>
        <w:rPr>
          <w:rFonts w:asciiTheme="minorHAnsi" w:eastAsiaTheme="minorEastAsia" w:hAnsiTheme="minorHAnsi" w:cstheme="minorBidi"/>
          <w:noProof/>
          <w:color w:val="auto"/>
          <w:sz w:val="22"/>
          <w:szCs w:val="22"/>
        </w:rPr>
      </w:pPr>
      <w:hyperlink w:anchor="_Toc508972122" w:history="1">
        <w:r w:rsidR="009F079F" w:rsidRPr="00D31A39">
          <w:rPr>
            <w:rStyle w:val="Hyperlink"/>
            <w:noProof/>
          </w:rPr>
          <w:t>Figure C.51 Location of Lake Glenmaggie on the Macalister River (VEWH 2017).</w:t>
        </w:r>
        <w:r w:rsidR="009F079F">
          <w:rPr>
            <w:noProof/>
            <w:webHidden/>
          </w:rPr>
          <w:tab/>
        </w:r>
        <w:r w:rsidR="009F079F">
          <w:rPr>
            <w:noProof/>
            <w:webHidden/>
          </w:rPr>
          <w:fldChar w:fldCharType="begin"/>
        </w:r>
        <w:r w:rsidR="009F079F">
          <w:rPr>
            <w:noProof/>
            <w:webHidden/>
          </w:rPr>
          <w:instrText xml:space="preserve"> PAGEREF _Toc508972122 \h </w:instrText>
        </w:r>
        <w:r w:rsidR="009F079F">
          <w:rPr>
            <w:noProof/>
            <w:webHidden/>
          </w:rPr>
        </w:r>
        <w:r w:rsidR="009F079F">
          <w:rPr>
            <w:noProof/>
            <w:webHidden/>
          </w:rPr>
          <w:fldChar w:fldCharType="separate"/>
        </w:r>
        <w:r w:rsidR="00640CCB">
          <w:rPr>
            <w:noProof/>
            <w:webHidden/>
          </w:rPr>
          <w:t>204</w:t>
        </w:r>
        <w:r w:rsidR="009F079F">
          <w:rPr>
            <w:noProof/>
            <w:webHidden/>
          </w:rPr>
          <w:fldChar w:fldCharType="end"/>
        </w:r>
      </w:hyperlink>
    </w:p>
    <w:p w14:paraId="7EA46862" w14:textId="24F35523" w:rsidR="009F079F" w:rsidRDefault="008079F1">
      <w:pPr>
        <w:pStyle w:val="TableofFigures"/>
        <w:rPr>
          <w:rFonts w:asciiTheme="minorHAnsi" w:eastAsiaTheme="minorEastAsia" w:hAnsiTheme="minorHAnsi" w:cstheme="minorBidi"/>
          <w:noProof/>
          <w:color w:val="auto"/>
          <w:sz w:val="22"/>
          <w:szCs w:val="22"/>
        </w:rPr>
      </w:pPr>
      <w:hyperlink w:anchor="_Toc508972123" w:history="1">
        <w:r w:rsidR="009F079F" w:rsidRPr="00D31A39">
          <w:rPr>
            <w:rStyle w:val="Hyperlink"/>
            <w:noProof/>
          </w:rPr>
          <w:t>Figure C.52 Location of the Isa Superbasin within the Mount Isa Province on a base map of 1:2 500 000 scale surface geology (Raymond et al., 2012). Province outlines from Stewart et al. (2013).  The Isa Superbasin outline remains poorly defined and the extent represented here is estimated from Betts and Lister (2001).</w:t>
        </w:r>
        <w:r w:rsidR="009F079F">
          <w:rPr>
            <w:noProof/>
            <w:webHidden/>
          </w:rPr>
          <w:tab/>
        </w:r>
        <w:r w:rsidR="009F079F">
          <w:rPr>
            <w:noProof/>
            <w:webHidden/>
          </w:rPr>
          <w:fldChar w:fldCharType="begin"/>
        </w:r>
        <w:r w:rsidR="009F079F">
          <w:rPr>
            <w:noProof/>
            <w:webHidden/>
          </w:rPr>
          <w:instrText xml:space="preserve"> PAGEREF _Toc508972123 \h </w:instrText>
        </w:r>
        <w:r w:rsidR="009F079F">
          <w:rPr>
            <w:noProof/>
            <w:webHidden/>
          </w:rPr>
        </w:r>
        <w:r w:rsidR="009F079F">
          <w:rPr>
            <w:noProof/>
            <w:webHidden/>
          </w:rPr>
          <w:fldChar w:fldCharType="separate"/>
        </w:r>
        <w:r w:rsidR="00640CCB">
          <w:rPr>
            <w:noProof/>
            <w:webHidden/>
          </w:rPr>
          <w:t>211</w:t>
        </w:r>
        <w:r w:rsidR="009F079F">
          <w:rPr>
            <w:noProof/>
            <w:webHidden/>
          </w:rPr>
          <w:fldChar w:fldCharType="end"/>
        </w:r>
      </w:hyperlink>
    </w:p>
    <w:p w14:paraId="0445654D" w14:textId="2615EACB" w:rsidR="009F079F" w:rsidRDefault="008079F1">
      <w:pPr>
        <w:pStyle w:val="TableofFigures"/>
        <w:rPr>
          <w:rFonts w:asciiTheme="minorHAnsi" w:eastAsiaTheme="minorEastAsia" w:hAnsiTheme="minorHAnsi" w:cstheme="minorBidi"/>
          <w:noProof/>
          <w:color w:val="auto"/>
          <w:sz w:val="22"/>
          <w:szCs w:val="22"/>
        </w:rPr>
      </w:pPr>
      <w:hyperlink w:anchor="_Toc508972124" w:history="1">
        <w:r w:rsidR="009F079F" w:rsidRPr="00D31A39">
          <w:rPr>
            <w:rStyle w:val="Hyperlink"/>
            <w:noProof/>
          </w:rPr>
          <w:t>Figure C.53 Geological map of western Mount Isa Province highlighting the distribution of major structural elements, including the preserved areas of Isa Superbasin (modified from Betts and Lister, 2001).</w:t>
        </w:r>
        <w:r w:rsidR="009F079F">
          <w:rPr>
            <w:noProof/>
            <w:webHidden/>
          </w:rPr>
          <w:tab/>
        </w:r>
        <w:r w:rsidR="009F079F">
          <w:rPr>
            <w:noProof/>
            <w:webHidden/>
          </w:rPr>
          <w:fldChar w:fldCharType="begin"/>
        </w:r>
        <w:r w:rsidR="009F079F">
          <w:rPr>
            <w:noProof/>
            <w:webHidden/>
          </w:rPr>
          <w:instrText xml:space="preserve"> PAGEREF _Toc508972124 \h </w:instrText>
        </w:r>
        <w:r w:rsidR="009F079F">
          <w:rPr>
            <w:noProof/>
            <w:webHidden/>
          </w:rPr>
        </w:r>
        <w:r w:rsidR="009F079F">
          <w:rPr>
            <w:noProof/>
            <w:webHidden/>
          </w:rPr>
          <w:fldChar w:fldCharType="separate"/>
        </w:r>
        <w:r w:rsidR="00640CCB">
          <w:rPr>
            <w:noProof/>
            <w:webHidden/>
          </w:rPr>
          <w:t>212</w:t>
        </w:r>
        <w:r w:rsidR="009F079F">
          <w:rPr>
            <w:noProof/>
            <w:webHidden/>
          </w:rPr>
          <w:fldChar w:fldCharType="end"/>
        </w:r>
      </w:hyperlink>
    </w:p>
    <w:p w14:paraId="754BEB73" w14:textId="31DD47BC" w:rsidR="009F079F" w:rsidRDefault="008079F1">
      <w:pPr>
        <w:pStyle w:val="TableofFigures"/>
        <w:rPr>
          <w:rFonts w:asciiTheme="minorHAnsi" w:eastAsiaTheme="minorEastAsia" w:hAnsiTheme="minorHAnsi" w:cstheme="minorBidi"/>
          <w:noProof/>
          <w:color w:val="auto"/>
          <w:sz w:val="22"/>
          <w:szCs w:val="22"/>
        </w:rPr>
      </w:pPr>
      <w:hyperlink w:anchor="_Toc508972125" w:history="1">
        <w:r w:rsidR="009F079F" w:rsidRPr="00D31A39">
          <w:rPr>
            <w:rStyle w:val="Hyperlink"/>
            <w:noProof/>
          </w:rPr>
          <w:t>Figure C.54 Stratigraphy of the Mount Isa Province for the interval 1800 Ma to 1575 Ma (from Gibson et al., 2016 after Southgate et al., 2013).</w:t>
        </w:r>
        <w:r w:rsidR="009F079F">
          <w:rPr>
            <w:noProof/>
            <w:webHidden/>
          </w:rPr>
          <w:tab/>
        </w:r>
        <w:r w:rsidR="009F079F">
          <w:rPr>
            <w:noProof/>
            <w:webHidden/>
          </w:rPr>
          <w:fldChar w:fldCharType="begin"/>
        </w:r>
        <w:r w:rsidR="009F079F">
          <w:rPr>
            <w:noProof/>
            <w:webHidden/>
          </w:rPr>
          <w:instrText xml:space="preserve"> PAGEREF _Toc508972125 \h </w:instrText>
        </w:r>
        <w:r w:rsidR="009F079F">
          <w:rPr>
            <w:noProof/>
            <w:webHidden/>
          </w:rPr>
        </w:r>
        <w:r w:rsidR="009F079F">
          <w:rPr>
            <w:noProof/>
            <w:webHidden/>
          </w:rPr>
          <w:fldChar w:fldCharType="separate"/>
        </w:r>
        <w:r w:rsidR="00640CCB">
          <w:rPr>
            <w:noProof/>
            <w:webHidden/>
          </w:rPr>
          <w:t>213</w:t>
        </w:r>
        <w:r w:rsidR="009F079F">
          <w:rPr>
            <w:noProof/>
            <w:webHidden/>
          </w:rPr>
          <w:fldChar w:fldCharType="end"/>
        </w:r>
      </w:hyperlink>
    </w:p>
    <w:p w14:paraId="7C94889E" w14:textId="1115D6E9" w:rsidR="009F079F" w:rsidRDefault="008079F1">
      <w:pPr>
        <w:pStyle w:val="TableofFigures"/>
        <w:rPr>
          <w:rFonts w:asciiTheme="minorHAnsi" w:eastAsiaTheme="minorEastAsia" w:hAnsiTheme="minorHAnsi" w:cstheme="minorBidi"/>
          <w:noProof/>
          <w:color w:val="auto"/>
          <w:sz w:val="22"/>
          <w:szCs w:val="22"/>
        </w:rPr>
      </w:pPr>
      <w:hyperlink w:anchor="_Toc508972126" w:history="1">
        <w:r w:rsidR="009F079F" w:rsidRPr="00D31A39">
          <w:rPr>
            <w:rStyle w:val="Hyperlink"/>
            <w:noProof/>
          </w:rPr>
          <w:t>Figure C.55 Location of 2D seismic reflection lines, petroleum exploration wells and stratigraphic drill holes in the Mount Isa Province. Mount Isa Province outline from Stewart et al. (2013). Petroleum wells from NTGS (2017a) and DNRME (2017a). Seismic data from DNRME (b-d) and NTGS (2017b). Black line shows location of seismic line 89BN-6 in Figure C.56.</w:t>
        </w:r>
        <w:r w:rsidR="009F079F">
          <w:rPr>
            <w:noProof/>
            <w:webHidden/>
          </w:rPr>
          <w:tab/>
        </w:r>
        <w:r w:rsidR="009F079F">
          <w:rPr>
            <w:noProof/>
            <w:webHidden/>
          </w:rPr>
          <w:fldChar w:fldCharType="begin"/>
        </w:r>
        <w:r w:rsidR="009F079F">
          <w:rPr>
            <w:noProof/>
            <w:webHidden/>
          </w:rPr>
          <w:instrText xml:space="preserve"> PAGEREF _Toc508972126 \h </w:instrText>
        </w:r>
        <w:r w:rsidR="009F079F">
          <w:rPr>
            <w:noProof/>
            <w:webHidden/>
          </w:rPr>
        </w:r>
        <w:r w:rsidR="009F079F">
          <w:rPr>
            <w:noProof/>
            <w:webHidden/>
          </w:rPr>
          <w:fldChar w:fldCharType="separate"/>
        </w:r>
        <w:r w:rsidR="00640CCB">
          <w:rPr>
            <w:noProof/>
            <w:webHidden/>
          </w:rPr>
          <w:t>214</w:t>
        </w:r>
        <w:r w:rsidR="009F079F">
          <w:rPr>
            <w:noProof/>
            <w:webHidden/>
          </w:rPr>
          <w:fldChar w:fldCharType="end"/>
        </w:r>
      </w:hyperlink>
    </w:p>
    <w:p w14:paraId="694A208A" w14:textId="0DE2536F" w:rsidR="009F079F" w:rsidRDefault="008079F1">
      <w:pPr>
        <w:pStyle w:val="TableofFigures"/>
        <w:rPr>
          <w:rFonts w:asciiTheme="minorHAnsi" w:eastAsiaTheme="minorEastAsia" w:hAnsiTheme="minorHAnsi" w:cstheme="minorBidi"/>
          <w:noProof/>
          <w:color w:val="auto"/>
          <w:sz w:val="22"/>
          <w:szCs w:val="22"/>
        </w:rPr>
      </w:pPr>
      <w:hyperlink w:anchor="_Toc508972127" w:history="1">
        <w:r w:rsidR="009F079F" w:rsidRPr="00D31A39">
          <w:rPr>
            <w:rStyle w:val="Hyperlink"/>
            <w:noProof/>
          </w:rPr>
          <w:t>Figure C.56 Interpreted seismic section of line 89BN-6 showing the conventional and shale gas plays in the Isa Superbasin (modified from de Weijer, 2015). Location of the seismic line is shown in Figure C.55</w:t>
        </w:r>
        <w:r w:rsidR="009F079F">
          <w:rPr>
            <w:noProof/>
            <w:webHidden/>
          </w:rPr>
          <w:tab/>
        </w:r>
        <w:r w:rsidR="009F079F">
          <w:rPr>
            <w:noProof/>
            <w:webHidden/>
          </w:rPr>
          <w:fldChar w:fldCharType="begin"/>
        </w:r>
        <w:r w:rsidR="009F079F">
          <w:rPr>
            <w:noProof/>
            <w:webHidden/>
          </w:rPr>
          <w:instrText xml:space="preserve"> PAGEREF _Toc508972127 \h </w:instrText>
        </w:r>
        <w:r w:rsidR="009F079F">
          <w:rPr>
            <w:noProof/>
            <w:webHidden/>
          </w:rPr>
        </w:r>
        <w:r w:rsidR="009F079F">
          <w:rPr>
            <w:noProof/>
            <w:webHidden/>
          </w:rPr>
          <w:fldChar w:fldCharType="separate"/>
        </w:r>
        <w:r w:rsidR="00640CCB">
          <w:rPr>
            <w:noProof/>
            <w:webHidden/>
          </w:rPr>
          <w:t>215</w:t>
        </w:r>
        <w:r w:rsidR="009F079F">
          <w:rPr>
            <w:noProof/>
            <w:webHidden/>
          </w:rPr>
          <w:fldChar w:fldCharType="end"/>
        </w:r>
      </w:hyperlink>
    </w:p>
    <w:p w14:paraId="5BCF33CF" w14:textId="3EA771F0" w:rsidR="009F079F" w:rsidRDefault="008079F1">
      <w:pPr>
        <w:pStyle w:val="TableofFigures"/>
        <w:rPr>
          <w:rFonts w:asciiTheme="minorHAnsi" w:eastAsiaTheme="minorEastAsia" w:hAnsiTheme="minorHAnsi" w:cstheme="minorBidi"/>
          <w:noProof/>
          <w:color w:val="auto"/>
          <w:sz w:val="22"/>
          <w:szCs w:val="22"/>
        </w:rPr>
      </w:pPr>
      <w:hyperlink w:anchor="_Toc508972128" w:history="1">
        <w:r w:rsidR="009F079F" w:rsidRPr="00D31A39">
          <w:rPr>
            <w:rStyle w:val="Hyperlink"/>
            <w:noProof/>
          </w:rPr>
          <w:t>Figure C.57 Wells targeting shale gas plays and approximate play extents in the Isa Superbasin from DNRM (2017). The Isa Superbasin outline is derived from Betts and Lister (2001).</w:t>
        </w:r>
        <w:r w:rsidR="009F079F">
          <w:rPr>
            <w:noProof/>
            <w:webHidden/>
          </w:rPr>
          <w:tab/>
        </w:r>
        <w:r w:rsidR="009F079F">
          <w:rPr>
            <w:noProof/>
            <w:webHidden/>
          </w:rPr>
          <w:fldChar w:fldCharType="begin"/>
        </w:r>
        <w:r w:rsidR="009F079F">
          <w:rPr>
            <w:noProof/>
            <w:webHidden/>
          </w:rPr>
          <w:instrText xml:space="preserve"> PAGEREF _Toc508972128 \h </w:instrText>
        </w:r>
        <w:r w:rsidR="009F079F">
          <w:rPr>
            <w:noProof/>
            <w:webHidden/>
          </w:rPr>
        </w:r>
        <w:r w:rsidR="009F079F">
          <w:rPr>
            <w:noProof/>
            <w:webHidden/>
          </w:rPr>
          <w:fldChar w:fldCharType="separate"/>
        </w:r>
        <w:r w:rsidR="00640CCB">
          <w:rPr>
            <w:noProof/>
            <w:webHidden/>
          </w:rPr>
          <w:t>216</w:t>
        </w:r>
        <w:r w:rsidR="009F079F">
          <w:rPr>
            <w:noProof/>
            <w:webHidden/>
          </w:rPr>
          <w:fldChar w:fldCharType="end"/>
        </w:r>
      </w:hyperlink>
    </w:p>
    <w:p w14:paraId="370378B2" w14:textId="38CAC8E6" w:rsidR="009F079F" w:rsidRDefault="008079F1">
      <w:pPr>
        <w:pStyle w:val="TableofFigures"/>
        <w:rPr>
          <w:rFonts w:asciiTheme="minorHAnsi" w:eastAsiaTheme="minorEastAsia" w:hAnsiTheme="minorHAnsi" w:cstheme="minorBidi"/>
          <w:noProof/>
          <w:color w:val="auto"/>
          <w:sz w:val="22"/>
          <w:szCs w:val="22"/>
        </w:rPr>
      </w:pPr>
      <w:hyperlink w:anchor="_Toc508972129" w:history="1">
        <w:r w:rsidR="009F079F" w:rsidRPr="00D31A39">
          <w:rPr>
            <w:rStyle w:val="Hyperlink"/>
            <w:noProof/>
          </w:rPr>
          <w:t>Figure C.58 Isa Superbasin infrastructure and pipelines. Oil and gas infrastructure from GA (2015a). Processing facilities from GA (2015b).</w:t>
        </w:r>
        <w:r w:rsidR="009F079F">
          <w:rPr>
            <w:noProof/>
            <w:webHidden/>
          </w:rPr>
          <w:tab/>
        </w:r>
        <w:r w:rsidR="009F079F">
          <w:rPr>
            <w:noProof/>
            <w:webHidden/>
          </w:rPr>
          <w:fldChar w:fldCharType="begin"/>
        </w:r>
        <w:r w:rsidR="009F079F">
          <w:rPr>
            <w:noProof/>
            <w:webHidden/>
          </w:rPr>
          <w:instrText xml:space="preserve"> PAGEREF _Toc508972129 \h </w:instrText>
        </w:r>
        <w:r w:rsidR="009F079F">
          <w:rPr>
            <w:noProof/>
            <w:webHidden/>
          </w:rPr>
        </w:r>
        <w:r w:rsidR="009F079F">
          <w:rPr>
            <w:noProof/>
            <w:webHidden/>
          </w:rPr>
          <w:fldChar w:fldCharType="separate"/>
        </w:r>
        <w:r w:rsidR="00640CCB">
          <w:rPr>
            <w:noProof/>
            <w:webHidden/>
          </w:rPr>
          <w:t>219</w:t>
        </w:r>
        <w:r w:rsidR="009F079F">
          <w:rPr>
            <w:noProof/>
            <w:webHidden/>
          </w:rPr>
          <w:fldChar w:fldCharType="end"/>
        </w:r>
      </w:hyperlink>
    </w:p>
    <w:p w14:paraId="1B3A1F1B" w14:textId="5689E8AF" w:rsidR="009F079F" w:rsidRDefault="008079F1">
      <w:pPr>
        <w:pStyle w:val="TableofFigures"/>
        <w:rPr>
          <w:rFonts w:asciiTheme="minorHAnsi" w:eastAsiaTheme="minorEastAsia" w:hAnsiTheme="minorHAnsi" w:cstheme="minorBidi"/>
          <w:noProof/>
          <w:color w:val="auto"/>
          <w:sz w:val="22"/>
          <w:szCs w:val="22"/>
        </w:rPr>
      </w:pPr>
      <w:hyperlink w:anchor="_Toc508972130" w:history="1">
        <w:r w:rsidR="009F079F" w:rsidRPr="00D31A39">
          <w:rPr>
            <w:rStyle w:val="Hyperlink"/>
            <w:noProof/>
          </w:rPr>
          <w:t>Figure C.59 Location of the Mount Isa Province and the overlying Eromanga, Carpentaria and Georgina Basins. Data from Geoscience Australia: Australian Geological Provinces (Stewart et al., 2013). The Isa Superbasin outline is derived from Betts and Lister (2001).</w:t>
        </w:r>
        <w:r w:rsidR="009F079F">
          <w:rPr>
            <w:noProof/>
            <w:webHidden/>
          </w:rPr>
          <w:tab/>
        </w:r>
        <w:r w:rsidR="009F079F">
          <w:rPr>
            <w:noProof/>
            <w:webHidden/>
          </w:rPr>
          <w:fldChar w:fldCharType="begin"/>
        </w:r>
        <w:r w:rsidR="009F079F">
          <w:rPr>
            <w:noProof/>
            <w:webHidden/>
          </w:rPr>
          <w:instrText xml:space="preserve"> PAGEREF _Toc508972130 \h </w:instrText>
        </w:r>
        <w:r w:rsidR="009F079F">
          <w:rPr>
            <w:noProof/>
            <w:webHidden/>
          </w:rPr>
        </w:r>
        <w:r w:rsidR="009F079F">
          <w:rPr>
            <w:noProof/>
            <w:webHidden/>
          </w:rPr>
          <w:fldChar w:fldCharType="separate"/>
        </w:r>
        <w:r w:rsidR="00640CCB">
          <w:rPr>
            <w:noProof/>
            <w:webHidden/>
          </w:rPr>
          <w:t>221</w:t>
        </w:r>
        <w:r w:rsidR="009F079F">
          <w:rPr>
            <w:noProof/>
            <w:webHidden/>
          </w:rPr>
          <w:fldChar w:fldCharType="end"/>
        </w:r>
      </w:hyperlink>
    </w:p>
    <w:p w14:paraId="1FC80B81" w14:textId="03B06635" w:rsidR="009F079F" w:rsidRDefault="008079F1">
      <w:pPr>
        <w:pStyle w:val="TableofFigures"/>
        <w:rPr>
          <w:rFonts w:asciiTheme="minorHAnsi" w:eastAsiaTheme="minorEastAsia" w:hAnsiTheme="minorHAnsi" w:cstheme="minorBidi"/>
          <w:noProof/>
          <w:color w:val="auto"/>
          <w:sz w:val="22"/>
          <w:szCs w:val="22"/>
        </w:rPr>
      </w:pPr>
      <w:hyperlink w:anchor="_Toc508972131" w:history="1">
        <w:r w:rsidR="009F079F" w:rsidRPr="00D31A39">
          <w:rPr>
            <w:rStyle w:val="Hyperlink"/>
            <w:noProof/>
          </w:rPr>
          <w:t>Figure C.60 Hydrostratrigraphy of the Eromanga Basin (adapted from Ransley et al., 2015).</w:t>
        </w:r>
        <w:r w:rsidR="009F079F">
          <w:rPr>
            <w:noProof/>
            <w:webHidden/>
          </w:rPr>
          <w:tab/>
        </w:r>
        <w:r w:rsidR="009F079F">
          <w:rPr>
            <w:noProof/>
            <w:webHidden/>
          </w:rPr>
          <w:fldChar w:fldCharType="begin"/>
        </w:r>
        <w:r w:rsidR="009F079F">
          <w:rPr>
            <w:noProof/>
            <w:webHidden/>
          </w:rPr>
          <w:instrText xml:space="preserve"> PAGEREF _Toc508972131 \h </w:instrText>
        </w:r>
        <w:r w:rsidR="009F079F">
          <w:rPr>
            <w:noProof/>
            <w:webHidden/>
          </w:rPr>
        </w:r>
        <w:r w:rsidR="009F079F">
          <w:rPr>
            <w:noProof/>
            <w:webHidden/>
          </w:rPr>
          <w:fldChar w:fldCharType="separate"/>
        </w:r>
        <w:r w:rsidR="00640CCB">
          <w:rPr>
            <w:noProof/>
            <w:webHidden/>
          </w:rPr>
          <w:t>222</w:t>
        </w:r>
        <w:r w:rsidR="009F079F">
          <w:rPr>
            <w:noProof/>
            <w:webHidden/>
          </w:rPr>
          <w:fldChar w:fldCharType="end"/>
        </w:r>
      </w:hyperlink>
    </w:p>
    <w:p w14:paraId="586E0C48" w14:textId="214DB08F" w:rsidR="009F079F" w:rsidRDefault="008079F1">
      <w:pPr>
        <w:pStyle w:val="TableofFigures"/>
        <w:rPr>
          <w:rFonts w:asciiTheme="minorHAnsi" w:eastAsiaTheme="minorEastAsia" w:hAnsiTheme="minorHAnsi" w:cstheme="minorBidi"/>
          <w:noProof/>
          <w:color w:val="auto"/>
          <w:sz w:val="22"/>
          <w:szCs w:val="22"/>
        </w:rPr>
      </w:pPr>
      <w:hyperlink w:anchor="_Toc508972132" w:history="1">
        <w:r w:rsidR="009F079F" w:rsidRPr="00D31A39">
          <w:rPr>
            <w:rStyle w:val="Hyperlink"/>
            <w:noProof/>
          </w:rPr>
          <w:t>Figure C.61 Groundwater flow in the Great Artesian Basin (adapted from Ransley et. al., 2015).</w:t>
        </w:r>
        <w:r w:rsidR="009F079F">
          <w:rPr>
            <w:noProof/>
            <w:webHidden/>
          </w:rPr>
          <w:tab/>
        </w:r>
        <w:r w:rsidR="009F079F">
          <w:rPr>
            <w:noProof/>
            <w:webHidden/>
          </w:rPr>
          <w:fldChar w:fldCharType="begin"/>
        </w:r>
        <w:r w:rsidR="009F079F">
          <w:rPr>
            <w:noProof/>
            <w:webHidden/>
          </w:rPr>
          <w:instrText xml:space="preserve"> PAGEREF _Toc508972132 \h </w:instrText>
        </w:r>
        <w:r w:rsidR="009F079F">
          <w:rPr>
            <w:noProof/>
            <w:webHidden/>
          </w:rPr>
        </w:r>
        <w:r w:rsidR="009F079F">
          <w:rPr>
            <w:noProof/>
            <w:webHidden/>
          </w:rPr>
          <w:fldChar w:fldCharType="separate"/>
        </w:r>
        <w:r w:rsidR="00640CCB">
          <w:rPr>
            <w:noProof/>
            <w:webHidden/>
          </w:rPr>
          <w:t>225</w:t>
        </w:r>
        <w:r w:rsidR="009F079F">
          <w:rPr>
            <w:noProof/>
            <w:webHidden/>
          </w:rPr>
          <w:fldChar w:fldCharType="end"/>
        </w:r>
      </w:hyperlink>
    </w:p>
    <w:p w14:paraId="10DA1DBF" w14:textId="3C7B255B" w:rsidR="009F079F" w:rsidRDefault="008079F1">
      <w:pPr>
        <w:pStyle w:val="TableofFigures"/>
        <w:rPr>
          <w:rFonts w:asciiTheme="minorHAnsi" w:eastAsiaTheme="minorEastAsia" w:hAnsiTheme="minorHAnsi" w:cstheme="minorBidi"/>
          <w:noProof/>
          <w:color w:val="auto"/>
          <w:sz w:val="22"/>
          <w:szCs w:val="22"/>
        </w:rPr>
      </w:pPr>
      <w:hyperlink w:anchor="_Toc508972133" w:history="1">
        <w:r w:rsidR="009F079F" w:rsidRPr="00D31A39">
          <w:rPr>
            <w:rStyle w:val="Hyperlink"/>
            <w:noProof/>
          </w:rPr>
          <w:t>Figure C.62 Composite potentiometric surface for all aquifers in the in the southeastern Georgina Basin (adapted from Randal, 1978)</w:t>
        </w:r>
        <w:r w:rsidR="009F079F">
          <w:rPr>
            <w:noProof/>
            <w:webHidden/>
          </w:rPr>
          <w:tab/>
        </w:r>
        <w:r w:rsidR="009F079F">
          <w:rPr>
            <w:noProof/>
            <w:webHidden/>
          </w:rPr>
          <w:fldChar w:fldCharType="begin"/>
        </w:r>
        <w:r w:rsidR="009F079F">
          <w:rPr>
            <w:noProof/>
            <w:webHidden/>
          </w:rPr>
          <w:instrText xml:space="preserve"> PAGEREF _Toc508972133 \h </w:instrText>
        </w:r>
        <w:r w:rsidR="009F079F">
          <w:rPr>
            <w:noProof/>
            <w:webHidden/>
          </w:rPr>
        </w:r>
        <w:r w:rsidR="009F079F">
          <w:rPr>
            <w:noProof/>
            <w:webHidden/>
          </w:rPr>
          <w:fldChar w:fldCharType="separate"/>
        </w:r>
        <w:r w:rsidR="00640CCB">
          <w:rPr>
            <w:noProof/>
            <w:webHidden/>
          </w:rPr>
          <w:t>226</w:t>
        </w:r>
        <w:r w:rsidR="009F079F">
          <w:rPr>
            <w:noProof/>
            <w:webHidden/>
          </w:rPr>
          <w:fldChar w:fldCharType="end"/>
        </w:r>
      </w:hyperlink>
    </w:p>
    <w:p w14:paraId="1AB3D7F8" w14:textId="5B54F1DE" w:rsidR="009F079F" w:rsidRDefault="008079F1">
      <w:pPr>
        <w:pStyle w:val="TableofFigures"/>
        <w:rPr>
          <w:rFonts w:asciiTheme="minorHAnsi" w:eastAsiaTheme="minorEastAsia" w:hAnsiTheme="minorHAnsi" w:cstheme="minorBidi"/>
          <w:noProof/>
          <w:color w:val="auto"/>
          <w:sz w:val="22"/>
          <w:szCs w:val="22"/>
        </w:rPr>
      </w:pPr>
      <w:hyperlink w:anchor="_Toc508972134" w:history="1">
        <w:r w:rsidR="009F079F" w:rsidRPr="00D31A39">
          <w:rPr>
            <w:rStyle w:val="Hyperlink"/>
            <w:noProof/>
          </w:rPr>
          <w:t>Figure C.63 Location of the McArthur Basin and Beetaloo Sub-basin on a base map of surface geology from Carr et al. (2016). Surface geology is from the 1:1,000,000 scale geology map of Australia (Raymond, 2009); McArthur Basin outline from Stewart et al. (2013) (McArthur) and Beetaloo Sub-basin outline from Silverman et al. (2007).</w:t>
        </w:r>
        <w:r w:rsidR="009F079F">
          <w:rPr>
            <w:noProof/>
            <w:webHidden/>
          </w:rPr>
          <w:tab/>
        </w:r>
        <w:r w:rsidR="009F079F">
          <w:rPr>
            <w:noProof/>
            <w:webHidden/>
          </w:rPr>
          <w:fldChar w:fldCharType="begin"/>
        </w:r>
        <w:r w:rsidR="009F079F">
          <w:rPr>
            <w:noProof/>
            <w:webHidden/>
          </w:rPr>
          <w:instrText xml:space="preserve"> PAGEREF _Toc508972134 \h </w:instrText>
        </w:r>
        <w:r w:rsidR="009F079F">
          <w:rPr>
            <w:noProof/>
            <w:webHidden/>
          </w:rPr>
        </w:r>
        <w:r w:rsidR="009F079F">
          <w:rPr>
            <w:noProof/>
            <w:webHidden/>
          </w:rPr>
          <w:fldChar w:fldCharType="separate"/>
        </w:r>
        <w:r w:rsidR="00640CCB">
          <w:rPr>
            <w:noProof/>
            <w:webHidden/>
          </w:rPr>
          <w:t>239</w:t>
        </w:r>
        <w:r w:rsidR="009F079F">
          <w:rPr>
            <w:noProof/>
            <w:webHidden/>
          </w:rPr>
          <w:fldChar w:fldCharType="end"/>
        </w:r>
      </w:hyperlink>
    </w:p>
    <w:p w14:paraId="007105B0" w14:textId="64CFBB5F" w:rsidR="009F079F" w:rsidRDefault="008079F1">
      <w:pPr>
        <w:pStyle w:val="TableofFigures"/>
        <w:rPr>
          <w:rFonts w:asciiTheme="minorHAnsi" w:eastAsiaTheme="minorEastAsia" w:hAnsiTheme="minorHAnsi" w:cstheme="minorBidi"/>
          <w:noProof/>
          <w:color w:val="auto"/>
          <w:sz w:val="22"/>
          <w:szCs w:val="22"/>
        </w:rPr>
      </w:pPr>
      <w:hyperlink w:anchor="_Toc508972135" w:history="1">
        <w:r w:rsidR="009F079F" w:rsidRPr="00D31A39">
          <w:rPr>
            <w:rStyle w:val="Hyperlink"/>
            <w:noProof/>
          </w:rPr>
          <w:t>Figure C.64 Stratigraphy of the McArthur Basin from Carr et al. (2016). Correlations of stratigraphic units are based on Rawlings (1999) and Munson. (2014). Also shown is the subdivision of the basin into non-genetic packages (Rawlings, 1999) or superbasins (Jackson et al., 2000), source rock and reservoir units, and petroleum shows (after Munson, 2014).</w:t>
        </w:r>
        <w:r w:rsidR="009F079F">
          <w:rPr>
            <w:noProof/>
            <w:webHidden/>
          </w:rPr>
          <w:tab/>
        </w:r>
        <w:r w:rsidR="009F079F">
          <w:rPr>
            <w:noProof/>
            <w:webHidden/>
          </w:rPr>
          <w:fldChar w:fldCharType="begin"/>
        </w:r>
        <w:r w:rsidR="009F079F">
          <w:rPr>
            <w:noProof/>
            <w:webHidden/>
          </w:rPr>
          <w:instrText xml:space="preserve"> PAGEREF _Toc508972135 \h </w:instrText>
        </w:r>
        <w:r w:rsidR="009F079F">
          <w:rPr>
            <w:noProof/>
            <w:webHidden/>
          </w:rPr>
        </w:r>
        <w:r w:rsidR="009F079F">
          <w:rPr>
            <w:noProof/>
            <w:webHidden/>
          </w:rPr>
          <w:fldChar w:fldCharType="separate"/>
        </w:r>
        <w:r w:rsidR="00640CCB">
          <w:rPr>
            <w:noProof/>
            <w:webHidden/>
          </w:rPr>
          <w:t>240</w:t>
        </w:r>
        <w:r w:rsidR="009F079F">
          <w:rPr>
            <w:noProof/>
            <w:webHidden/>
          </w:rPr>
          <w:fldChar w:fldCharType="end"/>
        </w:r>
      </w:hyperlink>
    </w:p>
    <w:p w14:paraId="0AF3D415" w14:textId="105410AB" w:rsidR="009F079F" w:rsidRDefault="008079F1">
      <w:pPr>
        <w:pStyle w:val="TableofFigures"/>
        <w:rPr>
          <w:rFonts w:asciiTheme="minorHAnsi" w:eastAsiaTheme="minorEastAsia" w:hAnsiTheme="minorHAnsi" w:cstheme="minorBidi"/>
          <w:noProof/>
          <w:color w:val="auto"/>
          <w:sz w:val="22"/>
          <w:szCs w:val="22"/>
        </w:rPr>
      </w:pPr>
      <w:hyperlink w:anchor="_Toc508972136" w:history="1">
        <w:r w:rsidR="009F079F" w:rsidRPr="00D31A39">
          <w:rPr>
            <w:rStyle w:val="Hyperlink"/>
            <w:noProof/>
          </w:rPr>
          <w:t>Figure C.65 McArthur Basin petroleum exploration wells and 2D seismic data coverage. McArthur Basin outline from Stewart et al. (2013). Beetaloo Sub-basin outline from Revie (2017a). Petroleum wells from DNRME (2017a) and NTGS (2017a). Seismic data from DNRME (2017b-d) and NTGS (2017b).</w:t>
        </w:r>
        <w:r w:rsidR="009F079F">
          <w:rPr>
            <w:noProof/>
            <w:webHidden/>
          </w:rPr>
          <w:tab/>
        </w:r>
        <w:r w:rsidR="009F079F">
          <w:rPr>
            <w:noProof/>
            <w:webHidden/>
          </w:rPr>
          <w:fldChar w:fldCharType="begin"/>
        </w:r>
        <w:r w:rsidR="009F079F">
          <w:rPr>
            <w:noProof/>
            <w:webHidden/>
          </w:rPr>
          <w:instrText xml:space="preserve"> PAGEREF _Toc508972136 \h </w:instrText>
        </w:r>
        <w:r w:rsidR="009F079F">
          <w:rPr>
            <w:noProof/>
            <w:webHidden/>
          </w:rPr>
        </w:r>
        <w:r w:rsidR="009F079F">
          <w:rPr>
            <w:noProof/>
            <w:webHidden/>
          </w:rPr>
          <w:fldChar w:fldCharType="separate"/>
        </w:r>
        <w:r w:rsidR="00640CCB">
          <w:rPr>
            <w:noProof/>
            <w:webHidden/>
          </w:rPr>
          <w:t>242</w:t>
        </w:r>
        <w:r w:rsidR="009F079F">
          <w:rPr>
            <w:noProof/>
            <w:webHidden/>
          </w:rPr>
          <w:fldChar w:fldCharType="end"/>
        </w:r>
      </w:hyperlink>
    </w:p>
    <w:p w14:paraId="471BE460" w14:textId="04102BD8" w:rsidR="009F079F" w:rsidRDefault="008079F1">
      <w:pPr>
        <w:pStyle w:val="TableofFigures"/>
        <w:rPr>
          <w:rFonts w:asciiTheme="minorHAnsi" w:eastAsiaTheme="minorEastAsia" w:hAnsiTheme="minorHAnsi" w:cstheme="minorBidi"/>
          <w:noProof/>
          <w:color w:val="auto"/>
          <w:sz w:val="22"/>
          <w:szCs w:val="22"/>
        </w:rPr>
      </w:pPr>
      <w:hyperlink w:anchor="_Toc508972137" w:history="1">
        <w:r w:rsidR="009F079F" w:rsidRPr="00D31A39">
          <w:rPr>
            <w:rStyle w:val="Hyperlink"/>
            <w:noProof/>
          </w:rPr>
          <w:t>Figure C.66 Wells targeting shale or tight gas plays. McArthur Basin outline from Stewart et al. (2013). Beetaloo Sub-basin outline from Revie (2017a). Approximate areas within which key prospective shales are likely to be present sourced from Bruna and Dhu (2015), Revie (2017a).</w:t>
        </w:r>
        <w:r w:rsidR="009F079F">
          <w:rPr>
            <w:noProof/>
            <w:webHidden/>
          </w:rPr>
          <w:tab/>
        </w:r>
        <w:r w:rsidR="009F079F">
          <w:rPr>
            <w:noProof/>
            <w:webHidden/>
          </w:rPr>
          <w:fldChar w:fldCharType="begin"/>
        </w:r>
        <w:r w:rsidR="009F079F">
          <w:rPr>
            <w:noProof/>
            <w:webHidden/>
          </w:rPr>
          <w:instrText xml:space="preserve"> PAGEREF _Toc508972137 \h </w:instrText>
        </w:r>
        <w:r w:rsidR="009F079F">
          <w:rPr>
            <w:noProof/>
            <w:webHidden/>
          </w:rPr>
        </w:r>
        <w:r w:rsidR="009F079F">
          <w:rPr>
            <w:noProof/>
            <w:webHidden/>
          </w:rPr>
          <w:fldChar w:fldCharType="separate"/>
        </w:r>
        <w:r w:rsidR="00640CCB">
          <w:rPr>
            <w:noProof/>
            <w:webHidden/>
          </w:rPr>
          <w:t>244</w:t>
        </w:r>
        <w:r w:rsidR="009F079F">
          <w:rPr>
            <w:noProof/>
            <w:webHidden/>
          </w:rPr>
          <w:fldChar w:fldCharType="end"/>
        </w:r>
      </w:hyperlink>
    </w:p>
    <w:p w14:paraId="14150571" w14:textId="7B6EA806" w:rsidR="009F079F" w:rsidRDefault="008079F1">
      <w:pPr>
        <w:pStyle w:val="TableofFigures"/>
        <w:rPr>
          <w:rFonts w:asciiTheme="minorHAnsi" w:eastAsiaTheme="minorEastAsia" w:hAnsiTheme="minorHAnsi" w:cstheme="minorBidi"/>
          <w:noProof/>
          <w:color w:val="auto"/>
          <w:sz w:val="22"/>
          <w:szCs w:val="22"/>
        </w:rPr>
      </w:pPr>
      <w:hyperlink w:anchor="_Toc508972138" w:history="1">
        <w:r w:rsidR="009F079F" w:rsidRPr="00D31A39">
          <w:rPr>
            <w:rStyle w:val="Hyperlink"/>
            <w:noProof/>
          </w:rPr>
          <w:t>Figure C.67 McArthur Basin infrastructure, pipelines and production facilities. McArthur Basin outline from Stewart et al. (2013). Beetaloo Sub-basin outline from Revie (2017a). Oil and gas infrastructure from GA (2015a). Processing facilities from GA (2015b).</w:t>
        </w:r>
        <w:r w:rsidR="009F079F">
          <w:rPr>
            <w:noProof/>
            <w:webHidden/>
          </w:rPr>
          <w:tab/>
        </w:r>
        <w:r w:rsidR="009F079F">
          <w:rPr>
            <w:noProof/>
            <w:webHidden/>
          </w:rPr>
          <w:fldChar w:fldCharType="begin"/>
        </w:r>
        <w:r w:rsidR="009F079F">
          <w:rPr>
            <w:noProof/>
            <w:webHidden/>
          </w:rPr>
          <w:instrText xml:space="preserve"> PAGEREF _Toc508972138 \h </w:instrText>
        </w:r>
        <w:r w:rsidR="009F079F">
          <w:rPr>
            <w:noProof/>
            <w:webHidden/>
          </w:rPr>
        </w:r>
        <w:r w:rsidR="009F079F">
          <w:rPr>
            <w:noProof/>
            <w:webHidden/>
          </w:rPr>
          <w:fldChar w:fldCharType="separate"/>
        </w:r>
        <w:r w:rsidR="00640CCB">
          <w:rPr>
            <w:noProof/>
            <w:webHidden/>
          </w:rPr>
          <w:t>246</w:t>
        </w:r>
        <w:r w:rsidR="009F079F">
          <w:rPr>
            <w:noProof/>
            <w:webHidden/>
          </w:rPr>
          <w:fldChar w:fldCharType="end"/>
        </w:r>
      </w:hyperlink>
    </w:p>
    <w:p w14:paraId="057E71A8" w14:textId="5F30F4F9" w:rsidR="009F079F" w:rsidRDefault="008079F1">
      <w:pPr>
        <w:pStyle w:val="TableofFigures"/>
        <w:rPr>
          <w:rFonts w:asciiTheme="minorHAnsi" w:eastAsiaTheme="minorEastAsia" w:hAnsiTheme="minorHAnsi" w:cstheme="minorBidi"/>
          <w:noProof/>
          <w:color w:val="auto"/>
          <w:sz w:val="22"/>
          <w:szCs w:val="22"/>
        </w:rPr>
      </w:pPr>
      <w:hyperlink w:anchor="_Toc508972139" w:history="1">
        <w:r w:rsidR="009F079F" w:rsidRPr="00D31A39">
          <w:rPr>
            <w:rStyle w:val="Hyperlink"/>
            <w:noProof/>
          </w:rPr>
          <w:t>Figure C.68 Location of major aquifers (Cambrian limestones and Mesoproterozoic dolostones) underlying the Roper River catchment and surrounding areas, which overlie a significant area of the McArthur Basin (source: Knapton, 2009a).</w:t>
        </w:r>
        <w:r w:rsidR="009F079F">
          <w:rPr>
            <w:noProof/>
            <w:webHidden/>
          </w:rPr>
          <w:tab/>
        </w:r>
        <w:r w:rsidR="009F079F">
          <w:rPr>
            <w:noProof/>
            <w:webHidden/>
          </w:rPr>
          <w:fldChar w:fldCharType="begin"/>
        </w:r>
        <w:r w:rsidR="009F079F">
          <w:rPr>
            <w:noProof/>
            <w:webHidden/>
          </w:rPr>
          <w:instrText xml:space="preserve"> PAGEREF _Toc508972139 \h </w:instrText>
        </w:r>
        <w:r w:rsidR="009F079F">
          <w:rPr>
            <w:noProof/>
            <w:webHidden/>
          </w:rPr>
        </w:r>
        <w:r w:rsidR="009F079F">
          <w:rPr>
            <w:noProof/>
            <w:webHidden/>
          </w:rPr>
          <w:fldChar w:fldCharType="separate"/>
        </w:r>
        <w:r w:rsidR="00640CCB">
          <w:rPr>
            <w:noProof/>
            <w:webHidden/>
          </w:rPr>
          <w:t>249</w:t>
        </w:r>
        <w:r w:rsidR="009F079F">
          <w:rPr>
            <w:noProof/>
            <w:webHidden/>
          </w:rPr>
          <w:fldChar w:fldCharType="end"/>
        </w:r>
      </w:hyperlink>
    </w:p>
    <w:p w14:paraId="5EDAF6F2" w14:textId="7432EBF7" w:rsidR="009F079F" w:rsidRDefault="008079F1">
      <w:pPr>
        <w:pStyle w:val="TableofFigures"/>
        <w:rPr>
          <w:rFonts w:asciiTheme="minorHAnsi" w:eastAsiaTheme="minorEastAsia" w:hAnsiTheme="minorHAnsi" w:cstheme="minorBidi"/>
          <w:noProof/>
          <w:color w:val="auto"/>
          <w:sz w:val="22"/>
          <w:szCs w:val="22"/>
        </w:rPr>
      </w:pPr>
      <w:hyperlink w:anchor="_Toc508972140" w:history="1">
        <w:r w:rsidR="009F079F" w:rsidRPr="00D31A39">
          <w:rPr>
            <w:rStyle w:val="Hyperlink"/>
            <w:noProof/>
          </w:rPr>
          <w:t>Figure C.69 Regional groundwater flow in the Roper River catchment , showing the Cambrian Limestone (pink) and Dook Creek Formation (purple) aquifers are providing baseflow to the Roper River and tributaries (Knapton, 2009c)</w:t>
        </w:r>
        <w:r w:rsidR="009F079F">
          <w:rPr>
            <w:noProof/>
            <w:webHidden/>
          </w:rPr>
          <w:tab/>
        </w:r>
        <w:r w:rsidR="009F079F">
          <w:rPr>
            <w:noProof/>
            <w:webHidden/>
          </w:rPr>
          <w:fldChar w:fldCharType="begin"/>
        </w:r>
        <w:r w:rsidR="009F079F">
          <w:rPr>
            <w:noProof/>
            <w:webHidden/>
          </w:rPr>
          <w:instrText xml:space="preserve"> PAGEREF _Toc508972140 \h </w:instrText>
        </w:r>
        <w:r w:rsidR="009F079F">
          <w:rPr>
            <w:noProof/>
            <w:webHidden/>
          </w:rPr>
        </w:r>
        <w:r w:rsidR="009F079F">
          <w:rPr>
            <w:noProof/>
            <w:webHidden/>
          </w:rPr>
          <w:fldChar w:fldCharType="separate"/>
        </w:r>
        <w:r w:rsidR="00640CCB">
          <w:rPr>
            <w:noProof/>
            <w:webHidden/>
          </w:rPr>
          <w:t>252</w:t>
        </w:r>
        <w:r w:rsidR="009F079F">
          <w:rPr>
            <w:noProof/>
            <w:webHidden/>
          </w:rPr>
          <w:fldChar w:fldCharType="end"/>
        </w:r>
      </w:hyperlink>
    </w:p>
    <w:p w14:paraId="1140959B" w14:textId="60935811" w:rsidR="009F079F" w:rsidRDefault="008079F1">
      <w:pPr>
        <w:pStyle w:val="TableofFigures"/>
        <w:rPr>
          <w:rFonts w:asciiTheme="minorHAnsi" w:eastAsiaTheme="minorEastAsia" w:hAnsiTheme="minorHAnsi" w:cstheme="minorBidi"/>
          <w:noProof/>
          <w:color w:val="auto"/>
          <w:sz w:val="22"/>
          <w:szCs w:val="22"/>
        </w:rPr>
      </w:pPr>
      <w:hyperlink w:anchor="_Toc508972141" w:history="1">
        <w:r w:rsidR="009F079F" w:rsidRPr="00D31A39">
          <w:rPr>
            <w:rStyle w:val="Hyperlink"/>
            <w:noProof/>
          </w:rPr>
          <w:t xml:space="preserve">Figure C.70 Location of the onshore Otway Basin </w:t>
        </w:r>
        <w:r w:rsidR="009F079F" w:rsidRPr="00D31A39">
          <w:rPr>
            <w:rStyle w:val="Hyperlink"/>
            <w:noProof/>
            <w:lang w:eastAsia="ja-JP"/>
          </w:rPr>
          <w:t>on a base map of 1:2,500,000 scale surface geology (Raymond et al., 2012). Onshore basin outline from Stewart et al. (2013).</w:t>
        </w:r>
        <w:r w:rsidR="009F079F">
          <w:rPr>
            <w:noProof/>
            <w:webHidden/>
          </w:rPr>
          <w:tab/>
        </w:r>
        <w:r w:rsidR="009F079F">
          <w:rPr>
            <w:noProof/>
            <w:webHidden/>
          </w:rPr>
          <w:fldChar w:fldCharType="begin"/>
        </w:r>
        <w:r w:rsidR="009F079F">
          <w:rPr>
            <w:noProof/>
            <w:webHidden/>
          </w:rPr>
          <w:instrText xml:space="preserve"> PAGEREF _Toc508972141 \h </w:instrText>
        </w:r>
        <w:r w:rsidR="009F079F">
          <w:rPr>
            <w:noProof/>
            <w:webHidden/>
          </w:rPr>
        </w:r>
        <w:r w:rsidR="009F079F">
          <w:rPr>
            <w:noProof/>
            <w:webHidden/>
          </w:rPr>
          <w:fldChar w:fldCharType="separate"/>
        </w:r>
        <w:r w:rsidR="00640CCB">
          <w:rPr>
            <w:noProof/>
            <w:webHidden/>
          </w:rPr>
          <w:t>267</w:t>
        </w:r>
        <w:r w:rsidR="009F079F">
          <w:rPr>
            <w:noProof/>
            <w:webHidden/>
          </w:rPr>
          <w:fldChar w:fldCharType="end"/>
        </w:r>
      </w:hyperlink>
    </w:p>
    <w:p w14:paraId="75B8202A" w14:textId="0FA66F67" w:rsidR="009F079F" w:rsidRDefault="008079F1">
      <w:pPr>
        <w:pStyle w:val="TableofFigures"/>
        <w:rPr>
          <w:rFonts w:asciiTheme="minorHAnsi" w:eastAsiaTheme="minorEastAsia" w:hAnsiTheme="minorHAnsi" w:cstheme="minorBidi"/>
          <w:noProof/>
          <w:color w:val="auto"/>
          <w:sz w:val="22"/>
          <w:szCs w:val="22"/>
        </w:rPr>
      </w:pPr>
      <w:hyperlink w:anchor="_Toc508972142" w:history="1">
        <w:r w:rsidR="009F079F" w:rsidRPr="00D31A39">
          <w:rPr>
            <w:rStyle w:val="Hyperlink"/>
            <w:noProof/>
          </w:rPr>
          <w:t>Figure C.71 Stratigraphic chart of the Otway Basin and petroleum discovery wells (from Goldstein et al., 2012)</w:t>
        </w:r>
        <w:r w:rsidR="009F079F">
          <w:rPr>
            <w:noProof/>
            <w:webHidden/>
          </w:rPr>
          <w:tab/>
        </w:r>
        <w:r w:rsidR="009F079F">
          <w:rPr>
            <w:noProof/>
            <w:webHidden/>
          </w:rPr>
          <w:fldChar w:fldCharType="begin"/>
        </w:r>
        <w:r w:rsidR="009F079F">
          <w:rPr>
            <w:noProof/>
            <w:webHidden/>
          </w:rPr>
          <w:instrText xml:space="preserve"> PAGEREF _Toc508972142 \h </w:instrText>
        </w:r>
        <w:r w:rsidR="009F079F">
          <w:rPr>
            <w:noProof/>
            <w:webHidden/>
          </w:rPr>
        </w:r>
        <w:r w:rsidR="009F079F">
          <w:rPr>
            <w:noProof/>
            <w:webHidden/>
          </w:rPr>
          <w:fldChar w:fldCharType="separate"/>
        </w:r>
        <w:r w:rsidR="00640CCB">
          <w:rPr>
            <w:noProof/>
            <w:webHidden/>
          </w:rPr>
          <w:t>268</w:t>
        </w:r>
        <w:r w:rsidR="009F079F">
          <w:rPr>
            <w:noProof/>
            <w:webHidden/>
          </w:rPr>
          <w:fldChar w:fldCharType="end"/>
        </w:r>
      </w:hyperlink>
    </w:p>
    <w:p w14:paraId="33B6E8B0" w14:textId="7F0C731E" w:rsidR="009F079F" w:rsidRDefault="008079F1">
      <w:pPr>
        <w:pStyle w:val="TableofFigures"/>
        <w:rPr>
          <w:rFonts w:asciiTheme="minorHAnsi" w:eastAsiaTheme="minorEastAsia" w:hAnsiTheme="minorHAnsi" w:cstheme="minorBidi"/>
          <w:noProof/>
          <w:color w:val="auto"/>
          <w:sz w:val="22"/>
          <w:szCs w:val="22"/>
        </w:rPr>
      </w:pPr>
      <w:hyperlink w:anchor="_Toc508972143" w:history="1">
        <w:r w:rsidR="009F079F" w:rsidRPr="00D31A39">
          <w:rPr>
            <w:rStyle w:val="Hyperlink"/>
            <w:noProof/>
          </w:rPr>
          <w:t>Figure C.72 Otway Basin petroleum exploration wells and seismic data coverage. Onshore basin outline from Stewart et al. (2013). Petroleum well data from DPCSA (2017a) and GSV (2017a). Seismic data coverage from DPCSA (2017c, d) and GSV (2009; 2017b).</w:t>
        </w:r>
        <w:r w:rsidR="009F079F">
          <w:rPr>
            <w:noProof/>
            <w:webHidden/>
          </w:rPr>
          <w:tab/>
        </w:r>
        <w:r w:rsidR="009F079F">
          <w:rPr>
            <w:noProof/>
            <w:webHidden/>
          </w:rPr>
          <w:fldChar w:fldCharType="begin"/>
        </w:r>
        <w:r w:rsidR="009F079F">
          <w:rPr>
            <w:noProof/>
            <w:webHidden/>
          </w:rPr>
          <w:instrText xml:space="preserve"> PAGEREF _Toc508972143 \h </w:instrText>
        </w:r>
        <w:r w:rsidR="009F079F">
          <w:rPr>
            <w:noProof/>
            <w:webHidden/>
          </w:rPr>
        </w:r>
        <w:r w:rsidR="009F079F">
          <w:rPr>
            <w:noProof/>
            <w:webHidden/>
          </w:rPr>
          <w:fldChar w:fldCharType="separate"/>
        </w:r>
        <w:r w:rsidR="00640CCB">
          <w:rPr>
            <w:noProof/>
            <w:webHidden/>
          </w:rPr>
          <w:t>269</w:t>
        </w:r>
        <w:r w:rsidR="009F079F">
          <w:rPr>
            <w:noProof/>
            <w:webHidden/>
          </w:rPr>
          <w:fldChar w:fldCharType="end"/>
        </w:r>
      </w:hyperlink>
    </w:p>
    <w:p w14:paraId="0B098454" w14:textId="1BA948A7" w:rsidR="009F079F" w:rsidRDefault="008079F1">
      <w:pPr>
        <w:pStyle w:val="TableofFigures"/>
        <w:rPr>
          <w:rFonts w:asciiTheme="minorHAnsi" w:eastAsiaTheme="minorEastAsia" w:hAnsiTheme="minorHAnsi" w:cstheme="minorBidi"/>
          <w:noProof/>
          <w:color w:val="auto"/>
          <w:sz w:val="22"/>
          <w:szCs w:val="22"/>
        </w:rPr>
      </w:pPr>
      <w:hyperlink w:anchor="_Toc508972144" w:history="1">
        <w:r w:rsidR="009F079F" w:rsidRPr="00D31A39">
          <w:rPr>
            <w:rStyle w:val="Hyperlink"/>
            <w:noProof/>
          </w:rPr>
          <w:t>Figure C.73 Wells targeting shale or tight gas plays and approximate play extents modified from GA (2017).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_Toc508972144 \h </w:instrText>
        </w:r>
        <w:r w:rsidR="009F079F">
          <w:rPr>
            <w:noProof/>
            <w:webHidden/>
          </w:rPr>
        </w:r>
        <w:r w:rsidR="009F079F">
          <w:rPr>
            <w:noProof/>
            <w:webHidden/>
          </w:rPr>
          <w:fldChar w:fldCharType="separate"/>
        </w:r>
        <w:r w:rsidR="00640CCB">
          <w:rPr>
            <w:noProof/>
            <w:webHidden/>
          </w:rPr>
          <w:t>271</w:t>
        </w:r>
        <w:r w:rsidR="009F079F">
          <w:rPr>
            <w:noProof/>
            <w:webHidden/>
          </w:rPr>
          <w:fldChar w:fldCharType="end"/>
        </w:r>
      </w:hyperlink>
    </w:p>
    <w:p w14:paraId="07263C92" w14:textId="4854E0CB" w:rsidR="009F079F" w:rsidRDefault="008079F1">
      <w:pPr>
        <w:pStyle w:val="TableofFigures"/>
        <w:rPr>
          <w:rFonts w:asciiTheme="minorHAnsi" w:eastAsiaTheme="minorEastAsia" w:hAnsiTheme="minorHAnsi" w:cstheme="minorBidi"/>
          <w:noProof/>
          <w:color w:val="auto"/>
          <w:sz w:val="22"/>
          <w:szCs w:val="22"/>
        </w:rPr>
      </w:pPr>
      <w:hyperlink w:anchor="_Toc508972145" w:history="1">
        <w:r w:rsidR="009F079F" w:rsidRPr="00D31A39">
          <w:rPr>
            <w:rStyle w:val="Hyperlink"/>
            <w:noProof/>
          </w:rPr>
          <w:t>Figure C.74 Otway Basin petroleum fields, pipelines and production facilities. Basin outline from Stewart et al. (2013). Oil and gas infrastructure from GA (2015a). Processing facilities from GA (2015b).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9F079F">
          <w:rPr>
            <w:noProof/>
            <w:webHidden/>
          </w:rPr>
          <w:tab/>
        </w:r>
        <w:r w:rsidR="009F079F">
          <w:rPr>
            <w:noProof/>
            <w:webHidden/>
          </w:rPr>
          <w:fldChar w:fldCharType="begin"/>
        </w:r>
        <w:r w:rsidR="009F079F">
          <w:rPr>
            <w:noProof/>
            <w:webHidden/>
          </w:rPr>
          <w:instrText xml:space="preserve"> PAGEREF _Toc508972145 \h </w:instrText>
        </w:r>
        <w:r w:rsidR="009F079F">
          <w:rPr>
            <w:noProof/>
            <w:webHidden/>
          </w:rPr>
        </w:r>
        <w:r w:rsidR="009F079F">
          <w:rPr>
            <w:noProof/>
            <w:webHidden/>
          </w:rPr>
          <w:fldChar w:fldCharType="separate"/>
        </w:r>
        <w:r w:rsidR="00640CCB">
          <w:rPr>
            <w:noProof/>
            <w:webHidden/>
          </w:rPr>
          <w:t>274</w:t>
        </w:r>
        <w:r w:rsidR="009F079F">
          <w:rPr>
            <w:noProof/>
            <w:webHidden/>
          </w:rPr>
          <w:fldChar w:fldCharType="end"/>
        </w:r>
      </w:hyperlink>
    </w:p>
    <w:p w14:paraId="60EE6D67" w14:textId="7B40B970" w:rsidR="009F079F" w:rsidRDefault="008079F1">
      <w:pPr>
        <w:pStyle w:val="TableofFigures"/>
        <w:rPr>
          <w:rFonts w:asciiTheme="minorHAnsi" w:eastAsiaTheme="minorEastAsia" w:hAnsiTheme="minorHAnsi" w:cstheme="minorBidi"/>
          <w:noProof/>
          <w:color w:val="auto"/>
          <w:sz w:val="22"/>
          <w:szCs w:val="22"/>
        </w:rPr>
      </w:pPr>
      <w:hyperlink w:anchor="_Toc508972146" w:history="1">
        <w:r w:rsidR="009F079F" w:rsidRPr="00D31A39">
          <w:rPr>
            <w:rStyle w:val="Hyperlink"/>
            <w:noProof/>
          </w:rPr>
          <w:t>Figure C.75 Depth to water table in the Otway Basin, and regional groundwater flow lines (Source: Clarke et al., 2015).</w:t>
        </w:r>
        <w:r w:rsidR="009F079F">
          <w:rPr>
            <w:noProof/>
            <w:webHidden/>
          </w:rPr>
          <w:tab/>
        </w:r>
        <w:r w:rsidR="009F079F">
          <w:rPr>
            <w:noProof/>
            <w:webHidden/>
          </w:rPr>
          <w:fldChar w:fldCharType="begin"/>
        </w:r>
        <w:r w:rsidR="009F079F">
          <w:rPr>
            <w:noProof/>
            <w:webHidden/>
          </w:rPr>
          <w:instrText xml:space="preserve"> PAGEREF _Toc508972146 \h </w:instrText>
        </w:r>
        <w:r w:rsidR="009F079F">
          <w:rPr>
            <w:noProof/>
            <w:webHidden/>
          </w:rPr>
        </w:r>
        <w:r w:rsidR="009F079F">
          <w:rPr>
            <w:noProof/>
            <w:webHidden/>
          </w:rPr>
          <w:fldChar w:fldCharType="separate"/>
        </w:r>
        <w:r w:rsidR="00640CCB">
          <w:rPr>
            <w:noProof/>
            <w:webHidden/>
          </w:rPr>
          <w:t>279</w:t>
        </w:r>
        <w:r w:rsidR="009F079F">
          <w:rPr>
            <w:noProof/>
            <w:webHidden/>
          </w:rPr>
          <w:fldChar w:fldCharType="end"/>
        </w:r>
      </w:hyperlink>
    </w:p>
    <w:p w14:paraId="231C0997" w14:textId="77777777" w:rsidR="00A943B2" w:rsidRDefault="004B38AE" w:rsidP="00FE2FF7">
      <w:pPr>
        <w:pStyle w:val="TOCHeading"/>
      </w:pPr>
      <w:r>
        <w:lastRenderedPageBreak/>
        <w:fldChar w:fldCharType="end"/>
      </w:r>
      <w:r w:rsidR="004D139E">
        <w:t>T</w:t>
      </w:r>
      <w:r w:rsidR="00A943B2">
        <w:t>ables</w:t>
      </w:r>
    </w:p>
    <w:p w14:paraId="5048F073" w14:textId="77777777" w:rsidR="009F079F" w:rsidRDefault="004B38AE">
      <w:pPr>
        <w:pStyle w:val="TableofFigures"/>
        <w:rPr>
          <w:rFonts w:asciiTheme="minorHAnsi" w:eastAsiaTheme="minorEastAsia" w:hAnsiTheme="minorHAnsi" w:cstheme="minorBidi"/>
          <w:noProof/>
          <w:color w:val="auto"/>
          <w:sz w:val="22"/>
          <w:szCs w:val="22"/>
        </w:rPr>
      </w:pPr>
      <w:r>
        <w:fldChar w:fldCharType="begin"/>
      </w:r>
      <w:r w:rsidR="003053C7">
        <w:instrText xml:space="preserve"> TOC \h \z \c "Apx Table" </w:instrText>
      </w:r>
      <w:r>
        <w:fldChar w:fldCharType="separate"/>
      </w:r>
      <w:hyperlink w:anchor="_Toc508972147" w:history="1">
        <w:r w:rsidR="009F079F" w:rsidRPr="004D5256">
          <w:rPr>
            <w:rStyle w:val="Hyperlink"/>
            <w:noProof/>
          </w:rPr>
          <w:t>Table A.1 Metrics used to assign exploration status in terms of development phases.</w:t>
        </w:r>
        <w:r w:rsidR="009F079F">
          <w:rPr>
            <w:noProof/>
            <w:webHidden/>
          </w:rPr>
          <w:tab/>
        </w:r>
        <w:r w:rsidR="009F079F">
          <w:rPr>
            <w:noProof/>
            <w:webHidden/>
          </w:rPr>
          <w:fldChar w:fldCharType="begin"/>
        </w:r>
        <w:r w:rsidR="009F079F">
          <w:rPr>
            <w:noProof/>
            <w:webHidden/>
          </w:rPr>
          <w:instrText xml:space="preserve"> PAGEREF _Toc508972147 \h </w:instrText>
        </w:r>
        <w:r w:rsidR="009F079F">
          <w:rPr>
            <w:noProof/>
            <w:webHidden/>
          </w:rPr>
        </w:r>
        <w:r w:rsidR="009F079F">
          <w:rPr>
            <w:noProof/>
            <w:webHidden/>
          </w:rPr>
          <w:fldChar w:fldCharType="separate"/>
        </w:r>
        <w:r w:rsidR="00640CCB">
          <w:rPr>
            <w:noProof/>
            <w:webHidden/>
          </w:rPr>
          <w:t>8</w:t>
        </w:r>
        <w:r w:rsidR="009F079F">
          <w:rPr>
            <w:noProof/>
            <w:webHidden/>
          </w:rPr>
          <w:fldChar w:fldCharType="end"/>
        </w:r>
      </w:hyperlink>
    </w:p>
    <w:p w14:paraId="193D57FA" w14:textId="77777777" w:rsidR="009F079F" w:rsidRDefault="008079F1">
      <w:pPr>
        <w:pStyle w:val="TableofFigures"/>
        <w:rPr>
          <w:rFonts w:asciiTheme="minorHAnsi" w:eastAsiaTheme="minorEastAsia" w:hAnsiTheme="minorHAnsi" w:cstheme="minorBidi"/>
          <w:noProof/>
          <w:color w:val="auto"/>
          <w:sz w:val="22"/>
          <w:szCs w:val="22"/>
        </w:rPr>
      </w:pPr>
      <w:hyperlink w:anchor="_Toc508972148" w:history="1">
        <w:r w:rsidR="009F079F" w:rsidRPr="004D5256">
          <w:rPr>
            <w:rStyle w:val="Hyperlink"/>
            <w:noProof/>
          </w:rPr>
          <w:t>Table A.2 Summary of shale and/or tight gas plays in eastern and northern Australian basins, along with associated exploration activity.</w:t>
        </w:r>
        <w:r w:rsidR="009F079F">
          <w:rPr>
            <w:noProof/>
            <w:webHidden/>
          </w:rPr>
          <w:tab/>
        </w:r>
        <w:r w:rsidR="009F079F">
          <w:rPr>
            <w:noProof/>
            <w:webHidden/>
          </w:rPr>
          <w:fldChar w:fldCharType="begin"/>
        </w:r>
        <w:r w:rsidR="009F079F">
          <w:rPr>
            <w:noProof/>
            <w:webHidden/>
          </w:rPr>
          <w:instrText xml:space="preserve"> PAGEREF _Toc508972148 \h </w:instrText>
        </w:r>
        <w:r w:rsidR="009F079F">
          <w:rPr>
            <w:noProof/>
            <w:webHidden/>
          </w:rPr>
        </w:r>
        <w:r w:rsidR="009F079F">
          <w:rPr>
            <w:noProof/>
            <w:webHidden/>
          </w:rPr>
          <w:fldChar w:fldCharType="separate"/>
        </w:r>
        <w:r w:rsidR="00640CCB">
          <w:rPr>
            <w:noProof/>
            <w:webHidden/>
          </w:rPr>
          <w:t>12</w:t>
        </w:r>
        <w:r w:rsidR="009F079F">
          <w:rPr>
            <w:noProof/>
            <w:webHidden/>
          </w:rPr>
          <w:fldChar w:fldCharType="end"/>
        </w:r>
      </w:hyperlink>
    </w:p>
    <w:p w14:paraId="6164D062" w14:textId="77777777" w:rsidR="009F079F" w:rsidRDefault="008079F1">
      <w:pPr>
        <w:pStyle w:val="TableofFigures"/>
        <w:rPr>
          <w:rFonts w:asciiTheme="minorHAnsi" w:eastAsiaTheme="minorEastAsia" w:hAnsiTheme="minorHAnsi" w:cstheme="minorBidi"/>
          <w:noProof/>
          <w:color w:val="auto"/>
          <w:sz w:val="22"/>
          <w:szCs w:val="22"/>
        </w:rPr>
      </w:pPr>
      <w:hyperlink w:anchor="_Toc508972149" w:history="1">
        <w:r w:rsidR="009F079F" w:rsidRPr="004D5256">
          <w:rPr>
            <w:rStyle w:val="Hyperlink"/>
            <w:noProof/>
          </w:rPr>
          <w:t>Table A.3 Best available estimate of shale and tight gas contingent and potentially recoverable prospective resources (Tcf) of eastern and northern Australian onshore basin.  The data presented here underpinned the decision on which basins to include in the basin short list. Please refer to the source references for further details on assessment area, methodology and associated uncertainties.</w:t>
        </w:r>
        <w:r w:rsidR="009F079F">
          <w:rPr>
            <w:noProof/>
            <w:webHidden/>
          </w:rPr>
          <w:tab/>
        </w:r>
        <w:r w:rsidR="009F079F">
          <w:rPr>
            <w:noProof/>
            <w:webHidden/>
          </w:rPr>
          <w:fldChar w:fldCharType="begin"/>
        </w:r>
        <w:r w:rsidR="009F079F">
          <w:rPr>
            <w:noProof/>
            <w:webHidden/>
          </w:rPr>
          <w:instrText xml:space="preserve"> PAGEREF _Toc508972149 \h </w:instrText>
        </w:r>
        <w:r w:rsidR="009F079F">
          <w:rPr>
            <w:noProof/>
            <w:webHidden/>
          </w:rPr>
        </w:r>
        <w:r w:rsidR="009F079F">
          <w:rPr>
            <w:noProof/>
            <w:webHidden/>
          </w:rPr>
          <w:fldChar w:fldCharType="separate"/>
        </w:r>
        <w:r w:rsidR="00640CCB">
          <w:rPr>
            <w:noProof/>
            <w:webHidden/>
          </w:rPr>
          <w:t>16</w:t>
        </w:r>
        <w:r w:rsidR="009F079F">
          <w:rPr>
            <w:noProof/>
            <w:webHidden/>
          </w:rPr>
          <w:fldChar w:fldCharType="end"/>
        </w:r>
      </w:hyperlink>
    </w:p>
    <w:p w14:paraId="739B3323" w14:textId="7D16FAE4" w:rsidR="009F079F" w:rsidRDefault="008079F1">
      <w:pPr>
        <w:pStyle w:val="TableofFigures"/>
        <w:rPr>
          <w:rFonts w:asciiTheme="minorHAnsi" w:eastAsiaTheme="minorEastAsia" w:hAnsiTheme="minorHAnsi" w:cstheme="minorBidi"/>
          <w:noProof/>
          <w:color w:val="auto"/>
          <w:sz w:val="22"/>
          <w:szCs w:val="22"/>
        </w:rPr>
      </w:pPr>
      <w:hyperlink w:anchor="_Toc508972150" w:history="1">
        <w:r w:rsidR="009F079F" w:rsidRPr="004D5256">
          <w:rPr>
            <w:rStyle w:val="Hyperlink"/>
            <w:noProof/>
          </w:rPr>
          <w:t>Table C.1 Geology and petroleum prospectivity summary</w:t>
        </w:r>
        <w:r w:rsidR="009F079F">
          <w:rPr>
            <w:noProof/>
            <w:webHidden/>
          </w:rPr>
          <w:tab/>
        </w:r>
        <w:r w:rsidR="009F079F">
          <w:rPr>
            <w:noProof/>
            <w:webHidden/>
          </w:rPr>
          <w:fldChar w:fldCharType="begin"/>
        </w:r>
        <w:r w:rsidR="009F079F">
          <w:rPr>
            <w:noProof/>
            <w:webHidden/>
          </w:rPr>
          <w:instrText xml:space="preserve"> PAGEREF _Toc508972150 \h </w:instrText>
        </w:r>
        <w:r w:rsidR="009F079F">
          <w:rPr>
            <w:noProof/>
            <w:webHidden/>
          </w:rPr>
        </w:r>
        <w:r w:rsidR="009F079F">
          <w:rPr>
            <w:noProof/>
            <w:webHidden/>
          </w:rPr>
          <w:fldChar w:fldCharType="separate"/>
        </w:r>
        <w:r w:rsidR="00640CCB">
          <w:rPr>
            <w:noProof/>
            <w:webHidden/>
          </w:rPr>
          <w:t>45</w:t>
        </w:r>
        <w:r w:rsidR="009F079F">
          <w:rPr>
            <w:noProof/>
            <w:webHidden/>
          </w:rPr>
          <w:fldChar w:fldCharType="end"/>
        </w:r>
      </w:hyperlink>
    </w:p>
    <w:p w14:paraId="2405C95E" w14:textId="75A3EABF" w:rsidR="009F079F" w:rsidRDefault="008079F1">
      <w:pPr>
        <w:pStyle w:val="TableofFigures"/>
        <w:rPr>
          <w:rFonts w:asciiTheme="minorHAnsi" w:eastAsiaTheme="minorEastAsia" w:hAnsiTheme="minorHAnsi" w:cstheme="minorBidi"/>
          <w:noProof/>
          <w:color w:val="auto"/>
          <w:sz w:val="22"/>
          <w:szCs w:val="22"/>
        </w:rPr>
      </w:pPr>
      <w:hyperlink w:anchor="_Toc508972151" w:history="1">
        <w:r w:rsidR="009F079F" w:rsidRPr="004D5256">
          <w:rPr>
            <w:rStyle w:val="Hyperlink"/>
            <w:noProof/>
          </w:rPr>
          <w:t>Table C.2 Summary of shale and tight gas plays compiled from Munson et al. (2014).</w:t>
        </w:r>
        <w:r w:rsidR="009F079F">
          <w:rPr>
            <w:noProof/>
            <w:webHidden/>
          </w:rPr>
          <w:tab/>
        </w:r>
        <w:r w:rsidR="009F079F">
          <w:rPr>
            <w:noProof/>
            <w:webHidden/>
          </w:rPr>
          <w:fldChar w:fldCharType="begin"/>
        </w:r>
        <w:r w:rsidR="009F079F">
          <w:rPr>
            <w:noProof/>
            <w:webHidden/>
          </w:rPr>
          <w:instrText xml:space="preserve"> PAGEREF _Toc508972151 \h </w:instrText>
        </w:r>
        <w:r w:rsidR="009F079F">
          <w:rPr>
            <w:noProof/>
            <w:webHidden/>
          </w:rPr>
        </w:r>
        <w:r w:rsidR="009F079F">
          <w:rPr>
            <w:noProof/>
            <w:webHidden/>
          </w:rPr>
          <w:fldChar w:fldCharType="separate"/>
        </w:r>
        <w:r w:rsidR="00640CCB">
          <w:rPr>
            <w:noProof/>
            <w:webHidden/>
          </w:rPr>
          <w:t>54</w:t>
        </w:r>
        <w:r w:rsidR="009F079F">
          <w:rPr>
            <w:noProof/>
            <w:webHidden/>
          </w:rPr>
          <w:fldChar w:fldCharType="end"/>
        </w:r>
      </w:hyperlink>
    </w:p>
    <w:p w14:paraId="0D0AD42C" w14:textId="2C718D36" w:rsidR="009F079F" w:rsidRDefault="008079F1">
      <w:pPr>
        <w:pStyle w:val="TableofFigures"/>
        <w:rPr>
          <w:rFonts w:asciiTheme="minorHAnsi" w:eastAsiaTheme="minorEastAsia" w:hAnsiTheme="minorHAnsi" w:cstheme="minorBidi"/>
          <w:noProof/>
          <w:color w:val="auto"/>
          <w:sz w:val="22"/>
          <w:szCs w:val="22"/>
        </w:rPr>
      </w:pPr>
      <w:hyperlink w:anchor="_Toc508972152" w:history="1">
        <w:r w:rsidR="009F079F" w:rsidRPr="004D5256">
          <w:rPr>
            <w:rStyle w:val="Hyperlink"/>
            <w:noProof/>
          </w:rPr>
          <w:t>Table C.3 Summary of social factors, market access and infrastructure. Pipeline information from AER (2017). For further details on gas processing facilities see Central Petroleum (2017).</w:t>
        </w:r>
        <w:r w:rsidR="009F079F">
          <w:rPr>
            <w:noProof/>
            <w:webHidden/>
          </w:rPr>
          <w:tab/>
        </w:r>
        <w:r w:rsidR="009F079F">
          <w:rPr>
            <w:noProof/>
            <w:webHidden/>
          </w:rPr>
          <w:fldChar w:fldCharType="begin"/>
        </w:r>
        <w:r w:rsidR="009F079F">
          <w:rPr>
            <w:noProof/>
            <w:webHidden/>
          </w:rPr>
          <w:instrText xml:space="preserve"> PAGEREF _Toc508972152 \h </w:instrText>
        </w:r>
        <w:r w:rsidR="009F079F">
          <w:rPr>
            <w:noProof/>
            <w:webHidden/>
          </w:rPr>
        </w:r>
        <w:r w:rsidR="009F079F">
          <w:rPr>
            <w:noProof/>
            <w:webHidden/>
          </w:rPr>
          <w:fldChar w:fldCharType="separate"/>
        </w:r>
        <w:r w:rsidR="00640CCB">
          <w:rPr>
            <w:noProof/>
            <w:webHidden/>
          </w:rPr>
          <w:t>55</w:t>
        </w:r>
        <w:r w:rsidR="009F079F">
          <w:rPr>
            <w:noProof/>
            <w:webHidden/>
          </w:rPr>
          <w:fldChar w:fldCharType="end"/>
        </w:r>
      </w:hyperlink>
    </w:p>
    <w:p w14:paraId="737A5839" w14:textId="1B4312C8" w:rsidR="009F079F" w:rsidRDefault="008079F1">
      <w:pPr>
        <w:pStyle w:val="TableofFigures"/>
        <w:rPr>
          <w:rFonts w:asciiTheme="minorHAnsi" w:eastAsiaTheme="minorEastAsia" w:hAnsiTheme="minorHAnsi" w:cstheme="minorBidi"/>
          <w:noProof/>
          <w:color w:val="auto"/>
          <w:sz w:val="22"/>
          <w:szCs w:val="22"/>
        </w:rPr>
      </w:pPr>
      <w:hyperlink w:anchor="_Toc508972153" w:history="1">
        <w:r w:rsidR="009F079F" w:rsidRPr="004D5256">
          <w:rPr>
            <w:rStyle w:val="Hyperlink"/>
            <w:noProof/>
          </w:rPr>
          <w:t>Table C.4 Information on groundwater bores and water use in and above the Amadeus Basin.</w:t>
        </w:r>
        <w:r w:rsidR="009F079F">
          <w:rPr>
            <w:noProof/>
            <w:webHidden/>
          </w:rPr>
          <w:tab/>
        </w:r>
        <w:r w:rsidR="009F079F">
          <w:rPr>
            <w:noProof/>
            <w:webHidden/>
          </w:rPr>
          <w:fldChar w:fldCharType="begin"/>
        </w:r>
        <w:r w:rsidR="009F079F">
          <w:rPr>
            <w:noProof/>
            <w:webHidden/>
          </w:rPr>
          <w:instrText xml:space="preserve"> PAGEREF _Toc508972153 \h </w:instrText>
        </w:r>
        <w:r w:rsidR="009F079F">
          <w:rPr>
            <w:noProof/>
            <w:webHidden/>
          </w:rPr>
        </w:r>
        <w:r w:rsidR="009F079F">
          <w:rPr>
            <w:noProof/>
            <w:webHidden/>
          </w:rPr>
          <w:fldChar w:fldCharType="separate"/>
        </w:r>
        <w:r w:rsidR="00640CCB">
          <w:rPr>
            <w:noProof/>
            <w:webHidden/>
          </w:rPr>
          <w:t>62</w:t>
        </w:r>
        <w:r w:rsidR="009F079F">
          <w:rPr>
            <w:noProof/>
            <w:webHidden/>
          </w:rPr>
          <w:fldChar w:fldCharType="end"/>
        </w:r>
      </w:hyperlink>
    </w:p>
    <w:p w14:paraId="37978469" w14:textId="7734450A" w:rsidR="009F079F" w:rsidRDefault="008079F1">
      <w:pPr>
        <w:pStyle w:val="TableofFigures"/>
        <w:rPr>
          <w:rFonts w:asciiTheme="minorHAnsi" w:eastAsiaTheme="minorEastAsia" w:hAnsiTheme="minorHAnsi" w:cstheme="minorBidi"/>
          <w:noProof/>
          <w:color w:val="auto"/>
          <w:sz w:val="22"/>
          <w:szCs w:val="22"/>
        </w:rPr>
      </w:pPr>
      <w:hyperlink w:anchor="_Toc508972154" w:history="1">
        <w:r w:rsidR="009F079F" w:rsidRPr="004D5256">
          <w:rPr>
            <w:rStyle w:val="Hyperlink"/>
            <w:noProof/>
          </w:rPr>
          <w:t>Table C.5 Environmental Assets within the Amadeus Basin</w:t>
        </w:r>
        <w:r w:rsidR="009F079F">
          <w:rPr>
            <w:noProof/>
            <w:webHidden/>
          </w:rPr>
          <w:tab/>
        </w:r>
        <w:r w:rsidR="009F079F">
          <w:rPr>
            <w:noProof/>
            <w:webHidden/>
          </w:rPr>
          <w:fldChar w:fldCharType="begin"/>
        </w:r>
        <w:r w:rsidR="009F079F">
          <w:rPr>
            <w:noProof/>
            <w:webHidden/>
          </w:rPr>
          <w:instrText xml:space="preserve"> PAGEREF _Toc508972154 \h </w:instrText>
        </w:r>
        <w:r w:rsidR="009F079F">
          <w:rPr>
            <w:noProof/>
            <w:webHidden/>
          </w:rPr>
        </w:r>
        <w:r w:rsidR="009F079F">
          <w:rPr>
            <w:noProof/>
            <w:webHidden/>
          </w:rPr>
          <w:fldChar w:fldCharType="separate"/>
        </w:r>
        <w:r w:rsidR="00640CCB">
          <w:rPr>
            <w:noProof/>
            <w:webHidden/>
          </w:rPr>
          <w:t>64</w:t>
        </w:r>
        <w:r w:rsidR="009F079F">
          <w:rPr>
            <w:noProof/>
            <w:webHidden/>
          </w:rPr>
          <w:fldChar w:fldCharType="end"/>
        </w:r>
      </w:hyperlink>
    </w:p>
    <w:p w14:paraId="4ABF73CE" w14:textId="2B498E4A" w:rsidR="009F079F" w:rsidRDefault="008079F1">
      <w:pPr>
        <w:pStyle w:val="TableofFigures"/>
        <w:rPr>
          <w:rFonts w:asciiTheme="minorHAnsi" w:eastAsiaTheme="minorEastAsia" w:hAnsiTheme="minorHAnsi" w:cstheme="minorBidi"/>
          <w:noProof/>
          <w:color w:val="auto"/>
          <w:sz w:val="22"/>
          <w:szCs w:val="22"/>
        </w:rPr>
      </w:pPr>
      <w:hyperlink w:anchor="_Toc508972155" w:history="1">
        <w:r w:rsidR="009F079F" w:rsidRPr="004D5256">
          <w:rPr>
            <w:rStyle w:val="Hyperlink"/>
            <w:noProof/>
          </w:rPr>
          <w:t>Table C.6 Social and general characteristics of the Amadeus Basin region.</w:t>
        </w:r>
        <w:r w:rsidR="009F079F">
          <w:rPr>
            <w:noProof/>
            <w:webHidden/>
          </w:rPr>
          <w:tab/>
        </w:r>
        <w:r w:rsidR="009F079F">
          <w:rPr>
            <w:noProof/>
            <w:webHidden/>
          </w:rPr>
          <w:fldChar w:fldCharType="begin"/>
        </w:r>
        <w:r w:rsidR="009F079F">
          <w:rPr>
            <w:noProof/>
            <w:webHidden/>
          </w:rPr>
          <w:instrText xml:space="preserve"> PAGEREF _Toc508972155 \h </w:instrText>
        </w:r>
        <w:r w:rsidR="009F079F">
          <w:rPr>
            <w:noProof/>
            <w:webHidden/>
          </w:rPr>
        </w:r>
        <w:r w:rsidR="009F079F">
          <w:rPr>
            <w:noProof/>
            <w:webHidden/>
          </w:rPr>
          <w:fldChar w:fldCharType="separate"/>
        </w:r>
        <w:r w:rsidR="00640CCB">
          <w:rPr>
            <w:noProof/>
            <w:webHidden/>
          </w:rPr>
          <w:t>64</w:t>
        </w:r>
        <w:r w:rsidR="009F079F">
          <w:rPr>
            <w:noProof/>
            <w:webHidden/>
          </w:rPr>
          <w:fldChar w:fldCharType="end"/>
        </w:r>
      </w:hyperlink>
    </w:p>
    <w:p w14:paraId="2DCA8080" w14:textId="3FE477E3" w:rsidR="009F079F" w:rsidRDefault="008079F1">
      <w:pPr>
        <w:pStyle w:val="TableofFigures"/>
        <w:rPr>
          <w:rFonts w:asciiTheme="minorHAnsi" w:eastAsiaTheme="minorEastAsia" w:hAnsiTheme="minorHAnsi" w:cstheme="minorBidi"/>
          <w:noProof/>
          <w:color w:val="auto"/>
          <w:sz w:val="22"/>
          <w:szCs w:val="22"/>
        </w:rPr>
      </w:pPr>
      <w:hyperlink w:anchor="_Toc508972156" w:history="1">
        <w:r w:rsidR="009F079F" w:rsidRPr="004D5256">
          <w:rPr>
            <w:rStyle w:val="Hyperlink"/>
            <w:noProof/>
          </w:rPr>
          <w:t>Table C.7 Geology and petroleum prospectivity summary</w:t>
        </w:r>
        <w:r w:rsidR="009F079F">
          <w:rPr>
            <w:noProof/>
            <w:webHidden/>
          </w:rPr>
          <w:tab/>
        </w:r>
        <w:r w:rsidR="009F079F">
          <w:rPr>
            <w:noProof/>
            <w:webHidden/>
          </w:rPr>
          <w:fldChar w:fldCharType="begin"/>
        </w:r>
        <w:r w:rsidR="009F079F">
          <w:rPr>
            <w:noProof/>
            <w:webHidden/>
          </w:rPr>
          <w:instrText xml:space="preserve"> PAGEREF _Toc508972156 \h </w:instrText>
        </w:r>
        <w:r w:rsidR="009F079F">
          <w:rPr>
            <w:noProof/>
            <w:webHidden/>
          </w:rPr>
        </w:r>
        <w:r w:rsidR="009F079F">
          <w:rPr>
            <w:noProof/>
            <w:webHidden/>
          </w:rPr>
          <w:fldChar w:fldCharType="separate"/>
        </w:r>
        <w:r w:rsidR="00640CCB">
          <w:rPr>
            <w:noProof/>
            <w:webHidden/>
          </w:rPr>
          <w:t>71</w:t>
        </w:r>
        <w:r w:rsidR="009F079F">
          <w:rPr>
            <w:noProof/>
            <w:webHidden/>
          </w:rPr>
          <w:fldChar w:fldCharType="end"/>
        </w:r>
      </w:hyperlink>
    </w:p>
    <w:p w14:paraId="4CB08019" w14:textId="3AD8127C" w:rsidR="009F079F" w:rsidRDefault="008079F1">
      <w:pPr>
        <w:pStyle w:val="TableofFigures"/>
        <w:rPr>
          <w:rFonts w:asciiTheme="minorHAnsi" w:eastAsiaTheme="minorEastAsia" w:hAnsiTheme="minorHAnsi" w:cstheme="minorBidi"/>
          <w:noProof/>
          <w:color w:val="auto"/>
          <w:sz w:val="22"/>
          <w:szCs w:val="22"/>
        </w:rPr>
      </w:pPr>
      <w:hyperlink w:anchor="_Toc508972157" w:history="1">
        <w:r w:rsidR="009F079F" w:rsidRPr="004D5256">
          <w:rPr>
            <w:rStyle w:val="Hyperlink"/>
            <w:noProof/>
          </w:rPr>
          <w:t>Table C.8 Summary of shale and tight gas plays compiled from literature and well completion reports.</w:t>
        </w:r>
        <w:r w:rsidR="009F079F">
          <w:rPr>
            <w:noProof/>
            <w:webHidden/>
          </w:rPr>
          <w:tab/>
        </w:r>
        <w:r w:rsidR="009F079F">
          <w:rPr>
            <w:noProof/>
            <w:webHidden/>
          </w:rPr>
          <w:fldChar w:fldCharType="begin"/>
        </w:r>
        <w:r w:rsidR="009F079F">
          <w:rPr>
            <w:noProof/>
            <w:webHidden/>
          </w:rPr>
          <w:instrText xml:space="preserve"> PAGEREF _Toc508972157 \h </w:instrText>
        </w:r>
        <w:r w:rsidR="009F079F">
          <w:rPr>
            <w:noProof/>
            <w:webHidden/>
          </w:rPr>
        </w:r>
        <w:r w:rsidR="009F079F">
          <w:rPr>
            <w:noProof/>
            <w:webHidden/>
          </w:rPr>
          <w:fldChar w:fldCharType="separate"/>
        </w:r>
        <w:r w:rsidR="00640CCB">
          <w:rPr>
            <w:noProof/>
            <w:webHidden/>
          </w:rPr>
          <w:t>79</w:t>
        </w:r>
        <w:r w:rsidR="009F079F">
          <w:rPr>
            <w:noProof/>
            <w:webHidden/>
          </w:rPr>
          <w:fldChar w:fldCharType="end"/>
        </w:r>
      </w:hyperlink>
    </w:p>
    <w:p w14:paraId="2A2F1181" w14:textId="0E4A02C8" w:rsidR="009F079F" w:rsidRDefault="008079F1">
      <w:pPr>
        <w:pStyle w:val="TableofFigures"/>
        <w:rPr>
          <w:rFonts w:asciiTheme="minorHAnsi" w:eastAsiaTheme="minorEastAsia" w:hAnsiTheme="minorHAnsi" w:cstheme="minorBidi"/>
          <w:noProof/>
          <w:color w:val="auto"/>
          <w:sz w:val="22"/>
          <w:szCs w:val="22"/>
        </w:rPr>
      </w:pPr>
      <w:hyperlink w:anchor="_Toc508972158" w:history="1">
        <w:r w:rsidR="009F079F" w:rsidRPr="004D5256">
          <w:rPr>
            <w:rStyle w:val="Hyperlink"/>
            <w:noProof/>
          </w:rPr>
          <w:t>Table C.9 Summary of market access and infrastructure. Pipeline information from AER (2017). Oil and gas infrastructure from GA (2015a).</w:t>
        </w:r>
        <w:r w:rsidR="009F079F">
          <w:rPr>
            <w:noProof/>
            <w:webHidden/>
          </w:rPr>
          <w:tab/>
        </w:r>
        <w:r w:rsidR="009F079F">
          <w:rPr>
            <w:noProof/>
            <w:webHidden/>
          </w:rPr>
          <w:fldChar w:fldCharType="begin"/>
        </w:r>
        <w:r w:rsidR="009F079F">
          <w:rPr>
            <w:noProof/>
            <w:webHidden/>
          </w:rPr>
          <w:instrText xml:space="preserve"> PAGEREF _Toc508972158 \h </w:instrText>
        </w:r>
        <w:r w:rsidR="009F079F">
          <w:rPr>
            <w:noProof/>
            <w:webHidden/>
          </w:rPr>
        </w:r>
        <w:r w:rsidR="009F079F">
          <w:rPr>
            <w:noProof/>
            <w:webHidden/>
          </w:rPr>
          <w:fldChar w:fldCharType="separate"/>
        </w:r>
        <w:r w:rsidR="00640CCB">
          <w:rPr>
            <w:noProof/>
            <w:webHidden/>
          </w:rPr>
          <w:t>80</w:t>
        </w:r>
        <w:r w:rsidR="009F079F">
          <w:rPr>
            <w:noProof/>
            <w:webHidden/>
          </w:rPr>
          <w:fldChar w:fldCharType="end"/>
        </w:r>
      </w:hyperlink>
    </w:p>
    <w:p w14:paraId="6ABF5435" w14:textId="48595D11" w:rsidR="009F079F" w:rsidRDefault="008079F1">
      <w:pPr>
        <w:pStyle w:val="TableofFigures"/>
        <w:rPr>
          <w:rFonts w:asciiTheme="minorHAnsi" w:eastAsiaTheme="minorEastAsia" w:hAnsiTheme="minorHAnsi" w:cstheme="minorBidi"/>
          <w:noProof/>
          <w:color w:val="auto"/>
          <w:sz w:val="22"/>
          <w:szCs w:val="22"/>
        </w:rPr>
      </w:pPr>
      <w:hyperlink w:anchor="_Toc508972159" w:history="1">
        <w:r w:rsidR="009F079F" w:rsidRPr="004D5256">
          <w:rPr>
            <w:rStyle w:val="Hyperlink"/>
            <w:noProof/>
          </w:rPr>
          <w:t>Table C.10 Summary of groundwater bores and water use in the Bowen Basin.</w:t>
        </w:r>
        <w:r w:rsidR="009F079F">
          <w:rPr>
            <w:noProof/>
            <w:webHidden/>
          </w:rPr>
          <w:tab/>
        </w:r>
        <w:r w:rsidR="009F079F">
          <w:rPr>
            <w:noProof/>
            <w:webHidden/>
          </w:rPr>
          <w:fldChar w:fldCharType="begin"/>
        </w:r>
        <w:r w:rsidR="009F079F">
          <w:rPr>
            <w:noProof/>
            <w:webHidden/>
          </w:rPr>
          <w:instrText xml:space="preserve"> PAGEREF _Toc508972159 \h </w:instrText>
        </w:r>
        <w:r w:rsidR="009F079F">
          <w:rPr>
            <w:noProof/>
            <w:webHidden/>
          </w:rPr>
        </w:r>
        <w:r w:rsidR="009F079F">
          <w:rPr>
            <w:noProof/>
            <w:webHidden/>
          </w:rPr>
          <w:fldChar w:fldCharType="separate"/>
        </w:r>
        <w:r w:rsidR="00640CCB">
          <w:rPr>
            <w:noProof/>
            <w:webHidden/>
          </w:rPr>
          <w:t>89</w:t>
        </w:r>
        <w:r w:rsidR="009F079F">
          <w:rPr>
            <w:noProof/>
            <w:webHidden/>
          </w:rPr>
          <w:fldChar w:fldCharType="end"/>
        </w:r>
      </w:hyperlink>
    </w:p>
    <w:p w14:paraId="490E66FF" w14:textId="275427AC" w:rsidR="009F079F" w:rsidRDefault="008079F1">
      <w:pPr>
        <w:pStyle w:val="TableofFigures"/>
        <w:rPr>
          <w:rFonts w:asciiTheme="minorHAnsi" w:eastAsiaTheme="minorEastAsia" w:hAnsiTheme="minorHAnsi" w:cstheme="minorBidi"/>
          <w:noProof/>
          <w:color w:val="auto"/>
          <w:sz w:val="22"/>
          <w:szCs w:val="22"/>
        </w:rPr>
      </w:pPr>
      <w:hyperlink w:anchor="_Toc508972160" w:history="1">
        <w:r w:rsidR="009F079F" w:rsidRPr="004D5256">
          <w:rPr>
            <w:rStyle w:val="Hyperlink"/>
            <w:noProof/>
          </w:rPr>
          <w:t>Table C.11 Streamflow statistics for various river gauges in the Fitzroy catchment (SKM and Sunwater, 2012).</w:t>
        </w:r>
        <w:r w:rsidR="009F079F">
          <w:rPr>
            <w:noProof/>
            <w:webHidden/>
          </w:rPr>
          <w:tab/>
        </w:r>
        <w:r w:rsidR="009F079F">
          <w:rPr>
            <w:noProof/>
            <w:webHidden/>
          </w:rPr>
          <w:fldChar w:fldCharType="begin"/>
        </w:r>
        <w:r w:rsidR="009F079F">
          <w:rPr>
            <w:noProof/>
            <w:webHidden/>
          </w:rPr>
          <w:instrText xml:space="preserve"> PAGEREF _Toc508972160 \h </w:instrText>
        </w:r>
        <w:r w:rsidR="009F079F">
          <w:rPr>
            <w:noProof/>
            <w:webHidden/>
          </w:rPr>
        </w:r>
        <w:r w:rsidR="009F079F">
          <w:rPr>
            <w:noProof/>
            <w:webHidden/>
          </w:rPr>
          <w:fldChar w:fldCharType="separate"/>
        </w:r>
        <w:r w:rsidR="00640CCB">
          <w:rPr>
            <w:noProof/>
            <w:webHidden/>
          </w:rPr>
          <w:t>92</w:t>
        </w:r>
        <w:r w:rsidR="009F079F">
          <w:rPr>
            <w:noProof/>
            <w:webHidden/>
          </w:rPr>
          <w:fldChar w:fldCharType="end"/>
        </w:r>
      </w:hyperlink>
    </w:p>
    <w:p w14:paraId="48921423" w14:textId="6282CACC" w:rsidR="009F079F" w:rsidRDefault="008079F1">
      <w:pPr>
        <w:pStyle w:val="TableofFigures"/>
        <w:rPr>
          <w:rFonts w:asciiTheme="minorHAnsi" w:eastAsiaTheme="minorEastAsia" w:hAnsiTheme="minorHAnsi" w:cstheme="minorBidi"/>
          <w:noProof/>
          <w:color w:val="auto"/>
          <w:sz w:val="22"/>
          <w:szCs w:val="22"/>
        </w:rPr>
      </w:pPr>
      <w:hyperlink w:anchor="_Toc508972161" w:history="1">
        <w:r w:rsidR="009F079F" w:rsidRPr="004D5256">
          <w:rPr>
            <w:rStyle w:val="Hyperlink"/>
            <w:noProof/>
          </w:rPr>
          <w:t>Table C.12 Summary of environmental assets in the Bowen Basin</w:t>
        </w:r>
        <w:r w:rsidR="009F079F">
          <w:rPr>
            <w:noProof/>
            <w:webHidden/>
          </w:rPr>
          <w:tab/>
        </w:r>
        <w:r w:rsidR="009F079F">
          <w:rPr>
            <w:noProof/>
            <w:webHidden/>
          </w:rPr>
          <w:fldChar w:fldCharType="begin"/>
        </w:r>
        <w:r w:rsidR="009F079F">
          <w:rPr>
            <w:noProof/>
            <w:webHidden/>
          </w:rPr>
          <w:instrText xml:space="preserve"> PAGEREF _Toc508972161 \h </w:instrText>
        </w:r>
        <w:r w:rsidR="009F079F">
          <w:rPr>
            <w:noProof/>
            <w:webHidden/>
          </w:rPr>
        </w:r>
        <w:r w:rsidR="009F079F">
          <w:rPr>
            <w:noProof/>
            <w:webHidden/>
          </w:rPr>
          <w:fldChar w:fldCharType="separate"/>
        </w:r>
        <w:r w:rsidR="00640CCB">
          <w:rPr>
            <w:noProof/>
            <w:webHidden/>
          </w:rPr>
          <w:t>97</w:t>
        </w:r>
        <w:r w:rsidR="009F079F">
          <w:rPr>
            <w:noProof/>
            <w:webHidden/>
          </w:rPr>
          <w:fldChar w:fldCharType="end"/>
        </w:r>
      </w:hyperlink>
    </w:p>
    <w:p w14:paraId="271B51D7" w14:textId="4EAAE1BB" w:rsidR="009F079F" w:rsidRDefault="008079F1">
      <w:pPr>
        <w:pStyle w:val="TableofFigures"/>
        <w:rPr>
          <w:rFonts w:asciiTheme="minorHAnsi" w:eastAsiaTheme="minorEastAsia" w:hAnsiTheme="minorHAnsi" w:cstheme="minorBidi"/>
          <w:noProof/>
          <w:color w:val="auto"/>
          <w:sz w:val="22"/>
          <w:szCs w:val="22"/>
        </w:rPr>
      </w:pPr>
      <w:hyperlink w:anchor="_Toc508972162" w:history="1">
        <w:r w:rsidR="009F079F" w:rsidRPr="004D5256">
          <w:rPr>
            <w:rStyle w:val="Hyperlink"/>
            <w:noProof/>
          </w:rPr>
          <w:t>Table C.13 Summary of social considerations, Bowen Basin</w:t>
        </w:r>
        <w:r w:rsidR="009F079F">
          <w:rPr>
            <w:noProof/>
            <w:webHidden/>
          </w:rPr>
          <w:tab/>
        </w:r>
        <w:r w:rsidR="009F079F">
          <w:rPr>
            <w:noProof/>
            <w:webHidden/>
          </w:rPr>
          <w:fldChar w:fldCharType="begin"/>
        </w:r>
        <w:r w:rsidR="009F079F">
          <w:rPr>
            <w:noProof/>
            <w:webHidden/>
          </w:rPr>
          <w:instrText xml:space="preserve"> PAGEREF _Toc508972162 \h </w:instrText>
        </w:r>
        <w:r w:rsidR="009F079F">
          <w:rPr>
            <w:noProof/>
            <w:webHidden/>
          </w:rPr>
        </w:r>
        <w:r w:rsidR="009F079F">
          <w:rPr>
            <w:noProof/>
            <w:webHidden/>
          </w:rPr>
          <w:fldChar w:fldCharType="separate"/>
        </w:r>
        <w:r w:rsidR="00640CCB">
          <w:rPr>
            <w:noProof/>
            <w:webHidden/>
          </w:rPr>
          <w:t>97</w:t>
        </w:r>
        <w:r w:rsidR="009F079F">
          <w:rPr>
            <w:noProof/>
            <w:webHidden/>
          </w:rPr>
          <w:fldChar w:fldCharType="end"/>
        </w:r>
      </w:hyperlink>
    </w:p>
    <w:p w14:paraId="5E1F77C0" w14:textId="0CA292D0" w:rsidR="009F079F" w:rsidRDefault="008079F1">
      <w:pPr>
        <w:pStyle w:val="TableofFigures"/>
        <w:rPr>
          <w:rFonts w:asciiTheme="minorHAnsi" w:eastAsiaTheme="minorEastAsia" w:hAnsiTheme="minorHAnsi" w:cstheme="minorBidi"/>
          <w:noProof/>
          <w:color w:val="auto"/>
          <w:sz w:val="22"/>
          <w:szCs w:val="22"/>
        </w:rPr>
      </w:pPr>
      <w:hyperlink w:anchor="_Toc508972163" w:history="1">
        <w:r w:rsidR="009F079F" w:rsidRPr="004D5256">
          <w:rPr>
            <w:rStyle w:val="Hyperlink"/>
            <w:noProof/>
          </w:rPr>
          <w:t>Table C.14 Geology and petroleum prospectivity summary.</w:t>
        </w:r>
        <w:r w:rsidR="009F079F">
          <w:rPr>
            <w:noProof/>
            <w:webHidden/>
          </w:rPr>
          <w:tab/>
        </w:r>
        <w:r w:rsidR="009F079F">
          <w:rPr>
            <w:noProof/>
            <w:webHidden/>
          </w:rPr>
          <w:fldChar w:fldCharType="begin"/>
        </w:r>
        <w:r w:rsidR="009F079F">
          <w:rPr>
            <w:noProof/>
            <w:webHidden/>
          </w:rPr>
          <w:instrText xml:space="preserve"> PAGEREF _Toc508972163 \h </w:instrText>
        </w:r>
        <w:r w:rsidR="009F079F">
          <w:rPr>
            <w:noProof/>
            <w:webHidden/>
          </w:rPr>
        </w:r>
        <w:r w:rsidR="009F079F">
          <w:rPr>
            <w:noProof/>
            <w:webHidden/>
          </w:rPr>
          <w:fldChar w:fldCharType="separate"/>
        </w:r>
        <w:r w:rsidR="00640CCB">
          <w:rPr>
            <w:noProof/>
            <w:webHidden/>
          </w:rPr>
          <w:t>103</w:t>
        </w:r>
        <w:r w:rsidR="009F079F">
          <w:rPr>
            <w:noProof/>
            <w:webHidden/>
          </w:rPr>
          <w:fldChar w:fldCharType="end"/>
        </w:r>
      </w:hyperlink>
    </w:p>
    <w:p w14:paraId="7841E800" w14:textId="53E6DACD" w:rsidR="009F079F" w:rsidRDefault="008079F1">
      <w:pPr>
        <w:pStyle w:val="TableofFigures"/>
        <w:rPr>
          <w:rFonts w:asciiTheme="minorHAnsi" w:eastAsiaTheme="minorEastAsia" w:hAnsiTheme="minorHAnsi" w:cstheme="minorBidi"/>
          <w:noProof/>
          <w:color w:val="auto"/>
          <w:sz w:val="22"/>
          <w:szCs w:val="22"/>
        </w:rPr>
      </w:pPr>
      <w:hyperlink w:anchor="_Toc508972164" w:history="1">
        <w:r w:rsidR="009F079F" w:rsidRPr="004D5256">
          <w:rPr>
            <w:rStyle w:val="Hyperlink"/>
            <w:noProof/>
          </w:rPr>
          <w:t>Table C.15 Summary of shale and tight gas plays.</w:t>
        </w:r>
        <w:r w:rsidR="009F079F">
          <w:rPr>
            <w:noProof/>
            <w:webHidden/>
          </w:rPr>
          <w:tab/>
        </w:r>
        <w:r w:rsidR="009F079F">
          <w:rPr>
            <w:noProof/>
            <w:webHidden/>
          </w:rPr>
          <w:fldChar w:fldCharType="begin"/>
        </w:r>
        <w:r w:rsidR="009F079F">
          <w:rPr>
            <w:noProof/>
            <w:webHidden/>
          </w:rPr>
          <w:instrText xml:space="preserve"> PAGEREF _Toc508972164 \h </w:instrText>
        </w:r>
        <w:r w:rsidR="009F079F">
          <w:rPr>
            <w:noProof/>
            <w:webHidden/>
          </w:rPr>
        </w:r>
        <w:r w:rsidR="009F079F">
          <w:rPr>
            <w:noProof/>
            <w:webHidden/>
          </w:rPr>
          <w:fldChar w:fldCharType="separate"/>
        </w:r>
        <w:r w:rsidR="00640CCB">
          <w:rPr>
            <w:noProof/>
            <w:webHidden/>
          </w:rPr>
          <w:t>112</w:t>
        </w:r>
        <w:r w:rsidR="009F079F">
          <w:rPr>
            <w:noProof/>
            <w:webHidden/>
          </w:rPr>
          <w:fldChar w:fldCharType="end"/>
        </w:r>
      </w:hyperlink>
    </w:p>
    <w:p w14:paraId="136E2D62" w14:textId="5A64CEE0" w:rsidR="009F079F" w:rsidRDefault="008079F1">
      <w:pPr>
        <w:pStyle w:val="TableofFigures"/>
        <w:rPr>
          <w:rFonts w:asciiTheme="minorHAnsi" w:eastAsiaTheme="minorEastAsia" w:hAnsiTheme="minorHAnsi" w:cstheme="minorBidi"/>
          <w:noProof/>
          <w:color w:val="auto"/>
          <w:sz w:val="22"/>
          <w:szCs w:val="22"/>
        </w:rPr>
      </w:pPr>
      <w:hyperlink w:anchor="_Toc508972165" w:history="1">
        <w:r w:rsidR="009F079F" w:rsidRPr="004D5256">
          <w:rPr>
            <w:rStyle w:val="Hyperlink"/>
            <w:noProof/>
          </w:rPr>
          <w:t>Table C.16 Summary of market access and infrastructure. Pipeline information from AER (2017). Oil and gas infrastructure from GA (2015a).</w:t>
        </w:r>
        <w:r w:rsidR="009F079F">
          <w:rPr>
            <w:noProof/>
            <w:webHidden/>
          </w:rPr>
          <w:tab/>
        </w:r>
        <w:r w:rsidR="009F079F">
          <w:rPr>
            <w:noProof/>
            <w:webHidden/>
          </w:rPr>
          <w:fldChar w:fldCharType="begin"/>
        </w:r>
        <w:r w:rsidR="009F079F">
          <w:rPr>
            <w:noProof/>
            <w:webHidden/>
          </w:rPr>
          <w:instrText xml:space="preserve"> PAGEREF _Toc508972165 \h </w:instrText>
        </w:r>
        <w:r w:rsidR="009F079F">
          <w:rPr>
            <w:noProof/>
            <w:webHidden/>
          </w:rPr>
        </w:r>
        <w:r w:rsidR="009F079F">
          <w:rPr>
            <w:noProof/>
            <w:webHidden/>
          </w:rPr>
          <w:fldChar w:fldCharType="separate"/>
        </w:r>
        <w:r w:rsidR="00640CCB">
          <w:rPr>
            <w:noProof/>
            <w:webHidden/>
          </w:rPr>
          <w:t>114</w:t>
        </w:r>
        <w:r w:rsidR="009F079F">
          <w:rPr>
            <w:noProof/>
            <w:webHidden/>
          </w:rPr>
          <w:fldChar w:fldCharType="end"/>
        </w:r>
      </w:hyperlink>
    </w:p>
    <w:p w14:paraId="04CFB2F1" w14:textId="6861507F" w:rsidR="009F079F" w:rsidRDefault="008079F1">
      <w:pPr>
        <w:pStyle w:val="TableofFigures"/>
        <w:rPr>
          <w:rFonts w:asciiTheme="minorHAnsi" w:eastAsiaTheme="minorEastAsia" w:hAnsiTheme="minorHAnsi" w:cstheme="minorBidi"/>
          <w:noProof/>
          <w:color w:val="auto"/>
          <w:sz w:val="22"/>
          <w:szCs w:val="22"/>
        </w:rPr>
      </w:pPr>
      <w:hyperlink w:anchor="_Toc508972166" w:history="1">
        <w:r w:rsidR="009F079F" w:rsidRPr="004D5256">
          <w:rPr>
            <w:rStyle w:val="Hyperlink"/>
            <w:noProof/>
          </w:rPr>
          <w:t>Table C.17 Salinity ranges for various hydrostratigraphic units</w:t>
        </w:r>
        <w:r w:rsidR="009F079F">
          <w:rPr>
            <w:noProof/>
            <w:webHidden/>
          </w:rPr>
          <w:tab/>
        </w:r>
        <w:r w:rsidR="009F079F">
          <w:rPr>
            <w:noProof/>
            <w:webHidden/>
          </w:rPr>
          <w:fldChar w:fldCharType="begin"/>
        </w:r>
        <w:r w:rsidR="009F079F">
          <w:rPr>
            <w:noProof/>
            <w:webHidden/>
          </w:rPr>
          <w:instrText xml:space="preserve"> PAGEREF _Toc508972166 \h </w:instrText>
        </w:r>
        <w:r w:rsidR="009F079F">
          <w:rPr>
            <w:noProof/>
            <w:webHidden/>
          </w:rPr>
        </w:r>
        <w:r w:rsidR="009F079F">
          <w:rPr>
            <w:noProof/>
            <w:webHidden/>
          </w:rPr>
          <w:fldChar w:fldCharType="separate"/>
        </w:r>
        <w:r w:rsidR="00640CCB">
          <w:rPr>
            <w:noProof/>
            <w:webHidden/>
          </w:rPr>
          <w:t>117</w:t>
        </w:r>
        <w:r w:rsidR="009F079F">
          <w:rPr>
            <w:noProof/>
            <w:webHidden/>
          </w:rPr>
          <w:fldChar w:fldCharType="end"/>
        </w:r>
      </w:hyperlink>
    </w:p>
    <w:p w14:paraId="2F106CB7" w14:textId="785A1244" w:rsidR="009F079F" w:rsidRDefault="008079F1">
      <w:pPr>
        <w:pStyle w:val="TableofFigures"/>
        <w:rPr>
          <w:rFonts w:asciiTheme="minorHAnsi" w:eastAsiaTheme="minorEastAsia" w:hAnsiTheme="minorHAnsi" w:cstheme="minorBidi"/>
          <w:noProof/>
          <w:color w:val="auto"/>
          <w:sz w:val="22"/>
          <w:szCs w:val="22"/>
        </w:rPr>
      </w:pPr>
      <w:hyperlink w:anchor="_Toc508972167" w:history="1">
        <w:r w:rsidR="009F079F" w:rsidRPr="004D5256">
          <w:rPr>
            <w:rStyle w:val="Hyperlink"/>
            <w:noProof/>
          </w:rPr>
          <w:t>Table C.18 Water sharing plans and Water resource plans for various groundwater systems in and overlying the Clarence-Moreton basin</w:t>
        </w:r>
        <w:r w:rsidR="009F079F">
          <w:rPr>
            <w:noProof/>
            <w:webHidden/>
          </w:rPr>
          <w:tab/>
        </w:r>
        <w:r w:rsidR="009F079F">
          <w:rPr>
            <w:noProof/>
            <w:webHidden/>
          </w:rPr>
          <w:fldChar w:fldCharType="begin"/>
        </w:r>
        <w:r w:rsidR="009F079F">
          <w:rPr>
            <w:noProof/>
            <w:webHidden/>
          </w:rPr>
          <w:instrText xml:space="preserve"> PAGEREF _Toc508972167 \h </w:instrText>
        </w:r>
        <w:r w:rsidR="009F079F">
          <w:rPr>
            <w:noProof/>
            <w:webHidden/>
          </w:rPr>
        </w:r>
        <w:r w:rsidR="009F079F">
          <w:rPr>
            <w:noProof/>
            <w:webHidden/>
          </w:rPr>
          <w:fldChar w:fldCharType="separate"/>
        </w:r>
        <w:r w:rsidR="00640CCB">
          <w:rPr>
            <w:noProof/>
            <w:webHidden/>
          </w:rPr>
          <w:t>120</w:t>
        </w:r>
        <w:r w:rsidR="009F079F">
          <w:rPr>
            <w:noProof/>
            <w:webHidden/>
          </w:rPr>
          <w:fldChar w:fldCharType="end"/>
        </w:r>
      </w:hyperlink>
    </w:p>
    <w:p w14:paraId="242785EB" w14:textId="327BBDC1" w:rsidR="009F079F" w:rsidRDefault="008079F1">
      <w:pPr>
        <w:pStyle w:val="TableofFigures"/>
        <w:rPr>
          <w:rFonts w:asciiTheme="minorHAnsi" w:eastAsiaTheme="minorEastAsia" w:hAnsiTheme="minorHAnsi" w:cstheme="minorBidi"/>
          <w:noProof/>
          <w:color w:val="auto"/>
          <w:sz w:val="22"/>
          <w:szCs w:val="22"/>
        </w:rPr>
      </w:pPr>
      <w:hyperlink w:anchor="_Toc508972168" w:history="1">
        <w:r w:rsidR="009F079F" w:rsidRPr="004D5256">
          <w:rPr>
            <w:rStyle w:val="Hyperlink"/>
            <w:noProof/>
          </w:rPr>
          <w:t>Table C.19: Summary of groundwater bores and water use in and above the Clarence-Moreton Basin.</w:t>
        </w:r>
        <w:r w:rsidR="009F079F">
          <w:rPr>
            <w:noProof/>
            <w:webHidden/>
          </w:rPr>
          <w:tab/>
        </w:r>
        <w:r w:rsidR="009F079F">
          <w:rPr>
            <w:noProof/>
            <w:webHidden/>
          </w:rPr>
          <w:fldChar w:fldCharType="begin"/>
        </w:r>
        <w:r w:rsidR="009F079F">
          <w:rPr>
            <w:noProof/>
            <w:webHidden/>
          </w:rPr>
          <w:instrText xml:space="preserve"> PAGEREF _Toc508972168 \h </w:instrText>
        </w:r>
        <w:r w:rsidR="009F079F">
          <w:rPr>
            <w:noProof/>
            <w:webHidden/>
          </w:rPr>
        </w:r>
        <w:r w:rsidR="009F079F">
          <w:rPr>
            <w:noProof/>
            <w:webHidden/>
          </w:rPr>
          <w:fldChar w:fldCharType="separate"/>
        </w:r>
        <w:r w:rsidR="00640CCB">
          <w:rPr>
            <w:noProof/>
            <w:webHidden/>
          </w:rPr>
          <w:t>121</w:t>
        </w:r>
        <w:r w:rsidR="009F079F">
          <w:rPr>
            <w:noProof/>
            <w:webHidden/>
          </w:rPr>
          <w:fldChar w:fldCharType="end"/>
        </w:r>
      </w:hyperlink>
    </w:p>
    <w:p w14:paraId="1B494F41" w14:textId="502B631D" w:rsidR="009F079F" w:rsidRDefault="008079F1">
      <w:pPr>
        <w:pStyle w:val="TableofFigures"/>
        <w:rPr>
          <w:rFonts w:asciiTheme="minorHAnsi" w:eastAsiaTheme="minorEastAsia" w:hAnsiTheme="minorHAnsi" w:cstheme="minorBidi"/>
          <w:noProof/>
          <w:color w:val="auto"/>
          <w:sz w:val="22"/>
          <w:szCs w:val="22"/>
        </w:rPr>
      </w:pPr>
      <w:hyperlink w:anchor="_Toc508972169" w:history="1">
        <w:r w:rsidR="009F079F" w:rsidRPr="004D5256">
          <w:rPr>
            <w:rStyle w:val="Hyperlink"/>
            <w:noProof/>
          </w:rPr>
          <w:t>Table C.20 River regions overlying the Clarence-Moreton Basin, grouped by drainage division, as classified in the Bureau of Meteorology’s Geofabric (BoM, 2014)</w:t>
        </w:r>
        <w:r w:rsidR="009F079F">
          <w:rPr>
            <w:noProof/>
            <w:webHidden/>
          </w:rPr>
          <w:tab/>
        </w:r>
        <w:r w:rsidR="009F079F">
          <w:rPr>
            <w:noProof/>
            <w:webHidden/>
          </w:rPr>
          <w:fldChar w:fldCharType="begin"/>
        </w:r>
        <w:r w:rsidR="009F079F">
          <w:rPr>
            <w:noProof/>
            <w:webHidden/>
          </w:rPr>
          <w:instrText xml:space="preserve"> PAGEREF _Toc508972169 \h </w:instrText>
        </w:r>
        <w:r w:rsidR="009F079F">
          <w:rPr>
            <w:noProof/>
            <w:webHidden/>
          </w:rPr>
        </w:r>
        <w:r w:rsidR="009F079F">
          <w:rPr>
            <w:noProof/>
            <w:webHidden/>
          </w:rPr>
          <w:fldChar w:fldCharType="separate"/>
        </w:r>
        <w:r w:rsidR="00640CCB">
          <w:rPr>
            <w:noProof/>
            <w:webHidden/>
          </w:rPr>
          <w:t>121</w:t>
        </w:r>
        <w:r w:rsidR="009F079F">
          <w:rPr>
            <w:noProof/>
            <w:webHidden/>
          </w:rPr>
          <w:fldChar w:fldCharType="end"/>
        </w:r>
      </w:hyperlink>
    </w:p>
    <w:p w14:paraId="66724402" w14:textId="2B862CBF" w:rsidR="009F079F" w:rsidRDefault="008079F1">
      <w:pPr>
        <w:pStyle w:val="TableofFigures"/>
        <w:rPr>
          <w:rFonts w:asciiTheme="minorHAnsi" w:eastAsiaTheme="minorEastAsia" w:hAnsiTheme="minorHAnsi" w:cstheme="minorBidi"/>
          <w:noProof/>
          <w:color w:val="auto"/>
          <w:sz w:val="22"/>
          <w:szCs w:val="22"/>
        </w:rPr>
      </w:pPr>
      <w:hyperlink w:anchor="_Toc508972170" w:history="1">
        <w:r w:rsidR="009F079F" w:rsidRPr="004D5256">
          <w:rPr>
            <w:rStyle w:val="Hyperlink"/>
            <w:noProof/>
          </w:rPr>
          <w:t>Table C.21 Mean daily flow at stream gauge sites for some locations within the extent of the Clarence-Moreton Basin</w:t>
        </w:r>
        <w:r w:rsidR="009F079F">
          <w:rPr>
            <w:noProof/>
            <w:webHidden/>
          </w:rPr>
          <w:tab/>
        </w:r>
        <w:r w:rsidR="009F079F">
          <w:rPr>
            <w:noProof/>
            <w:webHidden/>
          </w:rPr>
          <w:fldChar w:fldCharType="begin"/>
        </w:r>
        <w:r w:rsidR="009F079F">
          <w:rPr>
            <w:noProof/>
            <w:webHidden/>
          </w:rPr>
          <w:instrText xml:space="preserve"> PAGEREF _Toc508972170 \h </w:instrText>
        </w:r>
        <w:r w:rsidR="009F079F">
          <w:rPr>
            <w:noProof/>
            <w:webHidden/>
          </w:rPr>
        </w:r>
        <w:r w:rsidR="009F079F">
          <w:rPr>
            <w:noProof/>
            <w:webHidden/>
          </w:rPr>
          <w:fldChar w:fldCharType="separate"/>
        </w:r>
        <w:r w:rsidR="00640CCB">
          <w:rPr>
            <w:noProof/>
            <w:webHidden/>
          </w:rPr>
          <w:t>122</w:t>
        </w:r>
        <w:r w:rsidR="009F079F">
          <w:rPr>
            <w:noProof/>
            <w:webHidden/>
          </w:rPr>
          <w:fldChar w:fldCharType="end"/>
        </w:r>
      </w:hyperlink>
    </w:p>
    <w:p w14:paraId="48A7E0EF" w14:textId="556F73BA" w:rsidR="009F079F" w:rsidRDefault="008079F1">
      <w:pPr>
        <w:pStyle w:val="TableofFigures"/>
        <w:rPr>
          <w:rFonts w:asciiTheme="minorHAnsi" w:eastAsiaTheme="minorEastAsia" w:hAnsiTheme="minorHAnsi" w:cstheme="minorBidi"/>
          <w:noProof/>
          <w:color w:val="auto"/>
          <w:sz w:val="22"/>
          <w:szCs w:val="22"/>
        </w:rPr>
      </w:pPr>
      <w:hyperlink w:anchor="_Toc508972171" w:history="1">
        <w:r w:rsidR="009F079F" w:rsidRPr="004D5256">
          <w:rPr>
            <w:rStyle w:val="Hyperlink"/>
            <w:noProof/>
          </w:rPr>
          <w:t>Table C.22 Management plans for various river basins overlying the Clarence-Moreton Basin</w:t>
        </w:r>
        <w:r w:rsidR="009F079F">
          <w:rPr>
            <w:noProof/>
            <w:webHidden/>
          </w:rPr>
          <w:tab/>
        </w:r>
        <w:r w:rsidR="009F079F">
          <w:rPr>
            <w:noProof/>
            <w:webHidden/>
          </w:rPr>
          <w:fldChar w:fldCharType="begin"/>
        </w:r>
        <w:r w:rsidR="009F079F">
          <w:rPr>
            <w:noProof/>
            <w:webHidden/>
          </w:rPr>
          <w:instrText xml:space="preserve"> PAGEREF _Toc508972171 \h </w:instrText>
        </w:r>
        <w:r w:rsidR="009F079F">
          <w:rPr>
            <w:noProof/>
            <w:webHidden/>
          </w:rPr>
        </w:r>
        <w:r w:rsidR="009F079F">
          <w:rPr>
            <w:noProof/>
            <w:webHidden/>
          </w:rPr>
          <w:fldChar w:fldCharType="separate"/>
        </w:r>
        <w:r w:rsidR="00640CCB">
          <w:rPr>
            <w:noProof/>
            <w:webHidden/>
          </w:rPr>
          <w:t>123</w:t>
        </w:r>
        <w:r w:rsidR="009F079F">
          <w:rPr>
            <w:noProof/>
            <w:webHidden/>
          </w:rPr>
          <w:fldChar w:fldCharType="end"/>
        </w:r>
      </w:hyperlink>
    </w:p>
    <w:p w14:paraId="6B6D135A" w14:textId="2FB78654" w:rsidR="009F079F" w:rsidRDefault="008079F1">
      <w:pPr>
        <w:pStyle w:val="TableofFigures"/>
        <w:rPr>
          <w:rFonts w:asciiTheme="minorHAnsi" w:eastAsiaTheme="minorEastAsia" w:hAnsiTheme="minorHAnsi" w:cstheme="minorBidi"/>
          <w:noProof/>
          <w:color w:val="auto"/>
          <w:sz w:val="22"/>
          <w:szCs w:val="22"/>
        </w:rPr>
      </w:pPr>
      <w:hyperlink w:anchor="_Toc508972172" w:history="1">
        <w:r w:rsidR="009F079F" w:rsidRPr="004D5256">
          <w:rPr>
            <w:rStyle w:val="Hyperlink"/>
            <w:noProof/>
          </w:rPr>
          <w:t>Table C.23 Environmental Assets occurring above the Clarence-Moreton Basin.</w:t>
        </w:r>
        <w:r w:rsidR="009F079F">
          <w:rPr>
            <w:noProof/>
            <w:webHidden/>
          </w:rPr>
          <w:tab/>
        </w:r>
        <w:r w:rsidR="009F079F">
          <w:rPr>
            <w:noProof/>
            <w:webHidden/>
          </w:rPr>
          <w:fldChar w:fldCharType="begin"/>
        </w:r>
        <w:r w:rsidR="009F079F">
          <w:rPr>
            <w:noProof/>
            <w:webHidden/>
          </w:rPr>
          <w:instrText xml:space="preserve"> PAGEREF _Toc508972172 \h </w:instrText>
        </w:r>
        <w:r w:rsidR="009F079F">
          <w:rPr>
            <w:noProof/>
            <w:webHidden/>
          </w:rPr>
        </w:r>
        <w:r w:rsidR="009F079F">
          <w:rPr>
            <w:noProof/>
            <w:webHidden/>
          </w:rPr>
          <w:fldChar w:fldCharType="separate"/>
        </w:r>
        <w:r w:rsidR="00640CCB">
          <w:rPr>
            <w:noProof/>
            <w:webHidden/>
          </w:rPr>
          <w:t>124</w:t>
        </w:r>
        <w:r w:rsidR="009F079F">
          <w:rPr>
            <w:noProof/>
            <w:webHidden/>
          </w:rPr>
          <w:fldChar w:fldCharType="end"/>
        </w:r>
      </w:hyperlink>
    </w:p>
    <w:p w14:paraId="528C5E6D" w14:textId="2EA9239A" w:rsidR="009F079F" w:rsidRDefault="008079F1">
      <w:pPr>
        <w:pStyle w:val="TableofFigures"/>
        <w:rPr>
          <w:rFonts w:asciiTheme="minorHAnsi" w:eastAsiaTheme="minorEastAsia" w:hAnsiTheme="minorHAnsi" w:cstheme="minorBidi"/>
          <w:noProof/>
          <w:color w:val="auto"/>
          <w:sz w:val="22"/>
          <w:szCs w:val="22"/>
        </w:rPr>
      </w:pPr>
      <w:hyperlink w:anchor="_Toc508972173" w:history="1">
        <w:r w:rsidR="009F079F" w:rsidRPr="004D5256">
          <w:rPr>
            <w:rStyle w:val="Hyperlink"/>
            <w:noProof/>
          </w:rPr>
          <w:t>Table C.24 General and social characteristics of the land overlying the Clarence-Moreton Basin.</w:t>
        </w:r>
        <w:r w:rsidR="009F079F">
          <w:rPr>
            <w:noProof/>
            <w:webHidden/>
          </w:rPr>
          <w:tab/>
        </w:r>
        <w:r w:rsidR="009F079F">
          <w:rPr>
            <w:noProof/>
            <w:webHidden/>
          </w:rPr>
          <w:fldChar w:fldCharType="begin"/>
        </w:r>
        <w:r w:rsidR="009F079F">
          <w:rPr>
            <w:noProof/>
            <w:webHidden/>
          </w:rPr>
          <w:instrText xml:space="preserve"> PAGEREF _Toc508972173 \h </w:instrText>
        </w:r>
        <w:r w:rsidR="009F079F">
          <w:rPr>
            <w:noProof/>
            <w:webHidden/>
          </w:rPr>
        </w:r>
        <w:r w:rsidR="009F079F">
          <w:rPr>
            <w:noProof/>
            <w:webHidden/>
          </w:rPr>
          <w:fldChar w:fldCharType="separate"/>
        </w:r>
        <w:r w:rsidR="00640CCB">
          <w:rPr>
            <w:noProof/>
            <w:webHidden/>
          </w:rPr>
          <w:t>124</w:t>
        </w:r>
        <w:r w:rsidR="009F079F">
          <w:rPr>
            <w:noProof/>
            <w:webHidden/>
          </w:rPr>
          <w:fldChar w:fldCharType="end"/>
        </w:r>
      </w:hyperlink>
    </w:p>
    <w:p w14:paraId="6E0F69AA" w14:textId="29C791AE" w:rsidR="009F079F" w:rsidRDefault="008079F1">
      <w:pPr>
        <w:pStyle w:val="TableofFigures"/>
        <w:rPr>
          <w:rFonts w:asciiTheme="minorHAnsi" w:eastAsiaTheme="minorEastAsia" w:hAnsiTheme="minorHAnsi" w:cstheme="minorBidi"/>
          <w:noProof/>
          <w:color w:val="auto"/>
          <w:sz w:val="22"/>
          <w:szCs w:val="22"/>
        </w:rPr>
      </w:pPr>
      <w:hyperlink w:anchor="_Toc508972174" w:history="1">
        <w:r w:rsidR="009F079F" w:rsidRPr="004D5256">
          <w:rPr>
            <w:rStyle w:val="Hyperlink"/>
            <w:noProof/>
          </w:rPr>
          <w:t>Table C.25 Geology and petroleum prospectivity summary.</w:t>
        </w:r>
        <w:r w:rsidR="009F079F">
          <w:rPr>
            <w:noProof/>
            <w:webHidden/>
          </w:rPr>
          <w:tab/>
        </w:r>
        <w:r w:rsidR="009F079F">
          <w:rPr>
            <w:noProof/>
            <w:webHidden/>
          </w:rPr>
          <w:fldChar w:fldCharType="begin"/>
        </w:r>
        <w:r w:rsidR="009F079F">
          <w:rPr>
            <w:noProof/>
            <w:webHidden/>
          </w:rPr>
          <w:instrText xml:space="preserve"> PAGEREF _Toc508972174 \h </w:instrText>
        </w:r>
        <w:r w:rsidR="009F079F">
          <w:rPr>
            <w:noProof/>
            <w:webHidden/>
          </w:rPr>
        </w:r>
        <w:r w:rsidR="009F079F">
          <w:rPr>
            <w:noProof/>
            <w:webHidden/>
          </w:rPr>
          <w:fldChar w:fldCharType="separate"/>
        </w:r>
        <w:r w:rsidR="00640CCB">
          <w:rPr>
            <w:noProof/>
            <w:webHidden/>
          </w:rPr>
          <w:t>131</w:t>
        </w:r>
        <w:r w:rsidR="009F079F">
          <w:rPr>
            <w:noProof/>
            <w:webHidden/>
          </w:rPr>
          <w:fldChar w:fldCharType="end"/>
        </w:r>
      </w:hyperlink>
    </w:p>
    <w:p w14:paraId="60559871" w14:textId="682C85AB" w:rsidR="009F079F" w:rsidRDefault="008079F1">
      <w:pPr>
        <w:pStyle w:val="TableofFigures"/>
        <w:rPr>
          <w:rFonts w:asciiTheme="minorHAnsi" w:eastAsiaTheme="minorEastAsia" w:hAnsiTheme="minorHAnsi" w:cstheme="minorBidi"/>
          <w:noProof/>
          <w:color w:val="auto"/>
          <w:sz w:val="22"/>
          <w:szCs w:val="22"/>
        </w:rPr>
      </w:pPr>
      <w:hyperlink w:anchor="_Toc508972175" w:history="1">
        <w:r w:rsidR="009F079F" w:rsidRPr="004D5256">
          <w:rPr>
            <w:rStyle w:val="Hyperlink"/>
            <w:noProof/>
          </w:rPr>
          <w:t>Table C.26 Summary of shale and tight gas plays (compiled from Hall et al., 2015, 2016a, b, UPR, 2015).</w:t>
        </w:r>
        <w:r w:rsidR="009F079F">
          <w:rPr>
            <w:noProof/>
            <w:webHidden/>
          </w:rPr>
          <w:tab/>
        </w:r>
        <w:r w:rsidR="009F079F">
          <w:rPr>
            <w:noProof/>
            <w:webHidden/>
          </w:rPr>
          <w:fldChar w:fldCharType="begin"/>
        </w:r>
        <w:r w:rsidR="009F079F">
          <w:rPr>
            <w:noProof/>
            <w:webHidden/>
          </w:rPr>
          <w:instrText xml:space="preserve"> PAGEREF _Toc508972175 \h </w:instrText>
        </w:r>
        <w:r w:rsidR="009F079F">
          <w:rPr>
            <w:noProof/>
            <w:webHidden/>
          </w:rPr>
        </w:r>
        <w:r w:rsidR="009F079F">
          <w:rPr>
            <w:noProof/>
            <w:webHidden/>
          </w:rPr>
          <w:fldChar w:fldCharType="separate"/>
        </w:r>
        <w:r w:rsidR="00640CCB">
          <w:rPr>
            <w:noProof/>
            <w:webHidden/>
          </w:rPr>
          <w:t>141</w:t>
        </w:r>
        <w:r w:rsidR="009F079F">
          <w:rPr>
            <w:noProof/>
            <w:webHidden/>
          </w:rPr>
          <w:fldChar w:fldCharType="end"/>
        </w:r>
      </w:hyperlink>
    </w:p>
    <w:p w14:paraId="4EC6004A" w14:textId="0F10D993" w:rsidR="009F079F" w:rsidRDefault="008079F1">
      <w:pPr>
        <w:pStyle w:val="TableofFigures"/>
        <w:rPr>
          <w:rFonts w:asciiTheme="minorHAnsi" w:eastAsiaTheme="minorEastAsia" w:hAnsiTheme="minorHAnsi" w:cstheme="minorBidi"/>
          <w:noProof/>
          <w:color w:val="auto"/>
          <w:sz w:val="22"/>
          <w:szCs w:val="22"/>
        </w:rPr>
      </w:pPr>
      <w:hyperlink w:anchor="_Toc508972176" w:history="1">
        <w:r w:rsidR="009F079F" w:rsidRPr="004D5256">
          <w:rPr>
            <w:rStyle w:val="Hyperlink"/>
            <w:noProof/>
          </w:rPr>
          <w:t>Table C.27 Summary of market access and infrastructure. Pipeline information from AER (2017). Oil and gas infrastructure from GA (2015a), AER (2017) and Santos (2017). Processing facilities from GA (2015b).</w:t>
        </w:r>
        <w:r w:rsidR="009F079F">
          <w:rPr>
            <w:noProof/>
            <w:webHidden/>
          </w:rPr>
          <w:tab/>
        </w:r>
        <w:r w:rsidR="009F079F">
          <w:rPr>
            <w:noProof/>
            <w:webHidden/>
          </w:rPr>
          <w:fldChar w:fldCharType="begin"/>
        </w:r>
        <w:r w:rsidR="009F079F">
          <w:rPr>
            <w:noProof/>
            <w:webHidden/>
          </w:rPr>
          <w:instrText xml:space="preserve"> PAGEREF _Toc508972176 \h </w:instrText>
        </w:r>
        <w:r w:rsidR="009F079F">
          <w:rPr>
            <w:noProof/>
            <w:webHidden/>
          </w:rPr>
        </w:r>
        <w:r w:rsidR="009F079F">
          <w:rPr>
            <w:noProof/>
            <w:webHidden/>
          </w:rPr>
          <w:fldChar w:fldCharType="separate"/>
        </w:r>
        <w:r w:rsidR="00640CCB">
          <w:rPr>
            <w:noProof/>
            <w:webHidden/>
          </w:rPr>
          <w:t>142</w:t>
        </w:r>
        <w:r w:rsidR="009F079F">
          <w:rPr>
            <w:noProof/>
            <w:webHidden/>
          </w:rPr>
          <w:fldChar w:fldCharType="end"/>
        </w:r>
      </w:hyperlink>
    </w:p>
    <w:p w14:paraId="1D05FD89" w14:textId="147797D3" w:rsidR="009F079F" w:rsidRDefault="008079F1">
      <w:pPr>
        <w:pStyle w:val="TableofFigures"/>
        <w:rPr>
          <w:rFonts w:asciiTheme="minorHAnsi" w:eastAsiaTheme="minorEastAsia" w:hAnsiTheme="minorHAnsi" w:cstheme="minorBidi"/>
          <w:noProof/>
          <w:color w:val="auto"/>
          <w:sz w:val="22"/>
          <w:szCs w:val="22"/>
        </w:rPr>
      </w:pPr>
      <w:hyperlink w:anchor="_Toc508972177" w:history="1">
        <w:r w:rsidR="009F079F" w:rsidRPr="004D5256">
          <w:rPr>
            <w:rStyle w:val="Hyperlink"/>
            <w:noProof/>
          </w:rPr>
          <w:t>Table C.28 Classification of aquifers and aquitards within the Cooper Basin sequence (Smith et al., 2015).</w:t>
        </w:r>
        <w:r w:rsidR="009F079F">
          <w:rPr>
            <w:noProof/>
            <w:webHidden/>
          </w:rPr>
          <w:tab/>
        </w:r>
        <w:r w:rsidR="009F079F">
          <w:rPr>
            <w:noProof/>
            <w:webHidden/>
          </w:rPr>
          <w:fldChar w:fldCharType="begin"/>
        </w:r>
        <w:r w:rsidR="009F079F">
          <w:rPr>
            <w:noProof/>
            <w:webHidden/>
          </w:rPr>
          <w:instrText xml:space="preserve"> PAGEREF _Toc508972177 \h </w:instrText>
        </w:r>
        <w:r w:rsidR="009F079F">
          <w:rPr>
            <w:noProof/>
            <w:webHidden/>
          </w:rPr>
        </w:r>
        <w:r w:rsidR="009F079F">
          <w:rPr>
            <w:noProof/>
            <w:webHidden/>
          </w:rPr>
          <w:fldChar w:fldCharType="separate"/>
        </w:r>
        <w:r w:rsidR="00640CCB">
          <w:rPr>
            <w:noProof/>
            <w:webHidden/>
          </w:rPr>
          <w:t>146</w:t>
        </w:r>
        <w:r w:rsidR="009F079F">
          <w:rPr>
            <w:noProof/>
            <w:webHidden/>
          </w:rPr>
          <w:fldChar w:fldCharType="end"/>
        </w:r>
      </w:hyperlink>
    </w:p>
    <w:p w14:paraId="09DC44C5" w14:textId="4B082EB4" w:rsidR="009F079F" w:rsidRDefault="008079F1">
      <w:pPr>
        <w:pStyle w:val="TableofFigures"/>
        <w:rPr>
          <w:rFonts w:asciiTheme="minorHAnsi" w:eastAsiaTheme="minorEastAsia" w:hAnsiTheme="minorHAnsi" w:cstheme="minorBidi"/>
          <w:noProof/>
          <w:color w:val="auto"/>
          <w:sz w:val="22"/>
          <w:szCs w:val="22"/>
        </w:rPr>
      </w:pPr>
      <w:hyperlink w:anchor="_Toc508972178" w:history="1">
        <w:r w:rsidR="009F079F" w:rsidRPr="004D5256">
          <w:rPr>
            <w:rStyle w:val="Hyperlink"/>
            <w:noProof/>
          </w:rPr>
          <w:t>Table C.29 Salinity in aquifers of the Cooper Basin region (Smith et al., 2015). NA: data not available.</w:t>
        </w:r>
        <w:r w:rsidR="009F079F">
          <w:rPr>
            <w:noProof/>
            <w:webHidden/>
          </w:rPr>
          <w:tab/>
        </w:r>
        <w:r w:rsidR="009F079F">
          <w:rPr>
            <w:noProof/>
            <w:webHidden/>
          </w:rPr>
          <w:fldChar w:fldCharType="begin"/>
        </w:r>
        <w:r w:rsidR="009F079F">
          <w:rPr>
            <w:noProof/>
            <w:webHidden/>
          </w:rPr>
          <w:instrText xml:space="preserve"> PAGEREF _Toc508972178 \h </w:instrText>
        </w:r>
        <w:r w:rsidR="009F079F">
          <w:rPr>
            <w:noProof/>
            <w:webHidden/>
          </w:rPr>
        </w:r>
        <w:r w:rsidR="009F079F">
          <w:rPr>
            <w:noProof/>
            <w:webHidden/>
          </w:rPr>
          <w:fldChar w:fldCharType="separate"/>
        </w:r>
        <w:r w:rsidR="00640CCB">
          <w:rPr>
            <w:noProof/>
            <w:webHidden/>
          </w:rPr>
          <w:t>148</w:t>
        </w:r>
        <w:r w:rsidR="009F079F">
          <w:rPr>
            <w:noProof/>
            <w:webHidden/>
          </w:rPr>
          <w:fldChar w:fldCharType="end"/>
        </w:r>
      </w:hyperlink>
    </w:p>
    <w:p w14:paraId="6246DE6E" w14:textId="13F479F3" w:rsidR="009F079F" w:rsidRDefault="008079F1">
      <w:pPr>
        <w:pStyle w:val="TableofFigures"/>
        <w:rPr>
          <w:rFonts w:asciiTheme="minorHAnsi" w:eastAsiaTheme="minorEastAsia" w:hAnsiTheme="minorHAnsi" w:cstheme="minorBidi"/>
          <w:noProof/>
          <w:color w:val="auto"/>
          <w:sz w:val="22"/>
          <w:szCs w:val="22"/>
        </w:rPr>
      </w:pPr>
      <w:hyperlink w:anchor="_Toc508972179" w:history="1">
        <w:r w:rsidR="009F079F" w:rsidRPr="004D5256">
          <w:rPr>
            <w:rStyle w:val="Hyperlink"/>
            <w:noProof/>
          </w:rPr>
          <w:t>Table C.30 Summary of groundwater bores and water use.</w:t>
        </w:r>
        <w:r w:rsidR="009F079F">
          <w:rPr>
            <w:noProof/>
            <w:webHidden/>
          </w:rPr>
          <w:tab/>
        </w:r>
        <w:r w:rsidR="009F079F">
          <w:rPr>
            <w:noProof/>
            <w:webHidden/>
          </w:rPr>
          <w:fldChar w:fldCharType="begin"/>
        </w:r>
        <w:r w:rsidR="009F079F">
          <w:rPr>
            <w:noProof/>
            <w:webHidden/>
          </w:rPr>
          <w:instrText xml:space="preserve"> PAGEREF _Toc508972179 \h </w:instrText>
        </w:r>
        <w:r w:rsidR="009F079F">
          <w:rPr>
            <w:noProof/>
            <w:webHidden/>
          </w:rPr>
        </w:r>
        <w:r w:rsidR="009F079F">
          <w:rPr>
            <w:noProof/>
            <w:webHidden/>
          </w:rPr>
          <w:fldChar w:fldCharType="separate"/>
        </w:r>
        <w:r w:rsidR="00640CCB">
          <w:rPr>
            <w:noProof/>
            <w:webHidden/>
          </w:rPr>
          <w:t>150</w:t>
        </w:r>
        <w:r w:rsidR="009F079F">
          <w:rPr>
            <w:noProof/>
            <w:webHidden/>
          </w:rPr>
          <w:fldChar w:fldCharType="end"/>
        </w:r>
      </w:hyperlink>
    </w:p>
    <w:p w14:paraId="53D009E3" w14:textId="24F7087D" w:rsidR="009F079F" w:rsidRDefault="008079F1">
      <w:pPr>
        <w:pStyle w:val="TableofFigures"/>
        <w:rPr>
          <w:rFonts w:asciiTheme="minorHAnsi" w:eastAsiaTheme="minorEastAsia" w:hAnsiTheme="minorHAnsi" w:cstheme="minorBidi"/>
          <w:noProof/>
          <w:color w:val="auto"/>
          <w:sz w:val="22"/>
          <w:szCs w:val="22"/>
        </w:rPr>
      </w:pPr>
      <w:hyperlink w:anchor="_Toc508972180" w:history="1">
        <w:r w:rsidR="009F079F" w:rsidRPr="004D5256">
          <w:rPr>
            <w:rStyle w:val="Hyperlink"/>
            <w:noProof/>
          </w:rPr>
          <w:t>Table C.31 Stream gauges in and around the Cooper Basin region, identifying the data record period and mean annual flows measured (compiled in Smith et al., 2015).</w:t>
        </w:r>
        <w:r w:rsidR="009F079F">
          <w:rPr>
            <w:noProof/>
            <w:webHidden/>
          </w:rPr>
          <w:tab/>
        </w:r>
        <w:r w:rsidR="009F079F">
          <w:rPr>
            <w:noProof/>
            <w:webHidden/>
          </w:rPr>
          <w:fldChar w:fldCharType="begin"/>
        </w:r>
        <w:r w:rsidR="009F079F">
          <w:rPr>
            <w:noProof/>
            <w:webHidden/>
          </w:rPr>
          <w:instrText xml:space="preserve"> PAGEREF _Toc508972180 \h </w:instrText>
        </w:r>
        <w:r w:rsidR="009F079F">
          <w:rPr>
            <w:noProof/>
            <w:webHidden/>
          </w:rPr>
        </w:r>
        <w:r w:rsidR="009F079F">
          <w:rPr>
            <w:noProof/>
            <w:webHidden/>
          </w:rPr>
          <w:fldChar w:fldCharType="separate"/>
        </w:r>
        <w:r w:rsidR="00640CCB">
          <w:rPr>
            <w:noProof/>
            <w:webHidden/>
          </w:rPr>
          <w:t>152</w:t>
        </w:r>
        <w:r w:rsidR="009F079F">
          <w:rPr>
            <w:noProof/>
            <w:webHidden/>
          </w:rPr>
          <w:fldChar w:fldCharType="end"/>
        </w:r>
      </w:hyperlink>
    </w:p>
    <w:p w14:paraId="6F1820D4" w14:textId="340D7981" w:rsidR="009F079F" w:rsidRDefault="008079F1">
      <w:pPr>
        <w:pStyle w:val="TableofFigures"/>
        <w:rPr>
          <w:rFonts w:asciiTheme="minorHAnsi" w:eastAsiaTheme="minorEastAsia" w:hAnsiTheme="minorHAnsi" w:cstheme="minorBidi"/>
          <w:noProof/>
          <w:color w:val="auto"/>
          <w:sz w:val="22"/>
          <w:szCs w:val="22"/>
        </w:rPr>
      </w:pPr>
      <w:hyperlink w:anchor="_Toc508972181" w:history="1">
        <w:r w:rsidR="009F079F" w:rsidRPr="004D5256">
          <w:rPr>
            <w:rStyle w:val="Hyperlink"/>
            <w:noProof/>
          </w:rPr>
          <w:t>Table C.32 Summary of environmental assets.</w:t>
        </w:r>
        <w:r w:rsidR="009F079F">
          <w:rPr>
            <w:noProof/>
            <w:webHidden/>
          </w:rPr>
          <w:tab/>
        </w:r>
        <w:r w:rsidR="009F079F">
          <w:rPr>
            <w:noProof/>
            <w:webHidden/>
          </w:rPr>
          <w:fldChar w:fldCharType="begin"/>
        </w:r>
        <w:r w:rsidR="009F079F">
          <w:rPr>
            <w:noProof/>
            <w:webHidden/>
          </w:rPr>
          <w:instrText xml:space="preserve"> PAGEREF _Toc508972181 \h </w:instrText>
        </w:r>
        <w:r w:rsidR="009F079F">
          <w:rPr>
            <w:noProof/>
            <w:webHidden/>
          </w:rPr>
        </w:r>
        <w:r w:rsidR="009F079F">
          <w:rPr>
            <w:noProof/>
            <w:webHidden/>
          </w:rPr>
          <w:fldChar w:fldCharType="separate"/>
        </w:r>
        <w:r w:rsidR="00640CCB">
          <w:rPr>
            <w:noProof/>
            <w:webHidden/>
          </w:rPr>
          <w:t>153</w:t>
        </w:r>
        <w:r w:rsidR="009F079F">
          <w:rPr>
            <w:noProof/>
            <w:webHidden/>
          </w:rPr>
          <w:fldChar w:fldCharType="end"/>
        </w:r>
      </w:hyperlink>
    </w:p>
    <w:p w14:paraId="0BB05D47" w14:textId="03FB1864" w:rsidR="009F079F" w:rsidRDefault="008079F1">
      <w:pPr>
        <w:pStyle w:val="TableofFigures"/>
        <w:rPr>
          <w:rFonts w:asciiTheme="minorHAnsi" w:eastAsiaTheme="minorEastAsia" w:hAnsiTheme="minorHAnsi" w:cstheme="minorBidi"/>
          <w:noProof/>
          <w:color w:val="auto"/>
          <w:sz w:val="22"/>
          <w:szCs w:val="22"/>
        </w:rPr>
      </w:pPr>
      <w:hyperlink w:anchor="_Toc508972182" w:history="1">
        <w:r w:rsidR="009F079F" w:rsidRPr="004D5256">
          <w:rPr>
            <w:rStyle w:val="Hyperlink"/>
            <w:noProof/>
          </w:rPr>
          <w:t>Table C.33 Summary of population, land use and aboriginal protected area.</w:t>
        </w:r>
        <w:r w:rsidR="009F079F">
          <w:rPr>
            <w:noProof/>
            <w:webHidden/>
          </w:rPr>
          <w:tab/>
        </w:r>
        <w:r w:rsidR="009F079F">
          <w:rPr>
            <w:noProof/>
            <w:webHidden/>
          </w:rPr>
          <w:fldChar w:fldCharType="begin"/>
        </w:r>
        <w:r w:rsidR="009F079F">
          <w:rPr>
            <w:noProof/>
            <w:webHidden/>
          </w:rPr>
          <w:instrText xml:space="preserve"> PAGEREF _Toc508972182 \h </w:instrText>
        </w:r>
        <w:r w:rsidR="009F079F">
          <w:rPr>
            <w:noProof/>
            <w:webHidden/>
          </w:rPr>
        </w:r>
        <w:r w:rsidR="009F079F">
          <w:rPr>
            <w:noProof/>
            <w:webHidden/>
          </w:rPr>
          <w:fldChar w:fldCharType="separate"/>
        </w:r>
        <w:r w:rsidR="00640CCB">
          <w:rPr>
            <w:noProof/>
            <w:webHidden/>
          </w:rPr>
          <w:t>154</w:t>
        </w:r>
        <w:r w:rsidR="009F079F">
          <w:rPr>
            <w:noProof/>
            <w:webHidden/>
          </w:rPr>
          <w:fldChar w:fldCharType="end"/>
        </w:r>
      </w:hyperlink>
    </w:p>
    <w:p w14:paraId="07F734CE" w14:textId="52E37597" w:rsidR="009F079F" w:rsidRDefault="008079F1">
      <w:pPr>
        <w:pStyle w:val="TableofFigures"/>
        <w:rPr>
          <w:rFonts w:asciiTheme="minorHAnsi" w:eastAsiaTheme="minorEastAsia" w:hAnsiTheme="minorHAnsi" w:cstheme="minorBidi"/>
          <w:noProof/>
          <w:color w:val="auto"/>
          <w:sz w:val="22"/>
          <w:szCs w:val="22"/>
        </w:rPr>
      </w:pPr>
      <w:hyperlink w:anchor="_Toc508972183" w:history="1">
        <w:r w:rsidR="009F079F" w:rsidRPr="004D5256">
          <w:rPr>
            <w:rStyle w:val="Hyperlink"/>
            <w:noProof/>
          </w:rPr>
          <w:t>Table C.34 Geology and petroleum prospectivity summary.</w:t>
        </w:r>
        <w:r w:rsidR="009F079F">
          <w:rPr>
            <w:noProof/>
            <w:webHidden/>
          </w:rPr>
          <w:tab/>
        </w:r>
        <w:r w:rsidR="009F079F">
          <w:rPr>
            <w:noProof/>
            <w:webHidden/>
          </w:rPr>
          <w:fldChar w:fldCharType="begin"/>
        </w:r>
        <w:r w:rsidR="009F079F">
          <w:rPr>
            <w:noProof/>
            <w:webHidden/>
          </w:rPr>
          <w:instrText xml:space="preserve"> PAGEREF _Toc508972183 \h </w:instrText>
        </w:r>
        <w:r w:rsidR="009F079F">
          <w:rPr>
            <w:noProof/>
            <w:webHidden/>
          </w:rPr>
        </w:r>
        <w:r w:rsidR="009F079F">
          <w:rPr>
            <w:noProof/>
            <w:webHidden/>
          </w:rPr>
          <w:fldChar w:fldCharType="separate"/>
        </w:r>
        <w:r w:rsidR="00640CCB">
          <w:rPr>
            <w:noProof/>
            <w:webHidden/>
          </w:rPr>
          <w:t>161</w:t>
        </w:r>
        <w:r w:rsidR="009F079F">
          <w:rPr>
            <w:noProof/>
            <w:webHidden/>
          </w:rPr>
          <w:fldChar w:fldCharType="end"/>
        </w:r>
      </w:hyperlink>
    </w:p>
    <w:p w14:paraId="31B1654E" w14:textId="7B2303B5" w:rsidR="009F079F" w:rsidRDefault="008079F1">
      <w:pPr>
        <w:pStyle w:val="TableofFigures"/>
        <w:rPr>
          <w:rFonts w:asciiTheme="minorHAnsi" w:eastAsiaTheme="minorEastAsia" w:hAnsiTheme="minorHAnsi" w:cstheme="minorBidi"/>
          <w:noProof/>
          <w:color w:val="auto"/>
          <w:sz w:val="22"/>
          <w:szCs w:val="22"/>
        </w:rPr>
      </w:pPr>
      <w:hyperlink w:anchor="_Toc508972184" w:history="1">
        <w:r w:rsidR="009F079F" w:rsidRPr="004D5256">
          <w:rPr>
            <w:rStyle w:val="Hyperlink"/>
            <w:noProof/>
          </w:rPr>
          <w:t>Table C.35 Summary of shale and tight gas plays (compiled from Draper, 2007; Dunster et al., 2007; Munson, 2014; UPR, 2015; DNRM, 2017).</w:t>
        </w:r>
        <w:r w:rsidR="009F079F">
          <w:rPr>
            <w:noProof/>
            <w:webHidden/>
          </w:rPr>
          <w:tab/>
        </w:r>
        <w:r w:rsidR="009F079F">
          <w:rPr>
            <w:noProof/>
            <w:webHidden/>
          </w:rPr>
          <w:fldChar w:fldCharType="begin"/>
        </w:r>
        <w:r w:rsidR="009F079F">
          <w:rPr>
            <w:noProof/>
            <w:webHidden/>
          </w:rPr>
          <w:instrText xml:space="preserve"> PAGEREF _Toc508972184 \h </w:instrText>
        </w:r>
        <w:r w:rsidR="009F079F">
          <w:rPr>
            <w:noProof/>
            <w:webHidden/>
          </w:rPr>
        </w:r>
        <w:r w:rsidR="009F079F">
          <w:rPr>
            <w:noProof/>
            <w:webHidden/>
          </w:rPr>
          <w:fldChar w:fldCharType="separate"/>
        </w:r>
        <w:r w:rsidR="00640CCB">
          <w:rPr>
            <w:noProof/>
            <w:webHidden/>
          </w:rPr>
          <w:t>169</w:t>
        </w:r>
        <w:r w:rsidR="009F079F">
          <w:rPr>
            <w:noProof/>
            <w:webHidden/>
          </w:rPr>
          <w:fldChar w:fldCharType="end"/>
        </w:r>
      </w:hyperlink>
    </w:p>
    <w:p w14:paraId="7D882A16" w14:textId="09523F80" w:rsidR="009F079F" w:rsidRDefault="008079F1">
      <w:pPr>
        <w:pStyle w:val="TableofFigures"/>
        <w:rPr>
          <w:rFonts w:asciiTheme="minorHAnsi" w:eastAsiaTheme="minorEastAsia" w:hAnsiTheme="minorHAnsi" w:cstheme="minorBidi"/>
          <w:noProof/>
          <w:color w:val="auto"/>
          <w:sz w:val="22"/>
          <w:szCs w:val="22"/>
        </w:rPr>
      </w:pPr>
      <w:hyperlink w:anchor="_Toc508972185" w:history="1">
        <w:r w:rsidR="009F079F" w:rsidRPr="004D5256">
          <w:rPr>
            <w:rStyle w:val="Hyperlink"/>
            <w:noProof/>
          </w:rPr>
          <w:t>Table C.36 Summary of market access and infrastructure. Pipeline information from AER (2017) and Jemena (2017). Oil and gas infrastructure from GA (2015a). Processing facilities from GA (2015b).</w:t>
        </w:r>
        <w:r w:rsidR="009F079F">
          <w:rPr>
            <w:noProof/>
            <w:webHidden/>
          </w:rPr>
          <w:tab/>
        </w:r>
        <w:r w:rsidR="009F079F">
          <w:rPr>
            <w:noProof/>
            <w:webHidden/>
          </w:rPr>
          <w:fldChar w:fldCharType="begin"/>
        </w:r>
        <w:r w:rsidR="009F079F">
          <w:rPr>
            <w:noProof/>
            <w:webHidden/>
          </w:rPr>
          <w:instrText xml:space="preserve"> PAGEREF _Toc508972185 \h </w:instrText>
        </w:r>
        <w:r w:rsidR="009F079F">
          <w:rPr>
            <w:noProof/>
            <w:webHidden/>
          </w:rPr>
        </w:r>
        <w:r w:rsidR="009F079F">
          <w:rPr>
            <w:noProof/>
            <w:webHidden/>
          </w:rPr>
          <w:fldChar w:fldCharType="separate"/>
        </w:r>
        <w:r w:rsidR="00640CCB">
          <w:rPr>
            <w:noProof/>
            <w:webHidden/>
          </w:rPr>
          <w:t>171</w:t>
        </w:r>
        <w:r w:rsidR="009F079F">
          <w:rPr>
            <w:noProof/>
            <w:webHidden/>
          </w:rPr>
          <w:fldChar w:fldCharType="end"/>
        </w:r>
      </w:hyperlink>
    </w:p>
    <w:p w14:paraId="6BC39C81" w14:textId="335AD802" w:rsidR="009F079F" w:rsidRDefault="008079F1">
      <w:pPr>
        <w:pStyle w:val="TableofFigures"/>
        <w:rPr>
          <w:rFonts w:asciiTheme="minorHAnsi" w:eastAsiaTheme="minorEastAsia" w:hAnsiTheme="minorHAnsi" w:cstheme="minorBidi"/>
          <w:noProof/>
          <w:color w:val="auto"/>
          <w:sz w:val="22"/>
          <w:szCs w:val="22"/>
        </w:rPr>
      </w:pPr>
      <w:hyperlink w:anchor="_Toc508972186" w:history="1">
        <w:r w:rsidR="009F079F" w:rsidRPr="004D5256">
          <w:rPr>
            <w:rStyle w:val="Hyperlink"/>
            <w:noProof/>
          </w:rPr>
          <w:t>Table C.37 Summary of groundwater bores and water use.</w:t>
        </w:r>
        <w:r w:rsidR="009F079F">
          <w:rPr>
            <w:noProof/>
            <w:webHidden/>
          </w:rPr>
          <w:tab/>
        </w:r>
        <w:r w:rsidR="009F079F">
          <w:rPr>
            <w:noProof/>
            <w:webHidden/>
          </w:rPr>
          <w:fldChar w:fldCharType="begin"/>
        </w:r>
        <w:r w:rsidR="009F079F">
          <w:rPr>
            <w:noProof/>
            <w:webHidden/>
          </w:rPr>
          <w:instrText xml:space="preserve"> PAGEREF _Toc508972186 \h </w:instrText>
        </w:r>
        <w:r w:rsidR="009F079F">
          <w:rPr>
            <w:noProof/>
            <w:webHidden/>
          </w:rPr>
        </w:r>
        <w:r w:rsidR="009F079F">
          <w:rPr>
            <w:noProof/>
            <w:webHidden/>
          </w:rPr>
          <w:fldChar w:fldCharType="separate"/>
        </w:r>
        <w:r w:rsidR="00640CCB">
          <w:rPr>
            <w:noProof/>
            <w:webHidden/>
          </w:rPr>
          <w:t>176</w:t>
        </w:r>
        <w:r w:rsidR="009F079F">
          <w:rPr>
            <w:noProof/>
            <w:webHidden/>
          </w:rPr>
          <w:fldChar w:fldCharType="end"/>
        </w:r>
      </w:hyperlink>
    </w:p>
    <w:p w14:paraId="4A57ED22" w14:textId="3F1D9BA5" w:rsidR="009F079F" w:rsidRDefault="008079F1">
      <w:pPr>
        <w:pStyle w:val="TableofFigures"/>
        <w:rPr>
          <w:rFonts w:asciiTheme="minorHAnsi" w:eastAsiaTheme="minorEastAsia" w:hAnsiTheme="minorHAnsi" w:cstheme="minorBidi"/>
          <w:noProof/>
          <w:color w:val="auto"/>
          <w:sz w:val="22"/>
          <w:szCs w:val="22"/>
        </w:rPr>
      </w:pPr>
      <w:hyperlink w:anchor="_Toc508972187" w:history="1">
        <w:r w:rsidR="009F079F" w:rsidRPr="004D5256">
          <w:rPr>
            <w:rStyle w:val="Hyperlink"/>
            <w:noProof/>
          </w:rPr>
          <w:t>Table C.38 Summary of environmental assets.</w:t>
        </w:r>
        <w:r w:rsidR="009F079F">
          <w:rPr>
            <w:noProof/>
            <w:webHidden/>
          </w:rPr>
          <w:tab/>
        </w:r>
        <w:r w:rsidR="009F079F">
          <w:rPr>
            <w:noProof/>
            <w:webHidden/>
          </w:rPr>
          <w:fldChar w:fldCharType="begin"/>
        </w:r>
        <w:r w:rsidR="009F079F">
          <w:rPr>
            <w:noProof/>
            <w:webHidden/>
          </w:rPr>
          <w:instrText xml:space="preserve"> PAGEREF _Toc508972187 \h </w:instrText>
        </w:r>
        <w:r w:rsidR="009F079F">
          <w:rPr>
            <w:noProof/>
            <w:webHidden/>
          </w:rPr>
        </w:r>
        <w:r w:rsidR="009F079F">
          <w:rPr>
            <w:noProof/>
            <w:webHidden/>
          </w:rPr>
          <w:fldChar w:fldCharType="separate"/>
        </w:r>
        <w:r w:rsidR="00640CCB">
          <w:rPr>
            <w:noProof/>
            <w:webHidden/>
          </w:rPr>
          <w:t>178</w:t>
        </w:r>
        <w:r w:rsidR="009F079F">
          <w:rPr>
            <w:noProof/>
            <w:webHidden/>
          </w:rPr>
          <w:fldChar w:fldCharType="end"/>
        </w:r>
      </w:hyperlink>
    </w:p>
    <w:p w14:paraId="2A311D53" w14:textId="6DE8D764" w:rsidR="009F079F" w:rsidRDefault="008079F1">
      <w:pPr>
        <w:pStyle w:val="TableofFigures"/>
        <w:rPr>
          <w:rFonts w:asciiTheme="minorHAnsi" w:eastAsiaTheme="minorEastAsia" w:hAnsiTheme="minorHAnsi" w:cstheme="minorBidi"/>
          <w:noProof/>
          <w:color w:val="auto"/>
          <w:sz w:val="22"/>
          <w:szCs w:val="22"/>
        </w:rPr>
      </w:pPr>
      <w:hyperlink w:anchor="_Toc508972188" w:history="1">
        <w:r w:rsidR="009F079F" w:rsidRPr="004D5256">
          <w:rPr>
            <w:rStyle w:val="Hyperlink"/>
            <w:noProof/>
          </w:rPr>
          <w:t>Table C.39 Summary of population, land use and aboriginal protected area.</w:t>
        </w:r>
        <w:r w:rsidR="009F079F">
          <w:rPr>
            <w:noProof/>
            <w:webHidden/>
          </w:rPr>
          <w:tab/>
        </w:r>
        <w:r w:rsidR="009F079F">
          <w:rPr>
            <w:noProof/>
            <w:webHidden/>
          </w:rPr>
          <w:fldChar w:fldCharType="begin"/>
        </w:r>
        <w:r w:rsidR="009F079F">
          <w:rPr>
            <w:noProof/>
            <w:webHidden/>
          </w:rPr>
          <w:instrText xml:space="preserve"> PAGEREF _Toc508972188 \h </w:instrText>
        </w:r>
        <w:r w:rsidR="009F079F">
          <w:rPr>
            <w:noProof/>
            <w:webHidden/>
          </w:rPr>
        </w:r>
        <w:r w:rsidR="009F079F">
          <w:rPr>
            <w:noProof/>
            <w:webHidden/>
          </w:rPr>
          <w:fldChar w:fldCharType="separate"/>
        </w:r>
        <w:r w:rsidR="00640CCB">
          <w:rPr>
            <w:noProof/>
            <w:webHidden/>
          </w:rPr>
          <w:t>178</w:t>
        </w:r>
        <w:r w:rsidR="009F079F">
          <w:rPr>
            <w:noProof/>
            <w:webHidden/>
          </w:rPr>
          <w:fldChar w:fldCharType="end"/>
        </w:r>
      </w:hyperlink>
    </w:p>
    <w:p w14:paraId="393EC92D" w14:textId="189BF7FD" w:rsidR="009F079F" w:rsidRDefault="008079F1">
      <w:pPr>
        <w:pStyle w:val="TableofFigures"/>
        <w:rPr>
          <w:rFonts w:asciiTheme="minorHAnsi" w:eastAsiaTheme="minorEastAsia" w:hAnsiTheme="minorHAnsi" w:cstheme="minorBidi"/>
          <w:noProof/>
          <w:color w:val="auto"/>
          <w:sz w:val="22"/>
          <w:szCs w:val="22"/>
        </w:rPr>
      </w:pPr>
      <w:hyperlink w:anchor="_Toc508972189" w:history="1">
        <w:r w:rsidR="009F079F" w:rsidRPr="004D5256">
          <w:rPr>
            <w:rStyle w:val="Hyperlink"/>
            <w:noProof/>
          </w:rPr>
          <w:t>Table C.40 Geology and petroleum prospectivity summary.</w:t>
        </w:r>
        <w:r w:rsidR="009F079F">
          <w:rPr>
            <w:noProof/>
            <w:webHidden/>
          </w:rPr>
          <w:tab/>
        </w:r>
        <w:r w:rsidR="009F079F">
          <w:rPr>
            <w:noProof/>
            <w:webHidden/>
          </w:rPr>
          <w:fldChar w:fldCharType="begin"/>
        </w:r>
        <w:r w:rsidR="009F079F">
          <w:rPr>
            <w:noProof/>
            <w:webHidden/>
          </w:rPr>
          <w:instrText xml:space="preserve"> PAGEREF _Toc508972189 \h </w:instrText>
        </w:r>
        <w:r w:rsidR="009F079F">
          <w:rPr>
            <w:noProof/>
            <w:webHidden/>
          </w:rPr>
        </w:r>
        <w:r w:rsidR="009F079F">
          <w:rPr>
            <w:noProof/>
            <w:webHidden/>
          </w:rPr>
          <w:fldChar w:fldCharType="separate"/>
        </w:r>
        <w:r w:rsidR="00640CCB">
          <w:rPr>
            <w:noProof/>
            <w:webHidden/>
          </w:rPr>
          <w:t>187</w:t>
        </w:r>
        <w:r w:rsidR="009F079F">
          <w:rPr>
            <w:noProof/>
            <w:webHidden/>
          </w:rPr>
          <w:fldChar w:fldCharType="end"/>
        </w:r>
      </w:hyperlink>
    </w:p>
    <w:p w14:paraId="38B89CE3" w14:textId="328564AD" w:rsidR="009F079F" w:rsidRDefault="008079F1">
      <w:pPr>
        <w:pStyle w:val="TableofFigures"/>
        <w:rPr>
          <w:rFonts w:asciiTheme="minorHAnsi" w:eastAsiaTheme="minorEastAsia" w:hAnsiTheme="minorHAnsi" w:cstheme="minorBidi"/>
          <w:noProof/>
          <w:color w:val="auto"/>
          <w:sz w:val="22"/>
          <w:szCs w:val="22"/>
        </w:rPr>
      </w:pPr>
      <w:hyperlink w:anchor="_Toc508972190" w:history="1">
        <w:r w:rsidR="009F079F" w:rsidRPr="004D5256">
          <w:rPr>
            <w:rStyle w:val="Hyperlink"/>
            <w:noProof/>
          </w:rPr>
          <w:t>Table C.41 Summary of shale and tight gas plays with the potential to supply gas to market in a 5 to 10 year timeframe. Compiled from Goldie Divko (2015) and GA (2017). Note too little is understood about the shale gas potential for development of any shale gas play in the basin within a 10 year timeframe, so this play is not included here.</w:t>
        </w:r>
        <w:r w:rsidR="009F079F">
          <w:rPr>
            <w:noProof/>
            <w:webHidden/>
          </w:rPr>
          <w:tab/>
        </w:r>
        <w:r w:rsidR="009F079F">
          <w:rPr>
            <w:noProof/>
            <w:webHidden/>
          </w:rPr>
          <w:fldChar w:fldCharType="begin"/>
        </w:r>
        <w:r w:rsidR="009F079F">
          <w:rPr>
            <w:noProof/>
            <w:webHidden/>
          </w:rPr>
          <w:instrText xml:space="preserve"> PAGEREF _Toc508972190 \h </w:instrText>
        </w:r>
        <w:r w:rsidR="009F079F">
          <w:rPr>
            <w:noProof/>
            <w:webHidden/>
          </w:rPr>
        </w:r>
        <w:r w:rsidR="009F079F">
          <w:rPr>
            <w:noProof/>
            <w:webHidden/>
          </w:rPr>
          <w:fldChar w:fldCharType="separate"/>
        </w:r>
        <w:r w:rsidR="00640CCB">
          <w:rPr>
            <w:noProof/>
            <w:webHidden/>
          </w:rPr>
          <w:t>194</w:t>
        </w:r>
        <w:r w:rsidR="009F079F">
          <w:rPr>
            <w:noProof/>
            <w:webHidden/>
          </w:rPr>
          <w:fldChar w:fldCharType="end"/>
        </w:r>
      </w:hyperlink>
    </w:p>
    <w:p w14:paraId="1D678CA1" w14:textId="42740A6D" w:rsidR="009F079F" w:rsidRDefault="008079F1">
      <w:pPr>
        <w:pStyle w:val="TableofFigures"/>
        <w:rPr>
          <w:rFonts w:asciiTheme="minorHAnsi" w:eastAsiaTheme="minorEastAsia" w:hAnsiTheme="minorHAnsi" w:cstheme="minorBidi"/>
          <w:noProof/>
          <w:color w:val="auto"/>
          <w:sz w:val="22"/>
          <w:szCs w:val="22"/>
        </w:rPr>
      </w:pPr>
      <w:hyperlink w:anchor="_Toc508972191" w:history="1">
        <w:r w:rsidR="009F079F" w:rsidRPr="004D5256">
          <w:rPr>
            <w:rStyle w:val="Hyperlink"/>
            <w:noProof/>
          </w:rPr>
          <w:t>Table C.42 Summary of market access and infrastructure. Pipeline information from AER (2017). Processing facilities from GA (2015b).</w:t>
        </w:r>
        <w:r w:rsidR="009F079F">
          <w:rPr>
            <w:noProof/>
            <w:webHidden/>
          </w:rPr>
          <w:tab/>
        </w:r>
        <w:r w:rsidR="009F079F">
          <w:rPr>
            <w:noProof/>
            <w:webHidden/>
          </w:rPr>
          <w:fldChar w:fldCharType="begin"/>
        </w:r>
        <w:r w:rsidR="009F079F">
          <w:rPr>
            <w:noProof/>
            <w:webHidden/>
          </w:rPr>
          <w:instrText xml:space="preserve"> PAGEREF _Toc508972191 \h </w:instrText>
        </w:r>
        <w:r w:rsidR="009F079F">
          <w:rPr>
            <w:noProof/>
            <w:webHidden/>
          </w:rPr>
        </w:r>
        <w:r w:rsidR="009F079F">
          <w:rPr>
            <w:noProof/>
            <w:webHidden/>
          </w:rPr>
          <w:fldChar w:fldCharType="separate"/>
        </w:r>
        <w:r w:rsidR="00640CCB">
          <w:rPr>
            <w:noProof/>
            <w:webHidden/>
          </w:rPr>
          <w:t>195</w:t>
        </w:r>
        <w:r w:rsidR="009F079F">
          <w:rPr>
            <w:noProof/>
            <w:webHidden/>
          </w:rPr>
          <w:fldChar w:fldCharType="end"/>
        </w:r>
      </w:hyperlink>
    </w:p>
    <w:p w14:paraId="288AC000" w14:textId="78C0DFAB" w:rsidR="009F079F" w:rsidRDefault="008079F1">
      <w:pPr>
        <w:pStyle w:val="TableofFigures"/>
        <w:rPr>
          <w:rFonts w:asciiTheme="minorHAnsi" w:eastAsiaTheme="minorEastAsia" w:hAnsiTheme="minorHAnsi" w:cstheme="minorBidi"/>
          <w:noProof/>
          <w:color w:val="auto"/>
          <w:sz w:val="22"/>
          <w:szCs w:val="22"/>
        </w:rPr>
      </w:pPr>
      <w:hyperlink w:anchor="_Toc508972192" w:history="1">
        <w:r w:rsidR="009F079F" w:rsidRPr="004D5256">
          <w:rPr>
            <w:rStyle w:val="Hyperlink"/>
            <w:noProof/>
          </w:rPr>
          <w:t>Table C.43 Summary of groundwater bores and water use in the Gippsland Basin</w:t>
        </w:r>
        <w:r w:rsidR="009F079F">
          <w:rPr>
            <w:noProof/>
            <w:webHidden/>
          </w:rPr>
          <w:tab/>
        </w:r>
        <w:r w:rsidR="009F079F">
          <w:rPr>
            <w:noProof/>
            <w:webHidden/>
          </w:rPr>
          <w:fldChar w:fldCharType="begin"/>
        </w:r>
        <w:r w:rsidR="009F079F">
          <w:rPr>
            <w:noProof/>
            <w:webHidden/>
          </w:rPr>
          <w:instrText xml:space="preserve"> PAGEREF _Toc508972192 \h </w:instrText>
        </w:r>
        <w:r w:rsidR="009F079F">
          <w:rPr>
            <w:noProof/>
            <w:webHidden/>
          </w:rPr>
        </w:r>
        <w:r w:rsidR="009F079F">
          <w:rPr>
            <w:noProof/>
            <w:webHidden/>
          </w:rPr>
          <w:fldChar w:fldCharType="separate"/>
        </w:r>
        <w:r w:rsidR="00640CCB">
          <w:rPr>
            <w:noProof/>
            <w:webHidden/>
          </w:rPr>
          <w:t>201</w:t>
        </w:r>
        <w:r w:rsidR="009F079F">
          <w:rPr>
            <w:noProof/>
            <w:webHidden/>
          </w:rPr>
          <w:fldChar w:fldCharType="end"/>
        </w:r>
      </w:hyperlink>
    </w:p>
    <w:p w14:paraId="6DF48CB9" w14:textId="1A51AECA" w:rsidR="009F079F" w:rsidRDefault="008079F1">
      <w:pPr>
        <w:pStyle w:val="TableofFigures"/>
        <w:rPr>
          <w:rFonts w:asciiTheme="minorHAnsi" w:eastAsiaTheme="minorEastAsia" w:hAnsiTheme="minorHAnsi" w:cstheme="minorBidi"/>
          <w:noProof/>
          <w:color w:val="auto"/>
          <w:sz w:val="22"/>
          <w:szCs w:val="22"/>
        </w:rPr>
      </w:pPr>
      <w:hyperlink w:anchor="_Toc508972193" w:history="1">
        <w:r w:rsidR="009F079F" w:rsidRPr="004D5256">
          <w:rPr>
            <w:rStyle w:val="Hyperlink"/>
            <w:noProof/>
          </w:rPr>
          <w:t>Table C.44 List of thirteen stream gauges in the Gippsland Basin region, located in four river regions, as compiled by Yates et al., (2015).</w:t>
        </w:r>
        <w:r w:rsidR="009F079F">
          <w:rPr>
            <w:noProof/>
            <w:webHidden/>
          </w:rPr>
          <w:tab/>
        </w:r>
        <w:r w:rsidR="009F079F">
          <w:rPr>
            <w:noProof/>
            <w:webHidden/>
          </w:rPr>
          <w:fldChar w:fldCharType="begin"/>
        </w:r>
        <w:r w:rsidR="009F079F">
          <w:rPr>
            <w:noProof/>
            <w:webHidden/>
          </w:rPr>
          <w:instrText xml:space="preserve"> PAGEREF _Toc508972193 \h </w:instrText>
        </w:r>
        <w:r w:rsidR="009F079F">
          <w:rPr>
            <w:noProof/>
            <w:webHidden/>
          </w:rPr>
        </w:r>
        <w:r w:rsidR="009F079F">
          <w:rPr>
            <w:noProof/>
            <w:webHidden/>
          </w:rPr>
          <w:fldChar w:fldCharType="separate"/>
        </w:r>
        <w:r w:rsidR="00640CCB">
          <w:rPr>
            <w:noProof/>
            <w:webHidden/>
          </w:rPr>
          <w:t>203</w:t>
        </w:r>
        <w:r w:rsidR="009F079F">
          <w:rPr>
            <w:noProof/>
            <w:webHidden/>
          </w:rPr>
          <w:fldChar w:fldCharType="end"/>
        </w:r>
      </w:hyperlink>
    </w:p>
    <w:p w14:paraId="59C79568" w14:textId="4AAB4509" w:rsidR="009F079F" w:rsidRDefault="008079F1">
      <w:pPr>
        <w:pStyle w:val="TableofFigures"/>
        <w:rPr>
          <w:rFonts w:asciiTheme="minorHAnsi" w:eastAsiaTheme="minorEastAsia" w:hAnsiTheme="minorHAnsi" w:cstheme="minorBidi"/>
          <w:noProof/>
          <w:color w:val="auto"/>
          <w:sz w:val="22"/>
          <w:szCs w:val="22"/>
        </w:rPr>
      </w:pPr>
      <w:hyperlink w:anchor="_Toc508972194" w:history="1">
        <w:r w:rsidR="009F079F" w:rsidRPr="004D5256">
          <w:rPr>
            <w:rStyle w:val="Hyperlink"/>
            <w:noProof/>
          </w:rPr>
          <w:t>Table C.45 Summary of environmental assets.</w:t>
        </w:r>
        <w:r w:rsidR="009F079F">
          <w:rPr>
            <w:noProof/>
            <w:webHidden/>
          </w:rPr>
          <w:tab/>
        </w:r>
        <w:r w:rsidR="009F079F">
          <w:rPr>
            <w:noProof/>
            <w:webHidden/>
          </w:rPr>
          <w:fldChar w:fldCharType="begin"/>
        </w:r>
        <w:r w:rsidR="009F079F">
          <w:rPr>
            <w:noProof/>
            <w:webHidden/>
          </w:rPr>
          <w:instrText xml:space="preserve"> PAGEREF _Toc508972194 \h </w:instrText>
        </w:r>
        <w:r w:rsidR="009F079F">
          <w:rPr>
            <w:noProof/>
            <w:webHidden/>
          </w:rPr>
        </w:r>
        <w:r w:rsidR="009F079F">
          <w:rPr>
            <w:noProof/>
            <w:webHidden/>
          </w:rPr>
          <w:fldChar w:fldCharType="separate"/>
        </w:r>
        <w:r w:rsidR="00640CCB">
          <w:rPr>
            <w:noProof/>
            <w:webHidden/>
          </w:rPr>
          <w:t>205</w:t>
        </w:r>
        <w:r w:rsidR="009F079F">
          <w:rPr>
            <w:noProof/>
            <w:webHidden/>
          </w:rPr>
          <w:fldChar w:fldCharType="end"/>
        </w:r>
      </w:hyperlink>
    </w:p>
    <w:p w14:paraId="58BBAEE4" w14:textId="27845951" w:rsidR="009F079F" w:rsidRDefault="008079F1">
      <w:pPr>
        <w:pStyle w:val="TableofFigures"/>
        <w:rPr>
          <w:rFonts w:asciiTheme="minorHAnsi" w:eastAsiaTheme="minorEastAsia" w:hAnsiTheme="minorHAnsi" w:cstheme="minorBidi"/>
          <w:noProof/>
          <w:color w:val="auto"/>
          <w:sz w:val="22"/>
          <w:szCs w:val="22"/>
        </w:rPr>
      </w:pPr>
      <w:hyperlink w:anchor="_Toc508972195" w:history="1">
        <w:r w:rsidR="009F079F" w:rsidRPr="004D5256">
          <w:rPr>
            <w:rStyle w:val="Hyperlink"/>
            <w:noProof/>
          </w:rPr>
          <w:t>Table C.46 Summary of population, land use and aboriginal protected area.</w:t>
        </w:r>
        <w:r w:rsidR="009F079F">
          <w:rPr>
            <w:noProof/>
            <w:webHidden/>
          </w:rPr>
          <w:tab/>
        </w:r>
        <w:r w:rsidR="009F079F">
          <w:rPr>
            <w:noProof/>
            <w:webHidden/>
          </w:rPr>
          <w:fldChar w:fldCharType="begin"/>
        </w:r>
        <w:r w:rsidR="009F079F">
          <w:rPr>
            <w:noProof/>
            <w:webHidden/>
          </w:rPr>
          <w:instrText xml:space="preserve"> PAGEREF _Toc508972195 \h </w:instrText>
        </w:r>
        <w:r w:rsidR="009F079F">
          <w:rPr>
            <w:noProof/>
            <w:webHidden/>
          </w:rPr>
        </w:r>
        <w:r w:rsidR="009F079F">
          <w:rPr>
            <w:noProof/>
            <w:webHidden/>
          </w:rPr>
          <w:fldChar w:fldCharType="separate"/>
        </w:r>
        <w:r w:rsidR="00640CCB">
          <w:rPr>
            <w:noProof/>
            <w:webHidden/>
          </w:rPr>
          <w:t>205</w:t>
        </w:r>
        <w:r w:rsidR="009F079F">
          <w:rPr>
            <w:noProof/>
            <w:webHidden/>
          </w:rPr>
          <w:fldChar w:fldCharType="end"/>
        </w:r>
      </w:hyperlink>
    </w:p>
    <w:p w14:paraId="33314130" w14:textId="1B63333F" w:rsidR="009F079F" w:rsidRDefault="008079F1">
      <w:pPr>
        <w:pStyle w:val="TableofFigures"/>
        <w:rPr>
          <w:rFonts w:asciiTheme="minorHAnsi" w:eastAsiaTheme="minorEastAsia" w:hAnsiTheme="minorHAnsi" w:cstheme="minorBidi"/>
          <w:noProof/>
          <w:color w:val="auto"/>
          <w:sz w:val="22"/>
          <w:szCs w:val="22"/>
        </w:rPr>
      </w:pPr>
      <w:hyperlink w:anchor="_Toc508972196" w:history="1">
        <w:r w:rsidR="009F079F" w:rsidRPr="004D5256">
          <w:rPr>
            <w:rStyle w:val="Hyperlink"/>
            <w:noProof/>
          </w:rPr>
          <w:t>Table C.47 Geology and petroleum prospectivity summary.</w:t>
        </w:r>
        <w:r w:rsidR="009F079F">
          <w:rPr>
            <w:noProof/>
            <w:webHidden/>
          </w:rPr>
          <w:tab/>
        </w:r>
        <w:r w:rsidR="009F079F">
          <w:rPr>
            <w:noProof/>
            <w:webHidden/>
          </w:rPr>
          <w:fldChar w:fldCharType="begin"/>
        </w:r>
        <w:r w:rsidR="009F079F">
          <w:rPr>
            <w:noProof/>
            <w:webHidden/>
          </w:rPr>
          <w:instrText xml:space="preserve"> PAGEREF _Toc508972196 \h </w:instrText>
        </w:r>
        <w:r w:rsidR="009F079F">
          <w:rPr>
            <w:noProof/>
            <w:webHidden/>
          </w:rPr>
        </w:r>
        <w:r w:rsidR="009F079F">
          <w:rPr>
            <w:noProof/>
            <w:webHidden/>
          </w:rPr>
          <w:fldChar w:fldCharType="separate"/>
        </w:r>
        <w:r w:rsidR="00640CCB">
          <w:rPr>
            <w:noProof/>
            <w:webHidden/>
          </w:rPr>
          <w:t>209</w:t>
        </w:r>
        <w:r w:rsidR="009F079F">
          <w:rPr>
            <w:noProof/>
            <w:webHidden/>
          </w:rPr>
          <w:fldChar w:fldCharType="end"/>
        </w:r>
      </w:hyperlink>
    </w:p>
    <w:p w14:paraId="039E988C" w14:textId="47B1C1EA" w:rsidR="009F079F" w:rsidRDefault="008079F1">
      <w:pPr>
        <w:pStyle w:val="TableofFigures"/>
        <w:rPr>
          <w:rFonts w:asciiTheme="minorHAnsi" w:eastAsiaTheme="minorEastAsia" w:hAnsiTheme="minorHAnsi" w:cstheme="minorBidi"/>
          <w:noProof/>
          <w:color w:val="auto"/>
          <w:sz w:val="22"/>
          <w:szCs w:val="22"/>
        </w:rPr>
      </w:pPr>
      <w:hyperlink w:anchor="_Toc508972197" w:history="1">
        <w:r w:rsidR="009F079F" w:rsidRPr="004D5256">
          <w:rPr>
            <w:rStyle w:val="Hyperlink"/>
            <w:noProof/>
          </w:rPr>
          <w:t>Table C.48 Summary of shale and tight gas plays (from DNRM, 2017).</w:t>
        </w:r>
        <w:r w:rsidR="009F079F">
          <w:rPr>
            <w:noProof/>
            <w:webHidden/>
          </w:rPr>
          <w:tab/>
        </w:r>
        <w:r w:rsidR="009F079F">
          <w:rPr>
            <w:noProof/>
            <w:webHidden/>
          </w:rPr>
          <w:fldChar w:fldCharType="begin"/>
        </w:r>
        <w:r w:rsidR="009F079F">
          <w:rPr>
            <w:noProof/>
            <w:webHidden/>
          </w:rPr>
          <w:instrText xml:space="preserve"> PAGEREF _Toc508972197 \h </w:instrText>
        </w:r>
        <w:r w:rsidR="009F079F">
          <w:rPr>
            <w:noProof/>
            <w:webHidden/>
          </w:rPr>
        </w:r>
        <w:r w:rsidR="009F079F">
          <w:rPr>
            <w:noProof/>
            <w:webHidden/>
          </w:rPr>
          <w:fldChar w:fldCharType="separate"/>
        </w:r>
        <w:r w:rsidR="00640CCB">
          <w:rPr>
            <w:noProof/>
            <w:webHidden/>
          </w:rPr>
          <w:t>217</w:t>
        </w:r>
        <w:r w:rsidR="009F079F">
          <w:rPr>
            <w:noProof/>
            <w:webHidden/>
          </w:rPr>
          <w:fldChar w:fldCharType="end"/>
        </w:r>
      </w:hyperlink>
    </w:p>
    <w:p w14:paraId="764ED89F" w14:textId="09691989" w:rsidR="009F079F" w:rsidRDefault="008079F1">
      <w:pPr>
        <w:pStyle w:val="TableofFigures"/>
        <w:rPr>
          <w:rFonts w:asciiTheme="minorHAnsi" w:eastAsiaTheme="minorEastAsia" w:hAnsiTheme="minorHAnsi" w:cstheme="minorBidi"/>
          <w:noProof/>
          <w:color w:val="auto"/>
          <w:sz w:val="22"/>
          <w:szCs w:val="22"/>
        </w:rPr>
      </w:pPr>
      <w:hyperlink w:anchor="_Toc508972198" w:history="1">
        <w:r w:rsidR="009F079F" w:rsidRPr="004D5256">
          <w:rPr>
            <w:rStyle w:val="Hyperlink"/>
            <w:noProof/>
          </w:rPr>
          <w:t>Table C.49 Summary of market access and infrastructure. Pipeline information from AER (2017) and Jemena (2017). Processing facilities from GA (2015b).</w:t>
        </w:r>
        <w:r w:rsidR="009F079F">
          <w:rPr>
            <w:noProof/>
            <w:webHidden/>
          </w:rPr>
          <w:tab/>
        </w:r>
        <w:r w:rsidR="009F079F">
          <w:rPr>
            <w:noProof/>
            <w:webHidden/>
          </w:rPr>
          <w:fldChar w:fldCharType="begin"/>
        </w:r>
        <w:r w:rsidR="009F079F">
          <w:rPr>
            <w:noProof/>
            <w:webHidden/>
          </w:rPr>
          <w:instrText xml:space="preserve"> PAGEREF _Toc508972198 \h </w:instrText>
        </w:r>
        <w:r w:rsidR="009F079F">
          <w:rPr>
            <w:noProof/>
            <w:webHidden/>
          </w:rPr>
        </w:r>
        <w:r w:rsidR="009F079F">
          <w:rPr>
            <w:noProof/>
            <w:webHidden/>
          </w:rPr>
          <w:fldChar w:fldCharType="separate"/>
        </w:r>
        <w:r w:rsidR="00640CCB">
          <w:rPr>
            <w:noProof/>
            <w:webHidden/>
          </w:rPr>
          <w:t>218</w:t>
        </w:r>
        <w:r w:rsidR="009F079F">
          <w:rPr>
            <w:noProof/>
            <w:webHidden/>
          </w:rPr>
          <w:fldChar w:fldCharType="end"/>
        </w:r>
      </w:hyperlink>
    </w:p>
    <w:p w14:paraId="49D93A95" w14:textId="200542FC" w:rsidR="009F079F" w:rsidRDefault="008079F1">
      <w:pPr>
        <w:pStyle w:val="TableofFigures"/>
        <w:rPr>
          <w:rFonts w:asciiTheme="minorHAnsi" w:eastAsiaTheme="minorEastAsia" w:hAnsiTheme="minorHAnsi" w:cstheme="minorBidi"/>
          <w:noProof/>
          <w:color w:val="auto"/>
          <w:sz w:val="22"/>
          <w:szCs w:val="22"/>
        </w:rPr>
      </w:pPr>
      <w:hyperlink w:anchor="_Toc508972199" w:history="1">
        <w:r w:rsidR="009F079F" w:rsidRPr="004D5256">
          <w:rPr>
            <w:rStyle w:val="Hyperlink"/>
            <w:noProof/>
          </w:rPr>
          <w:t>Table C.50 Summary statistics for groundwater bores and water use in the Mount Isa Province region</w:t>
        </w:r>
        <w:r w:rsidR="009F079F">
          <w:rPr>
            <w:noProof/>
            <w:webHidden/>
          </w:rPr>
          <w:tab/>
        </w:r>
        <w:r w:rsidR="009F079F">
          <w:rPr>
            <w:noProof/>
            <w:webHidden/>
          </w:rPr>
          <w:fldChar w:fldCharType="begin"/>
        </w:r>
        <w:r w:rsidR="009F079F">
          <w:rPr>
            <w:noProof/>
            <w:webHidden/>
          </w:rPr>
          <w:instrText xml:space="preserve"> PAGEREF _Toc508972199 \h </w:instrText>
        </w:r>
        <w:r w:rsidR="009F079F">
          <w:rPr>
            <w:noProof/>
            <w:webHidden/>
          </w:rPr>
        </w:r>
        <w:r w:rsidR="009F079F">
          <w:rPr>
            <w:noProof/>
            <w:webHidden/>
          </w:rPr>
          <w:fldChar w:fldCharType="separate"/>
        </w:r>
        <w:r w:rsidR="00640CCB">
          <w:rPr>
            <w:noProof/>
            <w:webHidden/>
          </w:rPr>
          <w:t>227</w:t>
        </w:r>
        <w:r w:rsidR="009F079F">
          <w:rPr>
            <w:noProof/>
            <w:webHidden/>
          </w:rPr>
          <w:fldChar w:fldCharType="end"/>
        </w:r>
      </w:hyperlink>
    </w:p>
    <w:p w14:paraId="2DA9327B" w14:textId="04E78974" w:rsidR="009F079F" w:rsidRDefault="008079F1">
      <w:pPr>
        <w:pStyle w:val="TableofFigures"/>
        <w:rPr>
          <w:rFonts w:asciiTheme="minorHAnsi" w:eastAsiaTheme="minorEastAsia" w:hAnsiTheme="minorHAnsi" w:cstheme="minorBidi"/>
          <w:noProof/>
          <w:color w:val="auto"/>
          <w:sz w:val="22"/>
          <w:szCs w:val="22"/>
        </w:rPr>
      </w:pPr>
      <w:hyperlink w:anchor="_Toc508972200" w:history="1">
        <w:r w:rsidR="009F079F" w:rsidRPr="004D5256">
          <w:rPr>
            <w:rStyle w:val="Hyperlink"/>
            <w:noProof/>
          </w:rPr>
          <w:t>Table C.51 Summary statistics for environmental assets</w:t>
        </w:r>
        <w:r w:rsidR="009F079F">
          <w:rPr>
            <w:noProof/>
            <w:webHidden/>
          </w:rPr>
          <w:tab/>
        </w:r>
        <w:r w:rsidR="009F079F">
          <w:rPr>
            <w:noProof/>
            <w:webHidden/>
          </w:rPr>
          <w:fldChar w:fldCharType="begin"/>
        </w:r>
        <w:r w:rsidR="009F079F">
          <w:rPr>
            <w:noProof/>
            <w:webHidden/>
          </w:rPr>
          <w:instrText xml:space="preserve"> PAGEREF _Toc508972200 \h </w:instrText>
        </w:r>
        <w:r w:rsidR="009F079F">
          <w:rPr>
            <w:noProof/>
            <w:webHidden/>
          </w:rPr>
        </w:r>
        <w:r w:rsidR="009F079F">
          <w:rPr>
            <w:noProof/>
            <w:webHidden/>
          </w:rPr>
          <w:fldChar w:fldCharType="separate"/>
        </w:r>
        <w:r w:rsidR="00640CCB">
          <w:rPr>
            <w:noProof/>
            <w:webHidden/>
          </w:rPr>
          <w:t>229</w:t>
        </w:r>
        <w:r w:rsidR="009F079F">
          <w:rPr>
            <w:noProof/>
            <w:webHidden/>
          </w:rPr>
          <w:fldChar w:fldCharType="end"/>
        </w:r>
      </w:hyperlink>
    </w:p>
    <w:p w14:paraId="4F02760B" w14:textId="4190DAB1" w:rsidR="009F079F" w:rsidRDefault="008079F1">
      <w:pPr>
        <w:pStyle w:val="TableofFigures"/>
        <w:rPr>
          <w:rFonts w:asciiTheme="minorHAnsi" w:eastAsiaTheme="minorEastAsia" w:hAnsiTheme="minorHAnsi" w:cstheme="minorBidi"/>
          <w:noProof/>
          <w:color w:val="auto"/>
          <w:sz w:val="22"/>
          <w:szCs w:val="22"/>
        </w:rPr>
      </w:pPr>
      <w:hyperlink w:anchor="_Toc508972201" w:history="1">
        <w:r w:rsidR="009F079F" w:rsidRPr="004D5256">
          <w:rPr>
            <w:rStyle w:val="Hyperlink"/>
            <w:noProof/>
          </w:rPr>
          <w:t>Table C.52 Summary statistics for social and general characteristics</w:t>
        </w:r>
        <w:r w:rsidR="009F079F">
          <w:rPr>
            <w:noProof/>
            <w:webHidden/>
          </w:rPr>
          <w:tab/>
        </w:r>
        <w:r w:rsidR="009F079F">
          <w:rPr>
            <w:noProof/>
            <w:webHidden/>
          </w:rPr>
          <w:fldChar w:fldCharType="begin"/>
        </w:r>
        <w:r w:rsidR="009F079F">
          <w:rPr>
            <w:noProof/>
            <w:webHidden/>
          </w:rPr>
          <w:instrText xml:space="preserve"> PAGEREF _Toc508972201 \h </w:instrText>
        </w:r>
        <w:r w:rsidR="009F079F">
          <w:rPr>
            <w:noProof/>
            <w:webHidden/>
          </w:rPr>
        </w:r>
        <w:r w:rsidR="009F079F">
          <w:rPr>
            <w:noProof/>
            <w:webHidden/>
          </w:rPr>
          <w:fldChar w:fldCharType="separate"/>
        </w:r>
        <w:r w:rsidR="00640CCB">
          <w:rPr>
            <w:noProof/>
            <w:webHidden/>
          </w:rPr>
          <w:t>230</w:t>
        </w:r>
        <w:r w:rsidR="009F079F">
          <w:rPr>
            <w:noProof/>
            <w:webHidden/>
          </w:rPr>
          <w:fldChar w:fldCharType="end"/>
        </w:r>
      </w:hyperlink>
    </w:p>
    <w:p w14:paraId="2C776A46" w14:textId="6D2290F0" w:rsidR="009F079F" w:rsidRDefault="008079F1">
      <w:pPr>
        <w:pStyle w:val="TableofFigures"/>
        <w:rPr>
          <w:rFonts w:asciiTheme="minorHAnsi" w:eastAsiaTheme="minorEastAsia" w:hAnsiTheme="minorHAnsi" w:cstheme="minorBidi"/>
          <w:noProof/>
          <w:color w:val="auto"/>
          <w:sz w:val="22"/>
          <w:szCs w:val="22"/>
        </w:rPr>
      </w:pPr>
      <w:hyperlink w:anchor="_Toc508972202" w:history="1">
        <w:r w:rsidR="009F079F" w:rsidRPr="004D5256">
          <w:rPr>
            <w:rStyle w:val="Hyperlink"/>
            <w:noProof/>
          </w:rPr>
          <w:t>Table C.53 Geology and petroleum prospectivity summary.</w:t>
        </w:r>
        <w:r w:rsidR="009F079F">
          <w:rPr>
            <w:noProof/>
            <w:webHidden/>
          </w:rPr>
          <w:tab/>
        </w:r>
        <w:r w:rsidR="009F079F">
          <w:rPr>
            <w:noProof/>
            <w:webHidden/>
          </w:rPr>
          <w:fldChar w:fldCharType="begin"/>
        </w:r>
        <w:r w:rsidR="009F079F">
          <w:rPr>
            <w:noProof/>
            <w:webHidden/>
          </w:rPr>
          <w:instrText xml:space="preserve"> PAGEREF _Toc508972202 \h </w:instrText>
        </w:r>
        <w:r w:rsidR="009F079F">
          <w:rPr>
            <w:noProof/>
            <w:webHidden/>
          </w:rPr>
        </w:r>
        <w:r w:rsidR="009F079F">
          <w:rPr>
            <w:noProof/>
            <w:webHidden/>
          </w:rPr>
          <w:fldChar w:fldCharType="separate"/>
        </w:r>
        <w:r w:rsidR="00640CCB">
          <w:rPr>
            <w:noProof/>
            <w:webHidden/>
          </w:rPr>
          <w:t>237</w:t>
        </w:r>
        <w:r w:rsidR="009F079F">
          <w:rPr>
            <w:noProof/>
            <w:webHidden/>
          </w:rPr>
          <w:fldChar w:fldCharType="end"/>
        </w:r>
      </w:hyperlink>
    </w:p>
    <w:p w14:paraId="7C34D6F1" w14:textId="621F42D1" w:rsidR="009F079F" w:rsidRDefault="008079F1">
      <w:pPr>
        <w:pStyle w:val="TableofFigures"/>
        <w:rPr>
          <w:rFonts w:asciiTheme="minorHAnsi" w:eastAsiaTheme="minorEastAsia" w:hAnsiTheme="minorHAnsi" w:cstheme="minorBidi"/>
          <w:noProof/>
          <w:color w:val="auto"/>
          <w:sz w:val="22"/>
          <w:szCs w:val="22"/>
        </w:rPr>
      </w:pPr>
      <w:hyperlink w:anchor="_Toc508972203" w:history="1">
        <w:r w:rsidR="009F079F" w:rsidRPr="004D5256">
          <w:rPr>
            <w:rStyle w:val="Hyperlink"/>
            <w:noProof/>
          </w:rPr>
          <w:t>Table C.54 Summary of shale and tight gas plays (compiled from Munson et al., 2014; UPR, 2015; Revie, 2017a).</w:t>
        </w:r>
        <w:r w:rsidR="009F079F">
          <w:rPr>
            <w:noProof/>
            <w:webHidden/>
          </w:rPr>
          <w:tab/>
        </w:r>
        <w:r w:rsidR="009F079F">
          <w:rPr>
            <w:noProof/>
            <w:webHidden/>
          </w:rPr>
          <w:fldChar w:fldCharType="begin"/>
        </w:r>
        <w:r w:rsidR="009F079F">
          <w:rPr>
            <w:noProof/>
            <w:webHidden/>
          </w:rPr>
          <w:instrText xml:space="preserve"> PAGEREF _Toc508972203 \h </w:instrText>
        </w:r>
        <w:r w:rsidR="009F079F">
          <w:rPr>
            <w:noProof/>
            <w:webHidden/>
          </w:rPr>
        </w:r>
        <w:r w:rsidR="009F079F">
          <w:rPr>
            <w:noProof/>
            <w:webHidden/>
          </w:rPr>
          <w:fldChar w:fldCharType="separate"/>
        </w:r>
        <w:r w:rsidR="00640CCB">
          <w:rPr>
            <w:noProof/>
            <w:webHidden/>
          </w:rPr>
          <w:t>245</w:t>
        </w:r>
        <w:r w:rsidR="009F079F">
          <w:rPr>
            <w:noProof/>
            <w:webHidden/>
          </w:rPr>
          <w:fldChar w:fldCharType="end"/>
        </w:r>
      </w:hyperlink>
    </w:p>
    <w:p w14:paraId="1226E1C0" w14:textId="64534109" w:rsidR="009F079F" w:rsidRDefault="008079F1">
      <w:pPr>
        <w:pStyle w:val="TableofFigures"/>
        <w:rPr>
          <w:rFonts w:asciiTheme="minorHAnsi" w:eastAsiaTheme="minorEastAsia" w:hAnsiTheme="minorHAnsi" w:cstheme="minorBidi"/>
          <w:noProof/>
          <w:color w:val="auto"/>
          <w:sz w:val="22"/>
          <w:szCs w:val="22"/>
        </w:rPr>
      </w:pPr>
      <w:hyperlink w:anchor="_Toc508972204" w:history="1">
        <w:r w:rsidR="009F079F" w:rsidRPr="004D5256">
          <w:rPr>
            <w:rStyle w:val="Hyperlink"/>
            <w:noProof/>
          </w:rPr>
          <w:t>Table C.55 Summary of market access and infrastructure. Pipeline information from AER (2017) and Jemena (2017). Oil and gas infrastructure from GA (2015a). Processing facilities from GA (2015b).</w:t>
        </w:r>
        <w:r w:rsidR="009F079F">
          <w:rPr>
            <w:noProof/>
            <w:webHidden/>
          </w:rPr>
          <w:tab/>
        </w:r>
        <w:r w:rsidR="009F079F">
          <w:rPr>
            <w:noProof/>
            <w:webHidden/>
          </w:rPr>
          <w:fldChar w:fldCharType="begin"/>
        </w:r>
        <w:r w:rsidR="009F079F">
          <w:rPr>
            <w:noProof/>
            <w:webHidden/>
          </w:rPr>
          <w:instrText xml:space="preserve"> PAGEREF _Toc508972204 \h </w:instrText>
        </w:r>
        <w:r w:rsidR="009F079F">
          <w:rPr>
            <w:noProof/>
            <w:webHidden/>
          </w:rPr>
        </w:r>
        <w:r w:rsidR="009F079F">
          <w:rPr>
            <w:noProof/>
            <w:webHidden/>
          </w:rPr>
          <w:fldChar w:fldCharType="separate"/>
        </w:r>
        <w:r w:rsidR="00640CCB">
          <w:rPr>
            <w:noProof/>
            <w:webHidden/>
          </w:rPr>
          <w:t>247</w:t>
        </w:r>
        <w:r w:rsidR="009F079F">
          <w:rPr>
            <w:noProof/>
            <w:webHidden/>
          </w:rPr>
          <w:fldChar w:fldCharType="end"/>
        </w:r>
      </w:hyperlink>
    </w:p>
    <w:p w14:paraId="78AF4283" w14:textId="68F2F2CC" w:rsidR="009F079F" w:rsidRDefault="008079F1">
      <w:pPr>
        <w:pStyle w:val="TableofFigures"/>
        <w:rPr>
          <w:rFonts w:asciiTheme="minorHAnsi" w:eastAsiaTheme="minorEastAsia" w:hAnsiTheme="minorHAnsi" w:cstheme="minorBidi"/>
          <w:noProof/>
          <w:color w:val="auto"/>
          <w:sz w:val="22"/>
          <w:szCs w:val="22"/>
        </w:rPr>
      </w:pPr>
      <w:hyperlink w:anchor="_Toc508972205" w:history="1">
        <w:r w:rsidR="009F079F" w:rsidRPr="004D5256">
          <w:rPr>
            <w:rStyle w:val="Hyperlink"/>
            <w:noProof/>
          </w:rPr>
          <w:t>Table C.56 Summary of the hydrostratigraphy in and above the Beetaloo Sub-basin (Fulton and Knapton, 2015).</w:t>
        </w:r>
        <w:r w:rsidR="009F079F">
          <w:rPr>
            <w:noProof/>
            <w:webHidden/>
          </w:rPr>
          <w:tab/>
        </w:r>
        <w:r w:rsidR="009F079F">
          <w:rPr>
            <w:noProof/>
            <w:webHidden/>
          </w:rPr>
          <w:fldChar w:fldCharType="begin"/>
        </w:r>
        <w:r w:rsidR="009F079F">
          <w:rPr>
            <w:noProof/>
            <w:webHidden/>
          </w:rPr>
          <w:instrText xml:space="preserve"> PAGEREF _Toc508972205 \h </w:instrText>
        </w:r>
        <w:r w:rsidR="009F079F">
          <w:rPr>
            <w:noProof/>
            <w:webHidden/>
          </w:rPr>
        </w:r>
        <w:r w:rsidR="009F079F">
          <w:rPr>
            <w:noProof/>
            <w:webHidden/>
          </w:rPr>
          <w:fldChar w:fldCharType="separate"/>
        </w:r>
        <w:r w:rsidR="00640CCB">
          <w:rPr>
            <w:noProof/>
            <w:webHidden/>
          </w:rPr>
          <w:t>250</w:t>
        </w:r>
        <w:r w:rsidR="009F079F">
          <w:rPr>
            <w:noProof/>
            <w:webHidden/>
          </w:rPr>
          <w:fldChar w:fldCharType="end"/>
        </w:r>
      </w:hyperlink>
    </w:p>
    <w:p w14:paraId="76978B88" w14:textId="4B5977F7" w:rsidR="009F079F" w:rsidRDefault="008079F1">
      <w:pPr>
        <w:pStyle w:val="TableofFigures"/>
        <w:rPr>
          <w:rFonts w:asciiTheme="minorHAnsi" w:eastAsiaTheme="minorEastAsia" w:hAnsiTheme="minorHAnsi" w:cstheme="minorBidi"/>
          <w:noProof/>
          <w:color w:val="auto"/>
          <w:sz w:val="22"/>
          <w:szCs w:val="22"/>
        </w:rPr>
      </w:pPr>
      <w:hyperlink w:anchor="_Toc508972206" w:history="1">
        <w:r w:rsidR="009F079F" w:rsidRPr="004D5256">
          <w:rPr>
            <w:rStyle w:val="Hyperlink"/>
            <w:noProof/>
          </w:rPr>
          <w:t>Table C.57 Summary statistics on groundwater bores and water use in and above the McArthur Basin.</w:t>
        </w:r>
        <w:r w:rsidR="009F079F">
          <w:rPr>
            <w:noProof/>
            <w:webHidden/>
          </w:rPr>
          <w:tab/>
        </w:r>
        <w:r w:rsidR="009F079F">
          <w:rPr>
            <w:noProof/>
            <w:webHidden/>
          </w:rPr>
          <w:fldChar w:fldCharType="begin"/>
        </w:r>
        <w:r w:rsidR="009F079F">
          <w:rPr>
            <w:noProof/>
            <w:webHidden/>
          </w:rPr>
          <w:instrText xml:space="preserve"> PAGEREF _Toc508972206 \h </w:instrText>
        </w:r>
        <w:r w:rsidR="009F079F">
          <w:rPr>
            <w:noProof/>
            <w:webHidden/>
          </w:rPr>
        </w:r>
        <w:r w:rsidR="009F079F">
          <w:rPr>
            <w:noProof/>
            <w:webHidden/>
          </w:rPr>
          <w:fldChar w:fldCharType="separate"/>
        </w:r>
        <w:r w:rsidR="00640CCB">
          <w:rPr>
            <w:noProof/>
            <w:webHidden/>
          </w:rPr>
          <w:t>253</w:t>
        </w:r>
        <w:r w:rsidR="009F079F">
          <w:rPr>
            <w:noProof/>
            <w:webHidden/>
          </w:rPr>
          <w:fldChar w:fldCharType="end"/>
        </w:r>
      </w:hyperlink>
    </w:p>
    <w:p w14:paraId="2ED0C87C" w14:textId="425C223C" w:rsidR="009F079F" w:rsidRDefault="008079F1">
      <w:pPr>
        <w:pStyle w:val="TableofFigures"/>
        <w:rPr>
          <w:rFonts w:asciiTheme="minorHAnsi" w:eastAsiaTheme="minorEastAsia" w:hAnsiTheme="minorHAnsi" w:cstheme="minorBidi"/>
          <w:noProof/>
          <w:color w:val="auto"/>
          <w:sz w:val="22"/>
          <w:szCs w:val="22"/>
        </w:rPr>
      </w:pPr>
      <w:hyperlink w:anchor="_Toc508972207" w:history="1">
        <w:r w:rsidR="009F079F" w:rsidRPr="004D5256">
          <w:rPr>
            <w:rStyle w:val="Hyperlink"/>
            <w:noProof/>
          </w:rPr>
          <w:t>Table C.58 Average discharge measurements from gauging stations (Knapton 2009c).</w:t>
        </w:r>
        <w:r w:rsidR="009F079F">
          <w:rPr>
            <w:noProof/>
            <w:webHidden/>
          </w:rPr>
          <w:tab/>
        </w:r>
        <w:r w:rsidR="009F079F">
          <w:rPr>
            <w:noProof/>
            <w:webHidden/>
          </w:rPr>
          <w:fldChar w:fldCharType="begin"/>
        </w:r>
        <w:r w:rsidR="009F079F">
          <w:rPr>
            <w:noProof/>
            <w:webHidden/>
          </w:rPr>
          <w:instrText xml:space="preserve"> PAGEREF _Toc508972207 \h </w:instrText>
        </w:r>
        <w:r w:rsidR="009F079F">
          <w:rPr>
            <w:noProof/>
            <w:webHidden/>
          </w:rPr>
        </w:r>
        <w:r w:rsidR="009F079F">
          <w:rPr>
            <w:noProof/>
            <w:webHidden/>
          </w:rPr>
          <w:fldChar w:fldCharType="separate"/>
        </w:r>
        <w:r w:rsidR="00640CCB">
          <w:rPr>
            <w:noProof/>
            <w:webHidden/>
          </w:rPr>
          <w:t>255</w:t>
        </w:r>
        <w:r w:rsidR="009F079F">
          <w:rPr>
            <w:noProof/>
            <w:webHidden/>
          </w:rPr>
          <w:fldChar w:fldCharType="end"/>
        </w:r>
      </w:hyperlink>
    </w:p>
    <w:p w14:paraId="1AA7FC10" w14:textId="639A3A07" w:rsidR="009F079F" w:rsidRDefault="008079F1">
      <w:pPr>
        <w:pStyle w:val="TableofFigures"/>
        <w:rPr>
          <w:rFonts w:asciiTheme="minorHAnsi" w:eastAsiaTheme="minorEastAsia" w:hAnsiTheme="minorHAnsi" w:cstheme="minorBidi"/>
          <w:noProof/>
          <w:color w:val="auto"/>
          <w:sz w:val="22"/>
          <w:szCs w:val="22"/>
        </w:rPr>
      </w:pPr>
      <w:hyperlink w:anchor="_Toc508972208" w:history="1">
        <w:r w:rsidR="009F079F" w:rsidRPr="004D5256">
          <w:rPr>
            <w:rStyle w:val="Hyperlink"/>
            <w:noProof/>
          </w:rPr>
          <w:t>Table C.59 Summary of environmental assets</w:t>
        </w:r>
        <w:r w:rsidR="009F079F">
          <w:rPr>
            <w:noProof/>
            <w:webHidden/>
          </w:rPr>
          <w:tab/>
        </w:r>
        <w:r w:rsidR="009F079F">
          <w:rPr>
            <w:noProof/>
            <w:webHidden/>
          </w:rPr>
          <w:fldChar w:fldCharType="begin"/>
        </w:r>
        <w:r w:rsidR="009F079F">
          <w:rPr>
            <w:noProof/>
            <w:webHidden/>
          </w:rPr>
          <w:instrText xml:space="preserve"> PAGEREF _Toc508972208 \h </w:instrText>
        </w:r>
        <w:r w:rsidR="009F079F">
          <w:rPr>
            <w:noProof/>
            <w:webHidden/>
          </w:rPr>
        </w:r>
        <w:r w:rsidR="009F079F">
          <w:rPr>
            <w:noProof/>
            <w:webHidden/>
          </w:rPr>
          <w:fldChar w:fldCharType="separate"/>
        </w:r>
        <w:r w:rsidR="00640CCB">
          <w:rPr>
            <w:noProof/>
            <w:webHidden/>
          </w:rPr>
          <w:t>256</w:t>
        </w:r>
        <w:r w:rsidR="009F079F">
          <w:rPr>
            <w:noProof/>
            <w:webHidden/>
          </w:rPr>
          <w:fldChar w:fldCharType="end"/>
        </w:r>
      </w:hyperlink>
    </w:p>
    <w:p w14:paraId="397DC270" w14:textId="2EB0FD67" w:rsidR="009F079F" w:rsidRDefault="008079F1">
      <w:pPr>
        <w:pStyle w:val="TableofFigures"/>
        <w:rPr>
          <w:rFonts w:asciiTheme="minorHAnsi" w:eastAsiaTheme="minorEastAsia" w:hAnsiTheme="minorHAnsi" w:cstheme="minorBidi"/>
          <w:noProof/>
          <w:color w:val="auto"/>
          <w:sz w:val="22"/>
          <w:szCs w:val="22"/>
        </w:rPr>
      </w:pPr>
      <w:hyperlink w:anchor="_Toc508972209" w:history="1">
        <w:r w:rsidR="009F079F" w:rsidRPr="004D5256">
          <w:rPr>
            <w:rStyle w:val="Hyperlink"/>
            <w:noProof/>
          </w:rPr>
          <w:t>Table C.60 Summary of population, land use and aboriginal protected area</w:t>
        </w:r>
        <w:r w:rsidR="009F079F">
          <w:rPr>
            <w:noProof/>
            <w:webHidden/>
          </w:rPr>
          <w:tab/>
        </w:r>
        <w:r w:rsidR="009F079F">
          <w:rPr>
            <w:noProof/>
            <w:webHidden/>
          </w:rPr>
          <w:fldChar w:fldCharType="begin"/>
        </w:r>
        <w:r w:rsidR="009F079F">
          <w:rPr>
            <w:noProof/>
            <w:webHidden/>
          </w:rPr>
          <w:instrText xml:space="preserve"> PAGEREF _Toc508972209 \h </w:instrText>
        </w:r>
        <w:r w:rsidR="009F079F">
          <w:rPr>
            <w:noProof/>
            <w:webHidden/>
          </w:rPr>
        </w:r>
        <w:r w:rsidR="009F079F">
          <w:rPr>
            <w:noProof/>
            <w:webHidden/>
          </w:rPr>
          <w:fldChar w:fldCharType="separate"/>
        </w:r>
        <w:r w:rsidR="00640CCB">
          <w:rPr>
            <w:noProof/>
            <w:webHidden/>
          </w:rPr>
          <w:t>257</w:t>
        </w:r>
        <w:r w:rsidR="009F079F">
          <w:rPr>
            <w:noProof/>
            <w:webHidden/>
          </w:rPr>
          <w:fldChar w:fldCharType="end"/>
        </w:r>
      </w:hyperlink>
    </w:p>
    <w:p w14:paraId="28990740" w14:textId="56F6309C" w:rsidR="009F079F" w:rsidRDefault="008079F1">
      <w:pPr>
        <w:pStyle w:val="TableofFigures"/>
        <w:rPr>
          <w:rFonts w:asciiTheme="minorHAnsi" w:eastAsiaTheme="minorEastAsia" w:hAnsiTheme="minorHAnsi" w:cstheme="minorBidi"/>
          <w:noProof/>
          <w:color w:val="auto"/>
          <w:sz w:val="22"/>
          <w:szCs w:val="22"/>
        </w:rPr>
      </w:pPr>
      <w:hyperlink w:anchor="_Toc508972210" w:history="1">
        <w:r w:rsidR="009F079F" w:rsidRPr="004D5256">
          <w:rPr>
            <w:rStyle w:val="Hyperlink"/>
            <w:noProof/>
          </w:rPr>
          <w:t>Table C.61 Geology and petroleum prospectivity summary.</w:t>
        </w:r>
        <w:r w:rsidR="009F079F">
          <w:rPr>
            <w:noProof/>
            <w:webHidden/>
          </w:rPr>
          <w:tab/>
        </w:r>
        <w:r w:rsidR="009F079F">
          <w:rPr>
            <w:noProof/>
            <w:webHidden/>
          </w:rPr>
          <w:fldChar w:fldCharType="begin"/>
        </w:r>
        <w:r w:rsidR="009F079F">
          <w:rPr>
            <w:noProof/>
            <w:webHidden/>
          </w:rPr>
          <w:instrText xml:space="preserve"> PAGEREF _Toc508972210 \h </w:instrText>
        </w:r>
        <w:r w:rsidR="009F079F">
          <w:rPr>
            <w:noProof/>
            <w:webHidden/>
          </w:rPr>
        </w:r>
        <w:r w:rsidR="009F079F">
          <w:rPr>
            <w:noProof/>
            <w:webHidden/>
          </w:rPr>
          <w:fldChar w:fldCharType="separate"/>
        </w:r>
        <w:r w:rsidR="00640CCB">
          <w:rPr>
            <w:noProof/>
            <w:webHidden/>
          </w:rPr>
          <w:t>265</w:t>
        </w:r>
        <w:r w:rsidR="009F079F">
          <w:rPr>
            <w:noProof/>
            <w:webHidden/>
          </w:rPr>
          <w:fldChar w:fldCharType="end"/>
        </w:r>
      </w:hyperlink>
    </w:p>
    <w:p w14:paraId="11B7DD72" w14:textId="3DB3A27E" w:rsidR="009F079F" w:rsidRDefault="008079F1">
      <w:pPr>
        <w:pStyle w:val="TableofFigures"/>
        <w:rPr>
          <w:rFonts w:asciiTheme="minorHAnsi" w:eastAsiaTheme="minorEastAsia" w:hAnsiTheme="minorHAnsi" w:cstheme="minorBidi"/>
          <w:noProof/>
          <w:color w:val="auto"/>
          <w:sz w:val="22"/>
          <w:szCs w:val="22"/>
        </w:rPr>
      </w:pPr>
      <w:hyperlink w:anchor="_Toc508972211" w:history="1">
        <w:r w:rsidR="009F079F" w:rsidRPr="004D5256">
          <w:rPr>
            <w:rStyle w:val="Hyperlink"/>
            <w:noProof/>
          </w:rPr>
          <w:t>Table C.62 Summary of shale and tight gas plays.</w:t>
        </w:r>
        <w:r w:rsidR="009F079F">
          <w:rPr>
            <w:noProof/>
            <w:webHidden/>
          </w:rPr>
          <w:tab/>
        </w:r>
        <w:r w:rsidR="009F079F">
          <w:rPr>
            <w:noProof/>
            <w:webHidden/>
          </w:rPr>
          <w:fldChar w:fldCharType="begin"/>
        </w:r>
        <w:r w:rsidR="009F079F">
          <w:rPr>
            <w:noProof/>
            <w:webHidden/>
          </w:rPr>
          <w:instrText xml:space="preserve"> PAGEREF _Toc508972211 \h </w:instrText>
        </w:r>
        <w:r w:rsidR="009F079F">
          <w:rPr>
            <w:noProof/>
            <w:webHidden/>
          </w:rPr>
        </w:r>
        <w:r w:rsidR="009F079F">
          <w:rPr>
            <w:noProof/>
            <w:webHidden/>
          </w:rPr>
          <w:fldChar w:fldCharType="separate"/>
        </w:r>
        <w:r w:rsidR="00640CCB">
          <w:rPr>
            <w:noProof/>
            <w:webHidden/>
          </w:rPr>
          <w:t>272</w:t>
        </w:r>
        <w:r w:rsidR="009F079F">
          <w:rPr>
            <w:noProof/>
            <w:webHidden/>
          </w:rPr>
          <w:fldChar w:fldCharType="end"/>
        </w:r>
      </w:hyperlink>
    </w:p>
    <w:p w14:paraId="55B724EC" w14:textId="2F6DA31A" w:rsidR="009F079F" w:rsidRDefault="008079F1">
      <w:pPr>
        <w:pStyle w:val="TableofFigures"/>
        <w:rPr>
          <w:rFonts w:asciiTheme="minorHAnsi" w:eastAsiaTheme="minorEastAsia" w:hAnsiTheme="minorHAnsi" w:cstheme="minorBidi"/>
          <w:noProof/>
          <w:color w:val="auto"/>
          <w:sz w:val="22"/>
          <w:szCs w:val="22"/>
        </w:rPr>
      </w:pPr>
      <w:hyperlink w:anchor="_Toc508972212" w:history="1">
        <w:r w:rsidR="009F079F" w:rsidRPr="004D5256">
          <w:rPr>
            <w:rStyle w:val="Hyperlink"/>
            <w:noProof/>
          </w:rPr>
          <w:t>Table C.63 Summary of market access and infrastructure. Pipeline information from AER (2017). Processing facilities from GA (2015b).</w:t>
        </w:r>
        <w:r w:rsidR="009F079F">
          <w:rPr>
            <w:noProof/>
            <w:webHidden/>
          </w:rPr>
          <w:tab/>
        </w:r>
        <w:r w:rsidR="009F079F">
          <w:rPr>
            <w:noProof/>
            <w:webHidden/>
          </w:rPr>
          <w:fldChar w:fldCharType="begin"/>
        </w:r>
        <w:r w:rsidR="009F079F">
          <w:rPr>
            <w:noProof/>
            <w:webHidden/>
          </w:rPr>
          <w:instrText xml:space="preserve"> PAGEREF _Toc508972212 \h </w:instrText>
        </w:r>
        <w:r w:rsidR="009F079F">
          <w:rPr>
            <w:noProof/>
            <w:webHidden/>
          </w:rPr>
        </w:r>
        <w:r w:rsidR="009F079F">
          <w:rPr>
            <w:noProof/>
            <w:webHidden/>
          </w:rPr>
          <w:fldChar w:fldCharType="separate"/>
        </w:r>
        <w:r w:rsidR="00640CCB">
          <w:rPr>
            <w:noProof/>
            <w:webHidden/>
          </w:rPr>
          <w:t>273</w:t>
        </w:r>
        <w:r w:rsidR="009F079F">
          <w:rPr>
            <w:noProof/>
            <w:webHidden/>
          </w:rPr>
          <w:fldChar w:fldCharType="end"/>
        </w:r>
      </w:hyperlink>
    </w:p>
    <w:p w14:paraId="6E1048A6" w14:textId="1C16E26E" w:rsidR="009F079F" w:rsidRDefault="008079F1">
      <w:pPr>
        <w:pStyle w:val="TableofFigures"/>
        <w:rPr>
          <w:rFonts w:asciiTheme="minorHAnsi" w:eastAsiaTheme="minorEastAsia" w:hAnsiTheme="minorHAnsi" w:cstheme="minorBidi"/>
          <w:noProof/>
          <w:color w:val="auto"/>
          <w:sz w:val="22"/>
          <w:szCs w:val="22"/>
        </w:rPr>
      </w:pPr>
      <w:hyperlink w:anchor="_Toc508972213" w:history="1">
        <w:r w:rsidR="009F079F" w:rsidRPr="004D5256">
          <w:rPr>
            <w:rStyle w:val="Hyperlink"/>
            <w:noProof/>
          </w:rPr>
          <w:t>Table C.64 Hydrostratigraphy of the Otway Basin based on the Victorian Aquifer Framework  (Source: Clarke et al., 2015).</w:t>
        </w:r>
        <w:r w:rsidR="009F079F">
          <w:rPr>
            <w:noProof/>
            <w:webHidden/>
          </w:rPr>
          <w:tab/>
        </w:r>
        <w:r w:rsidR="009F079F">
          <w:rPr>
            <w:noProof/>
            <w:webHidden/>
          </w:rPr>
          <w:fldChar w:fldCharType="begin"/>
        </w:r>
        <w:r w:rsidR="009F079F">
          <w:rPr>
            <w:noProof/>
            <w:webHidden/>
          </w:rPr>
          <w:instrText xml:space="preserve"> PAGEREF _Toc508972213 \h </w:instrText>
        </w:r>
        <w:r w:rsidR="009F079F">
          <w:rPr>
            <w:noProof/>
            <w:webHidden/>
          </w:rPr>
        </w:r>
        <w:r w:rsidR="009F079F">
          <w:rPr>
            <w:noProof/>
            <w:webHidden/>
          </w:rPr>
          <w:fldChar w:fldCharType="separate"/>
        </w:r>
        <w:r w:rsidR="00640CCB">
          <w:rPr>
            <w:noProof/>
            <w:webHidden/>
          </w:rPr>
          <w:t>277</w:t>
        </w:r>
        <w:r w:rsidR="009F079F">
          <w:rPr>
            <w:noProof/>
            <w:webHidden/>
          </w:rPr>
          <w:fldChar w:fldCharType="end"/>
        </w:r>
      </w:hyperlink>
    </w:p>
    <w:p w14:paraId="01BFFD1F" w14:textId="34F96277" w:rsidR="009F079F" w:rsidRDefault="008079F1">
      <w:pPr>
        <w:pStyle w:val="TableofFigures"/>
        <w:rPr>
          <w:rFonts w:asciiTheme="minorHAnsi" w:eastAsiaTheme="minorEastAsia" w:hAnsiTheme="minorHAnsi" w:cstheme="minorBidi"/>
          <w:noProof/>
          <w:color w:val="auto"/>
          <w:sz w:val="22"/>
          <w:szCs w:val="22"/>
        </w:rPr>
      </w:pPr>
      <w:hyperlink w:anchor="_Toc508972214" w:history="1">
        <w:r w:rsidR="009F079F" w:rsidRPr="004D5256">
          <w:rPr>
            <w:rStyle w:val="Hyperlink"/>
            <w:noProof/>
          </w:rPr>
          <w:t>Table C.65 Summary of groundwater bores and level of groundwater and surface water developments.</w:t>
        </w:r>
        <w:r w:rsidR="009F079F">
          <w:rPr>
            <w:noProof/>
            <w:webHidden/>
          </w:rPr>
          <w:tab/>
        </w:r>
        <w:r w:rsidR="009F079F">
          <w:rPr>
            <w:noProof/>
            <w:webHidden/>
          </w:rPr>
          <w:fldChar w:fldCharType="begin"/>
        </w:r>
        <w:r w:rsidR="009F079F">
          <w:rPr>
            <w:noProof/>
            <w:webHidden/>
          </w:rPr>
          <w:instrText xml:space="preserve"> PAGEREF _Toc508972214 \h </w:instrText>
        </w:r>
        <w:r w:rsidR="009F079F">
          <w:rPr>
            <w:noProof/>
            <w:webHidden/>
          </w:rPr>
        </w:r>
        <w:r w:rsidR="009F079F">
          <w:rPr>
            <w:noProof/>
            <w:webHidden/>
          </w:rPr>
          <w:fldChar w:fldCharType="separate"/>
        </w:r>
        <w:r w:rsidR="00640CCB">
          <w:rPr>
            <w:noProof/>
            <w:webHidden/>
          </w:rPr>
          <w:t>279</w:t>
        </w:r>
        <w:r w:rsidR="009F079F">
          <w:rPr>
            <w:noProof/>
            <w:webHidden/>
          </w:rPr>
          <w:fldChar w:fldCharType="end"/>
        </w:r>
      </w:hyperlink>
    </w:p>
    <w:p w14:paraId="3D5E48A2" w14:textId="5E43342A" w:rsidR="009F079F" w:rsidRDefault="008079F1">
      <w:pPr>
        <w:pStyle w:val="TableofFigures"/>
        <w:rPr>
          <w:rFonts w:asciiTheme="minorHAnsi" w:eastAsiaTheme="minorEastAsia" w:hAnsiTheme="minorHAnsi" w:cstheme="minorBidi"/>
          <w:noProof/>
          <w:color w:val="auto"/>
          <w:sz w:val="22"/>
          <w:szCs w:val="22"/>
        </w:rPr>
      </w:pPr>
      <w:hyperlink w:anchor="_Toc508972215" w:history="1">
        <w:r w:rsidR="009F079F" w:rsidRPr="004D5256">
          <w:rPr>
            <w:rStyle w:val="Hyperlink"/>
            <w:noProof/>
          </w:rPr>
          <w:t>Table C.66 Summary of environmental assets.</w:t>
        </w:r>
        <w:r w:rsidR="009F079F">
          <w:rPr>
            <w:noProof/>
            <w:webHidden/>
          </w:rPr>
          <w:tab/>
        </w:r>
        <w:r w:rsidR="009F079F">
          <w:rPr>
            <w:noProof/>
            <w:webHidden/>
          </w:rPr>
          <w:fldChar w:fldCharType="begin"/>
        </w:r>
        <w:r w:rsidR="009F079F">
          <w:rPr>
            <w:noProof/>
            <w:webHidden/>
          </w:rPr>
          <w:instrText xml:space="preserve"> PAGEREF _Toc508972215 \h </w:instrText>
        </w:r>
        <w:r w:rsidR="009F079F">
          <w:rPr>
            <w:noProof/>
            <w:webHidden/>
          </w:rPr>
        </w:r>
        <w:r w:rsidR="009F079F">
          <w:rPr>
            <w:noProof/>
            <w:webHidden/>
          </w:rPr>
          <w:fldChar w:fldCharType="separate"/>
        </w:r>
        <w:r w:rsidR="00640CCB">
          <w:rPr>
            <w:noProof/>
            <w:webHidden/>
          </w:rPr>
          <w:t>282</w:t>
        </w:r>
        <w:r w:rsidR="009F079F">
          <w:rPr>
            <w:noProof/>
            <w:webHidden/>
          </w:rPr>
          <w:fldChar w:fldCharType="end"/>
        </w:r>
      </w:hyperlink>
    </w:p>
    <w:p w14:paraId="6515356F" w14:textId="53350D4B" w:rsidR="009F079F" w:rsidRDefault="008079F1">
      <w:pPr>
        <w:pStyle w:val="TableofFigures"/>
        <w:rPr>
          <w:rFonts w:asciiTheme="minorHAnsi" w:eastAsiaTheme="minorEastAsia" w:hAnsiTheme="minorHAnsi" w:cstheme="minorBidi"/>
          <w:noProof/>
          <w:color w:val="auto"/>
          <w:sz w:val="22"/>
          <w:szCs w:val="22"/>
        </w:rPr>
      </w:pPr>
      <w:hyperlink w:anchor="_Toc508972216" w:history="1">
        <w:r w:rsidR="009F079F" w:rsidRPr="004D5256">
          <w:rPr>
            <w:rStyle w:val="Hyperlink"/>
            <w:noProof/>
          </w:rPr>
          <w:t>Table C.67 Summary of population, land use and aboriginal protected area.</w:t>
        </w:r>
        <w:r w:rsidR="009F079F">
          <w:rPr>
            <w:noProof/>
            <w:webHidden/>
          </w:rPr>
          <w:tab/>
        </w:r>
        <w:r w:rsidR="009F079F">
          <w:rPr>
            <w:noProof/>
            <w:webHidden/>
          </w:rPr>
          <w:fldChar w:fldCharType="begin"/>
        </w:r>
        <w:r w:rsidR="009F079F">
          <w:rPr>
            <w:noProof/>
            <w:webHidden/>
          </w:rPr>
          <w:instrText xml:space="preserve"> PAGEREF _Toc508972216 \h </w:instrText>
        </w:r>
        <w:r w:rsidR="009F079F">
          <w:rPr>
            <w:noProof/>
            <w:webHidden/>
          </w:rPr>
        </w:r>
        <w:r w:rsidR="009F079F">
          <w:rPr>
            <w:noProof/>
            <w:webHidden/>
          </w:rPr>
          <w:fldChar w:fldCharType="separate"/>
        </w:r>
        <w:r w:rsidR="00640CCB">
          <w:rPr>
            <w:noProof/>
            <w:webHidden/>
          </w:rPr>
          <w:t>282</w:t>
        </w:r>
        <w:r w:rsidR="009F079F">
          <w:rPr>
            <w:noProof/>
            <w:webHidden/>
          </w:rPr>
          <w:fldChar w:fldCharType="end"/>
        </w:r>
      </w:hyperlink>
    </w:p>
    <w:p w14:paraId="23DA42D0" w14:textId="303363E9" w:rsidR="000647BB" w:rsidRDefault="004B38AE" w:rsidP="000C64CC">
      <w:pPr>
        <w:pStyle w:val="TableofFigures"/>
      </w:pPr>
      <w:r>
        <w:fldChar w:fldCharType="end"/>
      </w:r>
    </w:p>
    <w:p w14:paraId="3E8CBB8F" w14:textId="77777777" w:rsidR="000647BB" w:rsidRDefault="000647BB">
      <w:pPr>
        <w:spacing w:after="180"/>
      </w:pPr>
      <w:r>
        <w:br w:type="page"/>
      </w:r>
    </w:p>
    <w:p w14:paraId="4EEB33E9" w14:textId="77777777" w:rsidR="002D1B9B" w:rsidRPr="002D1B9B" w:rsidRDefault="002D1B9B" w:rsidP="000C64CC">
      <w:pPr>
        <w:pStyle w:val="TableofFigures"/>
      </w:pPr>
    </w:p>
    <w:p w14:paraId="0741F37E" w14:textId="77777777" w:rsidR="00445E07" w:rsidRPr="00FC2CCC" w:rsidRDefault="00445E07" w:rsidP="00FC2CCC">
      <w:pPr>
        <w:pStyle w:val="BodyText"/>
        <w:sectPr w:rsidR="00445E07" w:rsidRPr="00FC2CCC" w:rsidSect="005E271C">
          <w:footerReference w:type="even" r:id="rId32"/>
          <w:footerReference w:type="default" r:id="rId33"/>
          <w:type w:val="continuous"/>
          <w:pgSz w:w="11906" w:h="16838" w:code="9"/>
          <w:pgMar w:top="1247" w:right="1134" w:bottom="1134" w:left="1134" w:header="510" w:footer="624" w:gutter="0"/>
          <w:pgNumType w:fmt="lowerRoman" w:start="1"/>
          <w:cols w:space="284"/>
          <w:docGrid w:linePitch="360"/>
        </w:sectPr>
      </w:pPr>
      <w:bookmarkStart w:id="2" w:name="_Toc316902172"/>
    </w:p>
    <w:p w14:paraId="0826D8A8" w14:textId="77777777" w:rsidR="00174635" w:rsidRDefault="00174635" w:rsidP="008454B0">
      <w:pPr>
        <w:pStyle w:val="Heading9"/>
        <w:rPr>
          <w:lang w:val="en-US"/>
        </w:rPr>
      </w:pPr>
      <w:bookmarkStart w:id="3" w:name="_Ref493679996"/>
      <w:bookmarkStart w:id="4" w:name="_Toc494277032"/>
      <w:bookmarkStart w:id="5" w:name="_Toc517161105"/>
      <w:bookmarkStart w:id="6" w:name="_Toc369079383"/>
      <w:bookmarkStart w:id="7" w:name="_Toc316485991"/>
      <w:bookmarkEnd w:id="2"/>
      <w:r>
        <w:rPr>
          <w:lang w:val="en-US"/>
        </w:rPr>
        <w:lastRenderedPageBreak/>
        <w:t>Shale and tight gas exploration activity in eastern and northern Australia</w:t>
      </w:r>
      <w:bookmarkEnd w:id="3"/>
      <w:bookmarkEnd w:id="4"/>
      <w:bookmarkEnd w:id="5"/>
    </w:p>
    <w:p w14:paraId="55525B21" w14:textId="77777777" w:rsidR="00174635" w:rsidRPr="00DB1FD9" w:rsidRDefault="00174635" w:rsidP="00894881">
      <w:pPr>
        <w:pStyle w:val="AppendixHeading2"/>
      </w:pPr>
      <w:bookmarkStart w:id="8" w:name="_Toc494277033"/>
      <w:bookmarkStart w:id="9" w:name="_Toc517161106"/>
      <w:r>
        <w:t>Introduction</w:t>
      </w:r>
      <w:bookmarkEnd w:id="8"/>
      <w:bookmarkEnd w:id="9"/>
    </w:p>
    <w:p w14:paraId="1E95DAA8" w14:textId="06290321" w:rsidR="00660627" w:rsidRDefault="00030FA7" w:rsidP="00660627">
      <w:pPr>
        <w:pStyle w:val="BodyText"/>
      </w:pPr>
      <w:r>
        <w:t xml:space="preserve">In order to identify all </w:t>
      </w:r>
      <w:r w:rsidRPr="00116B50">
        <w:t>shale and/or tight gas plays</w:t>
      </w:r>
      <w:r>
        <w:t xml:space="preserve"> with the potential to supply gas to either the east coast or Northern Territory gas markets, a</w:t>
      </w:r>
      <w:r w:rsidR="006C390D" w:rsidRPr="00116B50">
        <w:t xml:space="preserve"> comprehensive review</w:t>
      </w:r>
      <w:r>
        <w:t xml:space="preserve"> of shale and tight gas exploration activity was conducted for</w:t>
      </w:r>
      <w:r w:rsidR="006C390D" w:rsidRPr="00116B50">
        <w:t xml:space="preserve"> all eastern and northern Australia</w:t>
      </w:r>
      <w:r w:rsidR="006C390D">
        <w:t>n</w:t>
      </w:r>
      <w:r>
        <w:t xml:space="preserve"> basins.</w:t>
      </w:r>
      <w:r w:rsidR="006C390D">
        <w:t xml:space="preserve"> </w:t>
      </w:r>
      <w:r w:rsidR="00660627">
        <w:t>In addition, all public domain tight and shale gas resource information current to 2017 were compiled by play type.</w:t>
      </w:r>
    </w:p>
    <w:p w14:paraId="34C34AA2" w14:textId="086C3A1C" w:rsidR="00D31FB6" w:rsidRDefault="00D31FB6" w:rsidP="006C390D">
      <w:pPr>
        <w:pStyle w:val="BodyText"/>
      </w:pPr>
      <w:r>
        <w:t xml:space="preserve">This information was used to determine the initial shortlist of basins </w:t>
      </w:r>
      <w:r w:rsidR="00537756">
        <w:t xml:space="preserve">most likely to be </w:t>
      </w:r>
      <w:r>
        <w:t xml:space="preserve">capable of supplying significant volumes of tight and/or shale gas to the </w:t>
      </w:r>
      <w:r w:rsidR="006A6AF0">
        <w:t xml:space="preserve">East Coast Gas Market </w:t>
      </w:r>
      <w:r>
        <w:t>in the next five to ten years. Those areas where unconventional shale and tight gas exploitation is currently occurring – or is likely to occur in the near future – were considered priority areas for research.</w:t>
      </w:r>
    </w:p>
    <w:p w14:paraId="63EE8314" w14:textId="77777777" w:rsidR="00174635" w:rsidRDefault="00174635" w:rsidP="00174635">
      <w:pPr>
        <w:pStyle w:val="BodyText"/>
      </w:pPr>
      <w:r>
        <w:t xml:space="preserve">The data underpinning this review is all public domain and key sources include: </w:t>
      </w:r>
    </w:p>
    <w:p w14:paraId="50279259" w14:textId="796E55F1" w:rsidR="00174635" w:rsidRDefault="00174635" w:rsidP="00E8799B">
      <w:pPr>
        <w:pStyle w:val="ListBullet"/>
      </w:pPr>
      <w:r>
        <w:t>federal government repor</w:t>
      </w:r>
      <w:r w:rsidR="00727542">
        <w:t>ts and websites (e.g. AERA, 2018</w:t>
      </w:r>
      <w:r>
        <w:t>; UPR, 2015, 2016);</w:t>
      </w:r>
    </w:p>
    <w:p w14:paraId="19263262" w14:textId="3CC75829" w:rsidR="00174635" w:rsidRDefault="00174635" w:rsidP="000E4EFC">
      <w:pPr>
        <w:pStyle w:val="ListBullet"/>
      </w:pPr>
      <w:r>
        <w:t>state and territory governments reports and websites (e.g. DNRM, 2017; DPCSA, 2017</w:t>
      </w:r>
      <w:r w:rsidR="000E4EFC">
        <w:t xml:space="preserve">; </w:t>
      </w:r>
      <w:r w:rsidR="000E4EFC" w:rsidRPr="000E4EFC">
        <w:t>Scientific Inquiry into Hydraulic Fracturing in the Northern Territory</w:t>
      </w:r>
      <w:r w:rsidR="000E4EFC" w:rsidRPr="003E2015">
        <w:t xml:space="preserve">, </w:t>
      </w:r>
      <w:r w:rsidR="00CF4C23" w:rsidRPr="003E2015">
        <w:t>201</w:t>
      </w:r>
      <w:r w:rsidR="00CF4C23">
        <w:t>8</w:t>
      </w:r>
      <w:r>
        <w:t>);</w:t>
      </w:r>
    </w:p>
    <w:p w14:paraId="6967891B" w14:textId="53FACF6F" w:rsidR="00174635" w:rsidRDefault="00174635" w:rsidP="00E8799B">
      <w:pPr>
        <w:pStyle w:val="ListBullet"/>
      </w:pPr>
      <w:r>
        <w:t>3</w:t>
      </w:r>
      <w:r w:rsidRPr="00116B50">
        <w:rPr>
          <w:rStyle w:val="Superscript"/>
        </w:rPr>
        <w:t>rd</w:t>
      </w:r>
      <w:r>
        <w:t xml:space="preserve"> party reviews (e.g. EIA, 2013; AWT International, 201</w:t>
      </w:r>
      <w:r w:rsidR="00524398">
        <w:t>3</w:t>
      </w:r>
      <w:r>
        <w:t>)</w:t>
      </w:r>
      <w:r w:rsidR="00076F2A">
        <w:t>,</w:t>
      </w:r>
      <w:r>
        <w:t xml:space="preserve"> and;</w:t>
      </w:r>
    </w:p>
    <w:p w14:paraId="4403B0CB" w14:textId="77777777" w:rsidR="00174635" w:rsidRDefault="00174635" w:rsidP="00E8799B">
      <w:pPr>
        <w:pStyle w:val="ListBullet"/>
      </w:pPr>
      <w:r>
        <w:t>industry intelligence sourced from company websites, ASX media releases and other news articles.</w:t>
      </w:r>
    </w:p>
    <w:p w14:paraId="03ECBDB0" w14:textId="3FA9426D" w:rsidR="00746540" w:rsidRDefault="00746540" w:rsidP="00746540">
      <w:pPr>
        <w:pStyle w:val="AppendixHeading2"/>
        <w:rPr>
          <w:lang w:val="en-US"/>
        </w:rPr>
      </w:pPr>
      <w:bookmarkStart w:id="10" w:name="_Toc517161107"/>
      <w:bookmarkStart w:id="11" w:name="_Toc494277034"/>
      <w:bookmarkStart w:id="12" w:name="_Toc488838454"/>
      <w:r>
        <w:rPr>
          <w:lang w:val="en-US"/>
        </w:rPr>
        <w:t>Classification and assessment of petroleum resources</w:t>
      </w:r>
      <w:bookmarkEnd w:id="10"/>
    </w:p>
    <w:p w14:paraId="46C7B7B5" w14:textId="46FB62CD" w:rsidR="00C21BAD" w:rsidRDefault="00746540" w:rsidP="00746540">
      <w:pPr>
        <w:pStyle w:val="BodyText"/>
        <w:rPr>
          <w:lang w:val="en-US"/>
        </w:rPr>
      </w:pPr>
      <w:r>
        <w:rPr>
          <w:lang w:val="en-US"/>
        </w:rPr>
        <w:t>To provide context for the analysis conducted in th</w:t>
      </w:r>
      <w:r w:rsidR="009C788E">
        <w:rPr>
          <w:lang w:val="en-US"/>
        </w:rPr>
        <w:t>is</w:t>
      </w:r>
      <w:r>
        <w:rPr>
          <w:lang w:val="en-US"/>
        </w:rPr>
        <w:t xml:space="preserve"> appendix</w:t>
      </w:r>
      <w:r w:rsidR="009C788E">
        <w:rPr>
          <w:lang w:val="en-US"/>
        </w:rPr>
        <w:t>,</w:t>
      </w:r>
      <w:r>
        <w:rPr>
          <w:lang w:val="en-US"/>
        </w:rPr>
        <w:t xml:space="preserve"> </w:t>
      </w:r>
      <w:r w:rsidR="00371AE9">
        <w:rPr>
          <w:lang w:val="en-US"/>
        </w:rPr>
        <w:t>the following section</w:t>
      </w:r>
      <w:r>
        <w:rPr>
          <w:lang w:val="en-US"/>
        </w:rPr>
        <w:t xml:space="preserve"> provides back ground information on </w:t>
      </w:r>
      <w:r w:rsidR="00C21BAD">
        <w:rPr>
          <w:lang w:val="en-US"/>
        </w:rPr>
        <w:t>the following themes:</w:t>
      </w:r>
    </w:p>
    <w:p w14:paraId="1092D20A" w14:textId="59EDD2EC" w:rsidR="00C21BAD" w:rsidRDefault="00537756" w:rsidP="00C21BAD">
      <w:pPr>
        <w:pStyle w:val="ListBullet"/>
        <w:rPr>
          <w:lang w:val="en-US"/>
        </w:rPr>
      </w:pPr>
      <w:r>
        <w:rPr>
          <w:lang w:val="en-US"/>
        </w:rPr>
        <w:t xml:space="preserve">the </w:t>
      </w:r>
      <w:r w:rsidR="00746540">
        <w:rPr>
          <w:lang w:val="en-US"/>
        </w:rPr>
        <w:t xml:space="preserve">petroleum resource classification </w:t>
      </w:r>
      <w:r w:rsidR="00C21BAD">
        <w:rPr>
          <w:lang w:val="en-US"/>
        </w:rPr>
        <w:t>scheme;</w:t>
      </w:r>
    </w:p>
    <w:p w14:paraId="0CC9AD4E" w14:textId="6A2959D1" w:rsidR="00C21BAD" w:rsidRDefault="00C21BAD" w:rsidP="00C21BAD">
      <w:pPr>
        <w:pStyle w:val="ListBullet"/>
        <w:rPr>
          <w:lang w:val="en-US"/>
        </w:rPr>
      </w:pPr>
      <w:r>
        <w:rPr>
          <w:lang w:val="en-US"/>
        </w:rPr>
        <w:t>resource assessment methodologies for unconventional resources, and;</w:t>
      </w:r>
    </w:p>
    <w:p w14:paraId="350A2FE9" w14:textId="50A3953B" w:rsidR="00C21BAD" w:rsidRPr="00147CAE" w:rsidRDefault="00C21BAD" w:rsidP="00147CAE">
      <w:pPr>
        <w:pStyle w:val="ListBullet"/>
        <w:rPr>
          <w:lang w:val="en-US"/>
        </w:rPr>
      </w:pPr>
      <w:r>
        <w:rPr>
          <w:lang w:val="en-US"/>
        </w:rPr>
        <w:t>classification of exploration status.</w:t>
      </w:r>
      <w:r w:rsidR="00746540">
        <w:rPr>
          <w:lang w:val="en-US"/>
        </w:rPr>
        <w:t xml:space="preserve"> </w:t>
      </w:r>
    </w:p>
    <w:p w14:paraId="62DCC486" w14:textId="7F3AD210" w:rsidR="00C21BAD" w:rsidRPr="00107349" w:rsidRDefault="00C21BAD" w:rsidP="00147CAE">
      <w:pPr>
        <w:pStyle w:val="BodyText"/>
        <w:rPr>
          <w:lang w:val="en-US"/>
        </w:rPr>
      </w:pPr>
      <w:r>
        <w:rPr>
          <w:lang w:val="en-US"/>
        </w:rPr>
        <w:t>This text</w:t>
      </w:r>
      <w:r w:rsidR="00537756">
        <w:rPr>
          <w:lang w:val="en-US"/>
        </w:rPr>
        <w:t xml:space="preserve"> within this section</w:t>
      </w:r>
      <w:r>
        <w:rPr>
          <w:lang w:val="en-US"/>
        </w:rPr>
        <w:t xml:space="preserve"> has been modified from AERA (201</w:t>
      </w:r>
      <w:r w:rsidR="00727542">
        <w:rPr>
          <w:lang w:val="en-US"/>
        </w:rPr>
        <w:t>8</w:t>
      </w:r>
      <w:r>
        <w:rPr>
          <w:lang w:val="en-US"/>
        </w:rPr>
        <w:t>).</w:t>
      </w:r>
    </w:p>
    <w:p w14:paraId="22877755" w14:textId="77777777" w:rsidR="00746540" w:rsidRDefault="00746540" w:rsidP="00746540">
      <w:pPr>
        <w:pStyle w:val="AppendixHeading3"/>
        <w:rPr>
          <w:lang w:val="en-US"/>
        </w:rPr>
      </w:pPr>
      <w:bookmarkStart w:id="13" w:name="_Toc517161108"/>
      <w:r>
        <w:rPr>
          <w:lang w:val="en-US"/>
        </w:rPr>
        <w:t>Petroleum resource classification scheme</w:t>
      </w:r>
      <w:bookmarkEnd w:id="13"/>
    </w:p>
    <w:p w14:paraId="236EA561" w14:textId="3885D1B8" w:rsidR="00746540" w:rsidRDefault="00746540" w:rsidP="00746540">
      <w:pPr>
        <w:pStyle w:val="BodyText"/>
        <w:rPr>
          <w:lang w:val="en-US"/>
        </w:rPr>
      </w:pPr>
      <w:r>
        <w:rPr>
          <w:lang w:val="en-US"/>
        </w:rPr>
        <w:t>The petroleum industry in Australia uses the Petroleum Resources Management System (PRMS, 2007) for classification of oil and gas resources</w:t>
      </w:r>
      <w:r w:rsidRPr="00524398">
        <w:t xml:space="preserve"> </w:t>
      </w:r>
      <w:r w:rsidRPr="00524398">
        <w:rPr>
          <w:lang w:val="en-US"/>
        </w:rPr>
        <w:t>registered on the ASX</w:t>
      </w:r>
      <w:r w:rsidR="00433420">
        <w:rPr>
          <w:lang w:val="en-US"/>
        </w:rPr>
        <w:t xml:space="preserve"> (</w:t>
      </w:r>
      <w:r w:rsidR="00763544">
        <w:rPr>
          <w:lang w:val="en-US"/>
        </w:rPr>
        <w:t xml:space="preserve">ASX, 2014; </w:t>
      </w:r>
      <w:r w:rsidR="00433420">
        <w:rPr>
          <w:lang w:val="en-US"/>
        </w:rPr>
        <w:t>RISC, 2013)</w:t>
      </w:r>
      <w:r>
        <w:rPr>
          <w:lang w:val="en-US"/>
        </w:rPr>
        <w:t xml:space="preserve">. The </w:t>
      </w:r>
      <w:r>
        <w:rPr>
          <w:lang w:val="en-US"/>
        </w:rPr>
        <w:lastRenderedPageBreak/>
        <w:t>description below is a summary of the PRMS (2007) and an overview published by the Society of Petroleum Engineers (SPE, 2007).</w:t>
      </w:r>
    </w:p>
    <w:p w14:paraId="66CB302F" w14:textId="77777777" w:rsidR="00746540" w:rsidRDefault="00746540" w:rsidP="00746540">
      <w:pPr>
        <w:pStyle w:val="BodyText"/>
        <w:rPr>
          <w:lang w:val="en-US"/>
        </w:rPr>
      </w:pPr>
      <w:r>
        <w:rPr>
          <w:lang w:val="en-US"/>
        </w:rPr>
        <w:t>Oil and gas reserves and resources are defined as volumes that will be commercially recovered in the future. Unlike the inventory of a manufacturing company, reserves are physically located in reservoirs deep underground and cannot be visually inspected or counted, but rather are estimates based on the evaluation of data related to the amount of oil and gas present. There is no definitive answer until the end of a reservoir's producing life. All reserve estimates involve some degree of uncertainty. The estimation of reserves volumes is generally performed by highly-skilled individuals who use their experience and professional judgment in the calculation of these volumes.</w:t>
      </w:r>
    </w:p>
    <w:p w14:paraId="1C0472E3" w14:textId="77777777" w:rsidR="00746540" w:rsidRDefault="00746540" w:rsidP="00746540">
      <w:pPr>
        <w:pStyle w:val="BodyText"/>
        <w:rPr>
          <w:lang w:val="en-US"/>
        </w:rPr>
      </w:pPr>
      <w:r>
        <w:rPr>
          <w:lang w:val="en-US"/>
        </w:rPr>
        <w:t>To take into account this uncertainty, the PRMS incorporates a central framework that categorises reserves and resources according to the level of certainty associated with their recoverable volumes (horizontal axis), and classifies them according to the potential for reaching commercial producing status (vertical axis).</w:t>
      </w:r>
    </w:p>
    <w:p w14:paraId="71B832F2" w14:textId="77777777" w:rsidR="00746540" w:rsidRDefault="00746540" w:rsidP="00746540">
      <w:pPr>
        <w:pStyle w:val="BodyText"/>
        <w:rPr>
          <w:lang w:val="en-US"/>
        </w:rPr>
      </w:pPr>
      <w:r>
        <w:rPr>
          <w:lang w:val="en-US"/>
        </w:rPr>
        <w:t>A graphical representation of the PRMS classification scheme is shown in Figure A.1.</w:t>
      </w:r>
    </w:p>
    <w:p w14:paraId="42876EDE" w14:textId="77777777" w:rsidR="00746540" w:rsidRDefault="00746540" w:rsidP="00746540">
      <w:pPr>
        <w:pStyle w:val="BodyText"/>
        <w:rPr>
          <w:lang w:val="en-US"/>
        </w:rPr>
      </w:pPr>
    </w:p>
    <w:p w14:paraId="60B5055A" w14:textId="77777777" w:rsidR="00746540" w:rsidRDefault="00746540" w:rsidP="00746540">
      <w:pPr>
        <w:pStyle w:val="FiguresImagesCentred"/>
        <w:rPr>
          <w:lang w:val="en-US"/>
        </w:rPr>
      </w:pPr>
      <w:r>
        <w:rPr>
          <w:noProof/>
        </w:rPr>
        <w:lastRenderedPageBreak/>
        <w:drawing>
          <wp:inline distT="0" distB="0" distL="0" distR="0" wp14:anchorId="40BD403A" wp14:editId="0AED8889">
            <wp:extent cx="5839595" cy="5289176"/>
            <wp:effectExtent l="0" t="0" r="8890" b="698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a:ext>
                      </a:extLst>
                    </a:blip>
                    <a:stretch>
                      <a:fillRect/>
                    </a:stretch>
                  </pic:blipFill>
                  <pic:spPr>
                    <a:xfrm>
                      <a:off x="0" y="0"/>
                      <a:ext cx="5843959" cy="5293129"/>
                    </a:xfrm>
                    <a:prstGeom prst="rect">
                      <a:avLst/>
                    </a:prstGeom>
                  </pic:spPr>
                </pic:pic>
              </a:graphicData>
            </a:graphic>
          </wp:inline>
        </w:drawing>
      </w:r>
    </w:p>
    <w:p w14:paraId="1B9B2B35" w14:textId="77777777" w:rsidR="00746540" w:rsidRDefault="00746540" w:rsidP="009F3E8F">
      <w:pPr>
        <w:pStyle w:val="Caption"/>
      </w:pPr>
      <w:bookmarkStart w:id="14" w:name="_Toc508972050"/>
      <w:r>
        <w:t xml:space="preserve">Figure </w:t>
      </w:r>
      <w:r w:rsidR="008079F1">
        <w:fldChar w:fldCharType="begin"/>
      </w:r>
      <w:r w:rsidR="008079F1">
        <w:instrText xml:space="preserve"> STYLEREF 9 \s </w:instrText>
      </w:r>
      <w:r w:rsidR="008079F1">
        <w:fldChar w:fldCharType="separate"/>
      </w:r>
      <w:r w:rsidR="00640CCB">
        <w:rPr>
          <w:noProof/>
        </w:rPr>
        <w:t>A</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w:t>
      </w:r>
      <w:r w:rsidR="008079F1">
        <w:rPr>
          <w:noProof/>
        </w:rPr>
        <w:fldChar w:fldCharType="end"/>
      </w:r>
      <w:r>
        <w:rPr>
          <w:noProof/>
        </w:rPr>
        <w:t xml:space="preserve"> </w:t>
      </w:r>
      <w:r w:rsidRPr="00AB6721">
        <w:t>Graphical representation of the SPE/WPC/AAPG/SPEE resources classification system. The system defines the major recoverable resources classes: Production, Reserves, Contingent Resources, and Prospective Resources, as well as Unrecoverable petroleum (PRMS, 2007). The "Range of Uncertainty" reflects a range of estimated quantities potentially recoverable from an accumulation by a project, while the vertical axis represents the "Chance of Commerciality", that is, the chance that the project that will be developed and reach commercial producing status.</w:t>
      </w:r>
      <w:bookmarkEnd w:id="14"/>
    </w:p>
    <w:p w14:paraId="2AD55E1B" w14:textId="77777777" w:rsidR="00746540" w:rsidRPr="003519E1" w:rsidRDefault="00746540" w:rsidP="00746540">
      <w:pPr>
        <w:pStyle w:val="BodyText"/>
      </w:pPr>
    </w:p>
    <w:p w14:paraId="56880115" w14:textId="77777777" w:rsidR="00746540" w:rsidRPr="00B261EC" w:rsidRDefault="00746540" w:rsidP="00746540">
      <w:pPr>
        <w:pStyle w:val="AppendixHeading4"/>
      </w:pPr>
      <w:r w:rsidRPr="00B261EC">
        <w:t>Differences in classes (vertical axis)</w:t>
      </w:r>
    </w:p>
    <w:p w14:paraId="3A9E6336" w14:textId="77777777" w:rsidR="00746540" w:rsidRDefault="00746540" w:rsidP="00746540">
      <w:pPr>
        <w:pStyle w:val="BodyText"/>
        <w:rPr>
          <w:lang w:val="en-US"/>
        </w:rPr>
      </w:pPr>
      <w:r>
        <w:rPr>
          <w:lang w:val="en-US"/>
        </w:rPr>
        <w:t>The four major recoverable resources classes defined by the PRMS are production, reserves, contingent resources, and prospective resources. There is also a distinct class for unrecoverable petroleum. These classes are shown on the vertical axis of the PRMS framework (Figure A.1).</w:t>
      </w:r>
    </w:p>
    <w:p w14:paraId="6950EDA0" w14:textId="77777777" w:rsidR="00746540" w:rsidRDefault="00746540" w:rsidP="00746540">
      <w:pPr>
        <w:pStyle w:val="BodyText"/>
        <w:rPr>
          <w:lang w:val="en-US"/>
        </w:rPr>
      </w:pPr>
      <w:r w:rsidRPr="00C30F1D">
        <w:rPr>
          <w:rStyle w:val="Bold"/>
        </w:rPr>
        <w:t>Production</w:t>
      </w:r>
      <w:r>
        <w:rPr>
          <w:lang w:val="en-US"/>
        </w:rPr>
        <w:t xml:space="preserve"> is the cumulative quantity of oil and natural gas that has been recovered already (by a specified date). This is primarily output from operations that has already been produced. </w:t>
      </w:r>
    </w:p>
    <w:p w14:paraId="60B8F940" w14:textId="77777777" w:rsidR="00746540" w:rsidRDefault="00746540" w:rsidP="00746540">
      <w:pPr>
        <w:pStyle w:val="BodyText"/>
        <w:rPr>
          <w:lang w:val="en-US"/>
        </w:rPr>
      </w:pPr>
      <w:r w:rsidRPr="00C30F1D">
        <w:rPr>
          <w:rStyle w:val="Bold"/>
        </w:rPr>
        <w:t>Reserves</w:t>
      </w:r>
      <w:r>
        <w:rPr>
          <w:lang w:val="en-US"/>
        </w:rPr>
        <w:t xml:space="preserve"> represent discovered resources that are commercially recoverable and economical for development. </w:t>
      </w:r>
    </w:p>
    <w:p w14:paraId="333EFC32" w14:textId="77777777" w:rsidR="00746540" w:rsidRDefault="00746540" w:rsidP="00746540">
      <w:pPr>
        <w:pStyle w:val="BodyText"/>
        <w:rPr>
          <w:lang w:val="en-US"/>
        </w:rPr>
      </w:pPr>
      <w:r w:rsidRPr="00C30F1D">
        <w:rPr>
          <w:rStyle w:val="Bold"/>
        </w:rPr>
        <w:lastRenderedPageBreak/>
        <w:t>Contingent resources</w:t>
      </w:r>
      <w:r>
        <w:rPr>
          <w:lang w:val="en-US"/>
        </w:rPr>
        <w:t xml:space="preserve"> represent discovered resources that are potentially recoverable but not yet considered mature enough for commercial development. For contingent resources to move into the reserves category, the key conditions, or contingencies, that prevented commercial development must be clarified and removed. For example, all required internal and external approvals should be in place or determined to be forthcoming, including environmental and governmental approvals. There must also be evidence of firm intention by a company to proceed with development within a reasonable time frame (typically 5 years, though it could be longer).</w:t>
      </w:r>
    </w:p>
    <w:p w14:paraId="125DCBE1" w14:textId="77777777" w:rsidR="00746540" w:rsidRDefault="00746540" w:rsidP="00746540">
      <w:pPr>
        <w:pStyle w:val="BodyText"/>
        <w:rPr>
          <w:lang w:val="en-US"/>
        </w:rPr>
      </w:pPr>
      <w:r w:rsidRPr="00C30F1D">
        <w:rPr>
          <w:rStyle w:val="Bold"/>
        </w:rPr>
        <w:t>Prospective resources</w:t>
      </w:r>
      <w:r>
        <w:rPr>
          <w:lang w:val="en-US"/>
        </w:rPr>
        <w:t xml:space="preserve"> are estimated volumes associated with undiscovered accumulations. These represent quantities of petroleum which are estimated, as of a given date, to be potentially recoverable on the basis of indirect evidence but have not yet been drilled. This class represents a higher risk than contingent resources since the risk of discovery is also added. For prospective resources to become classified as contingent resources, hydrocarbons must be discovered, the accumulations must be evaluated and an estimate of recoverable quantities prepared. </w:t>
      </w:r>
      <w:r w:rsidRPr="006E12B5">
        <w:rPr>
          <w:lang w:val="en-US"/>
        </w:rPr>
        <w:t>Prospective resource can also be converted directly to reserve if it is proved that it can be developed commercially after drilling and testing.</w:t>
      </w:r>
    </w:p>
    <w:p w14:paraId="336335AE" w14:textId="77777777" w:rsidR="00746540" w:rsidRDefault="00746540" w:rsidP="00746540">
      <w:pPr>
        <w:pStyle w:val="BodyText"/>
        <w:rPr>
          <w:lang w:val="en-US"/>
        </w:rPr>
      </w:pPr>
      <w:r>
        <w:rPr>
          <w:lang w:val="en-US"/>
        </w:rPr>
        <w:t>Some petroleum will be classified as "unrecoverable" at this point in time. These are not producible by any projects that the company may plan or foresee. While a portion of these quantities may become recoverable in the future as commercial circumstances change or technological developments occur, some of the remaining portion may never be recovered due to physical or chemical constraints in the reservoir. The volumes classified using this system represent the analysis of the day, and should be regularly reviewed and updated, as necessary, to reflect changing conditions.</w:t>
      </w:r>
    </w:p>
    <w:p w14:paraId="000F1DDF" w14:textId="77777777" w:rsidR="00746540" w:rsidRDefault="00746540" w:rsidP="00746540">
      <w:pPr>
        <w:pStyle w:val="BodyText"/>
        <w:rPr>
          <w:lang w:val="en-US"/>
        </w:rPr>
      </w:pPr>
      <w:r>
        <w:rPr>
          <w:lang w:val="en-US"/>
        </w:rPr>
        <w:t>A project may have recoverable quantities in several resource classes simultaneously. As barriers to development are removed, some resources may move to a higher classification. One of the primary distinctions between resources and reserves is that while resources are technically recoverable, they may not be commercially viable. Reserves are commercially viable and there is intent to develop them.</w:t>
      </w:r>
    </w:p>
    <w:p w14:paraId="5EF99654" w14:textId="77777777" w:rsidR="00746540" w:rsidRPr="00B261EC" w:rsidRDefault="00746540" w:rsidP="00746540">
      <w:pPr>
        <w:pStyle w:val="AppendixHeading4"/>
      </w:pPr>
      <w:r w:rsidRPr="00B261EC">
        <w:t>Differences in categories (horizontal axis)</w:t>
      </w:r>
    </w:p>
    <w:p w14:paraId="2808F5B3" w14:textId="77777777" w:rsidR="00746540" w:rsidRDefault="00746540" w:rsidP="00746540">
      <w:pPr>
        <w:pStyle w:val="BodyText"/>
        <w:rPr>
          <w:lang w:val="en-US"/>
        </w:rPr>
      </w:pPr>
      <w:r>
        <w:rPr>
          <w:lang w:val="en-US"/>
        </w:rPr>
        <w:t>Within any resource class other than production, volumes are placed into different categories based on their certainty of eventually coming out of the ground. Decisions to upgrade volumes to any category within a class are generally based on the technical certainty of volume recovery. In this discussion, the focus is on the reserve class, as these volumes are commonly the focus of public discussions regarding oil and gas company producing assets.</w:t>
      </w:r>
    </w:p>
    <w:p w14:paraId="7AC6ABB1" w14:textId="77777777" w:rsidR="00746540" w:rsidRDefault="00746540" w:rsidP="00746540">
      <w:pPr>
        <w:pStyle w:val="BodyText"/>
        <w:rPr>
          <w:lang w:val="en-US"/>
        </w:rPr>
      </w:pPr>
      <w:r>
        <w:rPr>
          <w:lang w:val="en-US"/>
        </w:rPr>
        <w:t>The highest valued category of reserves is "</w:t>
      </w:r>
      <w:r w:rsidRPr="00C30F1D">
        <w:rPr>
          <w:rStyle w:val="Bold"/>
        </w:rPr>
        <w:t>proved</w:t>
      </w:r>
      <w:r>
        <w:rPr>
          <w:lang w:val="en-US"/>
        </w:rPr>
        <w:t>" reserves. Proved reserves have a reasonable certainty of being recovered, which means a high degree of confidence that the volumes will be recovered. To be clear, reserves must have all commercial aspects addressed. It is technical issues which separate proved from unproved categories.</w:t>
      </w:r>
    </w:p>
    <w:p w14:paraId="32B59312" w14:textId="77777777" w:rsidR="00746540" w:rsidRDefault="00746540" w:rsidP="00746540">
      <w:pPr>
        <w:pStyle w:val="BodyText"/>
        <w:rPr>
          <w:lang w:val="en-US"/>
        </w:rPr>
      </w:pPr>
      <w:r>
        <w:rPr>
          <w:lang w:val="en-US"/>
        </w:rPr>
        <w:t>"</w:t>
      </w:r>
      <w:r w:rsidRPr="00C30F1D">
        <w:rPr>
          <w:rStyle w:val="Bold"/>
        </w:rPr>
        <w:t>Probable</w:t>
      </w:r>
      <w:r>
        <w:rPr>
          <w:lang w:val="en-US"/>
        </w:rPr>
        <w:t>" or "</w:t>
      </w:r>
      <w:r w:rsidRPr="00C30F1D">
        <w:rPr>
          <w:rStyle w:val="Bold"/>
        </w:rPr>
        <w:t>possible</w:t>
      </w:r>
      <w:r>
        <w:rPr>
          <w:lang w:val="en-US"/>
        </w:rPr>
        <w:t xml:space="preserve">" reserves are lower categories of reserves, commonly combined and referred to as "unproved reserves," with decreasing levels of technical certainty. Probable reserves </w:t>
      </w:r>
      <w:r>
        <w:rPr>
          <w:lang w:val="en-US"/>
        </w:rPr>
        <w:lastRenderedPageBreak/>
        <w:t>are volumes that are defined as "less likely to be recovered than proved, but more certain to be recovered than Possible Reserves". Possible reserves are reserves which geological and engineering data suggests are less likely to be recoverable than probable reserves.</w:t>
      </w:r>
    </w:p>
    <w:p w14:paraId="7AD7F76C" w14:textId="77777777" w:rsidR="00746540" w:rsidRDefault="00746540" w:rsidP="00746540">
      <w:pPr>
        <w:pStyle w:val="BodyText"/>
        <w:rPr>
          <w:lang w:val="en-US"/>
        </w:rPr>
      </w:pPr>
      <w:r>
        <w:rPr>
          <w:lang w:val="en-US"/>
        </w:rPr>
        <w:t>The term 1P is frequently used to denote proved reserves, 2P is the sum of proved and probable reserves and 3P the sum of proved, probable and possible reserves. The best estimate of recovery from committed projects is generally considered to be the 2P sum of proved and probable reserves. Note that these volumes only refer to projects that are currently justified for or already in development. Total value of any resource base must include an assessment of the contingent and prospective resources as well as reserves.</w:t>
      </w:r>
    </w:p>
    <w:p w14:paraId="4A3BDAED" w14:textId="77777777" w:rsidR="00746540" w:rsidRDefault="00746540" w:rsidP="00746540">
      <w:pPr>
        <w:pStyle w:val="BodyText"/>
        <w:rPr>
          <w:lang w:val="en-US"/>
        </w:rPr>
      </w:pPr>
      <w:r>
        <w:rPr>
          <w:lang w:val="en-US"/>
        </w:rPr>
        <w:t>In order for volumes to move from one category to the next, the technical issues which cause them to be placed in less certain categories must be resolved. In the majority of cases, this requires that additional data must be obtained before any greater certainty can be recognised. This may include, among other things, the drilling of additional wells, the monitoring of current production to better understand performance or the implementation of a pilot to have greater confidence in the volumes that full scale development projects may eventually produce.</w:t>
      </w:r>
    </w:p>
    <w:p w14:paraId="754A9720" w14:textId="77777777" w:rsidR="00746540" w:rsidRPr="008834F0" w:rsidRDefault="00746540" w:rsidP="00746540">
      <w:pPr>
        <w:pStyle w:val="AppendixHeading3"/>
      </w:pPr>
      <w:bookmarkStart w:id="15" w:name="_Toc517161109"/>
      <w:r w:rsidRPr="008834F0">
        <w:t>Unconventional resource assessment</w:t>
      </w:r>
      <w:r>
        <w:t xml:space="preserve"> </w:t>
      </w:r>
      <w:r w:rsidRPr="00C30F1D">
        <w:t>methods</w:t>
      </w:r>
      <w:bookmarkEnd w:id="15"/>
    </w:p>
    <w:p w14:paraId="4994AF72" w14:textId="77777777" w:rsidR="00746540" w:rsidRDefault="00746540" w:rsidP="00746540">
      <w:pPr>
        <w:pStyle w:val="BodyText"/>
      </w:pPr>
      <w:r w:rsidRPr="00150F31">
        <w:t>There are three main classes of resource assessments – generative, gas</w:t>
      </w:r>
      <w:r>
        <w:t>-</w:t>
      </w:r>
      <w:r w:rsidRPr="00150F31">
        <w:t xml:space="preserve"> or oil</w:t>
      </w:r>
      <w:r>
        <w:t>-</w:t>
      </w:r>
      <w:r w:rsidRPr="00150F31">
        <w:t>in</w:t>
      </w:r>
      <w:r>
        <w:t>-</w:t>
      </w:r>
      <w:r w:rsidRPr="00150F31">
        <w:t xml:space="preserve">place and </w:t>
      </w:r>
      <w:r>
        <w:t>e</w:t>
      </w:r>
      <w:r w:rsidRPr="00150F31">
        <w:t xml:space="preserve">stimated </w:t>
      </w:r>
      <w:r>
        <w:t>u</w:t>
      </w:r>
      <w:r w:rsidRPr="00150F31">
        <w:t xml:space="preserve">ltimate </w:t>
      </w:r>
      <w:r>
        <w:t>r</w:t>
      </w:r>
      <w:r w:rsidRPr="00150F31">
        <w:t>ecovery</w:t>
      </w:r>
      <w:r>
        <w:t xml:space="preserve"> (EUR)</w:t>
      </w:r>
      <w:r w:rsidRPr="00150F31">
        <w:t xml:space="preserve">. </w:t>
      </w:r>
    </w:p>
    <w:p w14:paraId="681B75D0" w14:textId="77777777" w:rsidR="00746540" w:rsidRDefault="00746540" w:rsidP="00746540">
      <w:pPr>
        <w:pStyle w:val="ListBullet"/>
      </w:pPr>
      <w:r w:rsidRPr="00150F31">
        <w:t>Generative assessments assess the ability of a petroleum system to generate petroleum</w:t>
      </w:r>
      <w:r>
        <w:t>.</w:t>
      </w:r>
      <w:r w:rsidRPr="00150F31">
        <w:t xml:space="preserve"> </w:t>
      </w:r>
    </w:p>
    <w:p w14:paraId="00839EC2" w14:textId="77777777" w:rsidR="00746540" w:rsidRDefault="00746540" w:rsidP="00746540">
      <w:pPr>
        <w:pStyle w:val="ListBullet"/>
      </w:pPr>
      <w:r w:rsidRPr="00150F31">
        <w:t>Gas- or oil-in</w:t>
      </w:r>
      <w:r w:rsidRPr="00150F31">
        <w:noBreakHyphen/>
        <w:t xml:space="preserve">place assessments calculate the concentration of petroleum in the reservoir at the present day. </w:t>
      </w:r>
    </w:p>
    <w:p w14:paraId="546E250F" w14:textId="77777777" w:rsidR="00746540" w:rsidRPr="00150F31" w:rsidRDefault="00746540" w:rsidP="00746540">
      <w:pPr>
        <w:pStyle w:val="ListBullet"/>
      </w:pPr>
      <w:r w:rsidRPr="00150F31">
        <w:t xml:space="preserve">Estimated </w:t>
      </w:r>
      <w:r>
        <w:t>u</w:t>
      </w:r>
      <w:r w:rsidRPr="00150F31">
        <w:t xml:space="preserve">ltimate </w:t>
      </w:r>
      <w:r>
        <w:t>re</w:t>
      </w:r>
      <w:r w:rsidRPr="00150F31">
        <w:t>covery assessments</w:t>
      </w:r>
      <w:r w:rsidRPr="00150F31" w:rsidDel="0045550E">
        <w:t xml:space="preserve"> </w:t>
      </w:r>
      <w:r w:rsidRPr="00150F31">
        <w:t>use petroleum production data and reservoir simulation models to forecast future production potential from the reservoir assuming a given set of parameters. EUR assessments can only be used for reservoirs with existing production, as they rely heavily on the known production characteristics of the reservoirs.</w:t>
      </w:r>
    </w:p>
    <w:p w14:paraId="20908D37" w14:textId="77777777" w:rsidR="00746540" w:rsidRPr="00150F31" w:rsidRDefault="00746540" w:rsidP="00746540">
      <w:pPr>
        <w:pStyle w:val="BodyText"/>
      </w:pPr>
      <w:r w:rsidRPr="00150F31">
        <w:t>F</w:t>
      </w:r>
      <w:r>
        <w:t>or all three of these methods</w:t>
      </w:r>
      <w:r w:rsidRPr="00150F31">
        <w:t>, it is possible to use a probabilistic assessment approach, defining parameters within the assessment</w:t>
      </w:r>
      <w:r>
        <w:t xml:space="preserve"> as probability distributions</w:t>
      </w:r>
      <w:r w:rsidRPr="00150F31">
        <w:t xml:space="preserve"> in order to provide a statistically based range of possible outcomes. </w:t>
      </w:r>
      <w:r>
        <w:t>P</w:t>
      </w:r>
      <w:r w:rsidRPr="00150F31">
        <w:t xml:space="preserve">robabilistic assessment </w:t>
      </w:r>
      <w:r>
        <w:t>r</w:t>
      </w:r>
      <w:r w:rsidRPr="00150F31">
        <w:t>eports typic</w:t>
      </w:r>
      <w:r>
        <w:t xml:space="preserve">ally give a low estimate (P90: </w:t>
      </w:r>
      <w:r w:rsidRPr="00150F31">
        <w:t xml:space="preserve">90% probability that at least this much oil or gas can be found in place), a </w:t>
      </w:r>
      <w:r>
        <w:t>middle estimate (P50:</w:t>
      </w:r>
      <w:r w:rsidRPr="00150F31">
        <w:t xml:space="preserve"> 50% chance of occurren</w:t>
      </w:r>
      <w:r>
        <w:t xml:space="preserve">ce), and a high estimate (P10: </w:t>
      </w:r>
      <w:r w:rsidRPr="00150F31">
        <w:t>only a 10% chance that this volume of oil or gas will be found or exceeded).</w:t>
      </w:r>
    </w:p>
    <w:p w14:paraId="648630F9" w14:textId="2E3BF926" w:rsidR="00746540" w:rsidRPr="008834F0" w:rsidRDefault="00746540" w:rsidP="00746540">
      <w:pPr>
        <w:pStyle w:val="BodyText"/>
      </w:pPr>
      <w:r w:rsidRPr="008834F0">
        <w:t xml:space="preserve">An estimated </w:t>
      </w:r>
      <w:r w:rsidRPr="003E2486">
        <w:rPr>
          <w:rStyle w:val="Italic"/>
        </w:rPr>
        <w:t>recoverable</w:t>
      </w:r>
      <w:r w:rsidRPr="008834F0">
        <w:t xml:space="preserve"> volume is calculated by applying a recovery factor to the assessed volume of oil or gas. The recovery factor is intended to reflect risks in exploration (</w:t>
      </w:r>
      <w:r>
        <w:t xml:space="preserve">e.g. the </w:t>
      </w:r>
      <w:r w:rsidRPr="008834F0">
        <w:t>need to find ‘sweet spots’, data quality), risks in development (</w:t>
      </w:r>
      <w:r>
        <w:t>e.g. optimising</w:t>
      </w:r>
      <w:r w:rsidRPr="008834F0">
        <w:t xml:space="preserve"> drilling and hydraulic stimulation to the local stress regime for mobilisation of oil and gas), as well as other factors impacting development (e.g. government policy, uncertainties in project approvals, finance and infrastructure). In</w:t>
      </w:r>
      <w:r>
        <w:t xml:space="preserve"> geologically well understood</w:t>
      </w:r>
      <w:r w:rsidRPr="008834F0">
        <w:t xml:space="preserve"> reservoirs with known production characteristics</w:t>
      </w:r>
      <w:r>
        <w:t>,</w:t>
      </w:r>
      <w:r w:rsidRPr="008834F0">
        <w:t xml:space="preserve"> and </w:t>
      </w:r>
      <w:r>
        <w:t xml:space="preserve">where </w:t>
      </w:r>
      <w:r w:rsidRPr="008834F0">
        <w:t>current technology</w:t>
      </w:r>
      <w:r>
        <w:t xml:space="preserve"> is</w:t>
      </w:r>
      <w:r w:rsidRPr="008834F0">
        <w:t xml:space="preserve"> able to recover a high percentage of oil and gas from the </w:t>
      </w:r>
      <w:r w:rsidRPr="008834F0">
        <w:lastRenderedPageBreak/>
        <w:t>reservoir, recovery factors for unconventional gas resources can be as high as 30%, and for shale oil between 2–7% (EIA, 2013).</w:t>
      </w:r>
    </w:p>
    <w:p w14:paraId="7BA9CCEE" w14:textId="77777777" w:rsidR="00E47C94" w:rsidRDefault="00E47C94" w:rsidP="00E47C94">
      <w:pPr>
        <w:pStyle w:val="BodyText"/>
      </w:pPr>
      <w:r>
        <w:t xml:space="preserve">As the contingent resource numbers are independently assessed to strict guidelines, they are relatively reliable. </w:t>
      </w:r>
    </w:p>
    <w:p w14:paraId="3F02CAC6" w14:textId="299134A4" w:rsidR="00E47C94" w:rsidRDefault="00E47C94" w:rsidP="00E47C94">
      <w:pPr>
        <w:pStyle w:val="BodyText"/>
      </w:pPr>
      <w:r>
        <w:t>Uncertainties in prospective resource numbers are much greater. In addition to the inherent uncertainty in the numbers, the following factors need to be considered when interpreting this data.</w:t>
      </w:r>
    </w:p>
    <w:p w14:paraId="6929DBEE" w14:textId="17A1BE78" w:rsidR="00E47C94" w:rsidRPr="00D46C20" w:rsidRDefault="00E47C94" w:rsidP="00E47C94">
      <w:pPr>
        <w:pStyle w:val="ListBullet"/>
      </w:pPr>
      <w:r w:rsidRPr="00D46C20">
        <w:t>The area covered by each assessment varies. Company numbers are reported for individual permits. In contrast independent assessments (for examples those by federal, state or territory government or independent assessors) have been conducted regionally to capture the entire play area.</w:t>
      </w:r>
      <w:r>
        <w:t xml:space="preserve"> </w:t>
      </w:r>
    </w:p>
    <w:p w14:paraId="05E716AD" w14:textId="20B71935" w:rsidR="00E47C94" w:rsidRPr="00D46C20" w:rsidRDefault="00E47C94" w:rsidP="00E47C94">
      <w:pPr>
        <w:pStyle w:val="ListBullet"/>
      </w:pPr>
      <w:r w:rsidRPr="00D46C20">
        <w:t xml:space="preserve">Assessment methodologies differ and the data underpinning them may vary considerably in terms of amount, type and quality (as discussed </w:t>
      </w:r>
      <w:r w:rsidR="00537756">
        <w:t>above).</w:t>
      </w:r>
    </w:p>
    <w:p w14:paraId="0D5D9CD4" w14:textId="77777777" w:rsidR="00E47C94" w:rsidRPr="00D46C20" w:rsidRDefault="00E47C94" w:rsidP="00E47C94">
      <w:pPr>
        <w:pStyle w:val="ListBullet"/>
      </w:pPr>
      <w:r w:rsidRPr="00D46C20">
        <w:t>Recovery factors are very poorly defined, especially for shale and tight gas plays.</w:t>
      </w:r>
    </w:p>
    <w:p w14:paraId="5480A2C6" w14:textId="5D847B80" w:rsidR="00C21BAD" w:rsidRDefault="00E47C94" w:rsidP="00E47C94">
      <w:pPr>
        <w:pStyle w:val="BodyText"/>
      </w:pPr>
      <w:r>
        <w:t>These inconsistencies affect how resources are estimated and reported. As a result the relative prospectivity of basins cannot always be ranked directly based on contingent and prospective resource numbers alone. Further information on basin geology, petroleum systems and potential plays is required to more effectively evaluate basin prospectivity.</w:t>
      </w:r>
    </w:p>
    <w:p w14:paraId="7BE4CCD7" w14:textId="77777777" w:rsidR="00C21BAD" w:rsidRDefault="00C21BAD" w:rsidP="00C21BAD">
      <w:pPr>
        <w:pStyle w:val="AppendixHeading3"/>
      </w:pPr>
      <w:bookmarkStart w:id="16" w:name="_Toc517161110"/>
      <w:r>
        <w:t>Classification of exploration status</w:t>
      </w:r>
      <w:bookmarkEnd w:id="16"/>
    </w:p>
    <w:p w14:paraId="13935F2D" w14:textId="0B81EFB2" w:rsidR="00C21BAD" w:rsidRDefault="008237FC" w:rsidP="00C21BAD">
      <w:pPr>
        <w:pStyle w:val="BodyText"/>
      </w:pPr>
      <w:r>
        <w:t>T</w:t>
      </w:r>
      <w:r w:rsidR="00C21BAD">
        <w:t xml:space="preserve">he exploration </w:t>
      </w:r>
      <w:r w:rsidR="00C21BAD" w:rsidRPr="00116B50">
        <w:t xml:space="preserve">status of </w:t>
      </w:r>
      <w:r w:rsidR="00C21BAD">
        <w:t>each identified shale and/or tight gas play may be evaluated based on phase of development and project maturity following the PRMS scheme (</w:t>
      </w:r>
      <w:r w:rsidR="00C21BAD" w:rsidRPr="00116B50">
        <w:t xml:space="preserve">Figure </w:t>
      </w:r>
      <w:r w:rsidR="00C21BAD">
        <w:t>A.2; PRMS, 2007)</w:t>
      </w:r>
      <w:r>
        <w:t>, taking into consideration uncertainties in resource numbers described above.</w:t>
      </w:r>
    </w:p>
    <w:p w14:paraId="17B6F99F" w14:textId="12D54234" w:rsidR="00C21BAD" w:rsidRDefault="00C21BAD" w:rsidP="00C21BAD">
      <w:pPr>
        <w:pStyle w:val="BodyText"/>
      </w:pPr>
      <w:r>
        <w:t xml:space="preserve">Data used in this study to informally evaluate development phase, and hence exploration status, by play type at a basin level are listed below (see also </w:t>
      </w:r>
      <w:r w:rsidRPr="00116B50">
        <w:t xml:space="preserve">Table </w:t>
      </w:r>
      <w:r>
        <w:t>A.</w:t>
      </w:r>
      <w:r w:rsidR="006B3F2A">
        <w:t>1</w:t>
      </w:r>
      <w:r>
        <w:t>):</w:t>
      </w:r>
    </w:p>
    <w:p w14:paraId="61930C0C" w14:textId="77777777" w:rsidR="00C21BAD" w:rsidRDefault="00C21BAD" w:rsidP="00C21BAD">
      <w:pPr>
        <w:pStyle w:val="ListBullet"/>
      </w:pPr>
      <w:r>
        <w:t xml:space="preserve">a </w:t>
      </w:r>
      <w:r w:rsidRPr="00116B50">
        <w:t>list of key wells targeting</w:t>
      </w:r>
      <w:r>
        <w:t xml:space="preserve"> each plays, although it should</w:t>
      </w:r>
      <w:r w:rsidRPr="00116B50">
        <w:t xml:space="preserve"> be noted that </w:t>
      </w:r>
      <w:r>
        <w:t>this</w:t>
      </w:r>
      <w:r w:rsidRPr="00116B50">
        <w:t xml:space="preserve"> </w:t>
      </w:r>
      <w:r>
        <w:t xml:space="preserve">list </w:t>
      </w:r>
      <w:r w:rsidRPr="00116B50">
        <w:t>is not exhaustive, as there are inconsistencies between how wells have been classified depen</w:t>
      </w:r>
      <w:r>
        <w:t>ding on the information source, and;</w:t>
      </w:r>
    </w:p>
    <w:p w14:paraId="6142068B" w14:textId="1A5983C2" w:rsidR="00C21BAD" w:rsidRDefault="00C21BAD" w:rsidP="00C21BAD">
      <w:pPr>
        <w:pStyle w:val="ListBullet"/>
      </w:pPr>
      <w:r>
        <w:t>t</w:t>
      </w:r>
      <w:r w:rsidRPr="00116B50">
        <w:t xml:space="preserve">he </w:t>
      </w:r>
      <w:r>
        <w:t>type of resource data (e.g. contingent or prospective) available for the play, if any</w:t>
      </w:r>
      <w:r w:rsidR="008237FC">
        <w:t>, along with the associated uncertainties</w:t>
      </w:r>
      <w:r>
        <w:t>.</w:t>
      </w:r>
    </w:p>
    <w:p w14:paraId="3D01E8B3" w14:textId="77777777" w:rsidR="00C21BAD" w:rsidRDefault="00C21BAD" w:rsidP="00C21BAD">
      <w:pPr>
        <w:pStyle w:val="FiguresImagesCentred"/>
      </w:pPr>
      <w:r>
        <w:rPr>
          <w:noProof/>
        </w:rPr>
        <w:lastRenderedPageBreak/>
        <w:drawing>
          <wp:inline distT="0" distB="0" distL="0" distR="0" wp14:anchorId="32D48AEA" wp14:editId="504145A6">
            <wp:extent cx="5785362" cy="5952564"/>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5785791" cy="5953006"/>
                    </a:xfrm>
                    <a:prstGeom prst="rect">
                      <a:avLst/>
                    </a:prstGeom>
                    <a:ln>
                      <a:noFill/>
                    </a:ln>
                    <a:extLst>
                      <a:ext uri="{53640926-AAD7-44D8-BBD7-CCE9431645EC}">
                        <a14:shadowObscured xmlns:a14="http://schemas.microsoft.com/office/drawing/2010/main"/>
                      </a:ext>
                    </a:extLst>
                  </pic:spPr>
                </pic:pic>
              </a:graphicData>
            </a:graphic>
          </wp:inline>
        </w:drawing>
      </w:r>
    </w:p>
    <w:p w14:paraId="0D48EB94" w14:textId="77777777" w:rsidR="00C21BAD" w:rsidRDefault="00C21BAD" w:rsidP="009F3E8F">
      <w:pPr>
        <w:pStyle w:val="Caption"/>
      </w:pPr>
      <w:bookmarkStart w:id="17" w:name="_Toc508972051"/>
      <w:r>
        <w:t xml:space="preserve">Figure </w:t>
      </w:r>
      <w:r w:rsidR="008079F1">
        <w:fldChar w:fldCharType="begin"/>
      </w:r>
      <w:r w:rsidR="008079F1">
        <w:instrText xml:space="preserve"> STYLEREF 9 \s </w:instrText>
      </w:r>
      <w:r w:rsidR="008079F1">
        <w:fldChar w:fldCharType="separate"/>
      </w:r>
      <w:r w:rsidR="00640CCB">
        <w:rPr>
          <w:noProof/>
        </w:rPr>
        <w:t>A</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2</w:t>
      </w:r>
      <w:r w:rsidR="008079F1">
        <w:rPr>
          <w:noProof/>
        </w:rPr>
        <w:fldChar w:fldCharType="end"/>
      </w:r>
      <w:r>
        <w:rPr>
          <w:noProof/>
        </w:rPr>
        <w:t xml:space="preserve"> </w:t>
      </w:r>
      <w:r w:rsidRPr="00AB6721">
        <w:t>Classification of development stages based on project maturity (PRMS, 2007).</w:t>
      </w:r>
      <w:bookmarkEnd w:id="17"/>
    </w:p>
    <w:p w14:paraId="41824A5B" w14:textId="10F2C356" w:rsidR="001F5A07" w:rsidRDefault="001F5A07" w:rsidP="00147CAE">
      <w:pPr>
        <w:pStyle w:val="BodyText"/>
      </w:pPr>
      <w:r>
        <w:br w:type="page"/>
      </w:r>
    </w:p>
    <w:p w14:paraId="3E6B6ABD" w14:textId="77777777" w:rsidR="00C21BAD" w:rsidRPr="00AB6721" w:rsidRDefault="00C21BAD" w:rsidP="009F3E8F">
      <w:pPr>
        <w:pStyle w:val="Caption"/>
      </w:pPr>
      <w:bookmarkStart w:id="18" w:name="_Toc508972147"/>
      <w:r>
        <w:lastRenderedPageBreak/>
        <w:t xml:space="preserve">Table </w:t>
      </w:r>
      <w:r w:rsidR="008079F1">
        <w:fldChar w:fldCharType="begin"/>
      </w:r>
      <w:r w:rsidR="008079F1">
        <w:instrText xml:space="preserve"> STYLEREF 9 \s </w:instrText>
      </w:r>
      <w:r w:rsidR="008079F1">
        <w:fldChar w:fldCharType="separate"/>
      </w:r>
      <w:r w:rsidR="00640CCB">
        <w:rPr>
          <w:noProof/>
        </w:rPr>
        <w:t>A</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1</w:t>
      </w:r>
      <w:r w:rsidR="008079F1">
        <w:rPr>
          <w:noProof/>
        </w:rPr>
        <w:fldChar w:fldCharType="end"/>
      </w:r>
      <w:r>
        <w:t xml:space="preserve"> </w:t>
      </w:r>
      <w:r w:rsidRPr="00AB6721">
        <w:t xml:space="preserve">Metrics used to assign </w:t>
      </w:r>
      <w:r>
        <w:t xml:space="preserve">exploration status in terms of </w:t>
      </w:r>
      <w:r w:rsidRPr="00AB6721">
        <w:t>development phases</w:t>
      </w:r>
      <w:r>
        <w:t>.</w:t>
      </w:r>
      <w:bookmarkEnd w:id="18"/>
    </w:p>
    <w:tbl>
      <w:tblPr>
        <w:tblStyle w:val="TableBAHeaderRow"/>
        <w:tblW w:w="5000" w:type="pct"/>
        <w:tblLook w:val="04A0" w:firstRow="1" w:lastRow="0" w:firstColumn="1" w:lastColumn="0" w:noHBand="0" w:noVBand="1"/>
      </w:tblPr>
      <w:tblGrid>
        <w:gridCol w:w="2571"/>
        <w:gridCol w:w="2570"/>
        <w:gridCol w:w="2088"/>
        <w:gridCol w:w="2410"/>
      </w:tblGrid>
      <w:tr w:rsidR="00C21BAD" w14:paraId="15E5033B" w14:textId="77777777" w:rsidTr="00C21BAD">
        <w:trPr>
          <w:cnfStyle w:val="100000000000" w:firstRow="1" w:lastRow="0" w:firstColumn="0" w:lastColumn="0" w:oddVBand="0" w:evenVBand="0" w:oddHBand="0" w:evenHBand="0" w:firstRowFirstColumn="0" w:firstRowLastColumn="0" w:lastRowFirstColumn="0" w:lastRowLastColumn="0"/>
        </w:trPr>
        <w:tc>
          <w:tcPr>
            <w:tcW w:w="1333" w:type="pct"/>
          </w:tcPr>
          <w:p w14:paraId="39EA9ACB" w14:textId="77777777" w:rsidR="00C21BAD" w:rsidRPr="00D46C20" w:rsidRDefault="00C21BAD" w:rsidP="00960B30">
            <w:pPr>
              <w:pStyle w:val="TableText"/>
            </w:pPr>
            <w:r w:rsidRPr="00D46C20">
              <w:t>Phase of development</w:t>
            </w:r>
          </w:p>
        </w:tc>
        <w:tc>
          <w:tcPr>
            <w:tcW w:w="1333" w:type="pct"/>
          </w:tcPr>
          <w:p w14:paraId="7841382E" w14:textId="77777777" w:rsidR="00C21BAD" w:rsidRPr="00D46C20" w:rsidRDefault="00C21BAD" w:rsidP="00960B30">
            <w:pPr>
              <w:pStyle w:val="TableText"/>
            </w:pPr>
            <w:r w:rsidRPr="00D46C20">
              <w:t>Project maturity</w:t>
            </w:r>
          </w:p>
        </w:tc>
        <w:tc>
          <w:tcPr>
            <w:tcW w:w="1083" w:type="pct"/>
          </w:tcPr>
          <w:p w14:paraId="79154620" w14:textId="77777777" w:rsidR="00C21BAD" w:rsidRPr="00D46C20" w:rsidRDefault="00C21BAD" w:rsidP="00960B30">
            <w:pPr>
              <w:pStyle w:val="TableText"/>
            </w:pPr>
            <w:r w:rsidRPr="00D46C20">
              <w:t>Probable level of drilling activity</w:t>
            </w:r>
          </w:p>
        </w:tc>
        <w:tc>
          <w:tcPr>
            <w:tcW w:w="1250" w:type="pct"/>
          </w:tcPr>
          <w:p w14:paraId="40303EC6" w14:textId="77777777" w:rsidR="00C21BAD" w:rsidRPr="00D46C20" w:rsidRDefault="00C21BAD" w:rsidP="00960B30">
            <w:pPr>
              <w:pStyle w:val="TableText"/>
            </w:pPr>
            <w:r w:rsidRPr="00D46C20">
              <w:t>Resources</w:t>
            </w:r>
          </w:p>
        </w:tc>
      </w:tr>
      <w:tr w:rsidR="00C21BAD" w14:paraId="1E68BB0D" w14:textId="77777777" w:rsidTr="00C21BAD">
        <w:trPr>
          <w:cnfStyle w:val="000000100000" w:firstRow="0" w:lastRow="0" w:firstColumn="0" w:lastColumn="0" w:oddVBand="0" w:evenVBand="0" w:oddHBand="1" w:evenHBand="0" w:firstRowFirstColumn="0" w:firstRowLastColumn="0" w:lastRowFirstColumn="0" w:lastRowLastColumn="0"/>
        </w:trPr>
        <w:tc>
          <w:tcPr>
            <w:tcW w:w="1333" w:type="pct"/>
          </w:tcPr>
          <w:p w14:paraId="0DB9A4FC" w14:textId="77777777" w:rsidR="00C21BAD" w:rsidRDefault="00C21BAD" w:rsidP="00960B30">
            <w:pPr>
              <w:pStyle w:val="TableText"/>
            </w:pPr>
            <w:r>
              <w:t>No exploration activity</w:t>
            </w:r>
          </w:p>
        </w:tc>
        <w:tc>
          <w:tcPr>
            <w:tcW w:w="1333" w:type="pct"/>
          </w:tcPr>
          <w:p w14:paraId="25FB1404" w14:textId="77777777" w:rsidR="00C21BAD" w:rsidRDefault="00C21BAD" w:rsidP="00960B30">
            <w:pPr>
              <w:pStyle w:val="TableText"/>
            </w:pPr>
            <w:r>
              <w:t xml:space="preserve">no active investigation/ regional desk top studies </w:t>
            </w:r>
          </w:p>
        </w:tc>
        <w:tc>
          <w:tcPr>
            <w:tcW w:w="1083" w:type="pct"/>
          </w:tcPr>
          <w:p w14:paraId="2C3BA755" w14:textId="77777777" w:rsidR="00C21BAD" w:rsidRDefault="00C21BAD" w:rsidP="00960B30">
            <w:pPr>
              <w:pStyle w:val="TableText"/>
            </w:pPr>
            <w:r>
              <w:t>no well drilled</w:t>
            </w:r>
          </w:p>
        </w:tc>
        <w:tc>
          <w:tcPr>
            <w:tcW w:w="1250" w:type="pct"/>
          </w:tcPr>
          <w:p w14:paraId="078F4578" w14:textId="77777777" w:rsidR="00C21BAD" w:rsidRDefault="00C21BAD" w:rsidP="00960B30">
            <w:pPr>
              <w:pStyle w:val="TableText"/>
            </w:pPr>
          </w:p>
        </w:tc>
      </w:tr>
      <w:tr w:rsidR="00C21BAD" w14:paraId="1CDB7AF1" w14:textId="77777777" w:rsidTr="00C21BAD">
        <w:trPr>
          <w:cnfStyle w:val="000000010000" w:firstRow="0" w:lastRow="0" w:firstColumn="0" w:lastColumn="0" w:oddVBand="0" w:evenVBand="0" w:oddHBand="0" w:evenHBand="1" w:firstRowFirstColumn="0" w:firstRowLastColumn="0" w:lastRowFirstColumn="0" w:lastRowLastColumn="0"/>
        </w:trPr>
        <w:tc>
          <w:tcPr>
            <w:tcW w:w="1333" w:type="pct"/>
          </w:tcPr>
          <w:p w14:paraId="32DCACE0" w14:textId="77777777" w:rsidR="00C21BAD" w:rsidRDefault="00C21BAD" w:rsidP="00960B30">
            <w:pPr>
              <w:pStyle w:val="TableText"/>
            </w:pPr>
            <w:r>
              <w:t>Preliminary exploration</w:t>
            </w:r>
          </w:p>
        </w:tc>
        <w:tc>
          <w:tcPr>
            <w:tcW w:w="1333" w:type="pct"/>
          </w:tcPr>
          <w:p w14:paraId="56E0EE55" w14:textId="77777777" w:rsidR="00C21BAD" w:rsidRDefault="00C21BAD" w:rsidP="00960B30">
            <w:pPr>
              <w:pStyle w:val="TableText"/>
            </w:pPr>
            <w:r>
              <w:t>investigation at play level</w:t>
            </w:r>
          </w:p>
        </w:tc>
        <w:tc>
          <w:tcPr>
            <w:tcW w:w="1083" w:type="pct"/>
          </w:tcPr>
          <w:p w14:paraId="0E240E5F" w14:textId="77777777" w:rsidR="00C21BAD" w:rsidRDefault="00C21BAD" w:rsidP="00960B30">
            <w:pPr>
              <w:pStyle w:val="TableText"/>
            </w:pPr>
            <w:r>
              <w:t>initial drilling but no discovery</w:t>
            </w:r>
          </w:p>
        </w:tc>
        <w:tc>
          <w:tcPr>
            <w:tcW w:w="1250" w:type="pct"/>
          </w:tcPr>
          <w:p w14:paraId="1847FDAC" w14:textId="77777777" w:rsidR="00C21BAD" w:rsidRDefault="00C21BAD" w:rsidP="00960B30">
            <w:pPr>
              <w:pStyle w:val="TableText"/>
            </w:pPr>
            <w:r>
              <w:t>?prospective resources</w:t>
            </w:r>
          </w:p>
        </w:tc>
      </w:tr>
      <w:tr w:rsidR="00C21BAD" w14:paraId="6A2ADCCE" w14:textId="77777777" w:rsidTr="00C21BAD">
        <w:trPr>
          <w:cnfStyle w:val="000000100000" w:firstRow="0" w:lastRow="0" w:firstColumn="0" w:lastColumn="0" w:oddVBand="0" w:evenVBand="0" w:oddHBand="1" w:evenHBand="0" w:firstRowFirstColumn="0" w:firstRowLastColumn="0" w:lastRowFirstColumn="0" w:lastRowLastColumn="0"/>
        </w:trPr>
        <w:tc>
          <w:tcPr>
            <w:tcW w:w="1333" w:type="pct"/>
          </w:tcPr>
          <w:p w14:paraId="2B081FA8" w14:textId="77777777" w:rsidR="00C21BAD" w:rsidRDefault="00C21BAD" w:rsidP="00960B30">
            <w:pPr>
              <w:pStyle w:val="TableText"/>
            </w:pPr>
            <w:r>
              <w:t>Exploration</w:t>
            </w:r>
          </w:p>
        </w:tc>
        <w:tc>
          <w:tcPr>
            <w:tcW w:w="1333" w:type="pct"/>
          </w:tcPr>
          <w:p w14:paraId="71B33B08" w14:textId="77777777" w:rsidR="00C21BAD" w:rsidRDefault="00C21BAD" w:rsidP="00960B30">
            <w:pPr>
              <w:pStyle w:val="TableText"/>
            </w:pPr>
            <w:r>
              <w:t>investigation at prospect level</w:t>
            </w:r>
          </w:p>
        </w:tc>
        <w:tc>
          <w:tcPr>
            <w:tcW w:w="1083" w:type="pct"/>
          </w:tcPr>
          <w:p w14:paraId="03EC9B4B" w14:textId="77777777" w:rsidR="00C21BAD" w:rsidRDefault="00C21BAD" w:rsidP="00960B30">
            <w:pPr>
              <w:pStyle w:val="TableText"/>
            </w:pPr>
            <w:r>
              <w:t>discovery well</w:t>
            </w:r>
          </w:p>
        </w:tc>
        <w:tc>
          <w:tcPr>
            <w:tcW w:w="1250" w:type="pct"/>
          </w:tcPr>
          <w:p w14:paraId="270E499D" w14:textId="77777777" w:rsidR="00C21BAD" w:rsidRDefault="00C21BAD" w:rsidP="00960B30">
            <w:pPr>
              <w:pStyle w:val="TableText"/>
            </w:pPr>
            <w:r>
              <w:t>?prospective resources</w:t>
            </w:r>
          </w:p>
        </w:tc>
      </w:tr>
      <w:tr w:rsidR="00C21BAD" w14:paraId="0DCDA5B4" w14:textId="77777777" w:rsidTr="00C21BAD">
        <w:trPr>
          <w:cnfStyle w:val="000000010000" w:firstRow="0" w:lastRow="0" w:firstColumn="0" w:lastColumn="0" w:oddVBand="0" w:evenVBand="0" w:oddHBand="0" w:evenHBand="1" w:firstRowFirstColumn="0" w:firstRowLastColumn="0" w:lastRowFirstColumn="0" w:lastRowLastColumn="0"/>
        </w:trPr>
        <w:tc>
          <w:tcPr>
            <w:tcW w:w="1333" w:type="pct"/>
          </w:tcPr>
          <w:p w14:paraId="0965C3B3" w14:textId="77777777" w:rsidR="00C21BAD" w:rsidRDefault="00C21BAD" w:rsidP="00960B30">
            <w:pPr>
              <w:pStyle w:val="TableText"/>
            </w:pPr>
            <w:r>
              <w:t>Early appraisal</w:t>
            </w:r>
          </w:p>
        </w:tc>
        <w:tc>
          <w:tcPr>
            <w:tcW w:w="1333" w:type="pct"/>
          </w:tcPr>
          <w:p w14:paraId="20115CFB" w14:textId="77777777" w:rsidR="00C21BAD" w:rsidRDefault="00C21BAD" w:rsidP="00960B30">
            <w:pPr>
              <w:pStyle w:val="TableText"/>
            </w:pPr>
            <w:r>
              <w:t>discovery but development not viable</w:t>
            </w:r>
          </w:p>
        </w:tc>
        <w:tc>
          <w:tcPr>
            <w:tcW w:w="1083" w:type="pct"/>
          </w:tcPr>
          <w:p w14:paraId="5528D070" w14:textId="77777777" w:rsidR="00C21BAD" w:rsidRDefault="00C21BAD" w:rsidP="00960B30">
            <w:pPr>
              <w:pStyle w:val="TableText"/>
            </w:pPr>
            <w:r>
              <w:t>multiple wells</w:t>
            </w:r>
          </w:p>
        </w:tc>
        <w:tc>
          <w:tcPr>
            <w:tcW w:w="1250" w:type="pct"/>
          </w:tcPr>
          <w:p w14:paraId="19D14EED" w14:textId="77777777" w:rsidR="00C21BAD" w:rsidRDefault="00C21BAD" w:rsidP="00960B30">
            <w:pPr>
              <w:pStyle w:val="TableText"/>
            </w:pPr>
            <w:r>
              <w:t>contingent resources</w:t>
            </w:r>
          </w:p>
        </w:tc>
      </w:tr>
      <w:tr w:rsidR="00C21BAD" w14:paraId="362A220B" w14:textId="77777777" w:rsidTr="00C21BAD">
        <w:trPr>
          <w:cnfStyle w:val="000000100000" w:firstRow="0" w:lastRow="0" w:firstColumn="0" w:lastColumn="0" w:oddVBand="0" w:evenVBand="0" w:oddHBand="1" w:evenHBand="0" w:firstRowFirstColumn="0" w:firstRowLastColumn="0" w:lastRowFirstColumn="0" w:lastRowLastColumn="0"/>
        </w:trPr>
        <w:tc>
          <w:tcPr>
            <w:tcW w:w="1333" w:type="pct"/>
          </w:tcPr>
          <w:p w14:paraId="255AA86F" w14:textId="63D258D8" w:rsidR="00C21BAD" w:rsidRDefault="00BC20EC" w:rsidP="00960B30">
            <w:pPr>
              <w:pStyle w:val="TableText"/>
            </w:pPr>
            <w:r>
              <w:t>A</w:t>
            </w:r>
            <w:r w:rsidR="00C21BAD">
              <w:t>ppraisal</w:t>
            </w:r>
          </w:p>
        </w:tc>
        <w:tc>
          <w:tcPr>
            <w:tcW w:w="1333" w:type="pct"/>
          </w:tcPr>
          <w:p w14:paraId="21FC6D16" w14:textId="77777777" w:rsidR="00C21BAD" w:rsidRDefault="00C21BAD" w:rsidP="00960B30">
            <w:pPr>
              <w:pStyle w:val="TableText"/>
            </w:pPr>
            <w:r>
              <w:t>discovery mature for development decision</w:t>
            </w:r>
          </w:p>
        </w:tc>
        <w:tc>
          <w:tcPr>
            <w:tcW w:w="1083" w:type="pct"/>
          </w:tcPr>
          <w:p w14:paraId="6BF1B8C2" w14:textId="77777777" w:rsidR="00C21BAD" w:rsidRDefault="00C21BAD" w:rsidP="00960B30">
            <w:pPr>
              <w:pStyle w:val="TableText"/>
            </w:pPr>
            <w:r>
              <w:t>multiple wells</w:t>
            </w:r>
          </w:p>
        </w:tc>
        <w:tc>
          <w:tcPr>
            <w:tcW w:w="1250" w:type="pct"/>
          </w:tcPr>
          <w:p w14:paraId="3349ED87" w14:textId="77777777" w:rsidR="00C21BAD" w:rsidRDefault="00C21BAD" w:rsidP="00960B30">
            <w:pPr>
              <w:pStyle w:val="TableText"/>
            </w:pPr>
            <w:r>
              <w:t>contingent resources</w:t>
            </w:r>
          </w:p>
        </w:tc>
      </w:tr>
      <w:tr w:rsidR="00C21BAD" w14:paraId="5E991C03" w14:textId="77777777" w:rsidTr="00C21BAD">
        <w:trPr>
          <w:cnfStyle w:val="000000010000" w:firstRow="0" w:lastRow="0" w:firstColumn="0" w:lastColumn="0" w:oddVBand="0" w:evenVBand="0" w:oddHBand="0" w:evenHBand="1" w:firstRowFirstColumn="0" w:firstRowLastColumn="0" w:lastRowFirstColumn="0" w:lastRowLastColumn="0"/>
        </w:trPr>
        <w:tc>
          <w:tcPr>
            <w:tcW w:w="1333" w:type="pct"/>
          </w:tcPr>
          <w:p w14:paraId="0968DD36" w14:textId="77777777" w:rsidR="00C21BAD" w:rsidRDefault="00C21BAD" w:rsidP="00960B30">
            <w:pPr>
              <w:pStyle w:val="TableText"/>
            </w:pPr>
            <w:r>
              <w:t>Development</w:t>
            </w:r>
          </w:p>
        </w:tc>
        <w:tc>
          <w:tcPr>
            <w:tcW w:w="1333" w:type="pct"/>
          </w:tcPr>
          <w:p w14:paraId="16FB1299" w14:textId="77777777" w:rsidR="00C21BAD" w:rsidRDefault="00C21BAD" w:rsidP="00960B30">
            <w:pPr>
              <w:pStyle w:val="TableText"/>
            </w:pPr>
            <w:r>
              <w:t>committed for or under development</w:t>
            </w:r>
          </w:p>
        </w:tc>
        <w:tc>
          <w:tcPr>
            <w:tcW w:w="1083" w:type="pct"/>
          </w:tcPr>
          <w:p w14:paraId="390530FA" w14:textId="77777777" w:rsidR="00C21BAD" w:rsidRDefault="00C21BAD" w:rsidP="00960B30">
            <w:pPr>
              <w:pStyle w:val="TableText"/>
            </w:pPr>
            <w:r>
              <w:t>multiple wells</w:t>
            </w:r>
          </w:p>
        </w:tc>
        <w:tc>
          <w:tcPr>
            <w:tcW w:w="1250" w:type="pct"/>
          </w:tcPr>
          <w:p w14:paraId="1734C5E8" w14:textId="77777777" w:rsidR="00C21BAD" w:rsidRDefault="00C21BAD" w:rsidP="00960B30">
            <w:pPr>
              <w:pStyle w:val="TableText"/>
            </w:pPr>
            <w:r>
              <w:t>reserves</w:t>
            </w:r>
          </w:p>
        </w:tc>
      </w:tr>
    </w:tbl>
    <w:p w14:paraId="65F17A11" w14:textId="77777777" w:rsidR="00C21BAD" w:rsidRPr="00AC7503" w:rsidRDefault="00C21BAD" w:rsidP="00E47C94">
      <w:pPr>
        <w:pStyle w:val="BodyText"/>
        <w:rPr>
          <w:lang w:val="en-US"/>
        </w:rPr>
        <w:sectPr w:rsidR="00C21BAD" w:rsidRPr="00AC7503" w:rsidSect="005E271C">
          <w:headerReference w:type="even" r:id="rId36"/>
          <w:headerReference w:type="default" r:id="rId37"/>
          <w:footerReference w:type="default" r:id="rId38"/>
          <w:pgSz w:w="11907" w:h="16840" w:code="9"/>
          <w:pgMar w:top="1418" w:right="1134" w:bottom="1418" w:left="1134" w:header="510" w:footer="624" w:gutter="0"/>
          <w:pgNumType w:start="1"/>
          <w:cols w:space="720"/>
          <w:docGrid w:linePitch="326"/>
        </w:sectPr>
      </w:pPr>
    </w:p>
    <w:p w14:paraId="061FEFB6" w14:textId="77777777" w:rsidR="00F806A0" w:rsidRPr="00DB1FD9" w:rsidRDefault="00F806A0" w:rsidP="00F806A0">
      <w:pPr>
        <w:pStyle w:val="AppendixHeading2"/>
      </w:pPr>
      <w:bookmarkStart w:id="19" w:name="_Toc517161111"/>
      <w:r>
        <w:lastRenderedPageBreak/>
        <w:t>Shale and tight gas exploration activity analysis results</w:t>
      </w:r>
      <w:bookmarkEnd w:id="19"/>
    </w:p>
    <w:p w14:paraId="52E9BC0C" w14:textId="52BFA455" w:rsidR="00F806A0" w:rsidRDefault="00537756" w:rsidP="00A409FD">
      <w:pPr>
        <w:pStyle w:val="BodyText"/>
      </w:pPr>
      <w:r>
        <w:t>A</w:t>
      </w:r>
      <w:r w:rsidRPr="00537756">
        <w:t xml:space="preserve"> comprehensive review of shale and tight gas exploration activity was conducted for all eastern and northern Australian basins</w:t>
      </w:r>
      <w:r>
        <w:t>, i</w:t>
      </w:r>
      <w:r w:rsidRPr="00537756">
        <w:t>n order to identify all shale and/or tight gas plays with the potential to supply gas to either the east coast or Northern Territory gas markets</w:t>
      </w:r>
      <w:r>
        <w:t xml:space="preserve">. </w:t>
      </w:r>
      <w:r w:rsidR="00F806A0">
        <w:t>This material provided the foundation on which the nine short listed basins were chosen.</w:t>
      </w:r>
    </w:p>
    <w:p w14:paraId="42A1AF6C" w14:textId="745B92CB" w:rsidR="00A409FD" w:rsidRDefault="00A409FD" w:rsidP="00A409FD">
      <w:pPr>
        <w:pStyle w:val="BodyText"/>
      </w:pPr>
      <w:r>
        <w:t>The results of the industry activity review are summarised in Figure A.3 and Table A.</w:t>
      </w:r>
      <w:r w:rsidR="006B3F2A">
        <w:t>2</w:t>
      </w:r>
      <w:r>
        <w:t xml:space="preserve">. </w:t>
      </w:r>
      <w:r w:rsidR="00537756">
        <w:t>This</w:t>
      </w:r>
      <w:r w:rsidR="00CB227A">
        <w:t xml:space="preserve"> analysis shows that:</w:t>
      </w:r>
    </w:p>
    <w:p w14:paraId="4FD39002" w14:textId="781B7BCA" w:rsidR="00A409FD" w:rsidRDefault="00CB227A" w:rsidP="00A409FD">
      <w:pPr>
        <w:pStyle w:val="ListBullet"/>
      </w:pPr>
      <w:r>
        <w:t xml:space="preserve">a </w:t>
      </w:r>
      <w:r w:rsidR="00A409FD">
        <w:t>total of 27 eastern and northern Australian basins contain possible tight and/or shale gas plays</w:t>
      </w:r>
      <w:r>
        <w:t>;</w:t>
      </w:r>
    </w:p>
    <w:p w14:paraId="02488B66" w14:textId="423CB316" w:rsidR="00A409FD" w:rsidRDefault="00CB227A" w:rsidP="00A409FD">
      <w:pPr>
        <w:pStyle w:val="ListBullet"/>
      </w:pPr>
      <w:r>
        <w:t xml:space="preserve">four </w:t>
      </w:r>
      <w:r w:rsidR="00A409FD">
        <w:t>basins are in the appraisal phase (Cooper, Gippsland and McArthur basins and the Isa Superbasin)</w:t>
      </w:r>
      <w:r>
        <w:t>, and;</w:t>
      </w:r>
    </w:p>
    <w:p w14:paraId="34188665" w14:textId="2DAF1AED" w:rsidR="00A409FD" w:rsidRDefault="00CB227A" w:rsidP="00A409FD">
      <w:pPr>
        <w:pStyle w:val="ListBullet"/>
      </w:pPr>
      <w:r>
        <w:t xml:space="preserve">exploration </w:t>
      </w:r>
      <w:r w:rsidR="00A409FD">
        <w:t>is underway to varying extents in a further 5 basins (Amadeus, Bowen, Clarence-Moreton, Georgina and Otway basins).</w:t>
      </w:r>
    </w:p>
    <w:p w14:paraId="1BA542BA" w14:textId="195C24B4" w:rsidR="009C788E" w:rsidRDefault="00A409FD" w:rsidP="00A409FD">
      <w:pPr>
        <w:pStyle w:val="BodyText"/>
      </w:pPr>
      <w:r>
        <w:t>Note</w:t>
      </w:r>
      <w:r w:rsidRPr="000E54A7">
        <w:t xml:space="preserve"> </w:t>
      </w:r>
      <w:r>
        <w:t>preliminary exploration for shale gas has occurred in the Eromanga Basin, however this activity has now</w:t>
      </w:r>
      <w:r w:rsidRPr="000E54A7">
        <w:t xml:space="preserve"> ceased due </w:t>
      </w:r>
      <w:r>
        <w:t>to poorer than expected results</w:t>
      </w:r>
      <w:r w:rsidR="00537756">
        <w:t xml:space="preserve"> and the </w:t>
      </w:r>
      <w:r>
        <w:t xml:space="preserve">exploration status is currently considered to be inactive. </w:t>
      </w:r>
    </w:p>
    <w:p w14:paraId="244B9410" w14:textId="1569F05F" w:rsidR="009C788E" w:rsidRDefault="009C788E" w:rsidP="009C788E">
      <w:pPr>
        <w:pStyle w:val="BodyText"/>
      </w:pPr>
      <w:r>
        <w:t xml:space="preserve">All available public domain tight and shale gas resource information current to 2017 were compiled by play type, for all eastern and northern Australian basins. Although no reserves are currently booked for shale and/or tight gas plays, </w:t>
      </w:r>
      <w:r w:rsidR="00CB227A">
        <w:t>Table A.</w:t>
      </w:r>
      <w:r w:rsidR="006B3F2A">
        <w:t>3</w:t>
      </w:r>
      <w:r w:rsidR="00CB227A">
        <w:t xml:space="preserve"> lists all published </w:t>
      </w:r>
      <w:r>
        <w:t xml:space="preserve">contingent and </w:t>
      </w:r>
      <w:r w:rsidR="00907EB2">
        <w:t>potentially recoverable gas-in-place</w:t>
      </w:r>
      <w:r>
        <w:t xml:space="preserve"> resource numbers</w:t>
      </w:r>
      <w:r w:rsidR="00CB227A">
        <w:t>, along with the area covered by each assessment. Results show that:</w:t>
      </w:r>
    </w:p>
    <w:p w14:paraId="027BFDBC" w14:textId="575A09FE" w:rsidR="009C788E" w:rsidRPr="00D46C20" w:rsidRDefault="00CB227A" w:rsidP="009C788E">
      <w:pPr>
        <w:pStyle w:val="ListBullet"/>
      </w:pPr>
      <w:r>
        <w:t>a</w:t>
      </w:r>
      <w:r w:rsidRPr="00D46C20">
        <w:t xml:space="preserve"> </w:t>
      </w:r>
      <w:r w:rsidR="009C788E" w:rsidRPr="00D46C20">
        <w:t>total of 17</w:t>
      </w:r>
      <w:r w:rsidR="00CD0291">
        <w:t>.1</w:t>
      </w:r>
      <w:r w:rsidR="009C788E" w:rsidRPr="00D46C20">
        <w:t xml:space="preserve"> Tcf of contingent shale and tight gas resources have been reported from four basins (Cooper, Gippsland, McArthur basins and the Isa Superbasin)</w:t>
      </w:r>
      <w:r>
        <w:t>, and;</w:t>
      </w:r>
    </w:p>
    <w:p w14:paraId="69C1D98E" w14:textId="6EF59B9E" w:rsidR="009C788E" w:rsidRPr="00D46C20" w:rsidRDefault="00CB227A" w:rsidP="009C788E">
      <w:pPr>
        <w:pStyle w:val="ListBullet"/>
      </w:pPr>
      <w:r>
        <w:t xml:space="preserve">a </w:t>
      </w:r>
      <w:r w:rsidR="009C788E" w:rsidRPr="00D46C20">
        <w:t xml:space="preserve">total of </w:t>
      </w:r>
      <w:r w:rsidR="00CD0291">
        <w:t>393.3</w:t>
      </w:r>
      <w:r w:rsidR="009C788E" w:rsidRPr="00D46C20">
        <w:t xml:space="preserve"> Tcf of </w:t>
      </w:r>
      <w:r w:rsidR="00AB7CF8">
        <w:t xml:space="preserve">potentially recoverable </w:t>
      </w:r>
      <w:r w:rsidR="009C788E" w:rsidRPr="00D46C20">
        <w:t>shale and tight gas</w:t>
      </w:r>
      <w:r w:rsidR="003D522F">
        <w:t>-in-place</w:t>
      </w:r>
      <w:r w:rsidR="009C788E" w:rsidRPr="00D46C20">
        <w:t xml:space="preserve"> resources have been reported from 1</w:t>
      </w:r>
      <w:r w:rsidR="009C788E">
        <w:t>2</w:t>
      </w:r>
      <w:r w:rsidR="009C788E" w:rsidRPr="00D46C20">
        <w:t xml:space="preserve"> basins. </w:t>
      </w:r>
    </w:p>
    <w:p w14:paraId="6493C0D4" w14:textId="43E9D6E5" w:rsidR="00E47C94" w:rsidRDefault="00E47C94" w:rsidP="00C21BAD">
      <w:pPr>
        <w:pStyle w:val="BodyText"/>
      </w:pPr>
      <w:r>
        <w:t xml:space="preserve">Note for some plays, multiple prospective resource estimates are available. To avoid double counting of resource numbers, Geoscience Australia has included the prospective resource number judged to be the best quality, based on the currency and rigour of the resource assessment. </w:t>
      </w:r>
    </w:p>
    <w:p w14:paraId="4CC408A2" w14:textId="77777777" w:rsidR="009C788E" w:rsidRDefault="009C788E" w:rsidP="009C788E">
      <w:pPr>
        <w:pStyle w:val="BodyText"/>
      </w:pPr>
      <w:r>
        <w:t>In the Cooper Basin, where it is common to drill a vertical well and produce from multiple intervals, contingent resource numbers do not separate out between shale and tight gas. As a result, no attempt was made to separate resource numbers from shale versus tight gas plays.</w:t>
      </w:r>
    </w:p>
    <w:p w14:paraId="178C1CD9" w14:textId="77777777" w:rsidR="009C788E" w:rsidRDefault="009C788E" w:rsidP="009C788E">
      <w:pPr>
        <w:pStyle w:val="BodyText"/>
      </w:pPr>
      <w:r>
        <w:t>Several reported resource numbers have also been excluded from the analysis, as follows.</w:t>
      </w:r>
    </w:p>
    <w:p w14:paraId="753B7D2E" w14:textId="77777777" w:rsidR="009C788E" w:rsidRPr="00D46C20" w:rsidRDefault="009C788E" w:rsidP="009C788E">
      <w:pPr>
        <w:pStyle w:val="ListBullet"/>
      </w:pPr>
      <w:r w:rsidRPr="00D46C20">
        <w:t xml:space="preserve">Contingent resources of 0.14 Tcf (157 PJ) have recently been estimated sandstones in the Albany structure in the Galilee Basin (Comet Ridge, 2017). However based on the public information available, it unclear what proportion of this (if any) represents tight gas, rather </w:t>
      </w:r>
      <w:r w:rsidRPr="00D46C20">
        <w:lastRenderedPageBreak/>
        <w:t>than conventional, so this contingent resource number is excluded from the analysis at this point.</w:t>
      </w:r>
    </w:p>
    <w:p w14:paraId="063E5170" w14:textId="77777777" w:rsidR="009C788E" w:rsidRDefault="009C788E" w:rsidP="009C788E">
      <w:pPr>
        <w:pStyle w:val="ListBullet"/>
      </w:pPr>
      <w:r w:rsidRPr="00D46C20">
        <w:t xml:space="preserve">The prospective recoverable resource estimate of 82 Tcf for the Toolebuc Formation shale gas play by AWT International (2013) has not been included, as this large resource size is inconsistent with poorer than expected exploration results (Exoma Energy, 2012; DNMR, 2017). </w:t>
      </w:r>
    </w:p>
    <w:p w14:paraId="6CC74D50" w14:textId="77777777" w:rsidR="00537756" w:rsidRPr="00D46C20" w:rsidRDefault="00537756" w:rsidP="00537756">
      <w:pPr>
        <w:pStyle w:val="ListBullet"/>
        <w:numPr>
          <w:ilvl w:val="0"/>
          <w:numId w:val="0"/>
        </w:numPr>
        <w:ind w:left="568" w:hanging="284"/>
      </w:pPr>
    </w:p>
    <w:p w14:paraId="2DFDA16E" w14:textId="77777777" w:rsidR="009C788E" w:rsidRDefault="009C788E" w:rsidP="00A409FD">
      <w:pPr>
        <w:pStyle w:val="BodyText"/>
      </w:pPr>
    </w:p>
    <w:p w14:paraId="464C7287" w14:textId="77777777" w:rsidR="009C788E" w:rsidRDefault="009C788E" w:rsidP="009C788E">
      <w:pPr>
        <w:pStyle w:val="FiguresImagesCentred"/>
      </w:pPr>
      <w:r>
        <w:rPr>
          <w:noProof/>
        </w:rPr>
        <w:lastRenderedPageBreak/>
        <w:drawing>
          <wp:inline distT="0" distB="0" distL="0" distR="0" wp14:anchorId="1079E8D8" wp14:editId="30F5CFC6">
            <wp:extent cx="5760085" cy="6619257"/>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cstate="screen">
                      <a:extLst>
                        <a:ext uri="{28A0092B-C50C-407E-A947-70E740481C1C}">
                          <a14:useLocalDpi xmlns:a14="http://schemas.microsoft.com/office/drawing/2010/main"/>
                        </a:ext>
                      </a:extLst>
                    </a:blip>
                    <a:stretch>
                      <a:fillRect/>
                    </a:stretch>
                  </pic:blipFill>
                  <pic:spPr bwMode="auto">
                    <a:xfrm>
                      <a:off x="0" y="0"/>
                      <a:ext cx="5760085" cy="6619257"/>
                    </a:xfrm>
                    <a:prstGeom prst="rect">
                      <a:avLst/>
                    </a:prstGeom>
                    <a:noFill/>
                    <a:ln>
                      <a:noFill/>
                    </a:ln>
                  </pic:spPr>
                </pic:pic>
              </a:graphicData>
            </a:graphic>
          </wp:inline>
        </w:drawing>
      </w:r>
    </w:p>
    <w:p w14:paraId="7DD2865F" w14:textId="7386A9B7" w:rsidR="009C788E" w:rsidRPr="00AB6721" w:rsidRDefault="009C788E" w:rsidP="009F3E8F">
      <w:pPr>
        <w:pStyle w:val="Caption"/>
      </w:pPr>
      <w:bookmarkStart w:id="20" w:name="_Toc508972052"/>
      <w:r>
        <w:t xml:space="preserve">Figure </w:t>
      </w:r>
      <w:r w:rsidR="008079F1">
        <w:fldChar w:fldCharType="begin"/>
      </w:r>
      <w:r w:rsidR="008079F1">
        <w:instrText xml:space="preserve"> STYLEREF 9 \s </w:instrText>
      </w:r>
      <w:r w:rsidR="008079F1">
        <w:fldChar w:fldCharType="separate"/>
      </w:r>
      <w:r w:rsidR="00640CCB">
        <w:rPr>
          <w:noProof/>
        </w:rPr>
        <w:t>A</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3</w:t>
      </w:r>
      <w:r w:rsidR="008079F1">
        <w:rPr>
          <w:noProof/>
        </w:rPr>
        <w:fldChar w:fldCharType="end"/>
      </w:r>
      <w:r>
        <w:rPr>
          <w:noProof/>
        </w:rPr>
        <w:t xml:space="preserve"> </w:t>
      </w:r>
      <w:r w:rsidRPr="00AB6721">
        <w:t xml:space="preserve">Australian basins classified by level of exploration activity for shale/ tight gas. Labelled sedimentary basins are those with reported contingent (2C) or prospective resources and on-going industry activity (as permitted by current regulatory environments). </w:t>
      </w:r>
      <w:r w:rsidR="008E1A69">
        <w:t>Basin outlines are sourced from Stewart et al. (2013), with the exception of the Isa Superbasin, which has been estimated from DNRM (2017). Oil and gas</w:t>
      </w:r>
      <w:r w:rsidR="008E1A69" w:rsidRPr="00AB6721">
        <w:t xml:space="preserve"> pipelines </w:t>
      </w:r>
      <w:r w:rsidR="008E1A69">
        <w:t>from GA (2015</w:t>
      </w:r>
      <w:r w:rsidR="009825ED">
        <w:t>a</w:t>
      </w:r>
      <w:r w:rsidR="008E1A69">
        <w:t xml:space="preserve">). </w:t>
      </w:r>
      <w:r w:rsidRPr="00AB6721">
        <w:t>Key wells targeting shale and/or tight gas plays are also shown. Note that this well coverage is not exhaustive, as there are inconsistencies between how wells have been classified depending on the information source.</w:t>
      </w:r>
      <w:bookmarkEnd w:id="20"/>
      <w:r w:rsidRPr="00AB6721">
        <w:t xml:space="preserve"> </w:t>
      </w:r>
    </w:p>
    <w:p w14:paraId="429AC38B" w14:textId="77777777" w:rsidR="009C788E" w:rsidRDefault="009C788E" w:rsidP="00A409FD">
      <w:pPr>
        <w:pStyle w:val="BodyText"/>
      </w:pPr>
    </w:p>
    <w:p w14:paraId="768FD9AA" w14:textId="77777777" w:rsidR="00A409FD" w:rsidRDefault="00A409FD" w:rsidP="00A409FD">
      <w:pPr>
        <w:pStyle w:val="BodyText"/>
        <w:sectPr w:rsidR="00A409FD" w:rsidSect="005E271C">
          <w:headerReference w:type="even" r:id="rId40"/>
          <w:headerReference w:type="default" r:id="rId41"/>
          <w:pgSz w:w="11907" w:h="16840" w:code="9"/>
          <w:pgMar w:top="1418" w:right="1134" w:bottom="1418" w:left="1134" w:header="510" w:footer="624" w:gutter="0"/>
          <w:cols w:space="720"/>
          <w:docGrid w:linePitch="326"/>
        </w:sectPr>
      </w:pPr>
    </w:p>
    <w:p w14:paraId="079E4599" w14:textId="77777777" w:rsidR="00A409FD" w:rsidRPr="00AB6721" w:rsidRDefault="00A409FD" w:rsidP="009F3E8F">
      <w:pPr>
        <w:pStyle w:val="Caption"/>
      </w:pPr>
      <w:bookmarkStart w:id="21" w:name="_Toc508972148"/>
      <w:r>
        <w:lastRenderedPageBreak/>
        <w:t xml:space="preserve">Table </w:t>
      </w:r>
      <w:r w:rsidR="008079F1">
        <w:fldChar w:fldCharType="begin"/>
      </w:r>
      <w:r w:rsidR="008079F1">
        <w:instrText xml:space="preserve"> STYLEREF 9 \s </w:instrText>
      </w:r>
      <w:r w:rsidR="008079F1">
        <w:fldChar w:fldCharType="separate"/>
      </w:r>
      <w:r w:rsidR="00640CCB">
        <w:rPr>
          <w:noProof/>
        </w:rPr>
        <w:t>A</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w:t>
      </w:r>
      <w:r w:rsidR="008079F1">
        <w:rPr>
          <w:noProof/>
        </w:rPr>
        <w:fldChar w:fldCharType="end"/>
      </w:r>
      <w:r>
        <w:t xml:space="preserve"> </w:t>
      </w:r>
      <w:r w:rsidRPr="00AB6721">
        <w:t>Summary of shale and/or tight gas plays in eastern and northern Australian basins, along with associated exploration activity.</w:t>
      </w:r>
      <w:bookmarkEnd w:id="21"/>
    </w:p>
    <w:tbl>
      <w:tblPr>
        <w:tblStyle w:val="TableBAHeaderRow"/>
        <w:tblW w:w="0" w:type="auto"/>
        <w:tblLook w:val="04A0" w:firstRow="1" w:lastRow="0" w:firstColumn="1" w:lastColumn="0" w:noHBand="0" w:noVBand="1"/>
      </w:tblPr>
      <w:tblGrid>
        <w:gridCol w:w="1554"/>
        <w:gridCol w:w="1133"/>
        <w:gridCol w:w="1830"/>
        <w:gridCol w:w="1831"/>
        <w:gridCol w:w="1690"/>
        <w:gridCol w:w="2942"/>
        <w:gridCol w:w="2967"/>
      </w:tblGrid>
      <w:tr w:rsidR="00A409FD" w14:paraId="2363C87C" w14:textId="77777777" w:rsidTr="00A409FD">
        <w:trPr>
          <w:cnfStyle w:val="100000000000" w:firstRow="1" w:lastRow="0" w:firstColumn="0" w:lastColumn="0" w:oddVBand="0" w:evenVBand="0" w:oddHBand="0" w:evenHBand="0" w:firstRowFirstColumn="0" w:firstRowLastColumn="0" w:lastRowFirstColumn="0" w:lastRowLastColumn="0"/>
          <w:tblHeader/>
        </w:trPr>
        <w:tc>
          <w:tcPr>
            <w:tcW w:w="1561" w:type="dxa"/>
          </w:tcPr>
          <w:p w14:paraId="5DE0B534" w14:textId="77777777" w:rsidR="00A409FD" w:rsidRDefault="00A409FD" w:rsidP="00A409FD">
            <w:pPr>
              <w:pStyle w:val="TableTextLeft"/>
            </w:pPr>
            <w:r>
              <w:t>Basin</w:t>
            </w:r>
          </w:p>
        </w:tc>
        <w:tc>
          <w:tcPr>
            <w:tcW w:w="1134" w:type="dxa"/>
          </w:tcPr>
          <w:p w14:paraId="109475B1" w14:textId="16C4C754" w:rsidR="00A409FD" w:rsidRDefault="00A409FD" w:rsidP="00A409FD">
            <w:pPr>
              <w:pStyle w:val="TableTextLeft"/>
            </w:pPr>
            <w:r>
              <w:t>State</w:t>
            </w:r>
            <w:r w:rsidR="00A826C9">
              <w:t>/ Territory</w:t>
            </w:r>
          </w:p>
        </w:tc>
        <w:tc>
          <w:tcPr>
            <w:tcW w:w="1842" w:type="dxa"/>
          </w:tcPr>
          <w:p w14:paraId="2A73CD10" w14:textId="77777777" w:rsidR="00A409FD" w:rsidRDefault="00A409FD" w:rsidP="00A409FD">
            <w:pPr>
              <w:pStyle w:val="TableTextLeft"/>
            </w:pPr>
            <w:r>
              <w:t>Tight gas plays</w:t>
            </w:r>
          </w:p>
        </w:tc>
        <w:tc>
          <w:tcPr>
            <w:tcW w:w="1843" w:type="dxa"/>
          </w:tcPr>
          <w:p w14:paraId="378E9669" w14:textId="77777777" w:rsidR="00A409FD" w:rsidRDefault="00A409FD" w:rsidP="00A409FD">
            <w:pPr>
              <w:pStyle w:val="TableTextLeft"/>
            </w:pPr>
            <w:r>
              <w:t>Shale gas plays</w:t>
            </w:r>
          </w:p>
        </w:tc>
        <w:tc>
          <w:tcPr>
            <w:tcW w:w="1701" w:type="dxa"/>
          </w:tcPr>
          <w:p w14:paraId="742D0B70" w14:textId="77777777" w:rsidR="00A409FD" w:rsidRDefault="00A409FD" w:rsidP="00A409FD">
            <w:pPr>
              <w:pStyle w:val="TableTextLeft"/>
            </w:pPr>
            <w:r>
              <w:t>Key wells targeting shale/ tight gas plays</w:t>
            </w:r>
          </w:p>
        </w:tc>
        <w:tc>
          <w:tcPr>
            <w:tcW w:w="2977" w:type="dxa"/>
          </w:tcPr>
          <w:p w14:paraId="7F1CCAF5" w14:textId="77777777" w:rsidR="00A409FD" w:rsidRDefault="00A409FD" w:rsidP="00A409FD">
            <w:pPr>
              <w:pStyle w:val="TableTextLeft"/>
            </w:pPr>
            <w:r>
              <w:t>Shale/ tight gas exploration status</w:t>
            </w:r>
          </w:p>
        </w:tc>
        <w:tc>
          <w:tcPr>
            <w:tcW w:w="3003" w:type="dxa"/>
          </w:tcPr>
          <w:p w14:paraId="0EA32233" w14:textId="77777777" w:rsidR="00A409FD" w:rsidRDefault="00A409FD" w:rsidP="00A409FD">
            <w:pPr>
              <w:pStyle w:val="TableTextLeft"/>
            </w:pPr>
            <w:r>
              <w:t>Key References</w:t>
            </w:r>
          </w:p>
        </w:tc>
      </w:tr>
      <w:tr w:rsidR="00A409FD" w14:paraId="5C27BA45"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460EFB3D" w14:textId="77777777" w:rsidR="00A409FD" w:rsidRDefault="00A409FD" w:rsidP="00A409FD">
            <w:pPr>
              <w:pStyle w:val="TableTextLeft"/>
            </w:pPr>
            <w:r>
              <w:t>Adavale Basin</w:t>
            </w:r>
          </w:p>
        </w:tc>
        <w:tc>
          <w:tcPr>
            <w:tcW w:w="1134" w:type="dxa"/>
          </w:tcPr>
          <w:p w14:paraId="47C923DC" w14:textId="77777777" w:rsidR="00A409FD" w:rsidRDefault="00A409FD" w:rsidP="00A409FD">
            <w:pPr>
              <w:pStyle w:val="TableTextLeft"/>
            </w:pPr>
            <w:r>
              <w:t>QLD</w:t>
            </w:r>
          </w:p>
        </w:tc>
        <w:tc>
          <w:tcPr>
            <w:tcW w:w="1842" w:type="dxa"/>
          </w:tcPr>
          <w:p w14:paraId="0A717A74" w14:textId="77777777" w:rsidR="00A409FD" w:rsidRDefault="00A409FD" w:rsidP="00A409FD">
            <w:pPr>
              <w:pStyle w:val="TableTextLeft"/>
            </w:pPr>
            <w:r>
              <w:t>Log Creek Formation; Lissoy Sandstone; Cooladdi Dolomite</w:t>
            </w:r>
          </w:p>
        </w:tc>
        <w:tc>
          <w:tcPr>
            <w:tcW w:w="1843" w:type="dxa"/>
          </w:tcPr>
          <w:p w14:paraId="3E736B37" w14:textId="77777777" w:rsidR="00A409FD" w:rsidRDefault="00A409FD" w:rsidP="00A409FD">
            <w:pPr>
              <w:pStyle w:val="TableTextLeft"/>
            </w:pPr>
            <w:r>
              <w:t>Log Creek Formation; Lissoy Sandstone; Cooladdi Dolomite</w:t>
            </w:r>
          </w:p>
        </w:tc>
        <w:tc>
          <w:tcPr>
            <w:tcW w:w="1701" w:type="dxa"/>
          </w:tcPr>
          <w:p w14:paraId="6CE4E3DC" w14:textId="77777777" w:rsidR="00A409FD" w:rsidRDefault="00A409FD" w:rsidP="00A409FD">
            <w:pPr>
              <w:pStyle w:val="TableTextLeft"/>
            </w:pPr>
            <w:r>
              <w:t>None</w:t>
            </w:r>
          </w:p>
        </w:tc>
        <w:tc>
          <w:tcPr>
            <w:tcW w:w="2977" w:type="dxa"/>
          </w:tcPr>
          <w:p w14:paraId="240668AF" w14:textId="77777777" w:rsidR="00A409FD" w:rsidRDefault="00A409FD" w:rsidP="00A409FD">
            <w:pPr>
              <w:pStyle w:val="TableTextLeft"/>
            </w:pPr>
            <w:r>
              <w:t>No shale/ tight gas exploration activity.</w:t>
            </w:r>
          </w:p>
        </w:tc>
        <w:tc>
          <w:tcPr>
            <w:tcW w:w="3003" w:type="dxa"/>
          </w:tcPr>
          <w:p w14:paraId="24EABB7F" w14:textId="7C73323C" w:rsidR="00A409FD" w:rsidRDefault="00A409FD" w:rsidP="00C03A7D">
            <w:pPr>
              <w:pStyle w:val="TableTextLeft"/>
            </w:pPr>
            <w:r>
              <w:t xml:space="preserve">Draper et al. (2004); </w:t>
            </w:r>
            <w:r w:rsidR="00C03A7D">
              <w:t xml:space="preserve">Jell (2013): </w:t>
            </w:r>
            <w:r>
              <w:t>DNMR (2017)</w:t>
            </w:r>
          </w:p>
        </w:tc>
      </w:tr>
      <w:tr w:rsidR="00A409FD" w14:paraId="125E24E9"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7B21DFAD" w14:textId="77777777" w:rsidR="00A409FD" w:rsidRDefault="00A409FD" w:rsidP="00A409FD">
            <w:pPr>
              <w:pStyle w:val="TableTextLeft"/>
            </w:pPr>
            <w:r>
              <w:t>Amadeus Basin</w:t>
            </w:r>
          </w:p>
        </w:tc>
        <w:tc>
          <w:tcPr>
            <w:tcW w:w="1134" w:type="dxa"/>
          </w:tcPr>
          <w:p w14:paraId="5D8EDE4A" w14:textId="77777777" w:rsidR="00A409FD" w:rsidRDefault="00A409FD" w:rsidP="00A409FD">
            <w:pPr>
              <w:pStyle w:val="TableTextLeft"/>
            </w:pPr>
            <w:r>
              <w:t>NT</w:t>
            </w:r>
          </w:p>
        </w:tc>
        <w:tc>
          <w:tcPr>
            <w:tcW w:w="1842" w:type="dxa"/>
          </w:tcPr>
          <w:p w14:paraId="4CF2B30B" w14:textId="77777777" w:rsidR="00A409FD" w:rsidRDefault="00A409FD" w:rsidP="00A409FD">
            <w:pPr>
              <w:pStyle w:val="TableTextLeft"/>
            </w:pPr>
            <w:r>
              <w:t>Pacoota Sandstone; Stairway Sandstone</w:t>
            </w:r>
          </w:p>
        </w:tc>
        <w:tc>
          <w:tcPr>
            <w:tcW w:w="1843" w:type="dxa"/>
          </w:tcPr>
          <w:p w14:paraId="15CB97FF" w14:textId="77777777" w:rsidR="00A409FD" w:rsidRDefault="00A409FD" w:rsidP="00A409FD">
            <w:pPr>
              <w:pStyle w:val="TableTextLeft"/>
            </w:pPr>
            <w:r>
              <w:t>Horn Valley Siltstone</w:t>
            </w:r>
          </w:p>
        </w:tc>
        <w:tc>
          <w:tcPr>
            <w:tcW w:w="1701" w:type="dxa"/>
          </w:tcPr>
          <w:p w14:paraId="3E92D3CC" w14:textId="77777777" w:rsidR="00A409FD" w:rsidRDefault="00A409FD" w:rsidP="00A409FD">
            <w:pPr>
              <w:pStyle w:val="TableTextLeft"/>
            </w:pPr>
            <w:r>
              <w:t>&gt;34 wells fracture stimulated tight gas reservoir within conventional fields</w:t>
            </w:r>
          </w:p>
        </w:tc>
        <w:tc>
          <w:tcPr>
            <w:tcW w:w="2977" w:type="dxa"/>
          </w:tcPr>
          <w:p w14:paraId="21D421DC" w14:textId="77777777" w:rsidR="00A409FD" w:rsidRDefault="00A409FD" w:rsidP="00A409FD">
            <w:pPr>
              <w:pStyle w:val="TableTextLeft"/>
            </w:pPr>
            <w:r>
              <w:t>Production of gas from tight sands around conventional fields but no tight gas reserves or production data reported. Preliminary exploration for tight/shale gas.</w:t>
            </w:r>
          </w:p>
        </w:tc>
        <w:tc>
          <w:tcPr>
            <w:tcW w:w="3003" w:type="dxa"/>
          </w:tcPr>
          <w:p w14:paraId="6223CC36" w14:textId="468DF83B" w:rsidR="00A409FD" w:rsidRDefault="00C03A7D" w:rsidP="00CF4C23">
            <w:pPr>
              <w:pStyle w:val="TableTextLeft"/>
            </w:pPr>
            <w:r>
              <w:t xml:space="preserve">DSWPET (2011a); Vu et al. (2011); Warner (2012); </w:t>
            </w:r>
            <w:r w:rsidR="00A409FD">
              <w:t xml:space="preserve">AWT International (2013); Munson (2014); </w:t>
            </w:r>
            <w:r w:rsidR="001901EA">
              <w:t xml:space="preserve">Central Petroleum (2017); </w:t>
            </w:r>
            <w:r w:rsidR="000E4EFC" w:rsidRPr="000E4EFC">
              <w:t>Scientific Inquiry into Hydraulic Fract</w:t>
            </w:r>
            <w:r w:rsidR="000E4EFC">
              <w:t>uring in the Northern Territory</w:t>
            </w:r>
            <w:r w:rsidR="000E4EFC" w:rsidRPr="000E4EFC">
              <w:t xml:space="preserve"> </w:t>
            </w:r>
            <w:r w:rsidR="00A409FD">
              <w:t>(</w:t>
            </w:r>
            <w:r w:rsidR="00CF4C23" w:rsidRPr="003E2015">
              <w:t>201</w:t>
            </w:r>
            <w:r w:rsidR="00CF4C23">
              <w:t>8</w:t>
            </w:r>
            <w:r w:rsidR="00A409FD">
              <w:t>)</w:t>
            </w:r>
          </w:p>
        </w:tc>
      </w:tr>
      <w:tr w:rsidR="00A409FD" w14:paraId="6714539E"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40BACAB2" w14:textId="77777777" w:rsidR="00A409FD" w:rsidRDefault="00A409FD" w:rsidP="00A409FD">
            <w:pPr>
              <w:pStyle w:val="TableTextLeft"/>
            </w:pPr>
            <w:r>
              <w:t>Arckaringa Basin</w:t>
            </w:r>
          </w:p>
        </w:tc>
        <w:tc>
          <w:tcPr>
            <w:tcW w:w="1134" w:type="dxa"/>
          </w:tcPr>
          <w:p w14:paraId="58FEF683" w14:textId="77777777" w:rsidR="00A409FD" w:rsidRDefault="00A409FD" w:rsidP="00A409FD">
            <w:pPr>
              <w:pStyle w:val="TableTextLeft"/>
            </w:pPr>
            <w:r>
              <w:t>SA</w:t>
            </w:r>
          </w:p>
        </w:tc>
        <w:tc>
          <w:tcPr>
            <w:tcW w:w="1842" w:type="dxa"/>
          </w:tcPr>
          <w:p w14:paraId="4843F65A" w14:textId="77777777" w:rsidR="00A409FD" w:rsidRDefault="00A409FD" w:rsidP="00A409FD">
            <w:pPr>
              <w:pStyle w:val="TableTextLeft"/>
            </w:pPr>
            <w:r>
              <w:t> None</w:t>
            </w:r>
          </w:p>
        </w:tc>
        <w:tc>
          <w:tcPr>
            <w:tcW w:w="1843" w:type="dxa"/>
          </w:tcPr>
          <w:p w14:paraId="724EB0B6" w14:textId="77777777" w:rsidR="00A409FD" w:rsidRDefault="00A409FD" w:rsidP="00A409FD">
            <w:pPr>
              <w:pStyle w:val="TableTextLeft"/>
            </w:pPr>
            <w:r>
              <w:t>Stuart Range Formation (biogenic gas only)</w:t>
            </w:r>
          </w:p>
        </w:tc>
        <w:tc>
          <w:tcPr>
            <w:tcW w:w="1701" w:type="dxa"/>
          </w:tcPr>
          <w:p w14:paraId="4FDE2409" w14:textId="77777777" w:rsidR="00A409FD" w:rsidRDefault="00A409FD" w:rsidP="00A409FD">
            <w:pPr>
              <w:pStyle w:val="TableTextLeft"/>
            </w:pPr>
            <w:r>
              <w:t>None</w:t>
            </w:r>
          </w:p>
        </w:tc>
        <w:tc>
          <w:tcPr>
            <w:tcW w:w="2977" w:type="dxa"/>
          </w:tcPr>
          <w:p w14:paraId="18195918" w14:textId="77777777" w:rsidR="00A409FD" w:rsidRDefault="00A409FD" w:rsidP="00A409FD">
            <w:pPr>
              <w:pStyle w:val="TableTextLeft"/>
            </w:pPr>
            <w:r>
              <w:t>No shale/ tight gas exploration activity. (Preliminary exploration for shale oil only.)</w:t>
            </w:r>
          </w:p>
        </w:tc>
        <w:tc>
          <w:tcPr>
            <w:tcW w:w="3003" w:type="dxa"/>
          </w:tcPr>
          <w:p w14:paraId="1F7BAFCF" w14:textId="77777777" w:rsidR="00A409FD" w:rsidRDefault="00A409FD" w:rsidP="00A409FD">
            <w:pPr>
              <w:pStyle w:val="TableTextLeft"/>
            </w:pPr>
            <w:r>
              <w:t>Goldstein et al. (2012); Linc Energy (2017)</w:t>
            </w:r>
          </w:p>
        </w:tc>
      </w:tr>
      <w:tr w:rsidR="00A409FD" w14:paraId="3A447ACC"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11D8AFD0" w14:textId="77777777" w:rsidR="00A409FD" w:rsidRDefault="00A409FD" w:rsidP="00A409FD">
            <w:pPr>
              <w:pStyle w:val="TableTextLeft"/>
            </w:pPr>
            <w:r>
              <w:t>Bowen Basin</w:t>
            </w:r>
          </w:p>
        </w:tc>
        <w:tc>
          <w:tcPr>
            <w:tcW w:w="1134" w:type="dxa"/>
          </w:tcPr>
          <w:p w14:paraId="40DD891E" w14:textId="77777777" w:rsidR="00A409FD" w:rsidRDefault="00A409FD" w:rsidP="00A409FD">
            <w:pPr>
              <w:pStyle w:val="TableTextLeft"/>
            </w:pPr>
            <w:r>
              <w:t>QLD</w:t>
            </w:r>
          </w:p>
        </w:tc>
        <w:tc>
          <w:tcPr>
            <w:tcW w:w="1842" w:type="dxa"/>
          </w:tcPr>
          <w:p w14:paraId="0DE2137A" w14:textId="77777777" w:rsidR="00A409FD" w:rsidRDefault="00A409FD" w:rsidP="00A409FD">
            <w:pPr>
              <w:pStyle w:val="TableTextLeft"/>
            </w:pPr>
            <w:r>
              <w:t>Showgrounds Sandstone; Rewan Formation (lower); Bandanna Formation; Tinowon Formation</w:t>
            </w:r>
          </w:p>
        </w:tc>
        <w:tc>
          <w:tcPr>
            <w:tcW w:w="1843" w:type="dxa"/>
          </w:tcPr>
          <w:p w14:paraId="3511DF0D" w14:textId="77777777" w:rsidR="00A409FD" w:rsidRDefault="00A409FD" w:rsidP="00A409FD">
            <w:pPr>
              <w:pStyle w:val="TableTextLeft"/>
            </w:pPr>
            <w:r>
              <w:t>Bandanna Formation; Black Alley Shale</w:t>
            </w:r>
          </w:p>
        </w:tc>
        <w:tc>
          <w:tcPr>
            <w:tcW w:w="1701" w:type="dxa"/>
          </w:tcPr>
          <w:p w14:paraId="09A6C440" w14:textId="77777777" w:rsidR="00A409FD" w:rsidRDefault="00A409FD" w:rsidP="00A409FD">
            <w:pPr>
              <w:pStyle w:val="TableTextLeft"/>
            </w:pPr>
            <w:r>
              <w:t>~6 wells targeting tight gas</w:t>
            </w:r>
          </w:p>
        </w:tc>
        <w:tc>
          <w:tcPr>
            <w:tcW w:w="2977" w:type="dxa"/>
          </w:tcPr>
          <w:p w14:paraId="5DC38C83" w14:textId="77777777" w:rsidR="00A409FD" w:rsidRDefault="00A409FD" w:rsidP="00A409FD">
            <w:pPr>
              <w:pStyle w:val="TableTextLeft"/>
            </w:pPr>
            <w:r>
              <w:t>Exploration for tight gas (Taroom Trough). Preliminary exploration for shale gas.</w:t>
            </w:r>
          </w:p>
        </w:tc>
        <w:tc>
          <w:tcPr>
            <w:tcW w:w="3003" w:type="dxa"/>
          </w:tcPr>
          <w:p w14:paraId="31F25F73" w14:textId="0A4DC757" w:rsidR="00A409FD" w:rsidRDefault="00A409FD" w:rsidP="00C03A7D">
            <w:pPr>
              <w:pStyle w:val="TableTextLeft"/>
            </w:pPr>
            <w:r>
              <w:t>AWT International (2013); Jell (2013); Hayes et al (2016); Nicholls</w:t>
            </w:r>
            <w:r w:rsidR="00644D9C">
              <w:t xml:space="preserve"> </w:t>
            </w:r>
            <w:r>
              <w:t>et al. (2015)</w:t>
            </w:r>
            <w:r w:rsidR="00C03A7D">
              <w:t>; DNMR (2017)</w:t>
            </w:r>
          </w:p>
        </w:tc>
      </w:tr>
      <w:tr w:rsidR="00A409FD" w14:paraId="0CDB0F3E"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7027AA8A" w14:textId="77777777" w:rsidR="00A409FD" w:rsidRDefault="00A409FD" w:rsidP="00A409FD">
            <w:pPr>
              <w:pStyle w:val="TableTextLeft"/>
            </w:pPr>
            <w:r>
              <w:t>Clarence-Moreton Basin</w:t>
            </w:r>
          </w:p>
        </w:tc>
        <w:tc>
          <w:tcPr>
            <w:tcW w:w="1134" w:type="dxa"/>
          </w:tcPr>
          <w:p w14:paraId="3CC66672" w14:textId="77777777" w:rsidR="00A409FD" w:rsidRDefault="00A409FD" w:rsidP="00A409FD">
            <w:pPr>
              <w:pStyle w:val="TableTextLeft"/>
            </w:pPr>
            <w:r>
              <w:t>QLD, NSW</w:t>
            </w:r>
          </w:p>
        </w:tc>
        <w:tc>
          <w:tcPr>
            <w:tcW w:w="1842" w:type="dxa"/>
          </w:tcPr>
          <w:p w14:paraId="2254F610" w14:textId="77777777" w:rsidR="00A409FD" w:rsidRDefault="00A409FD" w:rsidP="00A409FD">
            <w:pPr>
              <w:pStyle w:val="TableTextLeft"/>
            </w:pPr>
            <w:r>
              <w:t>Koukandowie Formation; Raceview Formation; Gatton Sandstone</w:t>
            </w:r>
          </w:p>
        </w:tc>
        <w:tc>
          <w:tcPr>
            <w:tcW w:w="1843" w:type="dxa"/>
          </w:tcPr>
          <w:p w14:paraId="307084B4" w14:textId="77777777" w:rsidR="00A409FD" w:rsidRDefault="00A409FD" w:rsidP="00A409FD">
            <w:pPr>
              <w:pStyle w:val="TableTextLeft"/>
            </w:pPr>
            <w:r>
              <w:t>Koukandowie Formation; Raceview Formation</w:t>
            </w:r>
          </w:p>
        </w:tc>
        <w:tc>
          <w:tcPr>
            <w:tcW w:w="1701" w:type="dxa"/>
          </w:tcPr>
          <w:p w14:paraId="679FAC67" w14:textId="77777777" w:rsidR="00A409FD" w:rsidRDefault="00A409FD" w:rsidP="00A409FD">
            <w:pPr>
              <w:pStyle w:val="TableTextLeft"/>
            </w:pPr>
            <w:r>
              <w:t>1 well fracture stimulated tight gas reservoir within conventional field</w:t>
            </w:r>
          </w:p>
        </w:tc>
        <w:tc>
          <w:tcPr>
            <w:tcW w:w="2977" w:type="dxa"/>
          </w:tcPr>
          <w:p w14:paraId="73A5E267" w14:textId="77777777" w:rsidR="00A409FD" w:rsidRDefault="00A409FD" w:rsidP="00A409FD">
            <w:pPr>
              <w:pStyle w:val="TableTextLeft"/>
            </w:pPr>
            <w:r>
              <w:t>Preliminary exploration for tight gas. No shale gas exploration activity.</w:t>
            </w:r>
          </w:p>
        </w:tc>
        <w:tc>
          <w:tcPr>
            <w:tcW w:w="3003" w:type="dxa"/>
          </w:tcPr>
          <w:p w14:paraId="3DEB7457" w14:textId="3F771631" w:rsidR="00A409FD" w:rsidRDefault="00C03A7D" w:rsidP="00C03A7D">
            <w:pPr>
              <w:pStyle w:val="TableTextLeft"/>
            </w:pPr>
            <w:r>
              <w:t xml:space="preserve">Wells and O’Brien (1994); </w:t>
            </w:r>
            <w:r w:rsidR="00A409FD">
              <w:t xml:space="preserve">AWT International (2013); </w:t>
            </w:r>
            <w:r>
              <w:t xml:space="preserve">Jell (2013); </w:t>
            </w:r>
            <w:r w:rsidR="00A409FD">
              <w:t>O’Neill and Danis (2013); Metgasco (2011, 2013); Ward and Kelly (2013)</w:t>
            </w:r>
          </w:p>
        </w:tc>
      </w:tr>
      <w:tr w:rsidR="00A409FD" w14:paraId="1C71FE19"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4AE464A3" w14:textId="77777777" w:rsidR="00A409FD" w:rsidRDefault="00A409FD" w:rsidP="00A409FD">
            <w:pPr>
              <w:pStyle w:val="TableTextLeft"/>
            </w:pPr>
            <w:r>
              <w:t>Cooper Basin</w:t>
            </w:r>
          </w:p>
        </w:tc>
        <w:tc>
          <w:tcPr>
            <w:tcW w:w="1134" w:type="dxa"/>
          </w:tcPr>
          <w:p w14:paraId="36F59403" w14:textId="77777777" w:rsidR="00A409FD" w:rsidRDefault="00A409FD" w:rsidP="00A409FD">
            <w:pPr>
              <w:pStyle w:val="TableTextLeft"/>
            </w:pPr>
            <w:r>
              <w:t>SA, QLD</w:t>
            </w:r>
          </w:p>
        </w:tc>
        <w:tc>
          <w:tcPr>
            <w:tcW w:w="1842" w:type="dxa"/>
          </w:tcPr>
          <w:p w14:paraId="063C05EB" w14:textId="77777777" w:rsidR="00A409FD" w:rsidRDefault="00A409FD" w:rsidP="00A409FD">
            <w:pPr>
              <w:pStyle w:val="TableTextLeft"/>
            </w:pPr>
            <w:r>
              <w:t>Toolachee Formation; Daralingie Formation; Epsilon Formation; Patchawarra Formation</w:t>
            </w:r>
          </w:p>
        </w:tc>
        <w:tc>
          <w:tcPr>
            <w:tcW w:w="1843" w:type="dxa"/>
          </w:tcPr>
          <w:p w14:paraId="47BBBF25" w14:textId="77777777" w:rsidR="00A409FD" w:rsidRDefault="00A409FD" w:rsidP="00A409FD">
            <w:pPr>
              <w:pStyle w:val="TableTextLeft"/>
            </w:pPr>
            <w:r>
              <w:t>Toolachee Formation; Roseneath Shale; Murteree Shale; Patchawarra Formation</w:t>
            </w:r>
          </w:p>
        </w:tc>
        <w:tc>
          <w:tcPr>
            <w:tcW w:w="1701" w:type="dxa"/>
          </w:tcPr>
          <w:p w14:paraId="08A0BFD1" w14:textId="77777777" w:rsidR="00A409FD" w:rsidRDefault="00A409FD" w:rsidP="00A409FD">
            <w:pPr>
              <w:pStyle w:val="TableTextLeft"/>
            </w:pPr>
            <w:r>
              <w:t>&gt;40 wells drilled testing shale and tight gas plays</w:t>
            </w:r>
          </w:p>
        </w:tc>
        <w:tc>
          <w:tcPr>
            <w:tcW w:w="2977" w:type="dxa"/>
          </w:tcPr>
          <w:p w14:paraId="19EB7272" w14:textId="2480BE07" w:rsidR="00A409FD" w:rsidRDefault="00BC20EC" w:rsidP="00BC20EC">
            <w:pPr>
              <w:pStyle w:val="TableTextLeft"/>
            </w:pPr>
            <w:r>
              <w:t>A</w:t>
            </w:r>
            <w:r w:rsidR="00A409FD">
              <w:t>ppraisal for shale and tight gas (2C resources booked for multiple shale and tight gas plays).</w:t>
            </w:r>
            <w:r>
              <w:t xml:space="preserve"> Minor, past production from shale/ tight gas wells.</w:t>
            </w:r>
          </w:p>
        </w:tc>
        <w:tc>
          <w:tcPr>
            <w:tcW w:w="3003" w:type="dxa"/>
          </w:tcPr>
          <w:p w14:paraId="789237C2" w14:textId="1A825820" w:rsidR="00A409FD" w:rsidRDefault="00C03A7D" w:rsidP="00C03A7D">
            <w:pPr>
              <w:pStyle w:val="TableTextLeft"/>
            </w:pPr>
            <w:r>
              <w:t xml:space="preserve">Santos (2010); </w:t>
            </w:r>
            <w:r w:rsidR="00A409FD">
              <w:t xml:space="preserve">AWT International (2013); Goldstein et al. (2012); Jell (2013); </w:t>
            </w:r>
            <w:r>
              <w:t>DNMR (2017); DPCSA (2017)</w:t>
            </w:r>
          </w:p>
        </w:tc>
      </w:tr>
      <w:tr w:rsidR="00A409FD" w14:paraId="606325D4"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5C2DB8DB" w14:textId="77777777" w:rsidR="00A409FD" w:rsidRDefault="00A409FD" w:rsidP="00A409FD">
            <w:pPr>
              <w:pStyle w:val="TableTextLeft"/>
            </w:pPr>
            <w:r>
              <w:t>Darling Basin</w:t>
            </w:r>
          </w:p>
        </w:tc>
        <w:tc>
          <w:tcPr>
            <w:tcW w:w="1134" w:type="dxa"/>
          </w:tcPr>
          <w:p w14:paraId="6119971A" w14:textId="77777777" w:rsidR="00A409FD" w:rsidRDefault="00A409FD" w:rsidP="00A409FD">
            <w:pPr>
              <w:pStyle w:val="TableTextLeft"/>
            </w:pPr>
            <w:r>
              <w:t>NSW</w:t>
            </w:r>
          </w:p>
        </w:tc>
        <w:tc>
          <w:tcPr>
            <w:tcW w:w="1842" w:type="dxa"/>
          </w:tcPr>
          <w:p w14:paraId="2DC6AFB7" w14:textId="77777777" w:rsidR="00A409FD" w:rsidRDefault="00A409FD" w:rsidP="00A409FD">
            <w:pPr>
              <w:pStyle w:val="TableTextLeft"/>
            </w:pPr>
            <w:r>
              <w:t xml:space="preserve">yes </w:t>
            </w:r>
          </w:p>
        </w:tc>
        <w:tc>
          <w:tcPr>
            <w:tcW w:w="1843" w:type="dxa"/>
          </w:tcPr>
          <w:p w14:paraId="3A4FCF34" w14:textId="77777777" w:rsidR="00A409FD" w:rsidRDefault="00A409FD" w:rsidP="00A409FD">
            <w:pPr>
              <w:pStyle w:val="TableTextLeft"/>
            </w:pPr>
            <w:r>
              <w:t>yes</w:t>
            </w:r>
          </w:p>
        </w:tc>
        <w:tc>
          <w:tcPr>
            <w:tcW w:w="1701" w:type="dxa"/>
          </w:tcPr>
          <w:p w14:paraId="22CCE1EC" w14:textId="77777777" w:rsidR="00A409FD" w:rsidRDefault="00A409FD" w:rsidP="00A409FD">
            <w:pPr>
              <w:pStyle w:val="TableTextLeft"/>
            </w:pPr>
            <w:r>
              <w:t>None</w:t>
            </w:r>
          </w:p>
        </w:tc>
        <w:tc>
          <w:tcPr>
            <w:tcW w:w="2977" w:type="dxa"/>
          </w:tcPr>
          <w:p w14:paraId="2903E105" w14:textId="77777777" w:rsidR="00A409FD" w:rsidRDefault="00A409FD" w:rsidP="00A409FD">
            <w:pPr>
              <w:pStyle w:val="TableTextLeft"/>
            </w:pPr>
            <w:r>
              <w:t>No shale/ tight gas exploration activity.</w:t>
            </w:r>
          </w:p>
        </w:tc>
        <w:tc>
          <w:tcPr>
            <w:tcW w:w="3003" w:type="dxa"/>
          </w:tcPr>
          <w:p w14:paraId="14DC3ED5" w14:textId="3BE59A02" w:rsidR="00A409FD" w:rsidRDefault="00A409FD" w:rsidP="00A409FD">
            <w:pPr>
              <w:pStyle w:val="TableTextLeft"/>
            </w:pPr>
            <w:r>
              <w:t>UPR (2015, 2016)</w:t>
            </w:r>
            <w:r w:rsidR="00C03A7D">
              <w:t>; Resources and Energy, New South Wales</w:t>
            </w:r>
            <w:r w:rsidR="00C03A7D" w:rsidDel="003E19DE">
              <w:t xml:space="preserve"> </w:t>
            </w:r>
            <w:r w:rsidR="00C03A7D">
              <w:t>(2017a)</w:t>
            </w:r>
          </w:p>
        </w:tc>
      </w:tr>
      <w:tr w:rsidR="00A409FD" w14:paraId="45586587"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56AF158C" w14:textId="77777777" w:rsidR="00A409FD" w:rsidRDefault="00A409FD" w:rsidP="00A409FD">
            <w:pPr>
              <w:pStyle w:val="TableTextLeft"/>
            </w:pPr>
            <w:r>
              <w:lastRenderedPageBreak/>
              <w:t>Eromanga Basin</w:t>
            </w:r>
          </w:p>
        </w:tc>
        <w:tc>
          <w:tcPr>
            <w:tcW w:w="1134" w:type="dxa"/>
          </w:tcPr>
          <w:p w14:paraId="15DA8C68" w14:textId="77777777" w:rsidR="00A409FD" w:rsidRDefault="00A409FD" w:rsidP="00A409FD">
            <w:pPr>
              <w:pStyle w:val="TableTextLeft"/>
            </w:pPr>
            <w:r>
              <w:t>NT,SA,QLD</w:t>
            </w:r>
          </w:p>
        </w:tc>
        <w:tc>
          <w:tcPr>
            <w:tcW w:w="1842" w:type="dxa"/>
          </w:tcPr>
          <w:p w14:paraId="7C491E83" w14:textId="77777777" w:rsidR="00A409FD" w:rsidRDefault="00A409FD" w:rsidP="00A409FD">
            <w:pPr>
              <w:pStyle w:val="TableTextLeft"/>
            </w:pPr>
            <w:r>
              <w:t>Adori Sandstone</w:t>
            </w:r>
          </w:p>
        </w:tc>
        <w:tc>
          <w:tcPr>
            <w:tcW w:w="1843" w:type="dxa"/>
          </w:tcPr>
          <w:p w14:paraId="1C24724A" w14:textId="77777777" w:rsidR="00A409FD" w:rsidRDefault="00A409FD" w:rsidP="00A409FD">
            <w:pPr>
              <w:pStyle w:val="TableTextLeft"/>
            </w:pPr>
            <w:r>
              <w:t>Toolebuc Formation; Birkhead Formation; Westbourne Formation; Poolowanna Formation</w:t>
            </w:r>
          </w:p>
        </w:tc>
        <w:tc>
          <w:tcPr>
            <w:tcW w:w="1701" w:type="dxa"/>
          </w:tcPr>
          <w:p w14:paraId="3D414D89" w14:textId="77777777" w:rsidR="00A409FD" w:rsidRDefault="00A409FD" w:rsidP="00A409FD">
            <w:pPr>
              <w:pStyle w:val="TableTextLeft"/>
            </w:pPr>
            <w:r>
              <w:t>&gt; 8 wells drilled targeting shale gas potential in the Toolebuc Formation</w:t>
            </w:r>
          </w:p>
        </w:tc>
        <w:tc>
          <w:tcPr>
            <w:tcW w:w="2977" w:type="dxa"/>
          </w:tcPr>
          <w:p w14:paraId="0D4853A5" w14:textId="77777777" w:rsidR="00A409FD" w:rsidRDefault="00A409FD" w:rsidP="00A409FD">
            <w:pPr>
              <w:pStyle w:val="TableTextLeft"/>
            </w:pPr>
            <w:r>
              <w:t>No current shale/ tight exploration activity. Note initial preliminary exploration focused on Toolebuc Formation shale gas potential has currently ceased due to poorer than expected results.</w:t>
            </w:r>
          </w:p>
        </w:tc>
        <w:tc>
          <w:tcPr>
            <w:tcW w:w="3003" w:type="dxa"/>
          </w:tcPr>
          <w:p w14:paraId="2ABD905F" w14:textId="77777777" w:rsidR="00A409FD" w:rsidRDefault="00A409FD" w:rsidP="00A409FD">
            <w:pPr>
              <w:pStyle w:val="TableTextLeft"/>
            </w:pPr>
            <w:r>
              <w:t>AWT International (2013); DNMR (2017); Exoma Energy (2012); Jell (2013); Munson (2014)</w:t>
            </w:r>
          </w:p>
        </w:tc>
      </w:tr>
      <w:tr w:rsidR="00A409FD" w14:paraId="16EC0A9F"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6B3BBDCA" w14:textId="77777777" w:rsidR="00A409FD" w:rsidRDefault="00A409FD" w:rsidP="00A409FD">
            <w:pPr>
              <w:pStyle w:val="TableTextLeft"/>
            </w:pPr>
            <w:r>
              <w:t>Galilee Basin</w:t>
            </w:r>
          </w:p>
        </w:tc>
        <w:tc>
          <w:tcPr>
            <w:tcW w:w="1134" w:type="dxa"/>
          </w:tcPr>
          <w:p w14:paraId="6DECCEBD" w14:textId="77777777" w:rsidR="00A409FD" w:rsidRDefault="00A409FD" w:rsidP="00A409FD">
            <w:pPr>
              <w:pStyle w:val="TableTextLeft"/>
            </w:pPr>
            <w:r>
              <w:t>QLD</w:t>
            </w:r>
          </w:p>
        </w:tc>
        <w:tc>
          <w:tcPr>
            <w:tcW w:w="1842" w:type="dxa"/>
          </w:tcPr>
          <w:p w14:paraId="30C41921" w14:textId="77777777" w:rsidR="00A409FD" w:rsidRDefault="00A409FD" w:rsidP="00A409FD">
            <w:pPr>
              <w:pStyle w:val="TableTextLeft"/>
            </w:pPr>
            <w:r>
              <w:t>Lake Galilee Sandstone</w:t>
            </w:r>
          </w:p>
        </w:tc>
        <w:tc>
          <w:tcPr>
            <w:tcW w:w="1843" w:type="dxa"/>
          </w:tcPr>
          <w:p w14:paraId="6E04D330" w14:textId="77777777" w:rsidR="00A409FD" w:rsidRDefault="00A409FD" w:rsidP="00A409FD">
            <w:pPr>
              <w:pStyle w:val="TableTextLeft"/>
            </w:pPr>
            <w:r>
              <w:t>Betts Creek Beds; Aramac Coal Measures</w:t>
            </w:r>
          </w:p>
        </w:tc>
        <w:tc>
          <w:tcPr>
            <w:tcW w:w="1701" w:type="dxa"/>
          </w:tcPr>
          <w:p w14:paraId="4A26CE39" w14:textId="77777777" w:rsidR="00A409FD" w:rsidRDefault="00A409FD" w:rsidP="00A409FD">
            <w:pPr>
              <w:pStyle w:val="TableTextLeft"/>
            </w:pPr>
            <w:r>
              <w:t>None</w:t>
            </w:r>
          </w:p>
        </w:tc>
        <w:tc>
          <w:tcPr>
            <w:tcW w:w="2977" w:type="dxa"/>
          </w:tcPr>
          <w:p w14:paraId="4DC24F3A" w14:textId="77777777" w:rsidR="00A409FD" w:rsidRDefault="00A409FD" w:rsidP="00A409FD">
            <w:pPr>
              <w:pStyle w:val="TableTextLeft"/>
            </w:pPr>
            <w:r>
              <w:t>No shale/ tight gas exploration activity.</w:t>
            </w:r>
          </w:p>
        </w:tc>
        <w:tc>
          <w:tcPr>
            <w:tcW w:w="3003" w:type="dxa"/>
          </w:tcPr>
          <w:p w14:paraId="32663AD7" w14:textId="725206F4" w:rsidR="00A409FD" w:rsidRDefault="00A409FD" w:rsidP="00A409FD">
            <w:pPr>
              <w:pStyle w:val="TableTextLeft"/>
            </w:pPr>
            <w:r>
              <w:t>Exoma Energy (2012); Hawkins and Green (1993); Jell (2013)</w:t>
            </w:r>
            <w:r w:rsidR="00C03A7D">
              <w:t>; Comet Ridge (2017a); DNMR (2017)</w:t>
            </w:r>
          </w:p>
        </w:tc>
      </w:tr>
      <w:tr w:rsidR="00A409FD" w14:paraId="01C26ADD"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7860384C" w14:textId="77777777" w:rsidR="00A409FD" w:rsidRDefault="00A409FD" w:rsidP="00A409FD">
            <w:pPr>
              <w:pStyle w:val="TableTextLeft"/>
            </w:pPr>
            <w:r>
              <w:t>Georgina Basin</w:t>
            </w:r>
          </w:p>
        </w:tc>
        <w:tc>
          <w:tcPr>
            <w:tcW w:w="1134" w:type="dxa"/>
          </w:tcPr>
          <w:p w14:paraId="1E5CA0D7" w14:textId="4901C846" w:rsidR="00A409FD" w:rsidRDefault="00A409FD" w:rsidP="00A409FD">
            <w:pPr>
              <w:pStyle w:val="TableTextLeft"/>
            </w:pPr>
            <w:r>
              <w:t>NT</w:t>
            </w:r>
            <w:r w:rsidR="00DC0115">
              <w:t>, QLD</w:t>
            </w:r>
          </w:p>
        </w:tc>
        <w:tc>
          <w:tcPr>
            <w:tcW w:w="1842" w:type="dxa"/>
          </w:tcPr>
          <w:p w14:paraId="62931ADD" w14:textId="77777777" w:rsidR="00A409FD" w:rsidRDefault="00A409FD" w:rsidP="00A409FD">
            <w:pPr>
              <w:pStyle w:val="TableTextLeft"/>
            </w:pPr>
            <w:r>
              <w:t>Arrinthrunga Formation; Georgina Limestone; Arthur Creek Formation; Inca Shale; Beetle Creek Formation; Thorntonia Limestone / Hay River Formation</w:t>
            </w:r>
          </w:p>
        </w:tc>
        <w:tc>
          <w:tcPr>
            <w:tcW w:w="1843" w:type="dxa"/>
          </w:tcPr>
          <w:p w14:paraId="407A8A6B" w14:textId="77777777" w:rsidR="00A409FD" w:rsidRDefault="00A409FD" w:rsidP="00A409FD">
            <w:pPr>
              <w:pStyle w:val="TableTextLeft"/>
            </w:pPr>
            <w:r>
              <w:t>Arrinthrunga Formation; Georgina Limestone; Arthur Creek Formation; Inca Shale; Beetle Creek Formation; Thorntonia Limestone / Hay River Formation</w:t>
            </w:r>
          </w:p>
        </w:tc>
        <w:tc>
          <w:tcPr>
            <w:tcW w:w="1701" w:type="dxa"/>
          </w:tcPr>
          <w:p w14:paraId="381D078F" w14:textId="77777777" w:rsidR="00A409FD" w:rsidRDefault="00A409FD" w:rsidP="00A409FD">
            <w:pPr>
              <w:pStyle w:val="TableTextLeft"/>
            </w:pPr>
            <w:r>
              <w:t>&gt;22 wells targeting shale/ tight gas</w:t>
            </w:r>
          </w:p>
        </w:tc>
        <w:tc>
          <w:tcPr>
            <w:tcW w:w="2977" w:type="dxa"/>
          </w:tcPr>
          <w:p w14:paraId="4CB7C6E0" w14:textId="77777777" w:rsidR="00A409FD" w:rsidRDefault="00A409FD" w:rsidP="00A409FD">
            <w:pPr>
              <w:pStyle w:val="TableTextLeft"/>
            </w:pPr>
            <w:r>
              <w:t>Exploration for shale and tight gas.</w:t>
            </w:r>
          </w:p>
        </w:tc>
        <w:tc>
          <w:tcPr>
            <w:tcW w:w="3003" w:type="dxa"/>
          </w:tcPr>
          <w:p w14:paraId="4155559E" w14:textId="4F78D962" w:rsidR="00A409FD" w:rsidRDefault="00C03A7D" w:rsidP="00CF4C23">
            <w:pPr>
              <w:pStyle w:val="TableTextLeft"/>
            </w:pPr>
            <w:r>
              <w:t xml:space="preserve">DSWPET (2011b); Petrofrontier (2011); Vu et al. (2011); </w:t>
            </w:r>
            <w:r w:rsidR="00A409FD">
              <w:t xml:space="preserve">AWT International (2013); Jell (2013); Munson (2014); </w:t>
            </w:r>
            <w:r>
              <w:t xml:space="preserve">DNMR (2017); </w:t>
            </w:r>
            <w:r w:rsidR="000E4EFC" w:rsidRPr="000E4EFC">
              <w:t>Scientific Inquiry into Hydraulic Fract</w:t>
            </w:r>
            <w:r w:rsidR="000E4EFC">
              <w:t>uring in the Northern Territory</w:t>
            </w:r>
            <w:r w:rsidR="000E4EFC" w:rsidRPr="000E4EFC">
              <w:t xml:space="preserve"> </w:t>
            </w:r>
            <w:r w:rsidR="00A409FD">
              <w:t>(</w:t>
            </w:r>
            <w:r w:rsidR="00CF4C23" w:rsidRPr="003E2015">
              <w:t>201</w:t>
            </w:r>
            <w:r w:rsidR="00CF4C23">
              <w:t>8</w:t>
            </w:r>
            <w:r w:rsidR="00A409FD">
              <w:t xml:space="preserve">); </w:t>
            </w:r>
          </w:p>
        </w:tc>
      </w:tr>
      <w:tr w:rsidR="00A409FD" w14:paraId="5C18C231"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1A8A594F" w14:textId="77777777" w:rsidR="00A409FD" w:rsidRDefault="00A409FD" w:rsidP="00A409FD">
            <w:pPr>
              <w:pStyle w:val="TableTextLeft"/>
            </w:pPr>
            <w:r>
              <w:t>Gippsland Basin</w:t>
            </w:r>
          </w:p>
        </w:tc>
        <w:tc>
          <w:tcPr>
            <w:tcW w:w="1134" w:type="dxa"/>
          </w:tcPr>
          <w:p w14:paraId="4890E7F2" w14:textId="77777777" w:rsidR="00A409FD" w:rsidRDefault="00A409FD" w:rsidP="00A409FD">
            <w:pPr>
              <w:pStyle w:val="TableTextLeft"/>
            </w:pPr>
            <w:r>
              <w:t>VIC</w:t>
            </w:r>
          </w:p>
        </w:tc>
        <w:tc>
          <w:tcPr>
            <w:tcW w:w="1842" w:type="dxa"/>
          </w:tcPr>
          <w:p w14:paraId="7A1EFAE3" w14:textId="77777777" w:rsidR="00A409FD" w:rsidRDefault="00A409FD" w:rsidP="00A409FD">
            <w:pPr>
              <w:pStyle w:val="TableTextLeft"/>
            </w:pPr>
            <w:r>
              <w:t>Lakes Entrance Formation; Strzelecki Group</w:t>
            </w:r>
          </w:p>
        </w:tc>
        <w:tc>
          <w:tcPr>
            <w:tcW w:w="1843" w:type="dxa"/>
          </w:tcPr>
          <w:p w14:paraId="118BDDB7" w14:textId="77777777" w:rsidR="00A409FD" w:rsidRDefault="00A409FD" w:rsidP="00A409FD">
            <w:pPr>
              <w:pStyle w:val="TableTextLeft"/>
            </w:pPr>
            <w:r>
              <w:t>Strzelecki Group</w:t>
            </w:r>
          </w:p>
        </w:tc>
        <w:tc>
          <w:tcPr>
            <w:tcW w:w="1701" w:type="dxa"/>
          </w:tcPr>
          <w:p w14:paraId="3DC563B6" w14:textId="77777777" w:rsidR="00A409FD" w:rsidRDefault="00A409FD" w:rsidP="00A409FD">
            <w:pPr>
              <w:pStyle w:val="TableTextLeft"/>
            </w:pPr>
            <w:r>
              <w:t>&gt;$$ wells targeting tight gas</w:t>
            </w:r>
          </w:p>
        </w:tc>
        <w:tc>
          <w:tcPr>
            <w:tcW w:w="2977" w:type="dxa"/>
          </w:tcPr>
          <w:p w14:paraId="588F19BA" w14:textId="7D949842" w:rsidR="00A409FD" w:rsidRDefault="00BC20EC" w:rsidP="00A409FD">
            <w:pPr>
              <w:pStyle w:val="TableTextLeft"/>
            </w:pPr>
            <w:r>
              <w:t>A</w:t>
            </w:r>
            <w:r w:rsidR="00A409FD">
              <w:t>ppraisal (2C tight gas resources booked for Wombat &amp;Trifon-Gangell fields). No shale gas exploration activity.</w:t>
            </w:r>
          </w:p>
        </w:tc>
        <w:tc>
          <w:tcPr>
            <w:tcW w:w="3003" w:type="dxa"/>
          </w:tcPr>
          <w:p w14:paraId="04DAE1E5" w14:textId="0E62146F" w:rsidR="00A409FD" w:rsidRDefault="00A409FD" w:rsidP="00C03A7D">
            <w:pPr>
              <w:pStyle w:val="TableTextLeft"/>
            </w:pPr>
            <w:r>
              <w:t xml:space="preserve">Goldie Divko (2015); </w:t>
            </w:r>
            <w:r w:rsidR="00C03A7D">
              <w:t>GA (2017a); Lakes Oil (2017)</w:t>
            </w:r>
          </w:p>
        </w:tc>
      </w:tr>
      <w:tr w:rsidR="00A409FD" w14:paraId="7102218D"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3CDEADE3" w14:textId="77777777" w:rsidR="00A409FD" w:rsidRDefault="00A409FD" w:rsidP="00A409FD">
            <w:pPr>
              <w:pStyle w:val="TableTextLeft"/>
            </w:pPr>
            <w:r>
              <w:t>Gunnedah Basin</w:t>
            </w:r>
          </w:p>
        </w:tc>
        <w:tc>
          <w:tcPr>
            <w:tcW w:w="1134" w:type="dxa"/>
          </w:tcPr>
          <w:p w14:paraId="45C1C05F" w14:textId="77777777" w:rsidR="00A409FD" w:rsidRDefault="00A409FD" w:rsidP="00A409FD">
            <w:pPr>
              <w:pStyle w:val="TableTextLeft"/>
            </w:pPr>
            <w:r>
              <w:t>NSW</w:t>
            </w:r>
          </w:p>
        </w:tc>
        <w:tc>
          <w:tcPr>
            <w:tcW w:w="1842" w:type="dxa"/>
          </w:tcPr>
          <w:p w14:paraId="34FDCD5C" w14:textId="77777777" w:rsidR="00A409FD" w:rsidRDefault="00A409FD" w:rsidP="00A409FD">
            <w:pPr>
              <w:pStyle w:val="TableTextLeft"/>
            </w:pPr>
            <w:r>
              <w:t>Black Jack Formation; Maules Creek Formation</w:t>
            </w:r>
          </w:p>
        </w:tc>
        <w:tc>
          <w:tcPr>
            <w:tcW w:w="1843" w:type="dxa"/>
          </w:tcPr>
          <w:p w14:paraId="07BC1BE4" w14:textId="77777777" w:rsidR="00A409FD" w:rsidRDefault="00A409FD" w:rsidP="00A409FD">
            <w:pPr>
              <w:pStyle w:val="TableTextLeft"/>
            </w:pPr>
            <w:r>
              <w:t>Black Jack Formation; Maules Creek Formation; Watermark Formation</w:t>
            </w:r>
          </w:p>
        </w:tc>
        <w:tc>
          <w:tcPr>
            <w:tcW w:w="1701" w:type="dxa"/>
          </w:tcPr>
          <w:p w14:paraId="5686A8A8" w14:textId="77777777" w:rsidR="00A409FD" w:rsidRDefault="00A409FD" w:rsidP="00A409FD">
            <w:pPr>
              <w:pStyle w:val="TableTextLeft"/>
            </w:pPr>
            <w:r>
              <w:t>None</w:t>
            </w:r>
          </w:p>
        </w:tc>
        <w:tc>
          <w:tcPr>
            <w:tcW w:w="2977" w:type="dxa"/>
          </w:tcPr>
          <w:p w14:paraId="07012308" w14:textId="77777777" w:rsidR="00A409FD" w:rsidRDefault="00A409FD" w:rsidP="00A409FD">
            <w:pPr>
              <w:pStyle w:val="TableTextLeft"/>
            </w:pPr>
            <w:r>
              <w:t>No shale/ tight gas exploration activity. CSG (e.g. Narrabri Gas project) and conventional exploration only.</w:t>
            </w:r>
          </w:p>
        </w:tc>
        <w:tc>
          <w:tcPr>
            <w:tcW w:w="3003" w:type="dxa"/>
          </w:tcPr>
          <w:p w14:paraId="51A98FE5" w14:textId="63B6B17A" w:rsidR="00A409FD" w:rsidRDefault="00A409FD" w:rsidP="00C03A7D">
            <w:pPr>
              <w:pStyle w:val="TableTextLeft"/>
            </w:pPr>
            <w:r>
              <w:t xml:space="preserve">AWT International (2013); O’Neill and Danis (2013); </w:t>
            </w:r>
            <w:r w:rsidR="00C03A7D">
              <w:t xml:space="preserve">Comet Ridge (2017b); </w:t>
            </w:r>
            <w:r>
              <w:t>Santos (2017)</w:t>
            </w:r>
          </w:p>
        </w:tc>
      </w:tr>
      <w:tr w:rsidR="00A409FD" w14:paraId="78F4C2A8"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79CE047F" w14:textId="77777777" w:rsidR="00A409FD" w:rsidRDefault="00A409FD" w:rsidP="00A409FD">
            <w:pPr>
              <w:pStyle w:val="TableTextLeft"/>
            </w:pPr>
            <w:r>
              <w:t>Isa Superbasin</w:t>
            </w:r>
          </w:p>
        </w:tc>
        <w:tc>
          <w:tcPr>
            <w:tcW w:w="1134" w:type="dxa"/>
          </w:tcPr>
          <w:p w14:paraId="6F8F7A17" w14:textId="77777777" w:rsidR="00A409FD" w:rsidRDefault="00A409FD" w:rsidP="00A409FD">
            <w:pPr>
              <w:pStyle w:val="TableTextLeft"/>
            </w:pPr>
            <w:r>
              <w:t>QLD, NT</w:t>
            </w:r>
          </w:p>
        </w:tc>
        <w:tc>
          <w:tcPr>
            <w:tcW w:w="1842" w:type="dxa"/>
          </w:tcPr>
          <w:p w14:paraId="6E4BAB3B" w14:textId="77777777" w:rsidR="00A409FD" w:rsidRDefault="00A409FD" w:rsidP="00A409FD">
            <w:pPr>
              <w:pStyle w:val="TableTextLeft"/>
            </w:pPr>
            <w:r>
              <w:t>None</w:t>
            </w:r>
          </w:p>
        </w:tc>
        <w:tc>
          <w:tcPr>
            <w:tcW w:w="1843" w:type="dxa"/>
          </w:tcPr>
          <w:p w14:paraId="67F4DF68" w14:textId="77777777" w:rsidR="00A409FD" w:rsidRDefault="00A409FD" w:rsidP="00A409FD">
            <w:pPr>
              <w:pStyle w:val="TableTextLeft"/>
            </w:pPr>
            <w:r>
              <w:t>Lawn Hill Shale; Termite Range Formation; Riversleigh Siltstone</w:t>
            </w:r>
          </w:p>
        </w:tc>
        <w:tc>
          <w:tcPr>
            <w:tcW w:w="1701" w:type="dxa"/>
          </w:tcPr>
          <w:p w14:paraId="382B850E" w14:textId="77777777" w:rsidR="00A409FD" w:rsidRDefault="00A409FD" w:rsidP="00A409FD">
            <w:pPr>
              <w:pStyle w:val="TableTextLeft"/>
            </w:pPr>
            <w:r>
              <w:t>~2 wells targeting shale gas</w:t>
            </w:r>
          </w:p>
        </w:tc>
        <w:tc>
          <w:tcPr>
            <w:tcW w:w="2977" w:type="dxa"/>
          </w:tcPr>
          <w:p w14:paraId="789C2F9E" w14:textId="77777777" w:rsidR="00A409FD" w:rsidRDefault="00A409FD" w:rsidP="00A409FD">
            <w:pPr>
              <w:pStyle w:val="TableTextLeft"/>
            </w:pPr>
            <w:r>
              <w:t>Early appraisal for shale gas (2C resources booked for the Lawn Hill Shale and Riversleigh Siltstone).</w:t>
            </w:r>
          </w:p>
        </w:tc>
        <w:tc>
          <w:tcPr>
            <w:tcW w:w="3003" w:type="dxa"/>
          </w:tcPr>
          <w:p w14:paraId="1ADBAFD2" w14:textId="6A38584B" w:rsidR="00A409FD" w:rsidRDefault="00A409FD" w:rsidP="00A13B48">
            <w:pPr>
              <w:pStyle w:val="TableTextLeft"/>
            </w:pPr>
            <w:r>
              <w:t xml:space="preserve">DNMR (2017); Jell (2013); Munson (2014); </w:t>
            </w:r>
            <w:r w:rsidR="00C03A7D">
              <w:t>Armour Energy (2017</w:t>
            </w:r>
            <w:r w:rsidR="00C9452A">
              <w:t>a</w:t>
            </w:r>
            <w:r w:rsidR="00C03A7D">
              <w:t xml:space="preserve">); </w:t>
            </w:r>
            <w:r w:rsidR="000E4EFC" w:rsidRPr="000E4EFC">
              <w:t>Scientific Inquiry into Hydraulic Fract</w:t>
            </w:r>
            <w:r w:rsidR="000E4EFC">
              <w:t>uring in the Northern Territory</w:t>
            </w:r>
            <w:r w:rsidR="000E4EFC" w:rsidRPr="000E4EFC">
              <w:t xml:space="preserve"> </w:t>
            </w:r>
            <w:r>
              <w:t>(</w:t>
            </w:r>
            <w:r w:rsidR="00A13B48" w:rsidRPr="003E2015">
              <w:t>201</w:t>
            </w:r>
            <w:r w:rsidR="00A13B48">
              <w:t>8</w:t>
            </w:r>
            <w:r>
              <w:t>)</w:t>
            </w:r>
          </w:p>
        </w:tc>
      </w:tr>
      <w:tr w:rsidR="00A409FD" w14:paraId="053B1B62"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60DCB026" w14:textId="77777777" w:rsidR="00A409FD" w:rsidRDefault="00A409FD" w:rsidP="00A409FD">
            <w:pPr>
              <w:pStyle w:val="TableTextLeft"/>
            </w:pPr>
            <w:r>
              <w:t>Laura Basin</w:t>
            </w:r>
          </w:p>
        </w:tc>
        <w:tc>
          <w:tcPr>
            <w:tcW w:w="1134" w:type="dxa"/>
          </w:tcPr>
          <w:p w14:paraId="0D5E8B15" w14:textId="77777777" w:rsidR="00A409FD" w:rsidRDefault="00A409FD" w:rsidP="00A409FD">
            <w:pPr>
              <w:pStyle w:val="TableTextLeft"/>
            </w:pPr>
            <w:r>
              <w:t>QLD</w:t>
            </w:r>
          </w:p>
        </w:tc>
        <w:tc>
          <w:tcPr>
            <w:tcW w:w="1842" w:type="dxa"/>
          </w:tcPr>
          <w:p w14:paraId="7F0A5FF8" w14:textId="77777777" w:rsidR="00A409FD" w:rsidRDefault="00A409FD" w:rsidP="00A409FD">
            <w:pPr>
              <w:pStyle w:val="TableTextLeft"/>
            </w:pPr>
            <w:r>
              <w:t>Dalrymple Sandstone</w:t>
            </w:r>
          </w:p>
        </w:tc>
        <w:tc>
          <w:tcPr>
            <w:tcW w:w="1843" w:type="dxa"/>
          </w:tcPr>
          <w:p w14:paraId="4C10A7E7" w14:textId="77777777" w:rsidR="00A409FD" w:rsidRDefault="00A409FD" w:rsidP="00A409FD">
            <w:pPr>
              <w:pStyle w:val="TableTextLeft"/>
            </w:pPr>
            <w:r>
              <w:t>Dalrymple Sandstone</w:t>
            </w:r>
          </w:p>
        </w:tc>
        <w:tc>
          <w:tcPr>
            <w:tcW w:w="1701" w:type="dxa"/>
          </w:tcPr>
          <w:p w14:paraId="360617AB" w14:textId="77777777" w:rsidR="00A409FD" w:rsidRDefault="00A409FD" w:rsidP="00A409FD">
            <w:pPr>
              <w:pStyle w:val="TableTextLeft"/>
            </w:pPr>
            <w:r>
              <w:t>None</w:t>
            </w:r>
          </w:p>
        </w:tc>
        <w:tc>
          <w:tcPr>
            <w:tcW w:w="2977" w:type="dxa"/>
          </w:tcPr>
          <w:p w14:paraId="22C6D14A" w14:textId="77777777" w:rsidR="00A409FD" w:rsidRDefault="00A409FD" w:rsidP="00A409FD">
            <w:pPr>
              <w:pStyle w:val="TableTextLeft"/>
            </w:pPr>
            <w:r>
              <w:t>No shale/ tight gas exploration activity.</w:t>
            </w:r>
          </w:p>
        </w:tc>
        <w:tc>
          <w:tcPr>
            <w:tcW w:w="3003" w:type="dxa"/>
          </w:tcPr>
          <w:p w14:paraId="4057D960" w14:textId="4F9D5D48" w:rsidR="00A409FD" w:rsidRDefault="00A409FD" w:rsidP="00A409FD">
            <w:pPr>
              <w:pStyle w:val="TableTextLeft"/>
            </w:pPr>
            <w:r>
              <w:t>Hawkins and Williams (1990); Jell (2013)</w:t>
            </w:r>
            <w:r w:rsidR="00C03A7D">
              <w:t>; DNMR (2017)</w:t>
            </w:r>
          </w:p>
        </w:tc>
      </w:tr>
      <w:tr w:rsidR="00A409FD" w14:paraId="27921C70"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47963A78" w14:textId="77777777" w:rsidR="00A409FD" w:rsidRDefault="00A409FD" w:rsidP="00A409FD">
            <w:pPr>
              <w:pStyle w:val="TableTextLeft"/>
            </w:pPr>
            <w:r>
              <w:lastRenderedPageBreak/>
              <w:t>Maryborough Basin</w:t>
            </w:r>
          </w:p>
        </w:tc>
        <w:tc>
          <w:tcPr>
            <w:tcW w:w="1134" w:type="dxa"/>
          </w:tcPr>
          <w:p w14:paraId="694DEC73" w14:textId="77777777" w:rsidR="00A409FD" w:rsidRDefault="00A409FD" w:rsidP="00A409FD">
            <w:pPr>
              <w:pStyle w:val="TableTextLeft"/>
            </w:pPr>
            <w:r>
              <w:t>QLD</w:t>
            </w:r>
          </w:p>
        </w:tc>
        <w:tc>
          <w:tcPr>
            <w:tcW w:w="1842" w:type="dxa"/>
          </w:tcPr>
          <w:p w14:paraId="6D74F654" w14:textId="77777777" w:rsidR="00A409FD" w:rsidRDefault="00A409FD" w:rsidP="00A409FD">
            <w:pPr>
              <w:pStyle w:val="TableTextLeft"/>
            </w:pPr>
            <w:r>
              <w:t>Maryborough Formation</w:t>
            </w:r>
          </w:p>
        </w:tc>
        <w:tc>
          <w:tcPr>
            <w:tcW w:w="1843" w:type="dxa"/>
          </w:tcPr>
          <w:p w14:paraId="3B1AECB4" w14:textId="77777777" w:rsidR="00A409FD" w:rsidRDefault="00A409FD" w:rsidP="00A409FD">
            <w:pPr>
              <w:pStyle w:val="TableTextLeft"/>
            </w:pPr>
            <w:r>
              <w:t>Maryborough Formation (including the Goodwood and Cherwell mudstone members); Tiaro Coal Measures</w:t>
            </w:r>
          </w:p>
        </w:tc>
        <w:tc>
          <w:tcPr>
            <w:tcW w:w="1701" w:type="dxa"/>
          </w:tcPr>
          <w:p w14:paraId="12F7765B" w14:textId="77777777" w:rsidR="00A409FD" w:rsidRDefault="00A409FD" w:rsidP="00A409FD">
            <w:pPr>
              <w:pStyle w:val="TableTextLeft"/>
            </w:pPr>
            <w:r>
              <w:t>None</w:t>
            </w:r>
          </w:p>
        </w:tc>
        <w:tc>
          <w:tcPr>
            <w:tcW w:w="2977" w:type="dxa"/>
          </w:tcPr>
          <w:p w14:paraId="3A84470B" w14:textId="77777777" w:rsidR="00A409FD" w:rsidRDefault="00A409FD" w:rsidP="00A409FD">
            <w:pPr>
              <w:pStyle w:val="TableTextLeft"/>
            </w:pPr>
            <w:r>
              <w:t>No shale/ tight gas exploration activity.</w:t>
            </w:r>
          </w:p>
        </w:tc>
        <w:tc>
          <w:tcPr>
            <w:tcW w:w="3003" w:type="dxa"/>
          </w:tcPr>
          <w:p w14:paraId="7FA63D7F" w14:textId="631064C0" w:rsidR="00A409FD" w:rsidRDefault="00A409FD" w:rsidP="00C03A7D">
            <w:pPr>
              <w:pStyle w:val="TableTextLeft"/>
            </w:pPr>
            <w:r>
              <w:t>AWT International (2013); Blue Energy (2013); Jell (2013)</w:t>
            </w:r>
            <w:r w:rsidR="00C03A7D">
              <w:t>; DNMR (2017)</w:t>
            </w:r>
          </w:p>
        </w:tc>
      </w:tr>
      <w:tr w:rsidR="00A409FD" w14:paraId="4D9DC28B"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2B59AC5C" w14:textId="77777777" w:rsidR="00A409FD" w:rsidRDefault="00A409FD" w:rsidP="00A409FD">
            <w:pPr>
              <w:pStyle w:val="TableTextLeft"/>
            </w:pPr>
            <w:r>
              <w:t>McArthur Basin (including the Beetaloo Sub-basin)</w:t>
            </w:r>
          </w:p>
        </w:tc>
        <w:tc>
          <w:tcPr>
            <w:tcW w:w="1134" w:type="dxa"/>
          </w:tcPr>
          <w:p w14:paraId="2A361DB0" w14:textId="77777777" w:rsidR="00A409FD" w:rsidRDefault="00A409FD" w:rsidP="00A409FD">
            <w:pPr>
              <w:pStyle w:val="TableTextLeft"/>
            </w:pPr>
            <w:r>
              <w:t>NT</w:t>
            </w:r>
          </w:p>
        </w:tc>
        <w:tc>
          <w:tcPr>
            <w:tcW w:w="1842" w:type="dxa"/>
          </w:tcPr>
          <w:p w14:paraId="791DC1B9" w14:textId="2E1A1BD7" w:rsidR="00A409FD" w:rsidRDefault="00A409FD" w:rsidP="00A409FD">
            <w:pPr>
              <w:pStyle w:val="TableTextLeft"/>
            </w:pPr>
            <w:r>
              <w:t>Bessie Creek Sandstone; Moroak Sandstone; Reward Dolostone (fractured reservoir)</w:t>
            </w:r>
          </w:p>
        </w:tc>
        <w:tc>
          <w:tcPr>
            <w:tcW w:w="1843" w:type="dxa"/>
          </w:tcPr>
          <w:p w14:paraId="059DDFC7" w14:textId="77777777" w:rsidR="00A409FD" w:rsidRDefault="00A409FD" w:rsidP="00A409FD">
            <w:pPr>
              <w:pStyle w:val="TableTextLeft"/>
            </w:pPr>
            <w:r>
              <w:t>Kyalla Formation; Velkerri Formation; ?Vaughn Siltstone; Yalco Formation; Lynott Formation; Barney Creek Formation</w:t>
            </w:r>
          </w:p>
        </w:tc>
        <w:tc>
          <w:tcPr>
            <w:tcW w:w="1701" w:type="dxa"/>
          </w:tcPr>
          <w:p w14:paraId="149E9BA7" w14:textId="77777777" w:rsidR="00A409FD" w:rsidRDefault="00A409FD" w:rsidP="00A409FD">
            <w:pPr>
              <w:pStyle w:val="TableTextLeft"/>
            </w:pPr>
            <w:r w:rsidRPr="00116B50">
              <w:t>~</w:t>
            </w:r>
            <w:r>
              <w:t>35 wells targeting shale gas</w:t>
            </w:r>
          </w:p>
        </w:tc>
        <w:tc>
          <w:tcPr>
            <w:tcW w:w="2977" w:type="dxa"/>
          </w:tcPr>
          <w:p w14:paraId="23C61EA6" w14:textId="77777777" w:rsidR="00A409FD" w:rsidRDefault="00A409FD" w:rsidP="00A409FD">
            <w:pPr>
              <w:pStyle w:val="TableTextLeft"/>
            </w:pPr>
            <w:r>
              <w:t>Early appraisal for shale gas ( 2C resources booked for the Velkerri Formation)</w:t>
            </w:r>
          </w:p>
        </w:tc>
        <w:tc>
          <w:tcPr>
            <w:tcW w:w="3003" w:type="dxa"/>
          </w:tcPr>
          <w:p w14:paraId="02929D00" w14:textId="0EA03155" w:rsidR="00A409FD" w:rsidRDefault="00C9452A" w:rsidP="004F7731">
            <w:pPr>
              <w:pStyle w:val="TableTextLeft"/>
            </w:pPr>
            <w:r>
              <w:t xml:space="preserve">Armour Energy (2017b); </w:t>
            </w:r>
            <w:r w:rsidR="00A409FD">
              <w:t xml:space="preserve">AWT International (2013); </w:t>
            </w:r>
            <w:r w:rsidR="00C03A7D">
              <w:t xml:space="preserve">Munson (2014); </w:t>
            </w:r>
            <w:r w:rsidR="00A409FD">
              <w:t xml:space="preserve">Close et al. (2017); </w:t>
            </w:r>
            <w:r w:rsidR="000E4EFC" w:rsidRPr="000E4EFC">
              <w:t>Scientific Inquiry into Hydraulic Fract</w:t>
            </w:r>
            <w:r w:rsidR="000E4EFC">
              <w:t>uring in the Northern Territory</w:t>
            </w:r>
            <w:r w:rsidR="000E4EFC" w:rsidRPr="000E4EFC">
              <w:t xml:space="preserve"> </w:t>
            </w:r>
            <w:r w:rsidR="00A409FD">
              <w:t>(</w:t>
            </w:r>
            <w:r w:rsidR="004F7731" w:rsidRPr="003E2015">
              <w:t>201</w:t>
            </w:r>
            <w:r w:rsidR="004F7731">
              <w:t>8</w:t>
            </w:r>
            <w:r w:rsidR="00A409FD">
              <w:t>); Revie (2017a,b)</w:t>
            </w:r>
          </w:p>
        </w:tc>
      </w:tr>
      <w:tr w:rsidR="00A409FD" w14:paraId="70F66DBB"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383D3B85" w14:textId="77777777" w:rsidR="00A409FD" w:rsidRDefault="00A409FD" w:rsidP="00A409FD">
            <w:pPr>
              <w:pStyle w:val="TableTextLeft"/>
            </w:pPr>
            <w:r>
              <w:t>Ngalia Basin</w:t>
            </w:r>
          </w:p>
        </w:tc>
        <w:tc>
          <w:tcPr>
            <w:tcW w:w="1134" w:type="dxa"/>
          </w:tcPr>
          <w:p w14:paraId="202132D0" w14:textId="77777777" w:rsidR="00A409FD" w:rsidRDefault="00A409FD" w:rsidP="00A409FD">
            <w:pPr>
              <w:pStyle w:val="TableTextLeft"/>
            </w:pPr>
            <w:r>
              <w:t>NT</w:t>
            </w:r>
          </w:p>
        </w:tc>
        <w:tc>
          <w:tcPr>
            <w:tcW w:w="1842" w:type="dxa"/>
          </w:tcPr>
          <w:p w14:paraId="34A712B4" w14:textId="77777777" w:rsidR="00A409FD" w:rsidRDefault="00A409FD" w:rsidP="00A409FD">
            <w:pPr>
              <w:pStyle w:val="TableTextLeft"/>
            </w:pPr>
            <w:r>
              <w:t>Mount Eclipse Sandstone</w:t>
            </w:r>
          </w:p>
        </w:tc>
        <w:tc>
          <w:tcPr>
            <w:tcW w:w="1843" w:type="dxa"/>
          </w:tcPr>
          <w:p w14:paraId="088565A0" w14:textId="77777777" w:rsidR="00A409FD" w:rsidRDefault="00A409FD" w:rsidP="00A409FD">
            <w:pPr>
              <w:pStyle w:val="TableTextLeft"/>
            </w:pPr>
            <w:r>
              <w:t> </w:t>
            </w:r>
          </w:p>
        </w:tc>
        <w:tc>
          <w:tcPr>
            <w:tcW w:w="1701" w:type="dxa"/>
          </w:tcPr>
          <w:p w14:paraId="009863A0" w14:textId="77777777" w:rsidR="00A409FD" w:rsidRDefault="00A409FD" w:rsidP="00A409FD">
            <w:pPr>
              <w:pStyle w:val="TableTextLeft"/>
            </w:pPr>
            <w:r>
              <w:t>None</w:t>
            </w:r>
          </w:p>
        </w:tc>
        <w:tc>
          <w:tcPr>
            <w:tcW w:w="2977" w:type="dxa"/>
          </w:tcPr>
          <w:p w14:paraId="7132A2F3" w14:textId="77777777" w:rsidR="00A409FD" w:rsidRDefault="00A409FD" w:rsidP="00A409FD">
            <w:pPr>
              <w:pStyle w:val="TableTextLeft"/>
            </w:pPr>
            <w:r>
              <w:t>No shale/ tight gas exploration activity.</w:t>
            </w:r>
          </w:p>
        </w:tc>
        <w:tc>
          <w:tcPr>
            <w:tcW w:w="3003" w:type="dxa"/>
          </w:tcPr>
          <w:p w14:paraId="3EA23C77" w14:textId="32913590" w:rsidR="00A409FD" w:rsidRDefault="00A409FD" w:rsidP="004F7731">
            <w:pPr>
              <w:pStyle w:val="TableTextLeft"/>
            </w:pPr>
            <w:r>
              <w:t xml:space="preserve">Munson (2014); </w:t>
            </w:r>
            <w:r w:rsidR="000E4EFC" w:rsidRPr="000E4EFC">
              <w:t>Scientific Inquiry into Hydraulic Fract</w:t>
            </w:r>
            <w:r w:rsidR="000E4EFC">
              <w:t>uring in the Northern Territory</w:t>
            </w:r>
            <w:r w:rsidR="000E4EFC" w:rsidRPr="000E4EFC">
              <w:t xml:space="preserve"> </w:t>
            </w:r>
            <w:r>
              <w:t>(</w:t>
            </w:r>
            <w:r w:rsidR="004F7731" w:rsidRPr="003E2015">
              <w:t>201</w:t>
            </w:r>
            <w:r w:rsidR="004F7731">
              <w:t>8</w:t>
            </w:r>
            <w:r>
              <w:t>)</w:t>
            </w:r>
          </w:p>
        </w:tc>
      </w:tr>
      <w:tr w:rsidR="00A409FD" w14:paraId="778F92BA"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38DC8A3B" w14:textId="77777777" w:rsidR="00A409FD" w:rsidRDefault="00A409FD" w:rsidP="00A409FD">
            <w:pPr>
              <w:pStyle w:val="TableTextLeft"/>
            </w:pPr>
            <w:r>
              <w:t>Oaklands Basin</w:t>
            </w:r>
          </w:p>
        </w:tc>
        <w:tc>
          <w:tcPr>
            <w:tcW w:w="1134" w:type="dxa"/>
          </w:tcPr>
          <w:p w14:paraId="7FAFD777" w14:textId="77777777" w:rsidR="00A409FD" w:rsidRDefault="00A409FD" w:rsidP="00A409FD">
            <w:pPr>
              <w:pStyle w:val="TableTextLeft"/>
            </w:pPr>
            <w:r>
              <w:t>NSW</w:t>
            </w:r>
          </w:p>
        </w:tc>
        <w:tc>
          <w:tcPr>
            <w:tcW w:w="1842" w:type="dxa"/>
          </w:tcPr>
          <w:p w14:paraId="17E9EEDD" w14:textId="3AAAE37E" w:rsidR="00A409FD" w:rsidRDefault="00A409FD" w:rsidP="00A409FD">
            <w:pPr>
              <w:pStyle w:val="TableTextLeft"/>
            </w:pPr>
            <w:r>
              <w:t>?Coorabin Coal Measures; ?Jerilderie sandstone</w:t>
            </w:r>
          </w:p>
        </w:tc>
        <w:tc>
          <w:tcPr>
            <w:tcW w:w="1843" w:type="dxa"/>
          </w:tcPr>
          <w:p w14:paraId="047D46B7" w14:textId="77777777" w:rsidR="00A409FD" w:rsidRDefault="00A409FD" w:rsidP="00A409FD">
            <w:pPr>
              <w:pStyle w:val="TableTextLeft"/>
            </w:pPr>
            <w:r>
              <w:t>?Coorabin Coal Measures ; ?Urana Formation</w:t>
            </w:r>
          </w:p>
        </w:tc>
        <w:tc>
          <w:tcPr>
            <w:tcW w:w="1701" w:type="dxa"/>
          </w:tcPr>
          <w:p w14:paraId="550E9752" w14:textId="77777777" w:rsidR="00A409FD" w:rsidRDefault="00A409FD" w:rsidP="00A409FD">
            <w:pPr>
              <w:pStyle w:val="TableTextLeft"/>
            </w:pPr>
            <w:r>
              <w:t>None</w:t>
            </w:r>
          </w:p>
        </w:tc>
        <w:tc>
          <w:tcPr>
            <w:tcW w:w="2977" w:type="dxa"/>
          </w:tcPr>
          <w:p w14:paraId="2BD01183" w14:textId="77777777" w:rsidR="00A409FD" w:rsidRDefault="00A409FD" w:rsidP="00A409FD">
            <w:pPr>
              <w:pStyle w:val="TableTextLeft"/>
            </w:pPr>
            <w:r>
              <w:t xml:space="preserve">No shale/ tight gas exploration activity. </w:t>
            </w:r>
          </w:p>
        </w:tc>
        <w:tc>
          <w:tcPr>
            <w:tcW w:w="3003" w:type="dxa"/>
          </w:tcPr>
          <w:p w14:paraId="683C9791" w14:textId="7A091E46" w:rsidR="00A409FD" w:rsidRDefault="00A409FD" w:rsidP="00A409FD">
            <w:pPr>
              <w:pStyle w:val="TableTextLeft"/>
            </w:pPr>
            <w:r>
              <w:t>O’Neill and Danis (2013); UPR (2015, 2016)</w:t>
            </w:r>
            <w:r w:rsidR="00C03A7D">
              <w:t>; Resources and Energy, New South Wales</w:t>
            </w:r>
            <w:r w:rsidR="00C03A7D" w:rsidDel="003E19DE">
              <w:t xml:space="preserve"> </w:t>
            </w:r>
            <w:r w:rsidR="00C03A7D">
              <w:t>(2017a)</w:t>
            </w:r>
          </w:p>
        </w:tc>
      </w:tr>
      <w:tr w:rsidR="00A409FD" w14:paraId="20C92B6C"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59FCEFD7" w14:textId="77777777" w:rsidR="00A409FD" w:rsidRDefault="00A409FD" w:rsidP="00A409FD">
            <w:pPr>
              <w:pStyle w:val="TableTextLeft"/>
            </w:pPr>
            <w:r>
              <w:t>Otway Basin</w:t>
            </w:r>
          </w:p>
        </w:tc>
        <w:tc>
          <w:tcPr>
            <w:tcW w:w="1134" w:type="dxa"/>
          </w:tcPr>
          <w:p w14:paraId="5789F820" w14:textId="77777777" w:rsidR="00A409FD" w:rsidRDefault="00A409FD" w:rsidP="00A409FD">
            <w:pPr>
              <w:pStyle w:val="TableTextLeft"/>
            </w:pPr>
            <w:r>
              <w:t>SA, VIC</w:t>
            </w:r>
          </w:p>
        </w:tc>
        <w:tc>
          <w:tcPr>
            <w:tcW w:w="1842" w:type="dxa"/>
          </w:tcPr>
          <w:p w14:paraId="6300C87A" w14:textId="77777777" w:rsidR="00A409FD" w:rsidRDefault="00A409FD" w:rsidP="00A409FD">
            <w:pPr>
              <w:pStyle w:val="TableTextLeft"/>
            </w:pPr>
            <w:r>
              <w:t>Eumeralla Formation</w:t>
            </w:r>
          </w:p>
        </w:tc>
        <w:tc>
          <w:tcPr>
            <w:tcW w:w="1843" w:type="dxa"/>
          </w:tcPr>
          <w:p w14:paraId="3017DCE5" w14:textId="77777777" w:rsidR="00A409FD" w:rsidRDefault="00A409FD" w:rsidP="00A409FD">
            <w:pPr>
              <w:pStyle w:val="TableTextLeft"/>
            </w:pPr>
            <w:r>
              <w:t>Crayfish Sub-group; Casterton Formation</w:t>
            </w:r>
          </w:p>
        </w:tc>
        <w:tc>
          <w:tcPr>
            <w:tcW w:w="1701" w:type="dxa"/>
          </w:tcPr>
          <w:p w14:paraId="1E81F83D" w14:textId="77777777" w:rsidR="00A409FD" w:rsidRDefault="00A409FD" w:rsidP="00A409FD">
            <w:pPr>
              <w:pStyle w:val="TableTextLeft"/>
            </w:pPr>
            <w:r>
              <w:t>3 wells targeting tight gas</w:t>
            </w:r>
          </w:p>
        </w:tc>
        <w:tc>
          <w:tcPr>
            <w:tcW w:w="2977" w:type="dxa"/>
          </w:tcPr>
          <w:p w14:paraId="7B1CF4BA" w14:textId="77777777" w:rsidR="00A409FD" w:rsidRDefault="00A409FD" w:rsidP="00A409FD">
            <w:pPr>
              <w:pStyle w:val="TableTextLeft"/>
            </w:pPr>
            <w:r>
              <w:t>Exploration underway for tight gas.</w:t>
            </w:r>
          </w:p>
        </w:tc>
        <w:tc>
          <w:tcPr>
            <w:tcW w:w="3003" w:type="dxa"/>
          </w:tcPr>
          <w:p w14:paraId="20E58918" w14:textId="4ADB594B" w:rsidR="00A409FD" w:rsidRDefault="00C03A7D" w:rsidP="00C03A7D">
            <w:pPr>
              <w:pStyle w:val="TableTextLeft"/>
            </w:pPr>
            <w:r>
              <w:t xml:space="preserve">Goldstein et al. (2012); </w:t>
            </w:r>
            <w:r w:rsidR="00A409FD">
              <w:t>AWT International (2013); Goldie</w:t>
            </w:r>
            <w:r w:rsidR="00644D9C">
              <w:t xml:space="preserve"> </w:t>
            </w:r>
            <w:r w:rsidR="00A409FD">
              <w:t>Divko (201</w:t>
            </w:r>
            <w:r w:rsidR="00644D9C">
              <w:t xml:space="preserve">5); </w:t>
            </w:r>
            <w:r w:rsidR="00A409FD">
              <w:t>GA (2017b)</w:t>
            </w:r>
          </w:p>
        </w:tc>
      </w:tr>
      <w:tr w:rsidR="00A409FD" w14:paraId="0A64F21D"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60938F92" w14:textId="77777777" w:rsidR="00A409FD" w:rsidRDefault="00A409FD" w:rsidP="00A409FD">
            <w:pPr>
              <w:pStyle w:val="TableTextLeft"/>
            </w:pPr>
            <w:r>
              <w:t>Pedirka Basin</w:t>
            </w:r>
          </w:p>
        </w:tc>
        <w:tc>
          <w:tcPr>
            <w:tcW w:w="1134" w:type="dxa"/>
          </w:tcPr>
          <w:p w14:paraId="17F7BCDE" w14:textId="77777777" w:rsidR="00A409FD" w:rsidRDefault="00A409FD" w:rsidP="00A409FD">
            <w:pPr>
              <w:pStyle w:val="TableTextLeft"/>
            </w:pPr>
            <w:r>
              <w:t>NT,SA</w:t>
            </w:r>
          </w:p>
        </w:tc>
        <w:tc>
          <w:tcPr>
            <w:tcW w:w="1842" w:type="dxa"/>
          </w:tcPr>
          <w:p w14:paraId="1615488C" w14:textId="77777777" w:rsidR="00A409FD" w:rsidRDefault="00A409FD" w:rsidP="00A409FD">
            <w:pPr>
              <w:pStyle w:val="TableTextLeft"/>
            </w:pPr>
            <w:r>
              <w:t>Purni Formation</w:t>
            </w:r>
          </w:p>
        </w:tc>
        <w:tc>
          <w:tcPr>
            <w:tcW w:w="1843" w:type="dxa"/>
          </w:tcPr>
          <w:p w14:paraId="498CE9AB" w14:textId="77777777" w:rsidR="00A409FD" w:rsidRDefault="00A409FD" w:rsidP="00A409FD">
            <w:pPr>
              <w:pStyle w:val="TableTextLeft"/>
            </w:pPr>
            <w:r>
              <w:t> Purni Formation</w:t>
            </w:r>
          </w:p>
        </w:tc>
        <w:tc>
          <w:tcPr>
            <w:tcW w:w="1701" w:type="dxa"/>
          </w:tcPr>
          <w:p w14:paraId="3DED118C" w14:textId="77777777" w:rsidR="00A409FD" w:rsidRDefault="00A409FD" w:rsidP="00A409FD">
            <w:pPr>
              <w:pStyle w:val="TableTextLeft"/>
            </w:pPr>
            <w:r>
              <w:t>None</w:t>
            </w:r>
          </w:p>
        </w:tc>
        <w:tc>
          <w:tcPr>
            <w:tcW w:w="2977" w:type="dxa"/>
          </w:tcPr>
          <w:p w14:paraId="4AC70C30" w14:textId="77777777" w:rsidR="00A409FD" w:rsidRDefault="00A409FD" w:rsidP="00A409FD">
            <w:pPr>
              <w:pStyle w:val="TableTextLeft"/>
            </w:pPr>
            <w:r>
              <w:t>No shale/ tight gas exploration activity.</w:t>
            </w:r>
          </w:p>
        </w:tc>
        <w:tc>
          <w:tcPr>
            <w:tcW w:w="3003" w:type="dxa"/>
          </w:tcPr>
          <w:p w14:paraId="512B6F98" w14:textId="07C0AB2F" w:rsidR="00A409FD" w:rsidRDefault="00A409FD" w:rsidP="004F7731">
            <w:pPr>
              <w:pStyle w:val="TableTextLeft"/>
            </w:pPr>
            <w:r>
              <w:t xml:space="preserve">AWT International (2013); Munson (2014); </w:t>
            </w:r>
            <w:r w:rsidR="000E4EFC" w:rsidRPr="000E4EFC">
              <w:t>Scientific Inquiry into Hydraulic Fract</w:t>
            </w:r>
            <w:r w:rsidR="000E4EFC">
              <w:t>uring in the Northern Territory</w:t>
            </w:r>
            <w:r w:rsidR="000E4EFC" w:rsidRPr="000E4EFC">
              <w:t xml:space="preserve"> </w:t>
            </w:r>
            <w:r>
              <w:t>(</w:t>
            </w:r>
            <w:r w:rsidR="004F7731" w:rsidRPr="003E2015">
              <w:t>201</w:t>
            </w:r>
            <w:r w:rsidR="004F7731">
              <w:t>8</w:t>
            </w:r>
            <w:r>
              <w:t>)</w:t>
            </w:r>
          </w:p>
        </w:tc>
      </w:tr>
      <w:tr w:rsidR="00A409FD" w14:paraId="47D22D27"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5DA8F87B" w14:textId="77777777" w:rsidR="00A409FD" w:rsidRDefault="00A409FD" w:rsidP="00A409FD">
            <w:pPr>
              <w:pStyle w:val="TableTextLeft"/>
            </w:pPr>
            <w:r>
              <w:t>South Nicholson Basin</w:t>
            </w:r>
          </w:p>
        </w:tc>
        <w:tc>
          <w:tcPr>
            <w:tcW w:w="1134" w:type="dxa"/>
          </w:tcPr>
          <w:p w14:paraId="36517E7F" w14:textId="77777777" w:rsidR="00A409FD" w:rsidRDefault="00A409FD" w:rsidP="00A409FD">
            <w:pPr>
              <w:pStyle w:val="TableTextLeft"/>
            </w:pPr>
            <w:r>
              <w:t>NT, QLD</w:t>
            </w:r>
          </w:p>
        </w:tc>
        <w:tc>
          <w:tcPr>
            <w:tcW w:w="1842" w:type="dxa"/>
          </w:tcPr>
          <w:p w14:paraId="6F6E929E" w14:textId="77777777" w:rsidR="00A409FD" w:rsidRDefault="00A409FD" w:rsidP="00A409FD">
            <w:pPr>
              <w:pStyle w:val="TableTextLeft"/>
            </w:pPr>
            <w:r>
              <w:t>Constance Sandstone</w:t>
            </w:r>
          </w:p>
        </w:tc>
        <w:tc>
          <w:tcPr>
            <w:tcW w:w="1843" w:type="dxa"/>
          </w:tcPr>
          <w:p w14:paraId="7FFBB859" w14:textId="77777777" w:rsidR="00A409FD" w:rsidRDefault="00A409FD" w:rsidP="00A409FD">
            <w:pPr>
              <w:pStyle w:val="TableTextLeft"/>
            </w:pPr>
            <w:r>
              <w:t>None</w:t>
            </w:r>
          </w:p>
        </w:tc>
        <w:tc>
          <w:tcPr>
            <w:tcW w:w="1701" w:type="dxa"/>
          </w:tcPr>
          <w:p w14:paraId="76DC1F65" w14:textId="77777777" w:rsidR="00A409FD" w:rsidRDefault="00A409FD" w:rsidP="00A409FD">
            <w:pPr>
              <w:pStyle w:val="TableTextLeft"/>
            </w:pPr>
            <w:r>
              <w:t>None</w:t>
            </w:r>
          </w:p>
        </w:tc>
        <w:tc>
          <w:tcPr>
            <w:tcW w:w="2977" w:type="dxa"/>
          </w:tcPr>
          <w:p w14:paraId="75AD69A3" w14:textId="77777777" w:rsidR="00A409FD" w:rsidRDefault="00A409FD" w:rsidP="00A409FD">
            <w:pPr>
              <w:pStyle w:val="TableTextLeft"/>
            </w:pPr>
            <w:r>
              <w:t>No shale/ tight gas exploration activity</w:t>
            </w:r>
          </w:p>
        </w:tc>
        <w:tc>
          <w:tcPr>
            <w:tcW w:w="3003" w:type="dxa"/>
          </w:tcPr>
          <w:p w14:paraId="18BA8D7A" w14:textId="77777777" w:rsidR="00A409FD" w:rsidRDefault="00A409FD" w:rsidP="00A409FD">
            <w:pPr>
              <w:pStyle w:val="TableTextLeft"/>
            </w:pPr>
            <w:r>
              <w:t>Jell (2013); Munson (2014)</w:t>
            </w:r>
          </w:p>
        </w:tc>
      </w:tr>
      <w:tr w:rsidR="00A409FD" w14:paraId="4FB28958"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651B14F8" w14:textId="77777777" w:rsidR="00A409FD" w:rsidRDefault="00A409FD" w:rsidP="00A409FD">
            <w:pPr>
              <w:pStyle w:val="TableTextLeft"/>
            </w:pPr>
            <w:r>
              <w:t>Surat Basin</w:t>
            </w:r>
          </w:p>
        </w:tc>
        <w:tc>
          <w:tcPr>
            <w:tcW w:w="1134" w:type="dxa"/>
          </w:tcPr>
          <w:p w14:paraId="5B006C32" w14:textId="77777777" w:rsidR="00A409FD" w:rsidRDefault="00A409FD" w:rsidP="00A409FD">
            <w:pPr>
              <w:pStyle w:val="TableTextLeft"/>
            </w:pPr>
            <w:r>
              <w:t>NSW, QLD</w:t>
            </w:r>
          </w:p>
        </w:tc>
        <w:tc>
          <w:tcPr>
            <w:tcW w:w="1842" w:type="dxa"/>
          </w:tcPr>
          <w:p w14:paraId="3A43AEE7" w14:textId="77777777" w:rsidR="00A409FD" w:rsidRDefault="00A409FD" w:rsidP="00A409FD">
            <w:pPr>
              <w:pStyle w:val="TableTextLeft"/>
            </w:pPr>
            <w:r>
              <w:t>None</w:t>
            </w:r>
          </w:p>
        </w:tc>
        <w:tc>
          <w:tcPr>
            <w:tcW w:w="1843" w:type="dxa"/>
          </w:tcPr>
          <w:p w14:paraId="5199AD9B" w14:textId="77777777" w:rsidR="00A409FD" w:rsidRDefault="00A409FD" w:rsidP="00A409FD">
            <w:pPr>
              <w:pStyle w:val="TableTextLeft"/>
            </w:pPr>
            <w:r>
              <w:t>Walloon Coal Measures</w:t>
            </w:r>
          </w:p>
        </w:tc>
        <w:tc>
          <w:tcPr>
            <w:tcW w:w="1701" w:type="dxa"/>
          </w:tcPr>
          <w:p w14:paraId="0FA5FD69" w14:textId="77777777" w:rsidR="00A409FD" w:rsidRDefault="00A409FD" w:rsidP="00A409FD">
            <w:pPr>
              <w:pStyle w:val="TableTextLeft"/>
            </w:pPr>
            <w:r>
              <w:t>None</w:t>
            </w:r>
          </w:p>
        </w:tc>
        <w:tc>
          <w:tcPr>
            <w:tcW w:w="2977" w:type="dxa"/>
          </w:tcPr>
          <w:p w14:paraId="6DF76069" w14:textId="77777777" w:rsidR="00A409FD" w:rsidRDefault="00A409FD" w:rsidP="00A409FD">
            <w:pPr>
              <w:pStyle w:val="TableTextLeft"/>
            </w:pPr>
            <w:r>
              <w:t>No shale/ tight gas exploration activity. (Note some wells targeting tight gas in the underlying Bowen Basin have been incorrectly reported to be associated with the Surat Basin).</w:t>
            </w:r>
          </w:p>
        </w:tc>
        <w:tc>
          <w:tcPr>
            <w:tcW w:w="3003" w:type="dxa"/>
          </w:tcPr>
          <w:p w14:paraId="463A8FFC" w14:textId="5BFD6172" w:rsidR="00A409FD" w:rsidRDefault="00C03A7D" w:rsidP="00C03A7D">
            <w:pPr>
              <w:pStyle w:val="TableTextLeft"/>
            </w:pPr>
            <w:r>
              <w:t xml:space="preserve">Jell (2013): </w:t>
            </w:r>
            <w:r w:rsidR="00A409FD">
              <w:t xml:space="preserve">DNMR (2017); </w:t>
            </w:r>
          </w:p>
        </w:tc>
      </w:tr>
      <w:tr w:rsidR="00A409FD" w14:paraId="747C998F"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0F4BC3CC" w14:textId="77777777" w:rsidR="00A409FD" w:rsidRDefault="00A409FD" w:rsidP="00A409FD">
            <w:pPr>
              <w:pStyle w:val="TableTextLeft"/>
            </w:pPr>
            <w:r>
              <w:lastRenderedPageBreak/>
              <w:t>Sydney Basin</w:t>
            </w:r>
          </w:p>
        </w:tc>
        <w:tc>
          <w:tcPr>
            <w:tcW w:w="1134" w:type="dxa"/>
          </w:tcPr>
          <w:p w14:paraId="68A31FE1" w14:textId="325EBBCB" w:rsidR="00A409FD" w:rsidRDefault="00DC0115" w:rsidP="00DC0115">
            <w:pPr>
              <w:pStyle w:val="TableTextLeft"/>
            </w:pPr>
            <w:r>
              <w:t>NSW</w:t>
            </w:r>
          </w:p>
        </w:tc>
        <w:tc>
          <w:tcPr>
            <w:tcW w:w="1842" w:type="dxa"/>
          </w:tcPr>
          <w:p w14:paraId="550AF279" w14:textId="77777777" w:rsidR="00A409FD" w:rsidRDefault="00A409FD" w:rsidP="00A409FD">
            <w:pPr>
              <w:pStyle w:val="TableTextLeft"/>
            </w:pPr>
            <w:r>
              <w:t>Narrabeen Group; Illawarra Coal Measures; Shoalhaven Group</w:t>
            </w:r>
          </w:p>
        </w:tc>
        <w:tc>
          <w:tcPr>
            <w:tcW w:w="1843" w:type="dxa"/>
          </w:tcPr>
          <w:p w14:paraId="2004EFD7" w14:textId="77777777" w:rsidR="00A409FD" w:rsidRDefault="00A409FD" w:rsidP="00A409FD">
            <w:pPr>
              <w:pStyle w:val="TableTextLeft"/>
            </w:pPr>
            <w:r>
              <w:t>None</w:t>
            </w:r>
          </w:p>
        </w:tc>
        <w:tc>
          <w:tcPr>
            <w:tcW w:w="1701" w:type="dxa"/>
          </w:tcPr>
          <w:p w14:paraId="7871C373" w14:textId="77777777" w:rsidR="00A409FD" w:rsidRDefault="00A409FD" w:rsidP="00A409FD">
            <w:pPr>
              <w:pStyle w:val="TableTextLeft"/>
            </w:pPr>
            <w:r>
              <w:t>None</w:t>
            </w:r>
          </w:p>
        </w:tc>
        <w:tc>
          <w:tcPr>
            <w:tcW w:w="2977" w:type="dxa"/>
          </w:tcPr>
          <w:p w14:paraId="3F640365" w14:textId="77777777" w:rsidR="00A409FD" w:rsidRDefault="00A409FD" w:rsidP="00A409FD">
            <w:pPr>
              <w:pStyle w:val="TableTextLeft"/>
            </w:pPr>
            <w:r>
              <w:t>No shale/ tight gas exploration activity.</w:t>
            </w:r>
          </w:p>
        </w:tc>
        <w:tc>
          <w:tcPr>
            <w:tcW w:w="3003" w:type="dxa"/>
          </w:tcPr>
          <w:p w14:paraId="7AE313D4" w14:textId="77777777" w:rsidR="00A409FD" w:rsidRDefault="00A409FD" w:rsidP="00A409FD">
            <w:pPr>
              <w:pStyle w:val="TableTextLeft"/>
            </w:pPr>
            <w:r>
              <w:t>AGL (2017); O’Neill and Danis (2013); Ward and Kelly (2013)</w:t>
            </w:r>
          </w:p>
        </w:tc>
      </w:tr>
      <w:tr w:rsidR="00A409FD" w14:paraId="1A59D30C"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6B1BF237" w14:textId="77777777" w:rsidR="00A409FD" w:rsidRDefault="00A409FD" w:rsidP="00A409FD">
            <w:pPr>
              <w:pStyle w:val="TableTextLeft"/>
            </w:pPr>
            <w:r>
              <w:t>Tasmania Basin</w:t>
            </w:r>
          </w:p>
        </w:tc>
        <w:tc>
          <w:tcPr>
            <w:tcW w:w="1134" w:type="dxa"/>
          </w:tcPr>
          <w:p w14:paraId="2A281E25" w14:textId="77777777" w:rsidR="00A409FD" w:rsidRDefault="00A409FD" w:rsidP="00A409FD">
            <w:pPr>
              <w:pStyle w:val="TableTextLeft"/>
            </w:pPr>
            <w:r>
              <w:t>TAS</w:t>
            </w:r>
          </w:p>
        </w:tc>
        <w:tc>
          <w:tcPr>
            <w:tcW w:w="1842" w:type="dxa"/>
          </w:tcPr>
          <w:p w14:paraId="60193626" w14:textId="797E5B25" w:rsidR="00A409FD" w:rsidRDefault="00A409FD" w:rsidP="00A409FD">
            <w:pPr>
              <w:pStyle w:val="TableTextLeft"/>
            </w:pPr>
            <w:r>
              <w:t>Woody Island Formation</w:t>
            </w:r>
          </w:p>
        </w:tc>
        <w:tc>
          <w:tcPr>
            <w:tcW w:w="1843" w:type="dxa"/>
          </w:tcPr>
          <w:p w14:paraId="423F3F4C" w14:textId="77777777" w:rsidR="00A409FD" w:rsidRDefault="00A409FD" w:rsidP="00A409FD">
            <w:pPr>
              <w:pStyle w:val="TableTextLeft"/>
            </w:pPr>
            <w:r>
              <w:t>Woody Island Formation</w:t>
            </w:r>
          </w:p>
        </w:tc>
        <w:tc>
          <w:tcPr>
            <w:tcW w:w="1701" w:type="dxa"/>
          </w:tcPr>
          <w:p w14:paraId="0F6C2B3E" w14:textId="77777777" w:rsidR="00A409FD" w:rsidRDefault="00A409FD" w:rsidP="00A409FD">
            <w:pPr>
              <w:pStyle w:val="TableTextLeft"/>
            </w:pPr>
            <w:r>
              <w:t>None</w:t>
            </w:r>
          </w:p>
        </w:tc>
        <w:tc>
          <w:tcPr>
            <w:tcW w:w="2977" w:type="dxa"/>
          </w:tcPr>
          <w:p w14:paraId="43C39AD4" w14:textId="77777777" w:rsidR="00A409FD" w:rsidRDefault="00A409FD" w:rsidP="00A409FD">
            <w:pPr>
              <w:pStyle w:val="TableTextLeft"/>
            </w:pPr>
            <w:r>
              <w:t>No shale/ tight gas exploration activity.</w:t>
            </w:r>
          </w:p>
        </w:tc>
        <w:tc>
          <w:tcPr>
            <w:tcW w:w="3003" w:type="dxa"/>
          </w:tcPr>
          <w:p w14:paraId="42177E6C" w14:textId="77777777" w:rsidR="00A409FD" w:rsidRDefault="00A409FD" w:rsidP="00A409FD">
            <w:pPr>
              <w:pStyle w:val="TableTextLeft"/>
            </w:pPr>
            <w:r>
              <w:t>Bacon et al. (2000)</w:t>
            </w:r>
          </w:p>
        </w:tc>
      </w:tr>
      <w:tr w:rsidR="00A409FD" w14:paraId="3DE627F2" w14:textId="77777777" w:rsidTr="00A409FD">
        <w:trPr>
          <w:cnfStyle w:val="000000100000" w:firstRow="0" w:lastRow="0" w:firstColumn="0" w:lastColumn="0" w:oddVBand="0" w:evenVBand="0" w:oddHBand="1" w:evenHBand="0" w:firstRowFirstColumn="0" w:firstRowLastColumn="0" w:lastRowFirstColumn="0" w:lastRowLastColumn="0"/>
        </w:trPr>
        <w:tc>
          <w:tcPr>
            <w:tcW w:w="1561" w:type="dxa"/>
          </w:tcPr>
          <w:p w14:paraId="030236B9" w14:textId="77777777" w:rsidR="00A409FD" w:rsidRDefault="00A409FD" w:rsidP="00A409FD">
            <w:pPr>
              <w:pStyle w:val="TableTextLeft"/>
            </w:pPr>
            <w:r>
              <w:t>Warburton Basin</w:t>
            </w:r>
          </w:p>
        </w:tc>
        <w:tc>
          <w:tcPr>
            <w:tcW w:w="1134" w:type="dxa"/>
          </w:tcPr>
          <w:p w14:paraId="06FA1600" w14:textId="77777777" w:rsidR="00A409FD" w:rsidRDefault="00A409FD" w:rsidP="00A409FD">
            <w:pPr>
              <w:pStyle w:val="TableTextLeft"/>
            </w:pPr>
            <w:r>
              <w:t>NT, SA, QLD</w:t>
            </w:r>
          </w:p>
        </w:tc>
        <w:tc>
          <w:tcPr>
            <w:tcW w:w="1842" w:type="dxa"/>
          </w:tcPr>
          <w:p w14:paraId="432AB9B8" w14:textId="77777777" w:rsidR="00A409FD" w:rsidRDefault="00A409FD" w:rsidP="00A409FD">
            <w:pPr>
              <w:pStyle w:val="TableTextLeft"/>
            </w:pPr>
            <w:r>
              <w:t>Pando Formation; Dullingari Group; Kalladeina Formation</w:t>
            </w:r>
          </w:p>
        </w:tc>
        <w:tc>
          <w:tcPr>
            <w:tcW w:w="1843" w:type="dxa"/>
          </w:tcPr>
          <w:p w14:paraId="5923AFC2" w14:textId="77777777" w:rsidR="00A409FD" w:rsidRDefault="00A409FD" w:rsidP="00A409FD">
            <w:pPr>
              <w:pStyle w:val="TableTextLeft"/>
            </w:pPr>
            <w:r>
              <w:t>Dullingari Group</w:t>
            </w:r>
          </w:p>
        </w:tc>
        <w:tc>
          <w:tcPr>
            <w:tcW w:w="1701" w:type="dxa"/>
          </w:tcPr>
          <w:p w14:paraId="491A93EC" w14:textId="77777777" w:rsidR="00A409FD" w:rsidRDefault="00A409FD" w:rsidP="00A409FD">
            <w:pPr>
              <w:pStyle w:val="TableTextLeft"/>
            </w:pPr>
            <w:r>
              <w:t>None</w:t>
            </w:r>
          </w:p>
        </w:tc>
        <w:tc>
          <w:tcPr>
            <w:tcW w:w="2977" w:type="dxa"/>
          </w:tcPr>
          <w:p w14:paraId="1BA99489" w14:textId="77777777" w:rsidR="00A409FD" w:rsidRDefault="00A409FD" w:rsidP="00A409FD">
            <w:pPr>
              <w:pStyle w:val="TableTextLeft"/>
            </w:pPr>
            <w:r>
              <w:t>No shale/ tight gas exploration activity.</w:t>
            </w:r>
          </w:p>
        </w:tc>
        <w:tc>
          <w:tcPr>
            <w:tcW w:w="3003" w:type="dxa"/>
          </w:tcPr>
          <w:p w14:paraId="53B41067" w14:textId="77777777" w:rsidR="00A409FD" w:rsidRDefault="00A409FD" w:rsidP="00A409FD">
            <w:pPr>
              <w:pStyle w:val="TableTextLeft"/>
            </w:pPr>
            <w:r>
              <w:t>Goldstein et al. (2012); Jell (2013); Munson (2014)</w:t>
            </w:r>
          </w:p>
        </w:tc>
      </w:tr>
      <w:tr w:rsidR="00A409FD" w14:paraId="6E2252CE" w14:textId="77777777" w:rsidTr="00A409FD">
        <w:trPr>
          <w:cnfStyle w:val="000000010000" w:firstRow="0" w:lastRow="0" w:firstColumn="0" w:lastColumn="0" w:oddVBand="0" w:evenVBand="0" w:oddHBand="0" w:evenHBand="1" w:firstRowFirstColumn="0" w:firstRowLastColumn="0" w:lastRowFirstColumn="0" w:lastRowLastColumn="0"/>
        </w:trPr>
        <w:tc>
          <w:tcPr>
            <w:tcW w:w="1561" w:type="dxa"/>
          </w:tcPr>
          <w:p w14:paraId="4197314D" w14:textId="77777777" w:rsidR="00A409FD" w:rsidRDefault="00A409FD" w:rsidP="00A409FD">
            <w:pPr>
              <w:pStyle w:val="TableTextLeft"/>
            </w:pPr>
            <w:r>
              <w:t>Wiso Basin</w:t>
            </w:r>
          </w:p>
        </w:tc>
        <w:tc>
          <w:tcPr>
            <w:tcW w:w="1134" w:type="dxa"/>
          </w:tcPr>
          <w:p w14:paraId="604B2E43" w14:textId="77777777" w:rsidR="00A409FD" w:rsidRDefault="00A409FD" w:rsidP="00A409FD">
            <w:pPr>
              <w:pStyle w:val="TableTextLeft"/>
            </w:pPr>
            <w:r>
              <w:t>NT</w:t>
            </w:r>
          </w:p>
        </w:tc>
        <w:tc>
          <w:tcPr>
            <w:tcW w:w="1842" w:type="dxa"/>
          </w:tcPr>
          <w:p w14:paraId="3F3AB1A2" w14:textId="77777777" w:rsidR="00A409FD" w:rsidRDefault="00A409FD" w:rsidP="00A409FD">
            <w:pPr>
              <w:pStyle w:val="TableTextLeft"/>
            </w:pPr>
            <w:r>
              <w:t>Montejinni Limestone</w:t>
            </w:r>
          </w:p>
        </w:tc>
        <w:tc>
          <w:tcPr>
            <w:tcW w:w="1843" w:type="dxa"/>
          </w:tcPr>
          <w:p w14:paraId="49BD5FE7" w14:textId="77777777" w:rsidR="00A409FD" w:rsidRDefault="00A409FD" w:rsidP="00A409FD">
            <w:pPr>
              <w:pStyle w:val="TableTextLeft"/>
            </w:pPr>
            <w:r>
              <w:t>Montejinni Limestone</w:t>
            </w:r>
          </w:p>
        </w:tc>
        <w:tc>
          <w:tcPr>
            <w:tcW w:w="1701" w:type="dxa"/>
          </w:tcPr>
          <w:p w14:paraId="011508C6" w14:textId="77777777" w:rsidR="00A409FD" w:rsidRDefault="00A409FD" w:rsidP="00A409FD">
            <w:pPr>
              <w:pStyle w:val="TableTextLeft"/>
            </w:pPr>
            <w:r>
              <w:t>None</w:t>
            </w:r>
          </w:p>
        </w:tc>
        <w:tc>
          <w:tcPr>
            <w:tcW w:w="2977" w:type="dxa"/>
          </w:tcPr>
          <w:p w14:paraId="1EFE3DF8" w14:textId="77777777" w:rsidR="00A409FD" w:rsidRDefault="00A409FD" w:rsidP="00A409FD">
            <w:pPr>
              <w:pStyle w:val="TableTextLeft"/>
            </w:pPr>
            <w:r>
              <w:t>No shale/ tight gas exploration activity.</w:t>
            </w:r>
          </w:p>
        </w:tc>
        <w:tc>
          <w:tcPr>
            <w:tcW w:w="3003" w:type="dxa"/>
          </w:tcPr>
          <w:p w14:paraId="1A9C02C0" w14:textId="0573E3B3" w:rsidR="00A409FD" w:rsidRDefault="00A409FD" w:rsidP="004F7731">
            <w:pPr>
              <w:pStyle w:val="TableTextLeft"/>
            </w:pPr>
            <w:r>
              <w:t xml:space="preserve">Central Petroleum (2011); Munson (2014); </w:t>
            </w:r>
            <w:r w:rsidR="000E4EFC" w:rsidRPr="000E4EFC">
              <w:t>Scientific Inquiry into Hydraulic Fract</w:t>
            </w:r>
            <w:r w:rsidR="000E4EFC">
              <w:t>uring in the Northern Territory</w:t>
            </w:r>
            <w:r w:rsidR="000E4EFC" w:rsidRPr="000E4EFC">
              <w:t xml:space="preserve"> </w:t>
            </w:r>
            <w:r>
              <w:t>(</w:t>
            </w:r>
            <w:r w:rsidR="004F7731" w:rsidRPr="003E2015">
              <w:t>201</w:t>
            </w:r>
            <w:r w:rsidR="004F7731">
              <w:t>8</w:t>
            </w:r>
            <w:r>
              <w:t>)</w:t>
            </w:r>
          </w:p>
        </w:tc>
      </w:tr>
    </w:tbl>
    <w:p w14:paraId="578EB0CF" w14:textId="77777777" w:rsidR="00746540" w:rsidRDefault="00746540" w:rsidP="00A409FD">
      <w:pPr>
        <w:pStyle w:val="BodyText"/>
      </w:pPr>
    </w:p>
    <w:p w14:paraId="32C9B0C5" w14:textId="77777777" w:rsidR="00746540" w:rsidRDefault="00746540" w:rsidP="00147CAE">
      <w:pPr>
        <w:pStyle w:val="BodyText"/>
      </w:pPr>
      <w:r>
        <w:br w:type="page"/>
      </w:r>
    </w:p>
    <w:p w14:paraId="637B0B07" w14:textId="60D47C1F" w:rsidR="00746540" w:rsidRPr="00AB6721" w:rsidRDefault="00746540" w:rsidP="009F3E8F">
      <w:pPr>
        <w:pStyle w:val="Caption"/>
      </w:pPr>
      <w:bookmarkStart w:id="22" w:name="_Toc508972149"/>
      <w:r>
        <w:lastRenderedPageBreak/>
        <w:t xml:space="preserve">Table </w:t>
      </w:r>
      <w:r w:rsidR="008079F1">
        <w:fldChar w:fldCharType="begin"/>
      </w:r>
      <w:r w:rsidR="008079F1">
        <w:instrText xml:space="preserve"> STYLEREF 9 \s </w:instrText>
      </w:r>
      <w:r w:rsidR="008079F1">
        <w:fldChar w:fldCharType="separate"/>
      </w:r>
      <w:r w:rsidR="00640CCB">
        <w:rPr>
          <w:noProof/>
        </w:rPr>
        <w:t>A</w:t>
      </w:r>
      <w:r w:rsidR="008079F1">
        <w:rPr>
          <w:noProof/>
        </w:rPr>
        <w:fldChar w:fldCharType="end"/>
      </w:r>
      <w:r>
        <w:t>.</w:t>
      </w:r>
      <w:r w:rsidR="008079F1">
        <w:fldChar w:fldCharType="begin"/>
      </w:r>
      <w:r w:rsidR="008079F1">
        <w:instrText xml:space="preserve"> SEQ Apx_Table \* ARABIC \</w:instrText>
      </w:r>
      <w:r w:rsidR="008079F1">
        <w:instrText xml:space="preserve">s 9 </w:instrText>
      </w:r>
      <w:r w:rsidR="008079F1">
        <w:fldChar w:fldCharType="separate"/>
      </w:r>
      <w:r w:rsidR="00640CCB">
        <w:rPr>
          <w:noProof/>
        </w:rPr>
        <w:t>3</w:t>
      </w:r>
      <w:r w:rsidR="008079F1">
        <w:rPr>
          <w:noProof/>
        </w:rPr>
        <w:fldChar w:fldCharType="end"/>
      </w:r>
      <w:r>
        <w:t xml:space="preserve"> </w:t>
      </w:r>
      <w:r w:rsidRPr="00AB6721">
        <w:t xml:space="preserve">Best available </w:t>
      </w:r>
      <w:r>
        <w:t>estimate</w:t>
      </w:r>
      <w:r w:rsidRPr="00AB6721">
        <w:t xml:space="preserve"> of shale and tight gas conting</w:t>
      </w:r>
      <w:r>
        <w:t xml:space="preserve">ent and </w:t>
      </w:r>
      <w:r w:rsidR="00AB7CF8">
        <w:t xml:space="preserve">potentially recoverable </w:t>
      </w:r>
      <w:r>
        <w:t>prospective resources (T</w:t>
      </w:r>
      <w:r w:rsidRPr="00AB6721">
        <w:t>cf) of eastern and</w:t>
      </w:r>
      <w:r w:rsidR="006B3F2A">
        <w:t xml:space="preserve"> </w:t>
      </w:r>
      <w:r>
        <w:t xml:space="preserve">northern </w:t>
      </w:r>
      <w:r w:rsidRPr="00AB6721">
        <w:t>Australian onshore basin.</w:t>
      </w:r>
      <w:r w:rsidR="008237FC">
        <w:t xml:space="preserve">  </w:t>
      </w:r>
      <w:r w:rsidR="008237FC" w:rsidRPr="008237FC">
        <w:t>Th</w:t>
      </w:r>
      <w:r w:rsidR="008237FC">
        <w:t>e</w:t>
      </w:r>
      <w:r w:rsidR="008237FC" w:rsidRPr="008237FC">
        <w:t xml:space="preserve"> data </w:t>
      </w:r>
      <w:r w:rsidR="008237FC">
        <w:t xml:space="preserve">presented here </w:t>
      </w:r>
      <w:r w:rsidR="00433420">
        <w:t xml:space="preserve">underpinned </w:t>
      </w:r>
      <w:r w:rsidR="008237FC" w:rsidRPr="008237FC">
        <w:t xml:space="preserve">the decision on which basins to </w:t>
      </w:r>
      <w:r w:rsidR="008237FC">
        <w:t>include in the basin short list. Please refer to the source references for further details on assessment area, methodology and associated uncertainties.</w:t>
      </w:r>
      <w:bookmarkEnd w:id="22"/>
      <w:r w:rsidR="008237FC">
        <w:t xml:space="preserve"> </w:t>
      </w:r>
    </w:p>
    <w:tbl>
      <w:tblPr>
        <w:tblStyle w:val="TableBAHeaderRow"/>
        <w:tblW w:w="13750" w:type="dxa"/>
        <w:tblLayout w:type="fixed"/>
        <w:tblLook w:val="04A0" w:firstRow="1" w:lastRow="0" w:firstColumn="1" w:lastColumn="0" w:noHBand="0" w:noVBand="1"/>
      </w:tblPr>
      <w:tblGrid>
        <w:gridCol w:w="1418"/>
        <w:gridCol w:w="992"/>
        <w:gridCol w:w="1701"/>
        <w:gridCol w:w="1052"/>
        <w:gridCol w:w="633"/>
        <w:gridCol w:w="755"/>
        <w:gridCol w:w="633"/>
        <w:gridCol w:w="633"/>
        <w:gridCol w:w="633"/>
        <w:gridCol w:w="594"/>
        <w:gridCol w:w="1162"/>
        <w:gridCol w:w="1843"/>
        <w:gridCol w:w="1701"/>
      </w:tblGrid>
      <w:tr w:rsidR="00B02788" w:rsidRPr="00D27DD2" w14:paraId="58060B9F" w14:textId="77777777" w:rsidTr="004B10C9">
        <w:trPr>
          <w:cnfStyle w:val="100000000000" w:firstRow="1" w:lastRow="0" w:firstColumn="0" w:lastColumn="0" w:oddVBand="0" w:evenVBand="0" w:oddHBand="0" w:evenHBand="0" w:firstRowFirstColumn="0" w:firstRowLastColumn="0" w:lastRowFirstColumn="0" w:lastRowLastColumn="0"/>
          <w:trHeight w:val="315"/>
          <w:tblHeader/>
        </w:trPr>
        <w:tc>
          <w:tcPr>
            <w:tcW w:w="1418" w:type="dxa"/>
            <w:vMerge w:val="restart"/>
            <w:hideMark/>
          </w:tcPr>
          <w:p w14:paraId="0262FB6A" w14:textId="77777777" w:rsidR="00B02788" w:rsidRPr="00D27DD2" w:rsidRDefault="00B02788" w:rsidP="00C21BAD">
            <w:pPr>
              <w:pStyle w:val="TableTextLeft"/>
            </w:pPr>
            <w:r w:rsidRPr="00D27DD2">
              <w:t>Basin</w:t>
            </w:r>
          </w:p>
        </w:tc>
        <w:tc>
          <w:tcPr>
            <w:tcW w:w="992" w:type="dxa"/>
            <w:vMerge w:val="restart"/>
            <w:hideMark/>
          </w:tcPr>
          <w:p w14:paraId="2A53CC41" w14:textId="5417BF7E" w:rsidR="00B02788" w:rsidRPr="00D27DD2" w:rsidRDefault="00B02788" w:rsidP="00C21BAD">
            <w:pPr>
              <w:pStyle w:val="TableTextLeft"/>
            </w:pPr>
            <w:r w:rsidRPr="00D27DD2">
              <w:t>State</w:t>
            </w:r>
            <w:r>
              <w:t>/ Territory</w:t>
            </w:r>
          </w:p>
        </w:tc>
        <w:tc>
          <w:tcPr>
            <w:tcW w:w="1701" w:type="dxa"/>
            <w:vMerge w:val="restart"/>
            <w:hideMark/>
          </w:tcPr>
          <w:p w14:paraId="6BCF9CAD" w14:textId="77777777" w:rsidR="00B02788" w:rsidRPr="00D27DD2" w:rsidRDefault="00B02788" w:rsidP="00C21BAD">
            <w:pPr>
              <w:pStyle w:val="TableTextLeft"/>
            </w:pPr>
            <w:r w:rsidRPr="00D27DD2">
              <w:t>A</w:t>
            </w:r>
            <w:r>
              <w:t>ssessment a</w:t>
            </w:r>
            <w:r w:rsidRPr="00D27DD2">
              <w:t>rea</w:t>
            </w:r>
          </w:p>
        </w:tc>
        <w:tc>
          <w:tcPr>
            <w:tcW w:w="1052" w:type="dxa"/>
            <w:vMerge w:val="restart"/>
            <w:hideMark/>
          </w:tcPr>
          <w:p w14:paraId="16BA7922" w14:textId="77777777" w:rsidR="00B02788" w:rsidRPr="00D27DD2" w:rsidRDefault="00B02788" w:rsidP="00C21BAD">
            <w:pPr>
              <w:pStyle w:val="TableTextLeft"/>
            </w:pPr>
            <w:r w:rsidRPr="00D27DD2">
              <w:t>Operator</w:t>
            </w:r>
          </w:p>
        </w:tc>
        <w:tc>
          <w:tcPr>
            <w:tcW w:w="2021" w:type="dxa"/>
            <w:gridSpan w:val="3"/>
            <w:hideMark/>
          </w:tcPr>
          <w:p w14:paraId="0AC5D091" w14:textId="77777777" w:rsidR="00B02788" w:rsidRPr="00D27DD2" w:rsidRDefault="00B02788" w:rsidP="00C21BAD">
            <w:pPr>
              <w:pStyle w:val="TableTextLeft"/>
            </w:pPr>
            <w:r>
              <w:t>Contingent r</w:t>
            </w:r>
            <w:r w:rsidRPr="00D27DD2">
              <w:t>esources</w:t>
            </w:r>
            <w:r>
              <w:t xml:space="preserve"> (Tcf)</w:t>
            </w:r>
          </w:p>
        </w:tc>
        <w:tc>
          <w:tcPr>
            <w:tcW w:w="1860" w:type="dxa"/>
            <w:gridSpan w:val="3"/>
            <w:hideMark/>
          </w:tcPr>
          <w:p w14:paraId="61DEFB87" w14:textId="52AA912B" w:rsidR="00B02788" w:rsidRPr="00D27DD2" w:rsidRDefault="00B02788" w:rsidP="00C21BAD">
            <w:pPr>
              <w:pStyle w:val="TableTextLeft"/>
            </w:pPr>
            <w:r>
              <w:t>Potentially recoverable prospective r</w:t>
            </w:r>
            <w:r w:rsidRPr="00D27DD2">
              <w:t>esources</w:t>
            </w:r>
            <w:r>
              <w:t xml:space="preserve"> (Tcf)</w:t>
            </w:r>
          </w:p>
        </w:tc>
        <w:tc>
          <w:tcPr>
            <w:tcW w:w="1162" w:type="dxa"/>
            <w:vMerge w:val="restart"/>
          </w:tcPr>
          <w:p w14:paraId="4264545E" w14:textId="77777777" w:rsidR="00B02788" w:rsidRPr="00D27DD2" w:rsidRDefault="00B02788" w:rsidP="00C21BAD">
            <w:pPr>
              <w:pStyle w:val="TableTextLeft"/>
            </w:pPr>
            <w:r>
              <w:t>Play type</w:t>
            </w:r>
          </w:p>
        </w:tc>
        <w:tc>
          <w:tcPr>
            <w:tcW w:w="1843" w:type="dxa"/>
            <w:vMerge w:val="restart"/>
            <w:hideMark/>
          </w:tcPr>
          <w:p w14:paraId="1E056A53" w14:textId="77777777" w:rsidR="00B02788" w:rsidRPr="00D27DD2" w:rsidRDefault="00B02788" w:rsidP="00C21BAD">
            <w:pPr>
              <w:pStyle w:val="TableTextLeft"/>
            </w:pPr>
            <w:r w:rsidRPr="00D27DD2">
              <w:t>Reservoir</w:t>
            </w:r>
          </w:p>
        </w:tc>
        <w:tc>
          <w:tcPr>
            <w:tcW w:w="1701" w:type="dxa"/>
            <w:vMerge w:val="restart"/>
          </w:tcPr>
          <w:p w14:paraId="50CCB344" w14:textId="34C75B9B" w:rsidR="00B02788" w:rsidRPr="00D27DD2" w:rsidRDefault="00B02788" w:rsidP="00C21BAD">
            <w:pPr>
              <w:pStyle w:val="TableTextLeft"/>
            </w:pPr>
            <w:r>
              <w:t>Source</w:t>
            </w:r>
          </w:p>
        </w:tc>
      </w:tr>
      <w:tr w:rsidR="00B02788" w:rsidRPr="00D27DD2" w14:paraId="7D3F9BA4" w14:textId="77777777" w:rsidTr="004B10C9">
        <w:trPr>
          <w:cnfStyle w:val="000000100000" w:firstRow="0" w:lastRow="0" w:firstColumn="0" w:lastColumn="0" w:oddVBand="0" w:evenVBand="0" w:oddHBand="1" w:evenHBand="0" w:firstRowFirstColumn="0" w:firstRowLastColumn="0" w:lastRowFirstColumn="0" w:lastRowLastColumn="0"/>
          <w:trHeight w:val="315"/>
        </w:trPr>
        <w:tc>
          <w:tcPr>
            <w:tcW w:w="1418" w:type="dxa"/>
            <w:vMerge/>
            <w:hideMark/>
          </w:tcPr>
          <w:p w14:paraId="7AF8BD62" w14:textId="77777777" w:rsidR="00B02788" w:rsidRPr="00D27DD2" w:rsidRDefault="00B02788" w:rsidP="00C21BAD">
            <w:pPr>
              <w:pStyle w:val="TableTextLeft"/>
            </w:pPr>
          </w:p>
        </w:tc>
        <w:tc>
          <w:tcPr>
            <w:tcW w:w="992" w:type="dxa"/>
            <w:vMerge/>
            <w:hideMark/>
          </w:tcPr>
          <w:p w14:paraId="338644A6" w14:textId="77777777" w:rsidR="00B02788" w:rsidRPr="00D27DD2" w:rsidRDefault="00B02788" w:rsidP="00C21BAD">
            <w:pPr>
              <w:pStyle w:val="TableTextLeft"/>
            </w:pPr>
          </w:p>
        </w:tc>
        <w:tc>
          <w:tcPr>
            <w:tcW w:w="1701" w:type="dxa"/>
            <w:vMerge/>
            <w:hideMark/>
          </w:tcPr>
          <w:p w14:paraId="41046B4C" w14:textId="77777777" w:rsidR="00B02788" w:rsidRPr="00D27DD2" w:rsidRDefault="00B02788" w:rsidP="00C21BAD">
            <w:pPr>
              <w:pStyle w:val="TableTextLeft"/>
            </w:pPr>
          </w:p>
        </w:tc>
        <w:tc>
          <w:tcPr>
            <w:tcW w:w="1052" w:type="dxa"/>
            <w:vMerge/>
            <w:hideMark/>
          </w:tcPr>
          <w:p w14:paraId="61951807" w14:textId="77777777" w:rsidR="00B02788" w:rsidRPr="00D27DD2" w:rsidRDefault="00B02788" w:rsidP="00C21BAD">
            <w:pPr>
              <w:pStyle w:val="TableTextLeft"/>
            </w:pPr>
          </w:p>
        </w:tc>
        <w:tc>
          <w:tcPr>
            <w:tcW w:w="633" w:type="dxa"/>
            <w:hideMark/>
          </w:tcPr>
          <w:p w14:paraId="2FC7A115" w14:textId="77777777" w:rsidR="00B02788" w:rsidRPr="00E8799B" w:rsidRDefault="00B02788" w:rsidP="00C21BAD">
            <w:pPr>
              <w:pStyle w:val="TableTextCentred"/>
            </w:pPr>
            <w:r w:rsidRPr="00E8799B">
              <w:t>1C</w:t>
            </w:r>
          </w:p>
        </w:tc>
        <w:tc>
          <w:tcPr>
            <w:tcW w:w="755" w:type="dxa"/>
            <w:hideMark/>
          </w:tcPr>
          <w:p w14:paraId="187B629F" w14:textId="77777777" w:rsidR="00B02788" w:rsidRPr="00E8799B" w:rsidRDefault="00B02788" w:rsidP="00C21BAD">
            <w:pPr>
              <w:pStyle w:val="TableTextCentred"/>
            </w:pPr>
            <w:r w:rsidRPr="00E8799B">
              <w:t>2C</w:t>
            </w:r>
          </w:p>
        </w:tc>
        <w:tc>
          <w:tcPr>
            <w:tcW w:w="633" w:type="dxa"/>
            <w:hideMark/>
          </w:tcPr>
          <w:p w14:paraId="508325E2" w14:textId="77777777" w:rsidR="00B02788" w:rsidRPr="00E8799B" w:rsidRDefault="00B02788" w:rsidP="00C21BAD">
            <w:pPr>
              <w:pStyle w:val="TableTextCentred"/>
            </w:pPr>
            <w:r w:rsidRPr="00E8799B">
              <w:t>3C</w:t>
            </w:r>
          </w:p>
        </w:tc>
        <w:tc>
          <w:tcPr>
            <w:tcW w:w="633" w:type="dxa"/>
            <w:hideMark/>
          </w:tcPr>
          <w:p w14:paraId="52512AD0" w14:textId="77777777" w:rsidR="00B02788" w:rsidRPr="00E8799B" w:rsidRDefault="00B02788" w:rsidP="00C21BAD">
            <w:pPr>
              <w:pStyle w:val="TableTextCentred"/>
            </w:pPr>
            <w:r w:rsidRPr="00E8799B">
              <w:t>Low</w:t>
            </w:r>
          </w:p>
        </w:tc>
        <w:tc>
          <w:tcPr>
            <w:tcW w:w="633" w:type="dxa"/>
            <w:hideMark/>
          </w:tcPr>
          <w:p w14:paraId="0EE453FE" w14:textId="77777777" w:rsidR="00B02788" w:rsidRPr="00E8799B" w:rsidRDefault="00B02788" w:rsidP="00C21BAD">
            <w:pPr>
              <w:pStyle w:val="TableTextCentred"/>
            </w:pPr>
            <w:r w:rsidRPr="00E8799B">
              <w:t>Best</w:t>
            </w:r>
          </w:p>
        </w:tc>
        <w:tc>
          <w:tcPr>
            <w:tcW w:w="594" w:type="dxa"/>
            <w:hideMark/>
          </w:tcPr>
          <w:p w14:paraId="6876F65C" w14:textId="77777777" w:rsidR="00B02788" w:rsidRPr="00E8799B" w:rsidRDefault="00B02788" w:rsidP="00C21BAD">
            <w:pPr>
              <w:pStyle w:val="TableTextCentred"/>
            </w:pPr>
            <w:r w:rsidRPr="00E8799B">
              <w:t>High</w:t>
            </w:r>
          </w:p>
        </w:tc>
        <w:tc>
          <w:tcPr>
            <w:tcW w:w="1162" w:type="dxa"/>
            <w:vMerge/>
          </w:tcPr>
          <w:p w14:paraId="36D62561" w14:textId="77777777" w:rsidR="00B02788" w:rsidRPr="00D27DD2" w:rsidRDefault="00B02788" w:rsidP="00C21BAD">
            <w:pPr>
              <w:pStyle w:val="TableTextLeft"/>
            </w:pPr>
          </w:p>
        </w:tc>
        <w:tc>
          <w:tcPr>
            <w:tcW w:w="1843" w:type="dxa"/>
            <w:vMerge/>
            <w:hideMark/>
          </w:tcPr>
          <w:p w14:paraId="5064BAAD" w14:textId="77777777" w:rsidR="00B02788" w:rsidRPr="00D27DD2" w:rsidRDefault="00B02788" w:rsidP="00C21BAD">
            <w:pPr>
              <w:pStyle w:val="TableTextLeft"/>
            </w:pPr>
          </w:p>
        </w:tc>
        <w:tc>
          <w:tcPr>
            <w:tcW w:w="1701" w:type="dxa"/>
            <w:vMerge/>
          </w:tcPr>
          <w:p w14:paraId="435A60C7" w14:textId="54516C31" w:rsidR="00B02788" w:rsidRPr="00D27DD2" w:rsidRDefault="00B02788" w:rsidP="00C21BAD">
            <w:pPr>
              <w:pStyle w:val="TableTextLeft"/>
            </w:pPr>
          </w:p>
        </w:tc>
      </w:tr>
      <w:tr w:rsidR="00B02788" w:rsidRPr="00D27DD2" w14:paraId="631EE51D"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0C42CB42" w14:textId="77777777" w:rsidR="00B02788" w:rsidRDefault="00B02788" w:rsidP="00C21BAD">
            <w:pPr>
              <w:pStyle w:val="TableTextLeft"/>
            </w:pPr>
            <w:r>
              <w:t>Amadeus Basin</w:t>
            </w:r>
          </w:p>
        </w:tc>
        <w:tc>
          <w:tcPr>
            <w:tcW w:w="992" w:type="dxa"/>
            <w:noWrap/>
          </w:tcPr>
          <w:p w14:paraId="797C4D02" w14:textId="77777777" w:rsidR="00B02788" w:rsidRDefault="00B02788" w:rsidP="00C21BAD">
            <w:pPr>
              <w:pStyle w:val="TableTextLeft"/>
            </w:pPr>
            <w:r>
              <w:t>NT</w:t>
            </w:r>
          </w:p>
        </w:tc>
        <w:tc>
          <w:tcPr>
            <w:tcW w:w="1701" w:type="dxa"/>
            <w:noWrap/>
          </w:tcPr>
          <w:p w14:paraId="30A3421C" w14:textId="35795D33" w:rsidR="00B02788" w:rsidRDefault="00B50F32" w:rsidP="00B02788">
            <w:pPr>
              <w:pStyle w:val="TableTextLeft"/>
            </w:pPr>
            <w:r>
              <w:t xml:space="preserve">Regional; </w:t>
            </w:r>
            <w:r w:rsidR="00B02788">
              <w:t>3,440 km</w:t>
            </w:r>
            <w:r w:rsidR="00B02788" w:rsidRPr="00B02788">
              <w:rPr>
                <w:vertAlign w:val="superscript"/>
              </w:rPr>
              <w:t>2</w:t>
            </w:r>
            <w:r w:rsidR="00B02788" w:rsidRPr="00B02788">
              <w:t xml:space="preserve"> </w:t>
            </w:r>
          </w:p>
        </w:tc>
        <w:tc>
          <w:tcPr>
            <w:tcW w:w="1052" w:type="dxa"/>
            <w:noWrap/>
          </w:tcPr>
          <w:p w14:paraId="022BF3BC" w14:textId="77777777" w:rsidR="00B02788" w:rsidRDefault="00B02788" w:rsidP="00C21BAD">
            <w:pPr>
              <w:pStyle w:val="TableTextLeft"/>
            </w:pPr>
          </w:p>
        </w:tc>
        <w:tc>
          <w:tcPr>
            <w:tcW w:w="633" w:type="dxa"/>
            <w:noWrap/>
          </w:tcPr>
          <w:p w14:paraId="6B321251" w14:textId="77777777" w:rsidR="00B02788" w:rsidRDefault="00B02788" w:rsidP="00C21BAD">
            <w:pPr>
              <w:pStyle w:val="TableTextCentred"/>
            </w:pPr>
            <w:r>
              <w:t> -</w:t>
            </w:r>
          </w:p>
        </w:tc>
        <w:tc>
          <w:tcPr>
            <w:tcW w:w="755" w:type="dxa"/>
            <w:noWrap/>
          </w:tcPr>
          <w:p w14:paraId="7AF58EE8" w14:textId="77777777" w:rsidR="00B02788" w:rsidRDefault="00B02788" w:rsidP="00C21BAD">
            <w:pPr>
              <w:pStyle w:val="TableTextCentred"/>
            </w:pPr>
            <w:r>
              <w:t>- </w:t>
            </w:r>
          </w:p>
        </w:tc>
        <w:tc>
          <w:tcPr>
            <w:tcW w:w="633" w:type="dxa"/>
            <w:noWrap/>
          </w:tcPr>
          <w:p w14:paraId="39785730" w14:textId="77777777" w:rsidR="00B02788" w:rsidRDefault="00B02788" w:rsidP="00C21BAD">
            <w:pPr>
              <w:pStyle w:val="TableTextCentred"/>
            </w:pPr>
            <w:r>
              <w:t> -</w:t>
            </w:r>
          </w:p>
        </w:tc>
        <w:tc>
          <w:tcPr>
            <w:tcW w:w="633" w:type="dxa"/>
            <w:noWrap/>
          </w:tcPr>
          <w:p w14:paraId="58B59E7C" w14:textId="77777777" w:rsidR="00B02788" w:rsidRDefault="00B02788" w:rsidP="00C21BAD">
            <w:pPr>
              <w:pStyle w:val="TableTextCentred"/>
            </w:pPr>
            <w:r>
              <w:t> -</w:t>
            </w:r>
          </w:p>
        </w:tc>
        <w:tc>
          <w:tcPr>
            <w:tcW w:w="633" w:type="dxa"/>
            <w:noWrap/>
          </w:tcPr>
          <w:p w14:paraId="4A8DD0EA" w14:textId="64A7BD3C" w:rsidR="00B02788" w:rsidRDefault="00B02788" w:rsidP="00C21BAD">
            <w:pPr>
              <w:pStyle w:val="TableTextCentred"/>
            </w:pPr>
            <w:r>
              <w:t>9.8</w:t>
            </w:r>
          </w:p>
        </w:tc>
        <w:tc>
          <w:tcPr>
            <w:tcW w:w="594" w:type="dxa"/>
            <w:noWrap/>
          </w:tcPr>
          <w:p w14:paraId="3D9480FE" w14:textId="77777777" w:rsidR="00B02788" w:rsidRDefault="00B02788" w:rsidP="00C21BAD">
            <w:pPr>
              <w:pStyle w:val="TableTextCentred"/>
            </w:pPr>
            <w:r>
              <w:t> -</w:t>
            </w:r>
          </w:p>
        </w:tc>
        <w:tc>
          <w:tcPr>
            <w:tcW w:w="1162" w:type="dxa"/>
          </w:tcPr>
          <w:p w14:paraId="05255DE7" w14:textId="77777777" w:rsidR="00B02788" w:rsidRDefault="00B02788" w:rsidP="00C21BAD">
            <w:pPr>
              <w:pStyle w:val="TableTextLeft"/>
            </w:pPr>
            <w:r>
              <w:t>Tight gas</w:t>
            </w:r>
          </w:p>
        </w:tc>
        <w:tc>
          <w:tcPr>
            <w:tcW w:w="1843" w:type="dxa"/>
            <w:noWrap/>
          </w:tcPr>
          <w:p w14:paraId="0590214A" w14:textId="77777777" w:rsidR="00B02788" w:rsidRDefault="00B02788" w:rsidP="00C21BAD">
            <w:pPr>
              <w:pStyle w:val="TableTextLeft"/>
            </w:pPr>
            <w:r>
              <w:t>Pacoota Sandstone</w:t>
            </w:r>
          </w:p>
        </w:tc>
        <w:tc>
          <w:tcPr>
            <w:tcW w:w="1701" w:type="dxa"/>
          </w:tcPr>
          <w:p w14:paraId="0559DA78" w14:textId="5978AF90" w:rsidR="00B02788" w:rsidRDefault="00B02788" w:rsidP="00C21BAD">
            <w:pPr>
              <w:pStyle w:val="TableTextLeft"/>
            </w:pPr>
            <w:r>
              <w:t>CORE (2017); DWSPET (2011)</w:t>
            </w:r>
          </w:p>
        </w:tc>
      </w:tr>
      <w:tr w:rsidR="00B02788" w:rsidRPr="00D27DD2" w14:paraId="68AC0BDC"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33487A3A" w14:textId="77777777" w:rsidR="00B02788" w:rsidRDefault="00B02788" w:rsidP="00C21BAD">
            <w:pPr>
              <w:pStyle w:val="TableTextLeft"/>
            </w:pPr>
            <w:r>
              <w:t>Amadeus Basin</w:t>
            </w:r>
          </w:p>
        </w:tc>
        <w:tc>
          <w:tcPr>
            <w:tcW w:w="992" w:type="dxa"/>
            <w:noWrap/>
          </w:tcPr>
          <w:p w14:paraId="7E85E419" w14:textId="77777777" w:rsidR="00B02788" w:rsidRDefault="00B02788" w:rsidP="00C21BAD">
            <w:pPr>
              <w:pStyle w:val="TableTextLeft"/>
            </w:pPr>
            <w:r>
              <w:t>NT</w:t>
            </w:r>
          </w:p>
        </w:tc>
        <w:tc>
          <w:tcPr>
            <w:tcW w:w="1701" w:type="dxa"/>
            <w:noWrap/>
          </w:tcPr>
          <w:p w14:paraId="718C9BE6" w14:textId="74F195CB" w:rsidR="00B02788" w:rsidRDefault="00B50F32" w:rsidP="00C21BAD">
            <w:pPr>
              <w:pStyle w:val="TableTextLeft"/>
            </w:pPr>
            <w:r>
              <w:t xml:space="preserve">Regional; </w:t>
            </w:r>
            <w:r w:rsidR="00B02788" w:rsidRPr="00B02788">
              <w:t>7,395 km</w:t>
            </w:r>
            <w:r w:rsidR="00B02788" w:rsidRPr="00B02788">
              <w:rPr>
                <w:vertAlign w:val="superscript"/>
              </w:rPr>
              <w:t>2</w:t>
            </w:r>
          </w:p>
        </w:tc>
        <w:tc>
          <w:tcPr>
            <w:tcW w:w="1052" w:type="dxa"/>
            <w:noWrap/>
          </w:tcPr>
          <w:p w14:paraId="3A45BA52" w14:textId="77777777" w:rsidR="00B02788" w:rsidRDefault="00B02788" w:rsidP="00C21BAD">
            <w:pPr>
              <w:pStyle w:val="TableTextLeft"/>
            </w:pPr>
          </w:p>
        </w:tc>
        <w:tc>
          <w:tcPr>
            <w:tcW w:w="633" w:type="dxa"/>
            <w:noWrap/>
          </w:tcPr>
          <w:p w14:paraId="2009A7B2" w14:textId="77777777" w:rsidR="00B02788" w:rsidRDefault="00B02788" w:rsidP="00C21BAD">
            <w:pPr>
              <w:pStyle w:val="TableTextCentred"/>
            </w:pPr>
            <w:r>
              <w:t> -</w:t>
            </w:r>
          </w:p>
        </w:tc>
        <w:tc>
          <w:tcPr>
            <w:tcW w:w="755" w:type="dxa"/>
            <w:noWrap/>
          </w:tcPr>
          <w:p w14:paraId="2D730B37" w14:textId="77777777" w:rsidR="00B02788" w:rsidRDefault="00B02788" w:rsidP="00C21BAD">
            <w:pPr>
              <w:pStyle w:val="TableTextCentred"/>
            </w:pPr>
            <w:r>
              <w:t> -</w:t>
            </w:r>
          </w:p>
        </w:tc>
        <w:tc>
          <w:tcPr>
            <w:tcW w:w="633" w:type="dxa"/>
            <w:noWrap/>
          </w:tcPr>
          <w:p w14:paraId="3182159F" w14:textId="77777777" w:rsidR="00B02788" w:rsidRDefault="00B02788" w:rsidP="00C21BAD">
            <w:pPr>
              <w:pStyle w:val="TableTextCentred"/>
            </w:pPr>
            <w:r>
              <w:t> -</w:t>
            </w:r>
          </w:p>
        </w:tc>
        <w:tc>
          <w:tcPr>
            <w:tcW w:w="633" w:type="dxa"/>
            <w:noWrap/>
          </w:tcPr>
          <w:p w14:paraId="66844A07" w14:textId="77777777" w:rsidR="00B02788" w:rsidRDefault="00B02788" w:rsidP="00C21BAD">
            <w:pPr>
              <w:pStyle w:val="TableTextCentred"/>
            </w:pPr>
            <w:r>
              <w:t> -</w:t>
            </w:r>
          </w:p>
        </w:tc>
        <w:tc>
          <w:tcPr>
            <w:tcW w:w="633" w:type="dxa"/>
            <w:noWrap/>
          </w:tcPr>
          <w:p w14:paraId="7C18E381" w14:textId="77777777" w:rsidR="00B02788" w:rsidRDefault="00B02788" w:rsidP="00C21BAD">
            <w:pPr>
              <w:pStyle w:val="TableTextCentred"/>
            </w:pPr>
            <w:r>
              <w:t>11.3</w:t>
            </w:r>
          </w:p>
        </w:tc>
        <w:tc>
          <w:tcPr>
            <w:tcW w:w="594" w:type="dxa"/>
            <w:noWrap/>
          </w:tcPr>
          <w:p w14:paraId="61DCBA75" w14:textId="77777777" w:rsidR="00B02788" w:rsidRDefault="00B02788" w:rsidP="00C21BAD">
            <w:pPr>
              <w:pStyle w:val="TableTextCentred"/>
            </w:pPr>
            <w:r>
              <w:t>- </w:t>
            </w:r>
          </w:p>
        </w:tc>
        <w:tc>
          <w:tcPr>
            <w:tcW w:w="1162" w:type="dxa"/>
          </w:tcPr>
          <w:p w14:paraId="6BE9F83D" w14:textId="77777777" w:rsidR="00B02788" w:rsidRDefault="00B02788" w:rsidP="00C21BAD">
            <w:pPr>
              <w:pStyle w:val="TableTextLeft"/>
            </w:pPr>
            <w:r>
              <w:t>Shale gas</w:t>
            </w:r>
          </w:p>
        </w:tc>
        <w:tc>
          <w:tcPr>
            <w:tcW w:w="1843" w:type="dxa"/>
            <w:noWrap/>
          </w:tcPr>
          <w:p w14:paraId="09E51EEB" w14:textId="77777777" w:rsidR="00B02788" w:rsidRDefault="00B02788" w:rsidP="00C21BAD">
            <w:pPr>
              <w:pStyle w:val="TableTextLeft"/>
            </w:pPr>
            <w:r>
              <w:t>Horn Valley Siltstone</w:t>
            </w:r>
          </w:p>
        </w:tc>
        <w:tc>
          <w:tcPr>
            <w:tcW w:w="1701" w:type="dxa"/>
          </w:tcPr>
          <w:p w14:paraId="35DFE048" w14:textId="7E109900" w:rsidR="00B02788" w:rsidRDefault="00B02788" w:rsidP="00C21BAD">
            <w:pPr>
              <w:pStyle w:val="TableTextLeft"/>
            </w:pPr>
            <w:r>
              <w:t>CORE (2017); DWSPET (2011)</w:t>
            </w:r>
          </w:p>
        </w:tc>
      </w:tr>
      <w:tr w:rsidR="00B02788" w:rsidRPr="00D27DD2" w14:paraId="4520C763"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2B4FF1BB" w14:textId="77777777" w:rsidR="00B02788" w:rsidRDefault="00B02788" w:rsidP="00C21BAD">
            <w:pPr>
              <w:pStyle w:val="TableTextLeft"/>
            </w:pPr>
            <w:r>
              <w:t>Amadeus Basin</w:t>
            </w:r>
          </w:p>
        </w:tc>
        <w:tc>
          <w:tcPr>
            <w:tcW w:w="992" w:type="dxa"/>
            <w:noWrap/>
          </w:tcPr>
          <w:p w14:paraId="34F9619C" w14:textId="77777777" w:rsidR="00B02788" w:rsidRDefault="00B02788" w:rsidP="00C21BAD">
            <w:pPr>
              <w:pStyle w:val="TableTextLeft"/>
            </w:pPr>
            <w:r>
              <w:t>NT</w:t>
            </w:r>
          </w:p>
        </w:tc>
        <w:tc>
          <w:tcPr>
            <w:tcW w:w="1701" w:type="dxa"/>
            <w:noWrap/>
          </w:tcPr>
          <w:p w14:paraId="5E226CDF" w14:textId="730C7831" w:rsidR="00B02788" w:rsidRDefault="00B50F32" w:rsidP="00C21BAD">
            <w:pPr>
              <w:pStyle w:val="TableTextLeft"/>
            </w:pPr>
            <w:r>
              <w:t xml:space="preserve">Regional; </w:t>
            </w:r>
            <w:r w:rsidR="00B02788" w:rsidRPr="00B02788">
              <w:t>3,440 km</w:t>
            </w:r>
            <w:r w:rsidR="00B02788" w:rsidRPr="00B02788">
              <w:rPr>
                <w:vertAlign w:val="superscript"/>
              </w:rPr>
              <w:t>2</w:t>
            </w:r>
          </w:p>
        </w:tc>
        <w:tc>
          <w:tcPr>
            <w:tcW w:w="1052" w:type="dxa"/>
            <w:noWrap/>
          </w:tcPr>
          <w:p w14:paraId="69B780A0" w14:textId="77777777" w:rsidR="00B02788" w:rsidRDefault="00B02788" w:rsidP="00C21BAD">
            <w:pPr>
              <w:pStyle w:val="TableTextLeft"/>
            </w:pPr>
          </w:p>
        </w:tc>
        <w:tc>
          <w:tcPr>
            <w:tcW w:w="633" w:type="dxa"/>
            <w:noWrap/>
          </w:tcPr>
          <w:p w14:paraId="3FCE5D41" w14:textId="77777777" w:rsidR="00B02788" w:rsidRDefault="00B02788" w:rsidP="00C21BAD">
            <w:pPr>
              <w:pStyle w:val="TableTextCentred"/>
            </w:pPr>
            <w:r>
              <w:t> -</w:t>
            </w:r>
          </w:p>
        </w:tc>
        <w:tc>
          <w:tcPr>
            <w:tcW w:w="755" w:type="dxa"/>
            <w:noWrap/>
          </w:tcPr>
          <w:p w14:paraId="6ADC6C5D" w14:textId="77777777" w:rsidR="00B02788" w:rsidRDefault="00B02788" w:rsidP="00C21BAD">
            <w:pPr>
              <w:pStyle w:val="TableTextCentred"/>
            </w:pPr>
            <w:r>
              <w:t> -</w:t>
            </w:r>
          </w:p>
        </w:tc>
        <w:tc>
          <w:tcPr>
            <w:tcW w:w="633" w:type="dxa"/>
            <w:noWrap/>
          </w:tcPr>
          <w:p w14:paraId="25361F40" w14:textId="77777777" w:rsidR="00B02788" w:rsidRDefault="00B02788" w:rsidP="00C21BAD">
            <w:pPr>
              <w:pStyle w:val="TableTextCentred"/>
            </w:pPr>
            <w:r>
              <w:t> -</w:t>
            </w:r>
          </w:p>
        </w:tc>
        <w:tc>
          <w:tcPr>
            <w:tcW w:w="633" w:type="dxa"/>
            <w:noWrap/>
          </w:tcPr>
          <w:p w14:paraId="2859B0A5" w14:textId="77777777" w:rsidR="00B02788" w:rsidRDefault="00B02788" w:rsidP="00C21BAD">
            <w:pPr>
              <w:pStyle w:val="TableTextCentred"/>
            </w:pPr>
            <w:r>
              <w:t> -</w:t>
            </w:r>
          </w:p>
        </w:tc>
        <w:tc>
          <w:tcPr>
            <w:tcW w:w="633" w:type="dxa"/>
            <w:noWrap/>
          </w:tcPr>
          <w:p w14:paraId="13DA6DFB" w14:textId="54BA1C92" w:rsidR="00B02788" w:rsidRDefault="00B02788" w:rsidP="00C21BAD">
            <w:pPr>
              <w:pStyle w:val="TableTextCentred"/>
            </w:pPr>
            <w:r>
              <w:t>5.1</w:t>
            </w:r>
          </w:p>
        </w:tc>
        <w:tc>
          <w:tcPr>
            <w:tcW w:w="594" w:type="dxa"/>
            <w:noWrap/>
          </w:tcPr>
          <w:p w14:paraId="3DB9E6F6" w14:textId="77777777" w:rsidR="00B02788" w:rsidRDefault="00B02788" w:rsidP="00C21BAD">
            <w:pPr>
              <w:pStyle w:val="TableTextCentred"/>
            </w:pPr>
            <w:r>
              <w:t> -</w:t>
            </w:r>
          </w:p>
        </w:tc>
        <w:tc>
          <w:tcPr>
            <w:tcW w:w="1162" w:type="dxa"/>
          </w:tcPr>
          <w:p w14:paraId="1FDE4EB9" w14:textId="77777777" w:rsidR="00B02788" w:rsidRDefault="00B02788" w:rsidP="00C21BAD">
            <w:pPr>
              <w:pStyle w:val="TableTextLeft"/>
            </w:pPr>
            <w:r>
              <w:t>Tight gas</w:t>
            </w:r>
          </w:p>
        </w:tc>
        <w:tc>
          <w:tcPr>
            <w:tcW w:w="1843" w:type="dxa"/>
            <w:noWrap/>
          </w:tcPr>
          <w:p w14:paraId="2E7EE381" w14:textId="77777777" w:rsidR="00B02788" w:rsidRDefault="00B02788" w:rsidP="00C21BAD">
            <w:pPr>
              <w:pStyle w:val="TableTextLeft"/>
            </w:pPr>
            <w:r>
              <w:t>Stairway Sandstone</w:t>
            </w:r>
          </w:p>
        </w:tc>
        <w:tc>
          <w:tcPr>
            <w:tcW w:w="1701" w:type="dxa"/>
          </w:tcPr>
          <w:p w14:paraId="54EA8C9A" w14:textId="3CE23F0F" w:rsidR="00B02788" w:rsidRDefault="00B02788" w:rsidP="00C21BAD">
            <w:pPr>
              <w:pStyle w:val="TableTextLeft"/>
            </w:pPr>
            <w:r>
              <w:t>CORE (2017); DWSPET (2011)</w:t>
            </w:r>
          </w:p>
        </w:tc>
      </w:tr>
      <w:tr w:rsidR="00B02788" w:rsidRPr="00D27DD2" w14:paraId="01C60E70"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hideMark/>
          </w:tcPr>
          <w:p w14:paraId="158DF9D5" w14:textId="77777777" w:rsidR="00B02788" w:rsidRDefault="00B02788" w:rsidP="00C21BAD">
            <w:pPr>
              <w:pStyle w:val="TableTextLeft"/>
            </w:pPr>
            <w:r>
              <w:t>Bowen Basin</w:t>
            </w:r>
          </w:p>
        </w:tc>
        <w:tc>
          <w:tcPr>
            <w:tcW w:w="992" w:type="dxa"/>
            <w:noWrap/>
            <w:hideMark/>
          </w:tcPr>
          <w:p w14:paraId="02B62431" w14:textId="77777777" w:rsidR="00B02788" w:rsidRDefault="00B02788" w:rsidP="00C21BAD">
            <w:pPr>
              <w:pStyle w:val="TableTextLeft"/>
            </w:pPr>
            <w:r>
              <w:t>QLD</w:t>
            </w:r>
          </w:p>
        </w:tc>
        <w:tc>
          <w:tcPr>
            <w:tcW w:w="1701" w:type="dxa"/>
            <w:noWrap/>
            <w:hideMark/>
          </w:tcPr>
          <w:p w14:paraId="20972E0A" w14:textId="406BDBC6" w:rsidR="00B02788" w:rsidRDefault="00B50F32" w:rsidP="00C21BAD">
            <w:pPr>
              <w:pStyle w:val="TableTextLeft"/>
            </w:pPr>
            <w:r>
              <w:t xml:space="preserve">Regional; </w:t>
            </w:r>
            <w:r w:rsidR="00B02788" w:rsidRPr="00B02788">
              <w:t>51,252</w:t>
            </w:r>
            <w:r w:rsidR="00B02788">
              <w:t xml:space="preserve"> </w:t>
            </w:r>
            <w:r w:rsidR="00B02788" w:rsidRPr="00B02788">
              <w:t>km</w:t>
            </w:r>
            <w:r w:rsidR="00B02788" w:rsidRPr="00B02788">
              <w:rPr>
                <w:vertAlign w:val="superscript"/>
              </w:rPr>
              <w:t>2</w:t>
            </w:r>
          </w:p>
        </w:tc>
        <w:tc>
          <w:tcPr>
            <w:tcW w:w="1052" w:type="dxa"/>
            <w:noWrap/>
          </w:tcPr>
          <w:p w14:paraId="62CDFEFD" w14:textId="77777777" w:rsidR="00B02788" w:rsidRDefault="00B02788" w:rsidP="00C21BAD">
            <w:pPr>
              <w:pStyle w:val="TableTextLeft"/>
            </w:pPr>
          </w:p>
        </w:tc>
        <w:tc>
          <w:tcPr>
            <w:tcW w:w="633" w:type="dxa"/>
            <w:noWrap/>
            <w:hideMark/>
          </w:tcPr>
          <w:p w14:paraId="13BC1A16" w14:textId="77777777" w:rsidR="00B02788" w:rsidRDefault="00B02788" w:rsidP="00C21BAD">
            <w:pPr>
              <w:pStyle w:val="TableTextCentred"/>
            </w:pPr>
            <w:r>
              <w:t> -</w:t>
            </w:r>
          </w:p>
        </w:tc>
        <w:tc>
          <w:tcPr>
            <w:tcW w:w="755" w:type="dxa"/>
            <w:noWrap/>
            <w:hideMark/>
          </w:tcPr>
          <w:p w14:paraId="3241803B" w14:textId="77777777" w:rsidR="00B02788" w:rsidRDefault="00B02788" w:rsidP="00C21BAD">
            <w:pPr>
              <w:pStyle w:val="TableTextCentred"/>
            </w:pPr>
            <w:r>
              <w:t> -</w:t>
            </w:r>
          </w:p>
        </w:tc>
        <w:tc>
          <w:tcPr>
            <w:tcW w:w="633" w:type="dxa"/>
            <w:noWrap/>
            <w:hideMark/>
          </w:tcPr>
          <w:p w14:paraId="15E120CB" w14:textId="77777777" w:rsidR="00B02788" w:rsidRDefault="00B02788" w:rsidP="00C21BAD">
            <w:pPr>
              <w:pStyle w:val="TableTextCentred"/>
            </w:pPr>
            <w:r>
              <w:t>- </w:t>
            </w:r>
          </w:p>
        </w:tc>
        <w:tc>
          <w:tcPr>
            <w:tcW w:w="633" w:type="dxa"/>
            <w:noWrap/>
            <w:hideMark/>
          </w:tcPr>
          <w:p w14:paraId="78B3B88D" w14:textId="77777777" w:rsidR="00B02788" w:rsidRDefault="00B02788" w:rsidP="00C21BAD">
            <w:pPr>
              <w:pStyle w:val="TableTextCentred"/>
            </w:pPr>
            <w:r>
              <w:t> -</w:t>
            </w:r>
          </w:p>
        </w:tc>
        <w:tc>
          <w:tcPr>
            <w:tcW w:w="633" w:type="dxa"/>
            <w:noWrap/>
            <w:hideMark/>
          </w:tcPr>
          <w:p w14:paraId="21BBEAE4" w14:textId="77777777" w:rsidR="00B02788" w:rsidRDefault="00B02788" w:rsidP="00C21BAD">
            <w:pPr>
              <w:pStyle w:val="TableTextCentred"/>
            </w:pPr>
            <w:r>
              <w:t>97</w:t>
            </w:r>
          </w:p>
        </w:tc>
        <w:tc>
          <w:tcPr>
            <w:tcW w:w="594" w:type="dxa"/>
            <w:noWrap/>
            <w:hideMark/>
          </w:tcPr>
          <w:p w14:paraId="412EF56F" w14:textId="77777777" w:rsidR="00B02788" w:rsidRDefault="00B02788" w:rsidP="00C21BAD">
            <w:pPr>
              <w:pStyle w:val="TableTextCentred"/>
            </w:pPr>
            <w:r>
              <w:t> -</w:t>
            </w:r>
          </w:p>
        </w:tc>
        <w:tc>
          <w:tcPr>
            <w:tcW w:w="1162" w:type="dxa"/>
          </w:tcPr>
          <w:p w14:paraId="418A7D8A" w14:textId="77777777" w:rsidR="00B02788" w:rsidRDefault="00B02788" w:rsidP="00C21BAD">
            <w:pPr>
              <w:pStyle w:val="TableTextLeft"/>
            </w:pPr>
            <w:r>
              <w:t>Shale gas</w:t>
            </w:r>
          </w:p>
        </w:tc>
        <w:tc>
          <w:tcPr>
            <w:tcW w:w="1843" w:type="dxa"/>
            <w:noWrap/>
            <w:hideMark/>
          </w:tcPr>
          <w:p w14:paraId="78FEE548" w14:textId="77777777" w:rsidR="00B02788" w:rsidRDefault="00B02788" w:rsidP="00C21BAD">
            <w:pPr>
              <w:pStyle w:val="TableTextLeft"/>
            </w:pPr>
            <w:r>
              <w:t>Black Alley Shale</w:t>
            </w:r>
          </w:p>
        </w:tc>
        <w:tc>
          <w:tcPr>
            <w:tcW w:w="1701" w:type="dxa"/>
          </w:tcPr>
          <w:p w14:paraId="65AEE64D" w14:textId="0359A11A" w:rsidR="00B02788" w:rsidRDefault="00B02788" w:rsidP="00C21BAD">
            <w:pPr>
              <w:pStyle w:val="TableTextLeft"/>
            </w:pPr>
            <w:r>
              <w:t>AWT International (2013)</w:t>
            </w:r>
          </w:p>
        </w:tc>
      </w:tr>
      <w:tr w:rsidR="00B02788" w:rsidRPr="00D27DD2" w14:paraId="3918F0E9"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hideMark/>
          </w:tcPr>
          <w:p w14:paraId="262498D5" w14:textId="77777777" w:rsidR="00B02788" w:rsidRDefault="00B02788" w:rsidP="00C21BAD">
            <w:pPr>
              <w:pStyle w:val="TableTextLeft"/>
            </w:pPr>
            <w:r>
              <w:t>Clarence-Moreton Basin</w:t>
            </w:r>
          </w:p>
        </w:tc>
        <w:tc>
          <w:tcPr>
            <w:tcW w:w="992" w:type="dxa"/>
            <w:noWrap/>
            <w:hideMark/>
          </w:tcPr>
          <w:p w14:paraId="6507FB6C" w14:textId="1EEBD0A5" w:rsidR="00B02788" w:rsidRDefault="00945594" w:rsidP="00C21BAD">
            <w:pPr>
              <w:pStyle w:val="TableTextLeft"/>
            </w:pPr>
            <w:r>
              <w:t>NSW</w:t>
            </w:r>
          </w:p>
        </w:tc>
        <w:tc>
          <w:tcPr>
            <w:tcW w:w="1701" w:type="dxa"/>
            <w:noWrap/>
            <w:hideMark/>
          </w:tcPr>
          <w:p w14:paraId="7E45391E" w14:textId="04DB0B08" w:rsidR="00B02788" w:rsidRDefault="00B50F32" w:rsidP="00C21BAD">
            <w:pPr>
              <w:pStyle w:val="TableTextLeft"/>
            </w:pPr>
            <w:r>
              <w:t xml:space="preserve">Regional; </w:t>
            </w:r>
            <w:r w:rsidR="00B02788" w:rsidRPr="00752DA9">
              <w:t>4,407 km</w:t>
            </w:r>
            <w:r w:rsidR="00B02788" w:rsidRPr="00752DA9">
              <w:rPr>
                <w:rStyle w:val="Superscript"/>
              </w:rPr>
              <w:t>2</w:t>
            </w:r>
          </w:p>
        </w:tc>
        <w:tc>
          <w:tcPr>
            <w:tcW w:w="1052" w:type="dxa"/>
            <w:noWrap/>
          </w:tcPr>
          <w:p w14:paraId="40AD40C4" w14:textId="77777777" w:rsidR="00B02788" w:rsidRDefault="00B02788" w:rsidP="00C21BAD">
            <w:pPr>
              <w:pStyle w:val="TableTextLeft"/>
            </w:pPr>
          </w:p>
        </w:tc>
        <w:tc>
          <w:tcPr>
            <w:tcW w:w="633" w:type="dxa"/>
            <w:noWrap/>
            <w:hideMark/>
          </w:tcPr>
          <w:p w14:paraId="519A6543" w14:textId="77777777" w:rsidR="00B02788" w:rsidRDefault="00B02788" w:rsidP="00C21BAD">
            <w:pPr>
              <w:pStyle w:val="TableTextCentred"/>
            </w:pPr>
            <w:r>
              <w:t> -</w:t>
            </w:r>
          </w:p>
        </w:tc>
        <w:tc>
          <w:tcPr>
            <w:tcW w:w="755" w:type="dxa"/>
            <w:noWrap/>
            <w:hideMark/>
          </w:tcPr>
          <w:p w14:paraId="2B2B8ED0" w14:textId="77777777" w:rsidR="00B02788" w:rsidRDefault="00B02788" w:rsidP="00C21BAD">
            <w:pPr>
              <w:pStyle w:val="TableTextCentred"/>
            </w:pPr>
            <w:r>
              <w:t>- </w:t>
            </w:r>
          </w:p>
        </w:tc>
        <w:tc>
          <w:tcPr>
            <w:tcW w:w="633" w:type="dxa"/>
            <w:noWrap/>
            <w:hideMark/>
          </w:tcPr>
          <w:p w14:paraId="41128260" w14:textId="77777777" w:rsidR="00B02788" w:rsidRDefault="00B02788" w:rsidP="00C21BAD">
            <w:pPr>
              <w:pStyle w:val="TableTextCentred"/>
            </w:pPr>
            <w:r>
              <w:t> -</w:t>
            </w:r>
          </w:p>
        </w:tc>
        <w:tc>
          <w:tcPr>
            <w:tcW w:w="633" w:type="dxa"/>
            <w:noWrap/>
            <w:hideMark/>
          </w:tcPr>
          <w:p w14:paraId="7E207B48" w14:textId="77777777" w:rsidR="00B02788" w:rsidRDefault="00B02788" w:rsidP="00C21BAD">
            <w:pPr>
              <w:pStyle w:val="TableTextCentred"/>
            </w:pPr>
            <w:r>
              <w:t> -</w:t>
            </w:r>
          </w:p>
        </w:tc>
        <w:tc>
          <w:tcPr>
            <w:tcW w:w="633" w:type="dxa"/>
            <w:noWrap/>
            <w:hideMark/>
          </w:tcPr>
          <w:p w14:paraId="3F267444" w14:textId="77777777" w:rsidR="00B02788" w:rsidRDefault="00B02788" w:rsidP="00C21BAD">
            <w:pPr>
              <w:pStyle w:val="TableTextCentred"/>
            </w:pPr>
            <w:r>
              <w:t>11</w:t>
            </w:r>
          </w:p>
        </w:tc>
        <w:tc>
          <w:tcPr>
            <w:tcW w:w="594" w:type="dxa"/>
            <w:noWrap/>
            <w:hideMark/>
          </w:tcPr>
          <w:p w14:paraId="414718F7" w14:textId="77777777" w:rsidR="00B02788" w:rsidRDefault="00B02788" w:rsidP="00C21BAD">
            <w:pPr>
              <w:pStyle w:val="TableTextCentred"/>
            </w:pPr>
            <w:r>
              <w:t> -</w:t>
            </w:r>
          </w:p>
        </w:tc>
        <w:tc>
          <w:tcPr>
            <w:tcW w:w="1162" w:type="dxa"/>
          </w:tcPr>
          <w:p w14:paraId="5F95816A" w14:textId="77777777" w:rsidR="00B02788" w:rsidRDefault="00B02788" w:rsidP="00C21BAD">
            <w:pPr>
              <w:pStyle w:val="TableTextLeft"/>
            </w:pPr>
            <w:r>
              <w:t>Shale gas</w:t>
            </w:r>
          </w:p>
        </w:tc>
        <w:tc>
          <w:tcPr>
            <w:tcW w:w="1843" w:type="dxa"/>
            <w:noWrap/>
            <w:hideMark/>
          </w:tcPr>
          <w:p w14:paraId="05929681" w14:textId="77777777" w:rsidR="00B02788" w:rsidRDefault="00B02788" w:rsidP="00C21BAD">
            <w:pPr>
              <w:pStyle w:val="TableTextLeft"/>
            </w:pPr>
            <w:r>
              <w:t>Koukandowie Formation</w:t>
            </w:r>
          </w:p>
        </w:tc>
        <w:tc>
          <w:tcPr>
            <w:tcW w:w="1701" w:type="dxa"/>
          </w:tcPr>
          <w:p w14:paraId="63A481EB" w14:textId="555C9560" w:rsidR="00B02788" w:rsidRDefault="00B02788" w:rsidP="00C21BAD">
            <w:pPr>
              <w:pStyle w:val="TableTextLeft"/>
            </w:pPr>
            <w:r>
              <w:t>AWT International (2013)</w:t>
            </w:r>
          </w:p>
        </w:tc>
      </w:tr>
      <w:tr w:rsidR="00B02788" w:rsidRPr="00D27DD2" w14:paraId="60F1FE51"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hideMark/>
          </w:tcPr>
          <w:p w14:paraId="0CDEDAA3" w14:textId="77777777" w:rsidR="00B02788" w:rsidRDefault="00B02788" w:rsidP="00C21BAD">
            <w:pPr>
              <w:pStyle w:val="TableTextLeft"/>
            </w:pPr>
            <w:r>
              <w:t>Clarence-Moreton Basin</w:t>
            </w:r>
          </w:p>
        </w:tc>
        <w:tc>
          <w:tcPr>
            <w:tcW w:w="992" w:type="dxa"/>
            <w:noWrap/>
            <w:hideMark/>
          </w:tcPr>
          <w:p w14:paraId="5C765756" w14:textId="3EB86319" w:rsidR="00B02788" w:rsidRDefault="00945594" w:rsidP="00C21BAD">
            <w:pPr>
              <w:pStyle w:val="TableTextLeft"/>
            </w:pPr>
            <w:r>
              <w:t>NSW</w:t>
            </w:r>
          </w:p>
        </w:tc>
        <w:tc>
          <w:tcPr>
            <w:tcW w:w="1701" w:type="dxa"/>
            <w:noWrap/>
            <w:hideMark/>
          </w:tcPr>
          <w:p w14:paraId="430159F4" w14:textId="6242EC0D" w:rsidR="00B02788" w:rsidRDefault="00B50F32" w:rsidP="00C21BAD">
            <w:pPr>
              <w:pStyle w:val="TableTextLeft"/>
            </w:pPr>
            <w:r>
              <w:t xml:space="preserve">Regional; </w:t>
            </w:r>
            <w:r w:rsidR="00B02788" w:rsidRPr="00752DA9">
              <w:t>4,407 km</w:t>
            </w:r>
            <w:r w:rsidR="00B02788" w:rsidRPr="00752DA9">
              <w:rPr>
                <w:rStyle w:val="Superscript"/>
              </w:rPr>
              <w:t>2</w:t>
            </w:r>
          </w:p>
        </w:tc>
        <w:tc>
          <w:tcPr>
            <w:tcW w:w="1052" w:type="dxa"/>
            <w:noWrap/>
          </w:tcPr>
          <w:p w14:paraId="25E4CC12" w14:textId="77777777" w:rsidR="00B02788" w:rsidRDefault="00B02788" w:rsidP="00C21BAD">
            <w:pPr>
              <w:pStyle w:val="TableTextLeft"/>
            </w:pPr>
          </w:p>
        </w:tc>
        <w:tc>
          <w:tcPr>
            <w:tcW w:w="633" w:type="dxa"/>
            <w:noWrap/>
            <w:hideMark/>
          </w:tcPr>
          <w:p w14:paraId="55758DA1" w14:textId="77777777" w:rsidR="00B02788" w:rsidRDefault="00B02788" w:rsidP="00C21BAD">
            <w:pPr>
              <w:pStyle w:val="TableTextCentred"/>
            </w:pPr>
            <w:r>
              <w:t> -</w:t>
            </w:r>
          </w:p>
        </w:tc>
        <w:tc>
          <w:tcPr>
            <w:tcW w:w="755" w:type="dxa"/>
            <w:noWrap/>
            <w:hideMark/>
          </w:tcPr>
          <w:p w14:paraId="19C73115" w14:textId="77777777" w:rsidR="00B02788" w:rsidRDefault="00B02788" w:rsidP="00C21BAD">
            <w:pPr>
              <w:pStyle w:val="TableTextCentred"/>
            </w:pPr>
            <w:r>
              <w:t> -</w:t>
            </w:r>
          </w:p>
        </w:tc>
        <w:tc>
          <w:tcPr>
            <w:tcW w:w="633" w:type="dxa"/>
            <w:noWrap/>
            <w:hideMark/>
          </w:tcPr>
          <w:p w14:paraId="09B2B312" w14:textId="77777777" w:rsidR="00B02788" w:rsidRDefault="00B02788" w:rsidP="00C21BAD">
            <w:pPr>
              <w:pStyle w:val="TableTextCentred"/>
            </w:pPr>
            <w:r>
              <w:t> -</w:t>
            </w:r>
          </w:p>
        </w:tc>
        <w:tc>
          <w:tcPr>
            <w:tcW w:w="633" w:type="dxa"/>
            <w:noWrap/>
            <w:hideMark/>
          </w:tcPr>
          <w:p w14:paraId="278C751C" w14:textId="77777777" w:rsidR="00B02788" w:rsidRDefault="00B02788" w:rsidP="00C21BAD">
            <w:pPr>
              <w:pStyle w:val="TableTextCentred"/>
            </w:pPr>
            <w:r>
              <w:t> -</w:t>
            </w:r>
          </w:p>
        </w:tc>
        <w:tc>
          <w:tcPr>
            <w:tcW w:w="633" w:type="dxa"/>
            <w:noWrap/>
            <w:hideMark/>
          </w:tcPr>
          <w:p w14:paraId="52757628" w14:textId="77777777" w:rsidR="00B02788" w:rsidRDefault="00B02788" w:rsidP="00C21BAD">
            <w:pPr>
              <w:pStyle w:val="TableTextCentred"/>
            </w:pPr>
            <w:r>
              <w:t>10</w:t>
            </w:r>
          </w:p>
        </w:tc>
        <w:tc>
          <w:tcPr>
            <w:tcW w:w="594" w:type="dxa"/>
            <w:noWrap/>
            <w:hideMark/>
          </w:tcPr>
          <w:p w14:paraId="7F42C534" w14:textId="77777777" w:rsidR="00B02788" w:rsidRDefault="00B02788" w:rsidP="00C21BAD">
            <w:pPr>
              <w:pStyle w:val="TableTextCentred"/>
            </w:pPr>
            <w:r>
              <w:t>- </w:t>
            </w:r>
          </w:p>
        </w:tc>
        <w:tc>
          <w:tcPr>
            <w:tcW w:w="1162" w:type="dxa"/>
          </w:tcPr>
          <w:p w14:paraId="3F945294" w14:textId="77777777" w:rsidR="00B02788" w:rsidRDefault="00B02788" w:rsidP="00C21BAD">
            <w:pPr>
              <w:pStyle w:val="TableTextLeft"/>
            </w:pPr>
            <w:r>
              <w:t>Shale gas</w:t>
            </w:r>
          </w:p>
        </w:tc>
        <w:tc>
          <w:tcPr>
            <w:tcW w:w="1843" w:type="dxa"/>
            <w:noWrap/>
            <w:hideMark/>
          </w:tcPr>
          <w:p w14:paraId="3830C6D1" w14:textId="77777777" w:rsidR="00B02788" w:rsidRDefault="00B02788" w:rsidP="00C21BAD">
            <w:pPr>
              <w:pStyle w:val="TableTextLeft"/>
            </w:pPr>
            <w:r>
              <w:t>Raceview Formation</w:t>
            </w:r>
          </w:p>
        </w:tc>
        <w:tc>
          <w:tcPr>
            <w:tcW w:w="1701" w:type="dxa"/>
          </w:tcPr>
          <w:p w14:paraId="42480B9B" w14:textId="0CBD8397" w:rsidR="00B02788" w:rsidRDefault="00B02788" w:rsidP="00C21BAD">
            <w:pPr>
              <w:pStyle w:val="TableTextLeft"/>
            </w:pPr>
            <w:r>
              <w:t>AWT International (2013)</w:t>
            </w:r>
          </w:p>
        </w:tc>
      </w:tr>
      <w:tr w:rsidR="00B02788" w:rsidRPr="00D27DD2" w14:paraId="714E5117"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3EB64E6E" w14:textId="77777777" w:rsidR="00B02788" w:rsidRDefault="00B02788" w:rsidP="00C21BAD">
            <w:pPr>
              <w:pStyle w:val="TableTextLeft"/>
            </w:pPr>
            <w:r>
              <w:t>Cooper Basin</w:t>
            </w:r>
          </w:p>
        </w:tc>
        <w:tc>
          <w:tcPr>
            <w:tcW w:w="992" w:type="dxa"/>
            <w:noWrap/>
          </w:tcPr>
          <w:p w14:paraId="72EBA61A" w14:textId="77777777" w:rsidR="00B02788" w:rsidRDefault="00B02788" w:rsidP="00C21BAD">
            <w:pPr>
              <w:pStyle w:val="TableTextLeft"/>
            </w:pPr>
            <w:r>
              <w:t>QLD</w:t>
            </w:r>
          </w:p>
        </w:tc>
        <w:tc>
          <w:tcPr>
            <w:tcW w:w="1701" w:type="dxa"/>
            <w:noWrap/>
          </w:tcPr>
          <w:p w14:paraId="555032F9" w14:textId="77777777" w:rsidR="00B02788" w:rsidRDefault="00B02788" w:rsidP="00C21BAD">
            <w:pPr>
              <w:pStyle w:val="TableTextLeft"/>
            </w:pPr>
            <w:r>
              <w:t>ATP 855 (Nappamerri Trough)</w:t>
            </w:r>
          </w:p>
        </w:tc>
        <w:tc>
          <w:tcPr>
            <w:tcW w:w="1052" w:type="dxa"/>
            <w:noWrap/>
          </w:tcPr>
          <w:p w14:paraId="00C05A25" w14:textId="77777777" w:rsidR="00B02788" w:rsidRDefault="00B02788" w:rsidP="00C21BAD">
            <w:pPr>
              <w:pStyle w:val="TableTextLeft"/>
            </w:pPr>
            <w:r>
              <w:t>Beach</w:t>
            </w:r>
          </w:p>
        </w:tc>
        <w:tc>
          <w:tcPr>
            <w:tcW w:w="633" w:type="dxa"/>
            <w:noWrap/>
          </w:tcPr>
          <w:p w14:paraId="6E4EEF31" w14:textId="77777777" w:rsidR="00B02788" w:rsidRDefault="00B02788" w:rsidP="00C21BAD">
            <w:pPr>
              <w:pStyle w:val="TableTextCentred"/>
            </w:pPr>
            <w:r>
              <w:t>0.34</w:t>
            </w:r>
          </w:p>
        </w:tc>
        <w:tc>
          <w:tcPr>
            <w:tcW w:w="755" w:type="dxa"/>
            <w:noWrap/>
          </w:tcPr>
          <w:p w14:paraId="653B1C04" w14:textId="77777777" w:rsidR="00B02788" w:rsidRDefault="00B02788" w:rsidP="00C21BAD">
            <w:pPr>
              <w:pStyle w:val="TableTextCentred"/>
            </w:pPr>
            <w:r>
              <w:t>1.57</w:t>
            </w:r>
          </w:p>
        </w:tc>
        <w:tc>
          <w:tcPr>
            <w:tcW w:w="633" w:type="dxa"/>
            <w:noWrap/>
          </w:tcPr>
          <w:p w14:paraId="27AEBC5E" w14:textId="77777777" w:rsidR="00B02788" w:rsidRDefault="00B02788" w:rsidP="00C21BAD">
            <w:pPr>
              <w:pStyle w:val="TableTextCentred"/>
            </w:pPr>
            <w:r>
              <w:t>5.84</w:t>
            </w:r>
          </w:p>
        </w:tc>
        <w:tc>
          <w:tcPr>
            <w:tcW w:w="633" w:type="dxa"/>
            <w:noWrap/>
          </w:tcPr>
          <w:p w14:paraId="757D1FBD" w14:textId="77777777" w:rsidR="00B02788" w:rsidRDefault="00B02788" w:rsidP="00C21BAD">
            <w:pPr>
              <w:pStyle w:val="TableTextCentred"/>
            </w:pPr>
            <w:r>
              <w:t> -</w:t>
            </w:r>
          </w:p>
        </w:tc>
        <w:tc>
          <w:tcPr>
            <w:tcW w:w="633" w:type="dxa"/>
            <w:noWrap/>
          </w:tcPr>
          <w:p w14:paraId="5C377B56" w14:textId="77777777" w:rsidR="00B02788" w:rsidRDefault="00B02788" w:rsidP="00C21BAD">
            <w:pPr>
              <w:pStyle w:val="TableTextCentred"/>
            </w:pPr>
            <w:r>
              <w:t> -</w:t>
            </w:r>
          </w:p>
        </w:tc>
        <w:tc>
          <w:tcPr>
            <w:tcW w:w="594" w:type="dxa"/>
            <w:noWrap/>
          </w:tcPr>
          <w:p w14:paraId="57837ED0" w14:textId="77777777" w:rsidR="00B02788" w:rsidRDefault="00B02788" w:rsidP="00C21BAD">
            <w:pPr>
              <w:pStyle w:val="TableTextCentred"/>
            </w:pPr>
            <w:r>
              <w:t>-</w:t>
            </w:r>
          </w:p>
        </w:tc>
        <w:tc>
          <w:tcPr>
            <w:tcW w:w="1162" w:type="dxa"/>
          </w:tcPr>
          <w:p w14:paraId="6AA4D2F8" w14:textId="77777777" w:rsidR="00B02788" w:rsidRDefault="00B02788" w:rsidP="00C21BAD">
            <w:pPr>
              <w:pStyle w:val="TableTextLeft"/>
            </w:pPr>
            <w:r>
              <w:t>Shale gas, tight gas</w:t>
            </w:r>
          </w:p>
        </w:tc>
        <w:tc>
          <w:tcPr>
            <w:tcW w:w="1843" w:type="dxa"/>
            <w:noWrap/>
          </w:tcPr>
          <w:p w14:paraId="503E5307" w14:textId="0220C2B3" w:rsidR="00B02788" w:rsidRDefault="00B02788" w:rsidP="00C21BAD">
            <w:pPr>
              <w:pStyle w:val="TableTextLeft"/>
            </w:pPr>
            <w:r>
              <w:t>Various</w:t>
            </w:r>
          </w:p>
        </w:tc>
        <w:tc>
          <w:tcPr>
            <w:tcW w:w="1701" w:type="dxa"/>
          </w:tcPr>
          <w:p w14:paraId="020412B5" w14:textId="5F7C2FEF" w:rsidR="00B02788" w:rsidRDefault="00B02788" w:rsidP="00C21BAD">
            <w:pPr>
              <w:pStyle w:val="TableTextLeft"/>
            </w:pPr>
            <w:r>
              <w:t>Beach Energy (2015)</w:t>
            </w:r>
          </w:p>
        </w:tc>
      </w:tr>
      <w:tr w:rsidR="00B02788" w:rsidRPr="00D27DD2" w14:paraId="76CF3B0E"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6489C70F" w14:textId="77777777" w:rsidR="00B02788" w:rsidRDefault="00B02788" w:rsidP="00C21BAD">
            <w:pPr>
              <w:pStyle w:val="TableTextLeft"/>
            </w:pPr>
            <w:r>
              <w:t>Cooper Basin</w:t>
            </w:r>
          </w:p>
        </w:tc>
        <w:tc>
          <w:tcPr>
            <w:tcW w:w="992" w:type="dxa"/>
            <w:noWrap/>
          </w:tcPr>
          <w:p w14:paraId="14A663D7" w14:textId="77777777" w:rsidR="00B02788" w:rsidRDefault="00B02788" w:rsidP="00C21BAD">
            <w:pPr>
              <w:pStyle w:val="TableTextLeft"/>
            </w:pPr>
            <w:r>
              <w:t>SA</w:t>
            </w:r>
          </w:p>
        </w:tc>
        <w:tc>
          <w:tcPr>
            <w:tcW w:w="1701" w:type="dxa"/>
            <w:noWrap/>
          </w:tcPr>
          <w:p w14:paraId="4E50FD54" w14:textId="77777777" w:rsidR="00B02788" w:rsidRDefault="00B02788" w:rsidP="00C21BAD">
            <w:pPr>
              <w:pStyle w:val="TableTextLeft"/>
            </w:pPr>
            <w:r>
              <w:t>PRLs 33 to 49 (Nappamerri Trough)</w:t>
            </w:r>
          </w:p>
        </w:tc>
        <w:tc>
          <w:tcPr>
            <w:tcW w:w="1052" w:type="dxa"/>
            <w:noWrap/>
          </w:tcPr>
          <w:p w14:paraId="141371A2" w14:textId="77777777" w:rsidR="00B02788" w:rsidRDefault="00B02788" w:rsidP="00C21BAD">
            <w:pPr>
              <w:pStyle w:val="TableTextLeft"/>
            </w:pPr>
            <w:r>
              <w:t>Beach</w:t>
            </w:r>
          </w:p>
        </w:tc>
        <w:tc>
          <w:tcPr>
            <w:tcW w:w="633" w:type="dxa"/>
            <w:noWrap/>
          </w:tcPr>
          <w:p w14:paraId="48FB1FD4" w14:textId="77777777" w:rsidR="00B02788" w:rsidRDefault="00B02788" w:rsidP="00C21BAD">
            <w:pPr>
              <w:pStyle w:val="TableTextCentred"/>
            </w:pPr>
            <w:r>
              <w:t>0.95</w:t>
            </w:r>
          </w:p>
        </w:tc>
        <w:tc>
          <w:tcPr>
            <w:tcW w:w="755" w:type="dxa"/>
            <w:noWrap/>
          </w:tcPr>
          <w:p w14:paraId="6500E8E5" w14:textId="77777777" w:rsidR="00B02788" w:rsidRDefault="00B02788" w:rsidP="00C21BAD">
            <w:pPr>
              <w:pStyle w:val="TableTextCentred"/>
            </w:pPr>
            <w:r>
              <w:t>1.95</w:t>
            </w:r>
          </w:p>
        </w:tc>
        <w:tc>
          <w:tcPr>
            <w:tcW w:w="633" w:type="dxa"/>
            <w:noWrap/>
          </w:tcPr>
          <w:p w14:paraId="6EF39412" w14:textId="77777777" w:rsidR="00B02788" w:rsidRDefault="00B02788" w:rsidP="00C21BAD">
            <w:pPr>
              <w:pStyle w:val="TableTextCentred"/>
            </w:pPr>
            <w:r>
              <w:t>3.9</w:t>
            </w:r>
          </w:p>
        </w:tc>
        <w:tc>
          <w:tcPr>
            <w:tcW w:w="633" w:type="dxa"/>
            <w:noWrap/>
          </w:tcPr>
          <w:p w14:paraId="1184728C" w14:textId="77777777" w:rsidR="00B02788" w:rsidRDefault="00B02788" w:rsidP="00C21BAD">
            <w:pPr>
              <w:pStyle w:val="TableTextCentred"/>
            </w:pPr>
            <w:r>
              <w:t> -</w:t>
            </w:r>
          </w:p>
        </w:tc>
        <w:tc>
          <w:tcPr>
            <w:tcW w:w="633" w:type="dxa"/>
            <w:noWrap/>
          </w:tcPr>
          <w:p w14:paraId="212B3004" w14:textId="77777777" w:rsidR="00B02788" w:rsidRDefault="00B02788" w:rsidP="00C21BAD">
            <w:pPr>
              <w:pStyle w:val="TableTextCentred"/>
            </w:pPr>
            <w:r>
              <w:t> -</w:t>
            </w:r>
          </w:p>
        </w:tc>
        <w:tc>
          <w:tcPr>
            <w:tcW w:w="594" w:type="dxa"/>
            <w:noWrap/>
          </w:tcPr>
          <w:p w14:paraId="10DDC40D" w14:textId="77777777" w:rsidR="00B02788" w:rsidRDefault="00B02788" w:rsidP="00C21BAD">
            <w:pPr>
              <w:pStyle w:val="TableTextCentred"/>
            </w:pPr>
            <w:r>
              <w:t> -</w:t>
            </w:r>
          </w:p>
        </w:tc>
        <w:tc>
          <w:tcPr>
            <w:tcW w:w="1162" w:type="dxa"/>
          </w:tcPr>
          <w:p w14:paraId="26B6DBD9" w14:textId="77777777" w:rsidR="00B02788" w:rsidRDefault="00B02788" w:rsidP="00C21BAD">
            <w:pPr>
              <w:pStyle w:val="TableTextLeft"/>
            </w:pPr>
            <w:r>
              <w:t>Shale gas, tight gas</w:t>
            </w:r>
          </w:p>
        </w:tc>
        <w:tc>
          <w:tcPr>
            <w:tcW w:w="1843" w:type="dxa"/>
            <w:noWrap/>
          </w:tcPr>
          <w:p w14:paraId="501CE55A" w14:textId="77777777" w:rsidR="00B02788" w:rsidRDefault="00B02788" w:rsidP="00C21BAD">
            <w:pPr>
              <w:pStyle w:val="TableTextLeft"/>
            </w:pPr>
            <w:r>
              <w:t>Various</w:t>
            </w:r>
          </w:p>
        </w:tc>
        <w:tc>
          <w:tcPr>
            <w:tcW w:w="1701" w:type="dxa"/>
          </w:tcPr>
          <w:p w14:paraId="7F979F82" w14:textId="6F7FFAB1" w:rsidR="00B02788" w:rsidRDefault="00B02788" w:rsidP="00C21BAD">
            <w:pPr>
              <w:pStyle w:val="TableTextLeft"/>
            </w:pPr>
            <w:r>
              <w:t>Beach Energy (2015)</w:t>
            </w:r>
          </w:p>
        </w:tc>
      </w:tr>
      <w:tr w:rsidR="00B02788" w:rsidRPr="00D27DD2" w14:paraId="18CE6C34"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07197975" w14:textId="77777777" w:rsidR="00B02788" w:rsidRDefault="00B02788" w:rsidP="00C21BAD">
            <w:pPr>
              <w:pStyle w:val="TableTextLeft"/>
            </w:pPr>
            <w:r>
              <w:t>Cooper Basin</w:t>
            </w:r>
          </w:p>
        </w:tc>
        <w:tc>
          <w:tcPr>
            <w:tcW w:w="992" w:type="dxa"/>
            <w:noWrap/>
          </w:tcPr>
          <w:p w14:paraId="77552A3C" w14:textId="77777777" w:rsidR="00B02788" w:rsidRDefault="00B02788" w:rsidP="00C21BAD">
            <w:pPr>
              <w:pStyle w:val="TableTextLeft"/>
            </w:pPr>
            <w:r>
              <w:t>QLD</w:t>
            </w:r>
          </w:p>
        </w:tc>
        <w:tc>
          <w:tcPr>
            <w:tcW w:w="1701" w:type="dxa"/>
            <w:noWrap/>
          </w:tcPr>
          <w:p w14:paraId="19422A7F" w14:textId="77777777" w:rsidR="00B02788" w:rsidRDefault="00B02788" w:rsidP="00C21BAD">
            <w:pPr>
              <w:pStyle w:val="TableTextLeft"/>
            </w:pPr>
            <w:r>
              <w:t>ATP 940 (100%)</w:t>
            </w:r>
          </w:p>
        </w:tc>
        <w:tc>
          <w:tcPr>
            <w:tcW w:w="1052" w:type="dxa"/>
            <w:noWrap/>
          </w:tcPr>
          <w:p w14:paraId="1A6516CA" w14:textId="77777777" w:rsidR="00B02788" w:rsidRDefault="00B02788" w:rsidP="00C21BAD">
            <w:pPr>
              <w:pStyle w:val="TableTextLeft"/>
            </w:pPr>
            <w:r>
              <w:t>Drillsearch</w:t>
            </w:r>
          </w:p>
        </w:tc>
        <w:tc>
          <w:tcPr>
            <w:tcW w:w="633" w:type="dxa"/>
            <w:noWrap/>
          </w:tcPr>
          <w:p w14:paraId="33281641" w14:textId="77777777" w:rsidR="00B02788" w:rsidRDefault="00B02788" w:rsidP="00C21BAD">
            <w:pPr>
              <w:pStyle w:val="TableTextCentred"/>
            </w:pPr>
            <w:r>
              <w:t>0.22</w:t>
            </w:r>
          </w:p>
        </w:tc>
        <w:tc>
          <w:tcPr>
            <w:tcW w:w="755" w:type="dxa"/>
            <w:noWrap/>
          </w:tcPr>
          <w:p w14:paraId="23EA9169" w14:textId="77777777" w:rsidR="00B02788" w:rsidRDefault="00B02788" w:rsidP="00C21BAD">
            <w:pPr>
              <w:pStyle w:val="TableTextCentred"/>
            </w:pPr>
            <w:r>
              <w:t>0.77</w:t>
            </w:r>
          </w:p>
        </w:tc>
        <w:tc>
          <w:tcPr>
            <w:tcW w:w="633" w:type="dxa"/>
            <w:noWrap/>
          </w:tcPr>
          <w:p w14:paraId="78D91BCB" w14:textId="77777777" w:rsidR="00B02788" w:rsidRDefault="00B02788" w:rsidP="00C21BAD">
            <w:pPr>
              <w:pStyle w:val="TableTextCentred"/>
            </w:pPr>
            <w:r>
              <w:t>1.85</w:t>
            </w:r>
          </w:p>
        </w:tc>
        <w:tc>
          <w:tcPr>
            <w:tcW w:w="633" w:type="dxa"/>
            <w:noWrap/>
          </w:tcPr>
          <w:p w14:paraId="3C0C32DB" w14:textId="77777777" w:rsidR="00B02788" w:rsidRDefault="00B02788" w:rsidP="00C21BAD">
            <w:pPr>
              <w:pStyle w:val="TableTextCentred"/>
            </w:pPr>
            <w:r>
              <w:t> -</w:t>
            </w:r>
          </w:p>
        </w:tc>
        <w:tc>
          <w:tcPr>
            <w:tcW w:w="633" w:type="dxa"/>
            <w:noWrap/>
          </w:tcPr>
          <w:p w14:paraId="3B07DBFE" w14:textId="77777777" w:rsidR="00B02788" w:rsidRDefault="00B02788" w:rsidP="00C21BAD">
            <w:pPr>
              <w:pStyle w:val="TableTextCentred"/>
            </w:pPr>
            <w:r>
              <w:t> -</w:t>
            </w:r>
          </w:p>
        </w:tc>
        <w:tc>
          <w:tcPr>
            <w:tcW w:w="594" w:type="dxa"/>
            <w:noWrap/>
          </w:tcPr>
          <w:p w14:paraId="378F7059" w14:textId="77777777" w:rsidR="00B02788" w:rsidRDefault="00B02788" w:rsidP="00C21BAD">
            <w:pPr>
              <w:pStyle w:val="TableTextCentred"/>
            </w:pPr>
            <w:r>
              <w:t> -</w:t>
            </w:r>
          </w:p>
        </w:tc>
        <w:tc>
          <w:tcPr>
            <w:tcW w:w="1162" w:type="dxa"/>
          </w:tcPr>
          <w:p w14:paraId="14D5CE57" w14:textId="77777777" w:rsidR="00B02788" w:rsidRDefault="00B02788" w:rsidP="00C21BAD">
            <w:pPr>
              <w:pStyle w:val="TableTextLeft"/>
            </w:pPr>
            <w:r>
              <w:t>Shale gas, tight gas</w:t>
            </w:r>
          </w:p>
        </w:tc>
        <w:tc>
          <w:tcPr>
            <w:tcW w:w="1843" w:type="dxa"/>
            <w:noWrap/>
          </w:tcPr>
          <w:p w14:paraId="6959A86F" w14:textId="77777777" w:rsidR="00B02788" w:rsidRDefault="00B02788" w:rsidP="00C21BAD">
            <w:pPr>
              <w:pStyle w:val="TableTextLeft"/>
            </w:pPr>
            <w:r>
              <w:t>At Charal-1 and Anakin-1</w:t>
            </w:r>
          </w:p>
        </w:tc>
        <w:tc>
          <w:tcPr>
            <w:tcW w:w="1701" w:type="dxa"/>
          </w:tcPr>
          <w:p w14:paraId="2F9F9972" w14:textId="61311845" w:rsidR="00B02788" w:rsidRDefault="00B02788" w:rsidP="00C21BAD">
            <w:pPr>
              <w:pStyle w:val="TableTextLeft"/>
            </w:pPr>
            <w:r>
              <w:t>Drillsearch (2015)</w:t>
            </w:r>
          </w:p>
        </w:tc>
      </w:tr>
      <w:tr w:rsidR="004B10C9" w:rsidRPr="00D27DD2" w14:paraId="34CEA14E"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744F926B" w14:textId="0933F8D0" w:rsidR="004B10C9" w:rsidRDefault="004B10C9" w:rsidP="00C21BAD">
            <w:pPr>
              <w:pStyle w:val="TableTextLeft"/>
            </w:pPr>
            <w:r w:rsidRPr="00AE3A3D">
              <w:t>Cooper Basin</w:t>
            </w:r>
          </w:p>
        </w:tc>
        <w:tc>
          <w:tcPr>
            <w:tcW w:w="992" w:type="dxa"/>
            <w:noWrap/>
          </w:tcPr>
          <w:p w14:paraId="2BB10118" w14:textId="29DD0979" w:rsidR="004B10C9" w:rsidRDefault="004B10C9" w:rsidP="00C21BAD">
            <w:pPr>
              <w:pStyle w:val="TableTextLeft"/>
            </w:pPr>
            <w:r w:rsidRPr="00AE3A3D">
              <w:t>SA</w:t>
            </w:r>
          </w:p>
        </w:tc>
        <w:tc>
          <w:tcPr>
            <w:tcW w:w="1701" w:type="dxa"/>
            <w:noWrap/>
          </w:tcPr>
          <w:p w14:paraId="4083B0B0" w14:textId="1FC12C7E" w:rsidR="004B10C9" w:rsidRDefault="004B10C9" w:rsidP="00C21BAD">
            <w:pPr>
              <w:pStyle w:val="TableTextLeft"/>
            </w:pPr>
            <w:r w:rsidRPr="00AE3A3D">
              <w:t>CBJV (PPLs 7, 8, 9, 11, 101, 102, 113)</w:t>
            </w:r>
          </w:p>
        </w:tc>
        <w:tc>
          <w:tcPr>
            <w:tcW w:w="1052" w:type="dxa"/>
            <w:noWrap/>
          </w:tcPr>
          <w:p w14:paraId="171E27E8" w14:textId="50D4A6D4" w:rsidR="004B10C9" w:rsidRDefault="004B10C9" w:rsidP="00C21BAD">
            <w:pPr>
              <w:pStyle w:val="TableTextLeft"/>
            </w:pPr>
            <w:r w:rsidRPr="00AE3A3D">
              <w:t>Santos</w:t>
            </w:r>
          </w:p>
        </w:tc>
        <w:tc>
          <w:tcPr>
            <w:tcW w:w="633" w:type="dxa"/>
            <w:noWrap/>
          </w:tcPr>
          <w:p w14:paraId="7AEDAC32" w14:textId="0910F0AE" w:rsidR="004B10C9" w:rsidRDefault="004B10C9" w:rsidP="00C21BAD">
            <w:pPr>
              <w:pStyle w:val="TableTextCentred"/>
            </w:pPr>
            <w:r w:rsidRPr="00AE3A3D">
              <w:t>1.73</w:t>
            </w:r>
          </w:p>
        </w:tc>
        <w:tc>
          <w:tcPr>
            <w:tcW w:w="755" w:type="dxa"/>
            <w:noWrap/>
          </w:tcPr>
          <w:p w14:paraId="0AF3EDDB" w14:textId="69EDF8A2" w:rsidR="004B10C9" w:rsidRDefault="004B10C9" w:rsidP="00C21BAD">
            <w:pPr>
              <w:pStyle w:val="TableTextCentred"/>
            </w:pPr>
            <w:r w:rsidRPr="00AE3A3D">
              <w:t>3.52</w:t>
            </w:r>
          </w:p>
        </w:tc>
        <w:tc>
          <w:tcPr>
            <w:tcW w:w="633" w:type="dxa"/>
            <w:noWrap/>
          </w:tcPr>
          <w:p w14:paraId="4AF8AF6B" w14:textId="69684C3F" w:rsidR="004B10C9" w:rsidRDefault="004B10C9" w:rsidP="00C21BAD">
            <w:pPr>
              <w:pStyle w:val="TableTextCentred"/>
            </w:pPr>
            <w:r w:rsidRPr="00AE3A3D">
              <w:t>6.84</w:t>
            </w:r>
          </w:p>
        </w:tc>
        <w:tc>
          <w:tcPr>
            <w:tcW w:w="633" w:type="dxa"/>
            <w:noWrap/>
          </w:tcPr>
          <w:p w14:paraId="416E72F0" w14:textId="77777777" w:rsidR="004B10C9" w:rsidRDefault="004B10C9" w:rsidP="00C21BAD">
            <w:pPr>
              <w:pStyle w:val="TableTextCentred"/>
            </w:pPr>
          </w:p>
        </w:tc>
        <w:tc>
          <w:tcPr>
            <w:tcW w:w="633" w:type="dxa"/>
            <w:noWrap/>
          </w:tcPr>
          <w:p w14:paraId="453C3D93" w14:textId="77777777" w:rsidR="004B10C9" w:rsidRDefault="004B10C9" w:rsidP="00C21BAD">
            <w:pPr>
              <w:pStyle w:val="TableTextCentred"/>
            </w:pPr>
          </w:p>
        </w:tc>
        <w:tc>
          <w:tcPr>
            <w:tcW w:w="594" w:type="dxa"/>
            <w:noWrap/>
          </w:tcPr>
          <w:p w14:paraId="331308D2" w14:textId="77777777" w:rsidR="004B10C9" w:rsidRDefault="004B10C9" w:rsidP="00C21BAD">
            <w:pPr>
              <w:pStyle w:val="TableTextCentred"/>
            </w:pPr>
          </w:p>
        </w:tc>
        <w:tc>
          <w:tcPr>
            <w:tcW w:w="1162" w:type="dxa"/>
          </w:tcPr>
          <w:p w14:paraId="7C4620A6" w14:textId="6141EE38" w:rsidR="004B10C9" w:rsidRDefault="004B10C9" w:rsidP="00C21BAD">
            <w:pPr>
              <w:pStyle w:val="TableTextLeft"/>
            </w:pPr>
            <w:r w:rsidRPr="00AE3A3D">
              <w:t>Shale gas, tight gas</w:t>
            </w:r>
          </w:p>
        </w:tc>
        <w:tc>
          <w:tcPr>
            <w:tcW w:w="1843" w:type="dxa"/>
            <w:noWrap/>
          </w:tcPr>
          <w:p w14:paraId="295F81A2" w14:textId="395CB24F" w:rsidR="004B10C9" w:rsidRDefault="004B10C9" w:rsidP="00C21BAD">
            <w:pPr>
              <w:pStyle w:val="TableTextLeft"/>
            </w:pPr>
            <w:r w:rsidRPr="00AE3A3D">
              <w:t>Winnie 3D Shale Gas</w:t>
            </w:r>
          </w:p>
        </w:tc>
        <w:tc>
          <w:tcPr>
            <w:tcW w:w="1701" w:type="dxa"/>
          </w:tcPr>
          <w:p w14:paraId="4FFCEAF5" w14:textId="343163FB" w:rsidR="004B10C9" w:rsidRDefault="004B10C9" w:rsidP="00C21BAD">
            <w:pPr>
              <w:pStyle w:val="TableTextLeft"/>
            </w:pPr>
            <w:r w:rsidRPr="00AE3A3D">
              <w:t>Company</w:t>
            </w:r>
          </w:p>
        </w:tc>
      </w:tr>
      <w:tr w:rsidR="00B02788" w:rsidRPr="00D27DD2" w14:paraId="67F0760D"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45D43CF5" w14:textId="77777777" w:rsidR="00B02788" w:rsidRDefault="00B02788" w:rsidP="00C21BAD">
            <w:pPr>
              <w:pStyle w:val="TableTextLeft"/>
            </w:pPr>
            <w:r>
              <w:t>Cooper Basin</w:t>
            </w:r>
          </w:p>
        </w:tc>
        <w:tc>
          <w:tcPr>
            <w:tcW w:w="992" w:type="dxa"/>
            <w:noWrap/>
          </w:tcPr>
          <w:p w14:paraId="7A336B73" w14:textId="77777777" w:rsidR="00B02788" w:rsidRDefault="00B02788" w:rsidP="00C21BAD">
            <w:pPr>
              <w:pStyle w:val="TableTextLeft"/>
            </w:pPr>
            <w:r>
              <w:t>SA</w:t>
            </w:r>
          </w:p>
        </w:tc>
        <w:tc>
          <w:tcPr>
            <w:tcW w:w="1701" w:type="dxa"/>
            <w:noWrap/>
          </w:tcPr>
          <w:p w14:paraId="21AE22ED" w14:textId="77777777" w:rsidR="00B02788" w:rsidRDefault="00B02788" w:rsidP="00C21BAD">
            <w:pPr>
              <w:pStyle w:val="TableTextLeft"/>
            </w:pPr>
            <w:r>
              <w:t>PEL 115, 516</w:t>
            </w:r>
          </w:p>
        </w:tc>
        <w:tc>
          <w:tcPr>
            <w:tcW w:w="1052" w:type="dxa"/>
            <w:noWrap/>
          </w:tcPr>
          <w:p w14:paraId="307E9339" w14:textId="77777777" w:rsidR="00B02788" w:rsidRDefault="00B02788" w:rsidP="00C21BAD">
            <w:pPr>
              <w:pStyle w:val="TableTextLeft"/>
            </w:pPr>
            <w:r>
              <w:t>Senex</w:t>
            </w:r>
          </w:p>
        </w:tc>
        <w:tc>
          <w:tcPr>
            <w:tcW w:w="633" w:type="dxa"/>
            <w:noWrap/>
          </w:tcPr>
          <w:p w14:paraId="02E2C33C" w14:textId="77777777" w:rsidR="00B02788" w:rsidRDefault="00B02788" w:rsidP="00C21BAD">
            <w:pPr>
              <w:pStyle w:val="TableTextCentred"/>
            </w:pPr>
            <w:r>
              <w:t>0.15</w:t>
            </w:r>
          </w:p>
        </w:tc>
        <w:tc>
          <w:tcPr>
            <w:tcW w:w="755" w:type="dxa"/>
            <w:noWrap/>
          </w:tcPr>
          <w:p w14:paraId="506879E3" w14:textId="77777777" w:rsidR="00B02788" w:rsidRDefault="00B02788" w:rsidP="00C21BAD">
            <w:pPr>
              <w:pStyle w:val="TableTextCentred"/>
            </w:pPr>
            <w:r>
              <w:t>0.84</w:t>
            </w:r>
          </w:p>
        </w:tc>
        <w:tc>
          <w:tcPr>
            <w:tcW w:w="633" w:type="dxa"/>
            <w:noWrap/>
          </w:tcPr>
          <w:p w14:paraId="5318CFEF" w14:textId="77777777" w:rsidR="00B02788" w:rsidRDefault="00B02788" w:rsidP="00C21BAD">
            <w:pPr>
              <w:pStyle w:val="TableTextCentred"/>
            </w:pPr>
            <w:r>
              <w:t>2.37</w:t>
            </w:r>
          </w:p>
        </w:tc>
        <w:tc>
          <w:tcPr>
            <w:tcW w:w="633" w:type="dxa"/>
            <w:noWrap/>
          </w:tcPr>
          <w:p w14:paraId="79EDE5D4" w14:textId="77777777" w:rsidR="00B02788" w:rsidRDefault="00B02788" w:rsidP="00C21BAD">
            <w:pPr>
              <w:pStyle w:val="TableTextCentred"/>
            </w:pPr>
            <w:r>
              <w:t> -</w:t>
            </w:r>
          </w:p>
        </w:tc>
        <w:tc>
          <w:tcPr>
            <w:tcW w:w="633" w:type="dxa"/>
            <w:noWrap/>
          </w:tcPr>
          <w:p w14:paraId="3696E656" w14:textId="77777777" w:rsidR="00B02788" w:rsidRDefault="00B02788" w:rsidP="00C21BAD">
            <w:pPr>
              <w:pStyle w:val="TableTextCentred"/>
            </w:pPr>
            <w:r>
              <w:t>- </w:t>
            </w:r>
          </w:p>
        </w:tc>
        <w:tc>
          <w:tcPr>
            <w:tcW w:w="594" w:type="dxa"/>
            <w:noWrap/>
          </w:tcPr>
          <w:p w14:paraId="560F2F82" w14:textId="77777777" w:rsidR="00B02788" w:rsidRDefault="00B02788" w:rsidP="00C21BAD">
            <w:pPr>
              <w:pStyle w:val="TableTextCentred"/>
            </w:pPr>
            <w:r>
              <w:t> -</w:t>
            </w:r>
          </w:p>
        </w:tc>
        <w:tc>
          <w:tcPr>
            <w:tcW w:w="1162" w:type="dxa"/>
          </w:tcPr>
          <w:p w14:paraId="1F9E65E5" w14:textId="77777777" w:rsidR="00B02788" w:rsidRDefault="00B02788" w:rsidP="00C21BAD">
            <w:pPr>
              <w:pStyle w:val="TableTextLeft"/>
            </w:pPr>
            <w:r>
              <w:t>Tight gas</w:t>
            </w:r>
          </w:p>
        </w:tc>
        <w:tc>
          <w:tcPr>
            <w:tcW w:w="1843" w:type="dxa"/>
            <w:noWrap/>
          </w:tcPr>
          <w:p w14:paraId="1AB7C99A" w14:textId="77777777" w:rsidR="00B02788" w:rsidRDefault="00B02788" w:rsidP="00C21BAD">
            <w:pPr>
              <w:pStyle w:val="TableTextLeft"/>
            </w:pPr>
            <w:r>
              <w:t>Tight sands around the Hornet field</w:t>
            </w:r>
          </w:p>
        </w:tc>
        <w:tc>
          <w:tcPr>
            <w:tcW w:w="1701" w:type="dxa"/>
          </w:tcPr>
          <w:p w14:paraId="17BDD065" w14:textId="5C1965C5" w:rsidR="00B02788" w:rsidRDefault="00B02788" w:rsidP="00C21BAD">
            <w:pPr>
              <w:pStyle w:val="TableTextLeft"/>
            </w:pPr>
            <w:r>
              <w:t>Senex (2013)</w:t>
            </w:r>
          </w:p>
        </w:tc>
      </w:tr>
      <w:tr w:rsidR="00B02788" w:rsidRPr="00D27DD2" w14:paraId="06D4C657"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hideMark/>
          </w:tcPr>
          <w:p w14:paraId="0EEDB5E1" w14:textId="77777777" w:rsidR="00B02788" w:rsidRDefault="00B02788" w:rsidP="00C21BAD">
            <w:pPr>
              <w:pStyle w:val="TableTextLeft"/>
            </w:pPr>
            <w:r>
              <w:lastRenderedPageBreak/>
              <w:t>Cooper Basin</w:t>
            </w:r>
          </w:p>
        </w:tc>
        <w:tc>
          <w:tcPr>
            <w:tcW w:w="992" w:type="dxa"/>
            <w:noWrap/>
            <w:hideMark/>
          </w:tcPr>
          <w:p w14:paraId="50673475" w14:textId="77777777" w:rsidR="00B02788" w:rsidRDefault="00B02788" w:rsidP="00C21BAD">
            <w:pPr>
              <w:pStyle w:val="TableTextLeft"/>
            </w:pPr>
            <w:r>
              <w:t>SA</w:t>
            </w:r>
          </w:p>
        </w:tc>
        <w:tc>
          <w:tcPr>
            <w:tcW w:w="1701" w:type="dxa"/>
            <w:noWrap/>
            <w:hideMark/>
          </w:tcPr>
          <w:p w14:paraId="22543D6E" w14:textId="77777777" w:rsidR="00B02788" w:rsidRDefault="00B02788" w:rsidP="00C21BAD">
            <w:pPr>
              <w:pStyle w:val="TableTextLeft"/>
            </w:pPr>
            <w:r>
              <w:t>PEL 516 (Allunga Trough)</w:t>
            </w:r>
          </w:p>
        </w:tc>
        <w:tc>
          <w:tcPr>
            <w:tcW w:w="1052" w:type="dxa"/>
            <w:noWrap/>
            <w:hideMark/>
          </w:tcPr>
          <w:p w14:paraId="14C55F09" w14:textId="77777777" w:rsidR="00B02788" w:rsidRDefault="00B02788" w:rsidP="00C21BAD">
            <w:pPr>
              <w:pStyle w:val="TableTextLeft"/>
            </w:pPr>
            <w:r>
              <w:t>Senex</w:t>
            </w:r>
          </w:p>
        </w:tc>
        <w:tc>
          <w:tcPr>
            <w:tcW w:w="633" w:type="dxa"/>
            <w:noWrap/>
            <w:hideMark/>
          </w:tcPr>
          <w:p w14:paraId="72DB86FA" w14:textId="77777777" w:rsidR="00B02788" w:rsidRDefault="00B02788" w:rsidP="00C21BAD">
            <w:pPr>
              <w:pStyle w:val="TableTextCentred"/>
            </w:pPr>
            <w:r>
              <w:t>0.12</w:t>
            </w:r>
          </w:p>
        </w:tc>
        <w:tc>
          <w:tcPr>
            <w:tcW w:w="755" w:type="dxa"/>
            <w:noWrap/>
            <w:hideMark/>
          </w:tcPr>
          <w:p w14:paraId="6AD61330" w14:textId="77777777" w:rsidR="00B02788" w:rsidRDefault="00B02788" w:rsidP="00C21BAD">
            <w:pPr>
              <w:pStyle w:val="TableTextCentred"/>
            </w:pPr>
            <w:r>
              <w:t>0.7</w:t>
            </w:r>
          </w:p>
        </w:tc>
        <w:tc>
          <w:tcPr>
            <w:tcW w:w="633" w:type="dxa"/>
            <w:noWrap/>
            <w:hideMark/>
          </w:tcPr>
          <w:p w14:paraId="31AB07B5" w14:textId="77777777" w:rsidR="00B02788" w:rsidRDefault="00B02788" w:rsidP="00C21BAD">
            <w:pPr>
              <w:pStyle w:val="TableTextCentred"/>
            </w:pPr>
            <w:r>
              <w:t>2.05</w:t>
            </w:r>
          </w:p>
        </w:tc>
        <w:tc>
          <w:tcPr>
            <w:tcW w:w="633" w:type="dxa"/>
            <w:noWrap/>
            <w:hideMark/>
          </w:tcPr>
          <w:p w14:paraId="09537A8E" w14:textId="77777777" w:rsidR="00B02788" w:rsidRDefault="00B02788" w:rsidP="00C21BAD">
            <w:pPr>
              <w:pStyle w:val="TableTextCentred"/>
            </w:pPr>
            <w:r>
              <w:t> -</w:t>
            </w:r>
          </w:p>
        </w:tc>
        <w:tc>
          <w:tcPr>
            <w:tcW w:w="633" w:type="dxa"/>
            <w:noWrap/>
            <w:hideMark/>
          </w:tcPr>
          <w:p w14:paraId="62915E38" w14:textId="77777777" w:rsidR="00B02788" w:rsidRDefault="00B02788" w:rsidP="00C21BAD">
            <w:pPr>
              <w:pStyle w:val="TableTextCentred"/>
            </w:pPr>
            <w:r>
              <w:t> -</w:t>
            </w:r>
          </w:p>
        </w:tc>
        <w:tc>
          <w:tcPr>
            <w:tcW w:w="594" w:type="dxa"/>
            <w:noWrap/>
            <w:hideMark/>
          </w:tcPr>
          <w:p w14:paraId="7DD872DE" w14:textId="77777777" w:rsidR="00B02788" w:rsidRDefault="00B02788" w:rsidP="00C21BAD">
            <w:pPr>
              <w:pStyle w:val="TableTextCentred"/>
            </w:pPr>
            <w:r>
              <w:t> -</w:t>
            </w:r>
          </w:p>
        </w:tc>
        <w:tc>
          <w:tcPr>
            <w:tcW w:w="1162" w:type="dxa"/>
          </w:tcPr>
          <w:p w14:paraId="73BB9765" w14:textId="77777777" w:rsidR="00B02788" w:rsidRDefault="00B02788" w:rsidP="00C21BAD">
            <w:pPr>
              <w:pStyle w:val="TableTextLeft"/>
            </w:pPr>
            <w:r>
              <w:t>Shale gas, tight gas</w:t>
            </w:r>
          </w:p>
        </w:tc>
        <w:tc>
          <w:tcPr>
            <w:tcW w:w="1843" w:type="dxa"/>
            <w:noWrap/>
            <w:hideMark/>
          </w:tcPr>
          <w:p w14:paraId="7EABFB58" w14:textId="77777777" w:rsidR="00B02788" w:rsidRDefault="00B02788" w:rsidP="00C21BAD">
            <w:pPr>
              <w:pStyle w:val="TableTextLeft"/>
            </w:pPr>
            <w:r>
              <w:t>Patchawarra Formation and Murterre Shale at Sasanof 1</w:t>
            </w:r>
          </w:p>
        </w:tc>
        <w:tc>
          <w:tcPr>
            <w:tcW w:w="1701" w:type="dxa"/>
          </w:tcPr>
          <w:p w14:paraId="26D65056" w14:textId="2D899E0D" w:rsidR="00B02788" w:rsidRDefault="00B02788" w:rsidP="00C21BAD">
            <w:pPr>
              <w:pStyle w:val="TableTextLeft"/>
            </w:pPr>
            <w:r>
              <w:t>Senex (2013)</w:t>
            </w:r>
          </w:p>
        </w:tc>
      </w:tr>
      <w:tr w:rsidR="00B02788" w:rsidRPr="00D27DD2" w14:paraId="67A9D1DF"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2BC9BBF1" w14:textId="77777777" w:rsidR="00B02788" w:rsidRDefault="00B02788" w:rsidP="00C21BAD">
            <w:pPr>
              <w:pStyle w:val="TableTextLeft"/>
            </w:pPr>
            <w:r>
              <w:t>Cooper Basin</w:t>
            </w:r>
          </w:p>
        </w:tc>
        <w:tc>
          <w:tcPr>
            <w:tcW w:w="992" w:type="dxa"/>
            <w:noWrap/>
          </w:tcPr>
          <w:p w14:paraId="753BD933" w14:textId="77777777" w:rsidR="00B02788" w:rsidRDefault="00B02788" w:rsidP="00C21BAD">
            <w:pPr>
              <w:pStyle w:val="TableTextLeft"/>
            </w:pPr>
            <w:r>
              <w:t>SA</w:t>
            </w:r>
          </w:p>
        </w:tc>
        <w:tc>
          <w:tcPr>
            <w:tcW w:w="1701" w:type="dxa"/>
            <w:noWrap/>
          </w:tcPr>
          <w:p w14:paraId="140872C4" w14:textId="77777777" w:rsidR="00B02788" w:rsidRDefault="00B02788" w:rsidP="00C21BAD">
            <w:pPr>
              <w:pStyle w:val="TableTextLeft"/>
            </w:pPr>
            <w:r>
              <w:t>PEL 96 (southwestern Cooper Basin)</w:t>
            </w:r>
          </w:p>
        </w:tc>
        <w:tc>
          <w:tcPr>
            <w:tcW w:w="1052" w:type="dxa"/>
            <w:noWrap/>
          </w:tcPr>
          <w:p w14:paraId="232778A3" w14:textId="77777777" w:rsidR="00B02788" w:rsidRDefault="00B02788" w:rsidP="00C21BAD">
            <w:pPr>
              <w:pStyle w:val="TableTextLeft"/>
            </w:pPr>
            <w:r>
              <w:t>Strike</w:t>
            </w:r>
          </w:p>
        </w:tc>
        <w:tc>
          <w:tcPr>
            <w:tcW w:w="633" w:type="dxa"/>
            <w:noWrap/>
          </w:tcPr>
          <w:p w14:paraId="3C4BB7DE" w14:textId="77777777" w:rsidR="00B02788" w:rsidRDefault="00B02788" w:rsidP="00C21BAD">
            <w:pPr>
              <w:pStyle w:val="TableTextCentred"/>
            </w:pPr>
            <w:r>
              <w:t>0.16</w:t>
            </w:r>
          </w:p>
        </w:tc>
        <w:tc>
          <w:tcPr>
            <w:tcW w:w="755" w:type="dxa"/>
            <w:noWrap/>
          </w:tcPr>
          <w:p w14:paraId="3FD99165" w14:textId="77777777" w:rsidR="00B02788" w:rsidRDefault="00B02788" w:rsidP="00C21BAD">
            <w:pPr>
              <w:pStyle w:val="TableTextCentred"/>
            </w:pPr>
            <w:r>
              <w:t>0.23</w:t>
            </w:r>
          </w:p>
        </w:tc>
        <w:tc>
          <w:tcPr>
            <w:tcW w:w="633" w:type="dxa"/>
            <w:noWrap/>
          </w:tcPr>
          <w:p w14:paraId="18ABB00D" w14:textId="77777777" w:rsidR="00B02788" w:rsidRDefault="00B02788" w:rsidP="00C21BAD">
            <w:pPr>
              <w:pStyle w:val="TableTextCentred"/>
            </w:pPr>
            <w:r>
              <w:t>0.34</w:t>
            </w:r>
          </w:p>
        </w:tc>
        <w:tc>
          <w:tcPr>
            <w:tcW w:w="633" w:type="dxa"/>
            <w:noWrap/>
          </w:tcPr>
          <w:p w14:paraId="0D8DACD5" w14:textId="77777777" w:rsidR="00B02788" w:rsidRPr="00116B50" w:rsidRDefault="00B02788" w:rsidP="00C21BAD">
            <w:pPr>
              <w:pStyle w:val="TableTextCentred"/>
            </w:pPr>
            <w:r w:rsidRPr="00116B50">
              <w:t> </w:t>
            </w:r>
            <w:r>
              <w:t>-</w:t>
            </w:r>
          </w:p>
        </w:tc>
        <w:tc>
          <w:tcPr>
            <w:tcW w:w="633" w:type="dxa"/>
            <w:noWrap/>
          </w:tcPr>
          <w:p w14:paraId="0F2C0D25" w14:textId="77777777" w:rsidR="00B02788" w:rsidRPr="00116B50" w:rsidRDefault="00B02788" w:rsidP="00C21BAD">
            <w:pPr>
              <w:pStyle w:val="TableTextCentred"/>
            </w:pPr>
            <w:r w:rsidRPr="00116B50">
              <w:t> </w:t>
            </w:r>
            <w:r>
              <w:t>-</w:t>
            </w:r>
          </w:p>
        </w:tc>
        <w:tc>
          <w:tcPr>
            <w:tcW w:w="594" w:type="dxa"/>
            <w:noWrap/>
          </w:tcPr>
          <w:p w14:paraId="28010CE6" w14:textId="77777777" w:rsidR="00B02788" w:rsidRPr="00116B50" w:rsidRDefault="00B02788" w:rsidP="00C21BAD">
            <w:pPr>
              <w:pStyle w:val="TableTextCentred"/>
            </w:pPr>
            <w:r w:rsidRPr="00116B50">
              <w:t> </w:t>
            </w:r>
            <w:r>
              <w:t>-</w:t>
            </w:r>
          </w:p>
        </w:tc>
        <w:tc>
          <w:tcPr>
            <w:tcW w:w="1162" w:type="dxa"/>
          </w:tcPr>
          <w:p w14:paraId="4B589FD5" w14:textId="77777777" w:rsidR="00B02788" w:rsidRDefault="00B02788" w:rsidP="00C21BAD">
            <w:pPr>
              <w:pStyle w:val="TableTextLeft"/>
            </w:pPr>
            <w:r>
              <w:t>Tight gas, coal</w:t>
            </w:r>
          </w:p>
        </w:tc>
        <w:tc>
          <w:tcPr>
            <w:tcW w:w="1843" w:type="dxa"/>
            <w:noWrap/>
          </w:tcPr>
          <w:p w14:paraId="21F884C6" w14:textId="77777777" w:rsidR="00B02788" w:rsidRDefault="00B02788" w:rsidP="00C21BAD">
            <w:pPr>
              <w:pStyle w:val="TableTextLeft"/>
            </w:pPr>
            <w:r>
              <w:t>Patchawarra Formation coals at Le Chiffre-1 and Klebb-1</w:t>
            </w:r>
          </w:p>
        </w:tc>
        <w:tc>
          <w:tcPr>
            <w:tcW w:w="1701" w:type="dxa"/>
          </w:tcPr>
          <w:p w14:paraId="560A63F7" w14:textId="5B6CD34A" w:rsidR="00B02788" w:rsidRDefault="00B02788" w:rsidP="00C21BAD">
            <w:pPr>
              <w:pStyle w:val="TableTextLeft"/>
            </w:pPr>
            <w:r>
              <w:t>Strike Energy (2015)</w:t>
            </w:r>
          </w:p>
        </w:tc>
      </w:tr>
      <w:tr w:rsidR="00B02788" w:rsidRPr="00D27DD2" w14:paraId="47F0258A"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78E53B5D" w14:textId="77777777" w:rsidR="00B02788" w:rsidRDefault="00B02788" w:rsidP="00C21BAD">
            <w:pPr>
              <w:pStyle w:val="TableTextLeft"/>
            </w:pPr>
            <w:r>
              <w:t>Cooper Basin</w:t>
            </w:r>
          </w:p>
        </w:tc>
        <w:tc>
          <w:tcPr>
            <w:tcW w:w="992" w:type="dxa"/>
            <w:noWrap/>
          </w:tcPr>
          <w:p w14:paraId="0D235972" w14:textId="0EB09FBA" w:rsidR="00B02788" w:rsidRDefault="00B02788" w:rsidP="00C21BAD">
            <w:pPr>
              <w:pStyle w:val="TableTextLeft"/>
            </w:pPr>
            <w:r>
              <w:t>QLD, SA</w:t>
            </w:r>
          </w:p>
        </w:tc>
        <w:tc>
          <w:tcPr>
            <w:tcW w:w="1701" w:type="dxa"/>
            <w:noWrap/>
          </w:tcPr>
          <w:p w14:paraId="202B2B3B" w14:textId="7DAE610D" w:rsidR="00B02788" w:rsidRDefault="00B02788" w:rsidP="005C0F57">
            <w:pPr>
              <w:pStyle w:val="TableTextLeft"/>
            </w:pPr>
            <w:r>
              <w:t>Regional</w:t>
            </w:r>
            <w:r w:rsidR="005C0F57">
              <w:t xml:space="preserve">; </w:t>
            </w:r>
            <w:r w:rsidR="005C0F57" w:rsidRPr="005C0F57">
              <w:t>Patchawarra F</w:t>
            </w:r>
            <w:r w:rsidR="005C0F57">
              <w:t>m -</w:t>
            </w:r>
            <w:r w:rsidR="005C0F57" w:rsidRPr="005C0F57">
              <w:t>wet ga</w:t>
            </w:r>
            <w:r w:rsidR="005C0F57">
              <w:t>s 14,426 km</w:t>
            </w:r>
            <w:r w:rsidR="005C0F57" w:rsidRPr="005C0F57">
              <w:rPr>
                <w:vertAlign w:val="superscript"/>
              </w:rPr>
              <w:t>2</w:t>
            </w:r>
            <w:r w:rsidR="005C0F57">
              <w:t>, dry gas 3,417 km</w:t>
            </w:r>
            <w:r w:rsidR="005C0F57" w:rsidRPr="005C0F57">
              <w:rPr>
                <w:vertAlign w:val="superscript"/>
              </w:rPr>
              <w:t>2</w:t>
            </w:r>
            <w:r w:rsidR="005C0F57">
              <w:t>;</w:t>
            </w:r>
            <w:r w:rsidR="005C0F57" w:rsidRPr="005C0F57">
              <w:t xml:space="preserve"> Epsilon F</w:t>
            </w:r>
            <w:r w:rsidR="005C0F57">
              <w:t>m -</w:t>
            </w:r>
            <w:r w:rsidR="005C0F57" w:rsidRPr="005C0F57">
              <w:t xml:space="preserve"> wet gas</w:t>
            </w:r>
            <w:r w:rsidR="005C0F57">
              <w:t xml:space="preserve"> 5,413 km</w:t>
            </w:r>
            <w:r w:rsidR="005C0F57" w:rsidRPr="005C0F57">
              <w:rPr>
                <w:vertAlign w:val="superscript"/>
              </w:rPr>
              <w:t>2</w:t>
            </w:r>
            <w:r w:rsidR="005C0F57">
              <w:t>, dry gas 3,401 km</w:t>
            </w:r>
            <w:r w:rsidR="005C0F57" w:rsidRPr="005C0F57">
              <w:rPr>
                <w:vertAlign w:val="superscript"/>
              </w:rPr>
              <w:t>2</w:t>
            </w:r>
            <w:r w:rsidR="005C0F57">
              <w:t xml:space="preserve">; </w:t>
            </w:r>
            <w:r w:rsidR="005C0F57" w:rsidRPr="005C0F57">
              <w:t xml:space="preserve">Daralingie </w:t>
            </w:r>
            <w:r w:rsidR="005C0F57">
              <w:t>Fm -</w:t>
            </w:r>
            <w:r w:rsidR="005C0F57" w:rsidRPr="005C0F57">
              <w:t xml:space="preserve"> wet gas 4,691 km</w:t>
            </w:r>
            <w:r w:rsidR="005C0F57" w:rsidRPr="005C0F57">
              <w:rPr>
                <w:vertAlign w:val="superscript"/>
              </w:rPr>
              <w:t>2</w:t>
            </w:r>
            <w:r w:rsidR="005C0F57">
              <w:t xml:space="preserve">, dry gas 3,102 </w:t>
            </w:r>
            <w:r w:rsidR="005C0F57" w:rsidRPr="005C0F57">
              <w:t>km</w:t>
            </w:r>
            <w:r w:rsidR="005C0F57" w:rsidRPr="005C0F57">
              <w:rPr>
                <w:vertAlign w:val="superscript"/>
              </w:rPr>
              <w:t>2</w:t>
            </w:r>
            <w:r w:rsidR="005C0F57">
              <w:t xml:space="preserve">; </w:t>
            </w:r>
            <w:r w:rsidR="005C0F57" w:rsidRPr="005C0F57">
              <w:t xml:space="preserve">Toolachee </w:t>
            </w:r>
            <w:r w:rsidR="005C0F57">
              <w:t>Fm -</w:t>
            </w:r>
            <w:r w:rsidR="005C0F57" w:rsidRPr="005C0F57">
              <w:t xml:space="preserve"> wet gas 15,070 km</w:t>
            </w:r>
            <w:r w:rsidR="005C0F57" w:rsidRPr="005C0F57">
              <w:rPr>
                <w:vertAlign w:val="superscript"/>
              </w:rPr>
              <w:t>2</w:t>
            </w:r>
            <w:r w:rsidR="005C0F57" w:rsidRPr="005C0F57">
              <w:t>, dry gas 2,725 km</w:t>
            </w:r>
            <w:r w:rsidR="005C0F57" w:rsidRPr="005C0F57">
              <w:rPr>
                <w:vertAlign w:val="superscript"/>
              </w:rPr>
              <w:t>2</w:t>
            </w:r>
          </w:p>
        </w:tc>
        <w:tc>
          <w:tcPr>
            <w:tcW w:w="1052" w:type="dxa"/>
            <w:noWrap/>
          </w:tcPr>
          <w:p w14:paraId="33262E7B" w14:textId="28EC579F" w:rsidR="00B02788" w:rsidRDefault="00B02788" w:rsidP="00C21BAD">
            <w:pPr>
              <w:pStyle w:val="TableTextLeft"/>
            </w:pPr>
          </w:p>
        </w:tc>
        <w:tc>
          <w:tcPr>
            <w:tcW w:w="633" w:type="dxa"/>
            <w:noWrap/>
          </w:tcPr>
          <w:p w14:paraId="5AD1F96D" w14:textId="77777777" w:rsidR="00B02788" w:rsidRDefault="00B02788" w:rsidP="00C21BAD">
            <w:pPr>
              <w:pStyle w:val="TableTextCentred"/>
            </w:pPr>
            <w:r>
              <w:t> -</w:t>
            </w:r>
          </w:p>
        </w:tc>
        <w:tc>
          <w:tcPr>
            <w:tcW w:w="755" w:type="dxa"/>
            <w:noWrap/>
          </w:tcPr>
          <w:p w14:paraId="445AB525" w14:textId="77777777" w:rsidR="00B02788" w:rsidRDefault="00B02788" w:rsidP="00C21BAD">
            <w:pPr>
              <w:pStyle w:val="TableTextCentred"/>
            </w:pPr>
            <w:r>
              <w:t> -</w:t>
            </w:r>
          </w:p>
        </w:tc>
        <w:tc>
          <w:tcPr>
            <w:tcW w:w="633" w:type="dxa"/>
            <w:noWrap/>
          </w:tcPr>
          <w:p w14:paraId="66E43185" w14:textId="77777777" w:rsidR="00B02788" w:rsidRDefault="00B02788" w:rsidP="00C21BAD">
            <w:pPr>
              <w:pStyle w:val="TableTextCentred"/>
            </w:pPr>
            <w:r>
              <w:t> -</w:t>
            </w:r>
          </w:p>
        </w:tc>
        <w:tc>
          <w:tcPr>
            <w:tcW w:w="633" w:type="dxa"/>
            <w:noWrap/>
          </w:tcPr>
          <w:p w14:paraId="5B4C966E" w14:textId="51B4EF22" w:rsidR="00B02788" w:rsidRDefault="00B02788" w:rsidP="00C21BAD">
            <w:pPr>
              <w:pStyle w:val="TableTextCentred"/>
            </w:pPr>
            <w:r w:rsidRPr="0067343A">
              <w:t>-</w:t>
            </w:r>
          </w:p>
        </w:tc>
        <w:tc>
          <w:tcPr>
            <w:tcW w:w="633" w:type="dxa"/>
            <w:noWrap/>
          </w:tcPr>
          <w:p w14:paraId="2433CF02" w14:textId="09FEC557" w:rsidR="00B02788" w:rsidRDefault="00B02788" w:rsidP="00C21BAD">
            <w:pPr>
              <w:pStyle w:val="TableTextCentred"/>
            </w:pPr>
            <w:r>
              <w:t>50.9</w:t>
            </w:r>
          </w:p>
        </w:tc>
        <w:tc>
          <w:tcPr>
            <w:tcW w:w="594" w:type="dxa"/>
            <w:noWrap/>
          </w:tcPr>
          <w:p w14:paraId="7299396B" w14:textId="46CBFE09" w:rsidR="00B02788" w:rsidRDefault="00B02788" w:rsidP="00C21BAD">
            <w:pPr>
              <w:pStyle w:val="TableTextCentred"/>
            </w:pPr>
            <w:r w:rsidRPr="0067343A">
              <w:t>-</w:t>
            </w:r>
          </w:p>
        </w:tc>
        <w:tc>
          <w:tcPr>
            <w:tcW w:w="1162" w:type="dxa"/>
          </w:tcPr>
          <w:p w14:paraId="7B3CB8D3" w14:textId="0DEA3952" w:rsidR="00B02788" w:rsidRDefault="00B02788" w:rsidP="00AB7CF8">
            <w:pPr>
              <w:pStyle w:val="TableTextLeft"/>
            </w:pPr>
            <w:r>
              <w:t>Tight gas</w:t>
            </w:r>
          </w:p>
        </w:tc>
        <w:tc>
          <w:tcPr>
            <w:tcW w:w="1843" w:type="dxa"/>
            <w:noWrap/>
          </w:tcPr>
          <w:p w14:paraId="638B79B3" w14:textId="08CCA5F6" w:rsidR="00B02788" w:rsidRDefault="00B02788" w:rsidP="00C21BAD">
            <w:pPr>
              <w:pStyle w:val="TableTextLeft"/>
            </w:pPr>
            <w:r>
              <w:t>Toolachee, Epsilon and  Patchawarra formations</w:t>
            </w:r>
          </w:p>
        </w:tc>
        <w:tc>
          <w:tcPr>
            <w:tcW w:w="1701" w:type="dxa"/>
          </w:tcPr>
          <w:p w14:paraId="78C8BC63" w14:textId="0F823110" w:rsidR="00B02788" w:rsidRDefault="00B02788" w:rsidP="00C21BAD">
            <w:pPr>
              <w:pStyle w:val="TableTextLeft"/>
            </w:pPr>
            <w:r>
              <w:t>AERA (2018)</w:t>
            </w:r>
          </w:p>
        </w:tc>
      </w:tr>
      <w:tr w:rsidR="00B02788" w:rsidRPr="00D27DD2" w14:paraId="306E97F7"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7C9943E0" w14:textId="03AB8C35" w:rsidR="00B02788" w:rsidRDefault="00B02788" w:rsidP="00C21BAD">
            <w:pPr>
              <w:pStyle w:val="TableTextLeft"/>
            </w:pPr>
            <w:r>
              <w:t>Cooper Basin</w:t>
            </w:r>
          </w:p>
        </w:tc>
        <w:tc>
          <w:tcPr>
            <w:tcW w:w="992" w:type="dxa"/>
            <w:noWrap/>
          </w:tcPr>
          <w:p w14:paraId="1ECDF205" w14:textId="672E7A95" w:rsidR="00B02788" w:rsidRDefault="00B02788" w:rsidP="00C21BAD">
            <w:pPr>
              <w:pStyle w:val="TableTextLeft"/>
            </w:pPr>
            <w:r>
              <w:t>QLD, SA</w:t>
            </w:r>
          </w:p>
        </w:tc>
        <w:tc>
          <w:tcPr>
            <w:tcW w:w="1701" w:type="dxa"/>
            <w:noWrap/>
          </w:tcPr>
          <w:p w14:paraId="5DCA7737" w14:textId="5DB26E8E" w:rsidR="00B02788" w:rsidRDefault="00B02788" w:rsidP="0033715A">
            <w:pPr>
              <w:pStyle w:val="TableTextLeft"/>
            </w:pPr>
            <w:r>
              <w:t>Regional</w:t>
            </w:r>
            <w:r w:rsidR="0033715A">
              <w:t xml:space="preserve">; </w:t>
            </w:r>
            <w:r w:rsidR="0033715A" w:rsidRPr="0033715A">
              <w:t xml:space="preserve">Roseneath Shale </w:t>
            </w:r>
            <w:r w:rsidR="0033715A">
              <w:t xml:space="preserve">- </w:t>
            </w:r>
            <w:r w:rsidR="0033715A" w:rsidRPr="0033715A">
              <w:t xml:space="preserve"> wet g</w:t>
            </w:r>
            <w:r w:rsidR="0033715A">
              <w:t>as 3,834 km</w:t>
            </w:r>
            <w:r w:rsidR="0033715A" w:rsidRPr="0033715A">
              <w:rPr>
                <w:vertAlign w:val="superscript"/>
              </w:rPr>
              <w:t>2</w:t>
            </w:r>
            <w:r w:rsidR="0033715A">
              <w:t>, dry gas 3,403 km</w:t>
            </w:r>
            <w:r w:rsidR="0033715A" w:rsidRPr="0033715A">
              <w:rPr>
                <w:vertAlign w:val="superscript"/>
              </w:rPr>
              <w:t>2</w:t>
            </w:r>
            <w:r w:rsidR="0033715A">
              <w:t>;</w:t>
            </w:r>
            <w:r w:rsidR="0033715A" w:rsidRPr="0033715A">
              <w:t xml:space="preserve"> Murteree Shale </w:t>
            </w:r>
            <w:r w:rsidR="0033715A">
              <w:t xml:space="preserve">- </w:t>
            </w:r>
            <w:r w:rsidR="0033715A" w:rsidRPr="0033715A">
              <w:t>wet gas 3,454 km</w:t>
            </w:r>
            <w:r w:rsidR="0033715A" w:rsidRPr="0033715A">
              <w:rPr>
                <w:vertAlign w:val="superscript"/>
              </w:rPr>
              <w:t>2</w:t>
            </w:r>
            <w:r w:rsidR="0033715A" w:rsidRPr="0033715A">
              <w:t>, dry gas 3,291 km</w:t>
            </w:r>
            <w:r w:rsidR="0033715A" w:rsidRPr="0033715A">
              <w:rPr>
                <w:vertAlign w:val="superscript"/>
              </w:rPr>
              <w:t>2</w:t>
            </w:r>
          </w:p>
        </w:tc>
        <w:tc>
          <w:tcPr>
            <w:tcW w:w="1052" w:type="dxa"/>
            <w:noWrap/>
          </w:tcPr>
          <w:p w14:paraId="3B4C6B2C" w14:textId="77777777" w:rsidR="00B02788" w:rsidRDefault="00B02788" w:rsidP="00C21BAD">
            <w:pPr>
              <w:pStyle w:val="TableTextLeft"/>
            </w:pPr>
          </w:p>
        </w:tc>
        <w:tc>
          <w:tcPr>
            <w:tcW w:w="633" w:type="dxa"/>
            <w:noWrap/>
          </w:tcPr>
          <w:p w14:paraId="7DB849ED" w14:textId="0E58C3AB" w:rsidR="00B02788" w:rsidRDefault="00B02788" w:rsidP="00C21BAD">
            <w:pPr>
              <w:pStyle w:val="TableTextCentred"/>
            </w:pPr>
            <w:r>
              <w:t> -</w:t>
            </w:r>
          </w:p>
        </w:tc>
        <w:tc>
          <w:tcPr>
            <w:tcW w:w="755" w:type="dxa"/>
            <w:noWrap/>
          </w:tcPr>
          <w:p w14:paraId="21F90C39" w14:textId="7E5726B2" w:rsidR="00B02788" w:rsidRDefault="00B02788" w:rsidP="00C21BAD">
            <w:pPr>
              <w:pStyle w:val="TableTextCentred"/>
            </w:pPr>
            <w:r>
              <w:t> -</w:t>
            </w:r>
          </w:p>
        </w:tc>
        <w:tc>
          <w:tcPr>
            <w:tcW w:w="633" w:type="dxa"/>
            <w:noWrap/>
          </w:tcPr>
          <w:p w14:paraId="6A56BB99" w14:textId="707487FA" w:rsidR="00B02788" w:rsidRDefault="00B02788" w:rsidP="00C21BAD">
            <w:pPr>
              <w:pStyle w:val="TableTextCentred"/>
            </w:pPr>
            <w:r>
              <w:t> -</w:t>
            </w:r>
          </w:p>
        </w:tc>
        <w:tc>
          <w:tcPr>
            <w:tcW w:w="633" w:type="dxa"/>
            <w:noWrap/>
          </w:tcPr>
          <w:p w14:paraId="1C67D512" w14:textId="419171B0" w:rsidR="00B02788" w:rsidRPr="0067343A" w:rsidRDefault="00B02788" w:rsidP="00C21BAD">
            <w:pPr>
              <w:pStyle w:val="TableTextCentred"/>
            </w:pPr>
            <w:r w:rsidRPr="0067343A">
              <w:t>-</w:t>
            </w:r>
          </w:p>
        </w:tc>
        <w:tc>
          <w:tcPr>
            <w:tcW w:w="633" w:type="dxa"/>
            <w:noWrap/>
          </w:tcPr>
          <w:p w14:paraId="5665CA03" w14:textId="4347AE47" w:rsidR="00B02788" w:rsidRPr="0067343A" w:rsidRDefault="00B02788" w:rsidP="00C21BAD">
            <w:pPr>
              <w:pStyle w:val="TableTextCentred"/>
            </w:pPr>
            <w:r>
              <w:t>6.9</w:t>
            </w:r>
          </w:p>
        </w:tc>
        <w:tc>
          <w:tcPr>
            <w:tcW w:w="594" w:type="dxa"/>
            <w:noWrap/>
          </w:tcPr>
          <w:p w14:paraId="1A03B0F4" w14:textId="7698C54A" w:rsidR="00B02788" w:rsidRPr="0067343A" w:rsidRDefault="00B02788" w:rsidP="00C21BAD">
            <w:pPr>
              <w:pStyle w:val="TableTextCentred"/>
            </w:pPr>
            <w:r w:rsidRPr="0067343A">
              <w:t>-</w:t>
            </w:r>
          </w:p>
        </w:tc>
        <w:tc>
          <w:tcPr>
            <w:tcW w:w="1162" w:type="dxa"/>
          </w:tcPr>
          <w:p w14:paraId="1AA84EA5" w14:textId="6DA5A7FF" w:rsidR="00B02788" w:rsidRDefault="00B02788" w:rsidP="00C21BAD">
            <w:pPr>
              <w:pStyle w:val="TableTextLeft"/>
            </w:pPr>
            <w:r>
              <w:t>Shale gas</w:t>
            </w:r>
          </w:p>
        </w:tc>
        <w:tc>
          <w:tcPr>
            <w:tcW w:w="1843" w:type="dxa"/>
            <w:noWrap/>
          </w:tcPr>
          <w:p w14:paraId="45DDC6CA" w14:textId="5DD59367" w:rsidR="00B02788" w:rsidRDefault="00B02788" w:rsidP="00C21BAD">
            <w:pPr>
              <w:pStyle w:val="TableTextLeft"/>
            </w:pPr>
            <w:r>
              <w:t>Roseneath and Murteree shales</w:t>
            </w:r>
          </w:p>
        </w:tc>
        <w:tc>
          <w:tcPr>
            <w:tcW w:w="1701" w:type="dxa"/>
          </w:tcPr>
          <w:p w14:paraId="68200BB9" w14:textId="05EF0ABC" w:rsidR="00B02788" w:rsidRDefault="00B02788" w:rsidP="00C21BAD">
            <w:pPr>
              <w:pStyle w:val="TableTextLeft"/>
            </w:pPr>
            <w:r>
              <w:t>AERA (2018)</w:t>
            </w:r>
          </w:p>
        </w:tc>
      </w:tr>
      <w:tr w:rsidR="00B02788" w:rsidRPr="00D27DD2" w14:paraId="594A4B83"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hideMark/>
          </w:tcPr>
          <w:p w14:paraId="62DCF779" w14:textId="77777777" w:rsidR="00B02788" w:rsidRDefault="00B02788" w:rsidP="00C21BAD">
            <w:pPr>
              <w:pStyle w:val="TableTextLeft"/>
            </w:pPr>
            <w:r>
              <w:t>Georgina Basin</w:t>
            </w:r>
          </w:p>
        </w:tc>
        <w:tc>
          <w:tcPr>
            <w:tcW w:w="992" w:type="dxa"/>
            <w:noWrap/>
            <w:hideMark/>
          </w:tcPr>
          <w:p w14:paraId="520EBCB7" w14:textId="77777777" w:rsidR="00B02788" w:rsidRDefault="00B02788" w:rsidP="00C21BAD">
            <w:pPr>
              <w:pStyle w:val="TableTextLeft"/>
            </w:pPr>
            <w:r>
              <w:t>NT, QLD</w:t>
            </w:r>
          </w:p>
        </w:tc>
        <w:tc>
          <w:tcPr>
            <w:tcW w:w="1701" w:type="dxa"/>
            <w:noWrap/>
            <w:hideMark/>
          </w:tcPr>
          <w:p w14:paraId="1A6A9791" w14:textId="56F3CC03" w:rsidR="00B02788" w:rsidRDefault="00157982" w:rsidP="00C21BAD">
            <w:pPr>
              <w:pStyle w:val="TableTextLeft"/>
            </w:pPr>
            <w:r>
              <w:t xml:space="preserve">Regional; </w:t>
            </w:r>
            <w:r w:rsidR="007C6A6F">
              <w:t>14,43</w:t>
            </w:r>
            <w:r w:rsidR="007C6A6F" w:rsidRPr="00CA0BF9">
              <w:t>3</w:t>
            </w:r>
            <w:r w:rsidR="007C6A6F">
              <w:t xml:space="preserve"> </w:t>
            </w:r>
            <w:r w:rsidR="007C6A6F" w:rsidRPr="00752DA9">
              <w:t>km</w:t>
            </w:r>
            <w:r w:rsidR="007C6A6F" w:rsidRPr="00752DA9">
              <w:rPr>
                <w:rStyle w:val="Superscript"/>
              </w:rPr>
              <w:t>2</w:t>
            </w:r>
          </w:p>
        </w:tc>
        <w:tc>
          <w:tcPr>
            <w:tcW w:w="1052" w:type="dxa"/>
            <w:noWrap/>
            <w:hideMark/>
          </w:tcPr>
          <w:p w14:paraId="06455C69" w14:textId="77777777" w:rsidR="00B02788" w:rsidRDefault="00B02788" w:rsidP="00C21BAD">
            <w:pPr>
              <w:pStyle w:val="TableTextLeft"/>
            </w:pPr>
            <w:r>
              <w:t> </w:t>
            </w:r>
          </w:p>
        </w:tc>
        <w:tc>
          <w:tcPr>
            <w:tcW w:w="633" w:type="dxa"/>
            <w:noWrap/>
            <w:hideMark/>
          </w:tcPr>
          <w:p w14:paraId="2DF6ED9B" w14:textId="77777777" w:rsidR="00B02788" w:rsidRDefault="00B02788" w:rsidP="00C21BAD">
            <w:pPr>
              <w:pStyle w:val="TableTextCentred"/>
            </w:pPr>
            <w:r>
              <w:t> -</w:t>
            </w:r>
          </w:p>
        </w:tc>
        <w:tc>
          <w:tcPr>
            <w:tcW w:w="755" w:type="dxa"/>
            <w:noWrap/>
            <w:hideMark/>
          </w:tcPr>
          <w:p w14:paraId="75061564" w14:textId="77777777" w:rsidR="00B02788" w:rsidRDefault="00B02788" w:rsidP="00C21BAD">
            <w:pPr>
              <w:pStyle w:val="TableTextCentred"/>
            </w:pPr>
            <w:r>
              <w:t> -</w:t>
            </w:r>
          </w:p>
        </w:tc>
        <w:tc>
          <w:tcPr>
            <w:tcW w:w="633" w:type="dxa"/>
            <w:noWrap/>
            <w:hideMark/>
          </w:tcPr>
          <w:p w14:paraId="056FA57A" w14:textId="77777777" w:rsidR="00B02788" w:rsidRDefault="00B02788" w:rsidP="00C21BAD">
            <w:pPr>
              <w:pStyle w:val="TableTextCentred"/>
            </w:pPr>
            <w:r>
              <w:t> -</w:t>
            </w:r>
          </w:p>
        </w:tc>
        <w:tc>
          <w:tcPr>
            <w:tcW w:w="633" w:type="dxa"/>
            <w:noWrap/>
            <w:hideMark/>
          </w:tcPr>
          <w:p w14:paraId="272BEE72" w14:textId="77777777" w:rsidR="00B02788" w:rsidRDefault="00B02788" w:rsidP="00C21BAD">
            <w:pPr>
              <w:pStyle w:val="TableTextCentred"/>
            </w:pPr>
            <w:r>
              <w:t> -</w:t>
            </w:r>
          </w:p>
        </w:tc>
        <w:tc>
          <w:tcPr>
            <w:tcW w:w="633" w:type="dxa"/>
            <w:noWrap/>
            <w:hideMark/>
          </w:tcPr>
          <w:p w14:paraId="5B675CEF" w14:textId="77777777" w:rsidR="00B02788" w:rsidRDefault="00B02788" w:rsidP="00C21BAD">
            <w:pPr>
              <w:pStyle w:val="TableTextCentred"/>
            </w:pPr>
            <w:r>
              <w:t>50</w:t>
            </w:r>
          </w:p>
        </w:tc>
        <w:tc>
          <w:tcPr>
            <w:tcW w:w="594" w:type="dxa"/>
            <w:noWrap/>
            <w:hideMark/>
          </w:tcPr>
          <w:p w14:paraId="27652EA4" w14:textId="77777777" w:rsidR="00B02788" w:rsidRDefault="00B02788" w:rsidP="00C21BAD">
            <w:pPr>
              <w:pStyle w:val="TableTextCentred"/>
            </w:pPr>
            <w:r>
              <w:t> -</w:t>
            </w:r>
          </w:p>
        </w:tc>
        <w:tc>
          <w:tcPr>
            <w:tcW w:w="1162" w:type="dxa"/>
          </w:tcPr>
          <w:p w14:paraId="6FBB200B" w14:textId="77777777" w:rsidR="00B02788" w:rsidRDefault="00B02788" w:rsidP="00C21BAD">
            <w:pPr>
              <w:pStyle w:val="TableTextLeft"/>
            </w:pPr>
            <w:r>
              <w:t>Shale gas</w:t>
            </w:r>
          </w:p>
        </w:tc>
        <w:tc>
          <w:tcPr>
            <w:tcW w:w="1843" w:type="dxa"/>
            <w:noWrap/>
            <w:hideMark/>
          </w:tcPr>
          <w:p w14:paraId="78C9375C" w14:textId="77777777" w:rsidR="00B02788" w:rsidRDefault="00B02788" w:rsidP="00C21BAD">
            <w:pPr>
              <w:pStyle w:val="TableTextLeft"/>
            </w:pPr>
            <w:r>
              <w:t>Arthur Creek Formation</w:t>
            </w:r>
          </w:p>
        </w:tc>
        <w:tc>
          <w:tcPr>
            <w:tcW w:w="1701" w:type="dxa"/>
          </w:tcPr>
          <w:p w14:paraId="5A5DBDE1" w14:textId="21B8AB6B" w:rsidR="00B02788" w:rsidRDefault="00B02788" w:rsidP="00C21BAD">
            <w:pPr>
              <w:pStyle w:val="TableTextLeft"/>
            </w:pPr>
            <w:r>
              <w:t>AWT International (2013)</w:t>
            </w:r>
          </w:p>
        </w:tc>
      </w:tr>
      <w:tr w:rsidR="00B02788" w:rsidRPr="00D27DD2" w14:paraId="348A819F"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123FB437" w14:textId="77777777" w:rsidR="00B02788" w:rsidRDefault="00B02788" w:rsidP="00C21BAD">
            <w:pPr>
              <w:pStyle w:val="TableTextLeft"/>
            </w:pPr>
            <w:r>
              <w:lastRenderedPageBreak/>
              <w:t>Gippsland Basin</w:t>
            </w:r>
          </w:p>
        </w:tc>
        <w:tc>
          <w:tcPr>
            <w:tcW w:w="992" w:type="dxa"/>
            <w:noWrap/>
          </w:tcPr>
          <w:p w14:paraId="30F14A5E" w14:textId="77777777" w:rsidR="00B02788" w:rsidRDefault="00B02788" w:rsidP="00C21BAD">
            <w:pPr>
              <w:pStyle w:val="TableTextLeft"/>
            </w:pPr>
            <w:r>
              <w:t>VIC</w:t>
            </w:r>
          </w:p>
        </w:tc>
        <w:tc>
          <w:tcPr>
            <w:tcW w:w="1701" w:type="dxa"/>
            <w:noWrap/>
          </w:tcPr>
          <w:p w14:paraId="33BECE51" w14:textId="77777777" w:rsidR="00B02788" w:rsidRDefault="00B02788" w:rsidP="00C21BAD">
            <w:pPr>
              <w:pStyle w:val="TableTextLeft"/>
            </w:pPr>
            <w:r>
              <w:t>VIC/RRL2</w:t>
            </w:r>
          </w:p>
        </w:tc>
        <w:tc>
          <w:tcPr>
            <w:tcW w:w="1052" w:type="dxa"/>
            <w:noWrap/>
          </w:tcPr>
          <w:p w14:paraId="39FDCEEB" w14:textId="77777777" w:rsidR="00B02788" w:rsidRDefault="00B02788" w:rsidP="00C21BAD">
            <w:pPr>
              <w:pStyle w:val="TableTextLeft"/>
            </w:pPr>
            <w:r>
              <w:t>Lakes Oil</w:t>
            </w:r>
          </w:p>
        </w:tc>
        <w:tc>
          <w:tcPr>
            <w:tcW w:w="633" w:type="dxa"/>
            <w:noWrap/>
          </w:tcPr>
          <w:p w14:paraId="58F7F0E0" w14:textId="77777777" w:rsidR="00B02788" w:rsidRDefault="00B02788" w:rsidP="00C21BAD">
            <w:pPr>
              <w:pStyle w:val="TableTextCentred"/>
            </w:pPr>
            <w:r>
              <w:t>0.26</w:t>
            </w:r>
          </w:p>
        </w:tc>
        <w:tc>
          <w:tcPr>
            <w:tcW w:w="755" w:type="dxa"/>
            <w:noWrap/>
          </w:tcPr>
          <w:p w14:paraId="3AE0A39B" w14:textId="77777777" w:rsidR="00B02788" w:rsidRDefault="00B02788" w:rsidP="00C21BAD">
            <w:pPr>
              <w:pStyle w:val="TableTextCentred"/>
            </w:pPr>
            <w:r>
              <w:t>0.33</w:t>
            </w:r>
          </w:p>
        </w:tc>
        <w:tc>
          <w:tcPr>
            <w:tcW w:w="633" w:type="dxa"/>
            <w:noWrap/>
          </w:tcPr>
          <w:p w14:paraId="56F1502B" w14:textId="77777777" w:rsidR="00B02788" w:rsidRDefault="00B02788" w:rsidP="00C21BAD">
            <w:pPr>
              <w:pStyle w:val="TableTextCentred"/>
            </w:pPr>
            <w:r>
              <w:t>0.63</w:t>
            </w:r>
          </w:p>
        </w:tc>
        <w:tc>
          <w:tcPr>
            <w:tcW w:w="633" w:type="dxa"/>
            <w:noWrap/>
          </w:tcPr>
          <w:p w14:paraId="029D59D1" w14:textId="77777777" w:rsidR="00B02788" w:rsidRDefault="00B02788" w:rsidP="00C21BAD">
            <w:pPr>
              <w:pStyle w:val="TableTextCentred"/>
            </w:pPr>
            <w:r>
              <w:t> -</w:t>
            </w:r>
          </w:p>
        </w:tc>
        <w:tc>
          <w:tcPr>
            <w:tcW w:w="633" w:type="dxa"/>
            <w:noWrap/>
          </w:tcPr>
          <w:p w14:paraId="698B5262" w14:textId="77777777" w:rsidR="00B02788" w:rsidRDefault="00B02788" w:rsidP="00C21BAD">
            <w:pPr>
              <w:pStyle w:val="TableTextCentred"/>
            </w:pPr>
            <w:r>
              <w:t> -</w:t>
            </w:r>
          </w:p>
        </w:tc>
        <w:tc>
          <w:tcPr>
            <w:tcW w:w="594" w:type="dxa"/>
            <w:noWrap/>
          </w:tcPr>
          <w:p w14:paraId="20E460EF" w14:textId="77777777" w:rsidR="00B02788" w:rsidRDefault="00B02788" w:rsidP="00C21BAD">
            <w:pPr>
              <w:pStyle w:val="TableTextCentred"/>
            </w:pPr>
            <w:r>
              <w:t> -</w:t>
            </w:r>
          </w:p>
        </w:tc>
        <w:tc>
          <w:tcPr>
            <w:tcW w:w="1162" w:type="dxa"/>
          </w:tcPr>
          <w:p w14:paraId="74676772" w14:textId="77777777" w:rsidR="00B02788" w:rsidRDefault="00B02788" w:rsidP="00C21BAD">
            <w:pPr>
              <w:pStyle w:val="TableTextLeft"/>
            </w:pPr>
            <w:r>
              <w:t>Tight gas</w:t>
            </w:r>
          </w:p>
        </w:tc>
        <w:tc>
          <w:tcPr>
            <w:tcW w:w="1843" w:type="dxa"/>
            <w:noWrap/>
          </w:tcPr>
          <w:p w14:paraId="3DF86A37" w14:textId="77777777" w:rsidR="00B02788" w:rsidRDefault="00B02788" w:rsidP="00C21BAD">
            <w:pPr>
              <w:pStyle w:val="TableTextLeft"/>
            </w:pPr>
            <w:r>
              <w:t>Strzelecki Group -Wombat field</w:t>
            </w:r>
          </w:p>
        </w:tc>
        <w:tc>
          <w:tcPr>
            <w:tcW w:w="1701" w:type="dxa"/>
          </w:tcPr>
          <w:p w14:paraId="7E0F85BC" w14:textId="1D6ABA1C" w:rsidR="00B02788" w:rsidRDefault="00B02788" w:rsidP="00C21BAD">
            <w:pPr>
              <w:pStyle w:val="TableTextLeft"/>
            </w:pPr>
            <w:r>
              <w:t>Lakes Oil (2010, 2017)</w:t>
            </w:r>
          </w:p>
        </w:tc>
      </w:tr>
      <w:tr w:rsidR="00B02788" w:rsidRPr="00D27DD2" w14:paraId="7022E921"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409B820F" w14:textId="77777777" w:rsidR="00B02788" w:rsidRDefault="00B02788" w:rsidP="00C21BAD">
            <w:pPr>
              <w:pStyle w:val="TableTextLeft"/>
            </w:pPr>
            <w:r>
              <w:t>Gippsland Basin</w:t>
            </w:r>
          </w:p>
        </w:tc>
        <w:tc>
          <w:tcPr>
            <w:tcW w:w="992" w:type="dxa"/>
            <w:noWrap/>
          </w:tcPr>
          <w:p w14:paraId="28D9565D" w14:textId="77777777" w:rsidR="00B02788" w:rsidRDefault="00B02788" w:rsidP="00C21BAD">
            <w:pPr>
              <w:pStyle w:val="TableTextLeft"/>
            </w:pPr>
            <w:r>
              <w:t>VIC</w:t>
            </w:r>
          </w:p>
        </w:tc>
        <w:tc>
          <w:tcPr>
            <w:tcW w:w="1701" w:type="dxa"/>
            <w:noWrap/>
          </w:tcPr>
          <w:p w14:paraId="34D2EA41" w14:textId="77777777" w:rsidR="00B02788" w:rsidRDefault="00B02788" w:rsidP="00C21BAD">
            <w:pPr>
              <w:pStyle w:val="TableTextLeft"/>
            </w:pPr>
            <w:r>
              <w:t>VIC/PRL2</w:t>
            </w:r>
          </w:p>
        </w:tc>
        <w:tc>
          <w:tcPr>
            <w:tcW w:w="1052" w:type="dxa"/>
            <w:noWrap/>
          </w:tcPr>
          <w:p w14:paraId="1A71897F" w14:textId="77777777" w:rsidR="00B02788" w:rsidRDefault="00B02788" w:rsidP="00C21BAD">
            <w:pPr>
              <w:pStyle w:val="TableTextLeft"/>
            </w:pPr>
            <w:r>
              <w:t>Lakes Oil</w:t>
            </w:r>
          </w:p>
        </w:tc>
        <w:tc>
          <w:tcPr>
            <w:tcW w:w="633" w:type="dxa"/>
            <w:noWrap/>
          </w:tcPr>
          <w:p w14:paraId="10B4845D" w14:textId="77777777" w:rsidR="00B02788" w:rsidRDefault="00B02788" w:rsidP="00C21BAD">
            <w:pPr>
              <w:pStyle w:val="TableTextCentred"/>
            </w:pPr>
            <w:r>
              <w:t>0.13</w:t>
            </w:r>
          </w:p>
        </w:tc>
        <w:tc>
          <w:tcPr>
            <w:tcW w:w="755" w:type="dxa"/>
            <w:noWrap/>
          </w:tcPr>
          <w:p w14:paraId="7846923D" w14:textId="77777777" w:rsidR="00B02788" w:rsidRDefault="00B02788" w:rsidP="00C21BAD">
            <w:pPr>
              <w:pStyle w:val="TableTextCentred"/>
            </w:pPr>
            <w:r>
              <w:t>0.39</w:t>
            </w:r>
          </w:p>
        </w:tc>
        <w:tc>
          <w:tcPr>
            <w:tcW w:w="633" w:type="dxa"/>
            <w:noWrap/>
          </w:tcPr>
          <w:p w14:paraId="46651FAD" w14:textId="77777777" w:rsidR="00B02788" w:rsidRDefault="00B02788" w:rsidP="00C21BAD">
            <w:pPr>
              <w:pStyle w:val="TableTextCentred"/>
            </w:pPr>
            <w:r>
              <w:t>0.53</w:t>
            </w:r>
          </w:p>
        </w:tc>
        <w:tc>
          <w:tcPr>
            <w:tcW w:w="633" w:type="dxa"/>
            <w:noWrap/>
          </w:tcPr>
          <w:p w14:paraId="307D10E2" w14:textId="77777777" w:rsidR="00B02788" w:rsidRDefault="00B02788" w:rsidP="00C21BAD">
            <w:pPr>
              <w:pStyle w:val="TableTextCentred"/>
            </w:pPr>
            <w:r>
              <w:t> -</w:t>
            </w:r>
          </w:p>
        </w:tc>
        <w:tc>
          <w:tcPr>
            <w:tcW w:w="633" w:type="dxa"/>
            <w:noWrap/>
          </w:tcPr>
          <w:p w14:paraId="48FD6A32" w14:textId="77777777" w:rsidR="00B02788" w:rsidRDefault="00B02788" w:rsidP="00C21BAD">
            <w:pPr>
              <w:pStyle w:val="TableTextCentred"/>
            </w:pPr>
            <w:r>
              <w:t> -</w:t>
            </w:r>
          </w:p>
        </w:tc>
        <w:tc>
          <w:tcPr>
            <w:tcW w:w="594" w:type="dxa"/>
            <w:noWrap/>
          </w:tcPr>
          <w:p w14:paraId="3CDFCD91" w14:textId="77777777" w:rsidR="00B02788" w:rsidRDefault="00B02788" w:rsidP="00C21BAD">
            <w:pPr>
              <w:pStyle w:val="TableTextCentred"/>
            </w:pPr>
            <w:r>
              <w:t> -</w:t>
            </w:r>
          </w:p>
        </w:tc>
        <w:tc>
          <w:tcPr>
            <w:tcW w:w="1162" w:type="dxa"/>
          </w:tcPr>
          <w:p w14:paraId="70DDFF80" w14:textId="77777777" w:rsidR="00B02788" w:rsidRDefault="00B02788" w:rsidP="00C21BAD">
            <w:pPr>
              <w:pStyle w:val="TableTextLeft"/>
            </w:pPr>
            <w:r>
              <w:t>Tight gas</w:t>
            </w:r>
          </w:p>
        </w:tc>
        <w:tc>
          <w:tcPr>
            <w:tcW w:w="1843" w:type="dxa"/>
            <w:noWrap/>
          </w:tcPr>
          <w:p w14:paraId="0F9FCAD0" w14:textId="77777777" w:rsidR="00B02788" w:rsidRDefault="00B02788" w:rsidP="00C21BAD">
            <w:pPr>
              <w:pStyle w:val="TableTextLeft"/>
            </w:pPr>
            <w:r>
              <w:t>Strzelecki Group –Trifon, Gangell and North Seaspray accumulations</w:t>
            </w:r>
          </w:p>
        </w:tc>
        <w:tc>
          <w:tcPr>
            <w:tcW w:w="1701" w:type="dxa"/>
          </w:tcPr>
          <w:p w14:paraId="0034440A" w14:textId="1FA68779" w:rsidR="00B02788" w:rsidRDefault="00B02788" w:rsidP="00C21BAD">
            <w:pPr>
              <w:pStyle w:val="TableTextLeft"/>
            </w:pPr>
            <w:r>
              <w:t>Lakes Oil (2009, 2017)</w:t>
            </w:r>
          </w:p>
        </w:tc>
      </w:tr>
      <w:tr w:rsidR="00B02788" w:rsidRPr="00D27DD2" w14:paraId="6B9FA776"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06568B5B" w14:textId="77777777" w:rsidR="00B02788" w:rsidRDefault="00B02788" w:rsidP="00C21BAD">
            <w:pPr>
              <w:pStyle w:val="TableTextLeft"/>
            </w:pPr>
            <w:r>
              <w:t>Gippsland Basin</w:t>
            </w:r>
          </w:p>
        </w:tc>
        <w:tc>
          <w:tcPr>
            <w:tcW w:w="992" w:type="dxa"/>
            <w:noWrap/>
          </w:tcPr>
          <w:p w14:paraId="412CE738" w14:textId="068E359D" w:rsidR="00B02788" w:rsidRDefault="00B02788" w:rsidP="00C21BAD">
            <w:pPr>
              <w:pStyle w:val="TableTextLeft"/>
            </w:pPr>
            <w:r>
              <w:t>VIC</w:t>
            </w:r>
          </w:p>
        </w:tc>
        <w:tc>
          <w:tcPr>
            <w:tcW w:w="1701" w:type="dxa"/>
            <w:noWrap/>
          </w:tcPr>
          <w:p w14:paraId="72AF1BEB" w14:textId="3C6686C4" w:rsidR="00B02788" w:rsidRDefault="00B50F32" w:rsidP="007C6A6F">
            <w:pPr>
              <w:pStyle w:val="TableTextLeft"/>
            </w:pPr>
            <w:r>
              <w:t xml:space="preserve">Regional; </w:t>
            </w:r>
            <w:r w:rsidR="007C6A6F" w:rsidRPr="009266CD">
              <w:t>4,191 km</w:t>
            </w:r>
            <w:r w:rsidR="007C6A6F" w:rsidRPr="009266CD">
              <w:rPr>
                <w:vertAlign w:val="superscript"/>
              </w:rPr>
              <w:t>2</w:t>
            </w:r>
          </w:p>
        </w:tc>
        <w:tc>
          <w:tcPr>
            <w:tcW w:w="1052" w:type="dxa"/>
            <w:noWrap/>
          </w:tcPr>
          <w:p w14:paraId="42CEF8A3" w14:textId="77777777" w:rsidR="00B02788" w:rsidRDefault="00B02788" w:rsidP="00C21BAD">
            <w:pPr>
              <w:pStyle w:val="TableTextLeft"/>
            </w:pPr>
            <w:r>
              <w:t> -</w:t>
            </w:r>
          </w:p>
        </w:tc>
        <w:tc>
          <w:tcPr>
            <w:tcW w:w="633" w:type="dxa"/>
            <w:noWrap/>
          </w:tcPr>
          <w:p w14:paraId="19255F35" w14:textId="77777777" w:rsidR="00B02788" w:rsidRDefault="00B02788" w:rsidP="00C21BAD">
            <w:pPr>
              <w:pStyle w:val="TableTextCentred"/>
            </w:pPr>
            <w:r>
              <w:t> -</w:t>
            </w:r>
          </w:p>
        </w:tc>
        <w:tc>
          <w:tcPr>
            <w:tcW w:w="755" w:type="dxa"/>
            <w:noWrap/>
          </w:tcPr>
          <w:p w14:paraId="49C22D80" w14:textId="77777777" w:rsidR="00B02788" w:rsidRDefault="00B02788" w:rsidP="00C21BAD">
            <w:pPr>
              <w:pStyle w:val="TableTextCentred"/>
            </w:pPr>
            <w:r>
              <w:t> -</w:t>
            </w:r>
          </w:p>
        </w:tc>
        <w:tc>
          <w:tcPr>
            <w:tcW w:w="633" w:type="dxa"/>
            <w:noWrap/>
          </w:tcPr>
          <w:p w14:paraId="395858A6" w14:textId="77777777" w:rsidR="00B02788" w:rsidRDefault="00B02788" w:rsidP="00C21BAD">
            <w:pPr>
              <w:pStyle w:val="TableTextCentred"/>
            </w:pPr>
            <w:r>
              <w:t> -</w:t>
            </w:r>
          </w:p>
        </w:tc>
        <w:tc>
          <w:tcPr>
            <w:tcW w:w="633" w:type="dxa"/>
            <w:noWrap/>
          </w:tcPr>
          <w:p w14:paraId="0D4DA748" w14:textId="77777777" w:rsidR="00B02788" w:rsidRDefault="00B02788" w:rsidP="00C21BAD">
            <w:pPr>
              <w:pStyle w:val="TableTextCentred"/>
            </w:pPr>
            <w:r>
              <w:t> -</w:t>
            </w:r>
          </w:p>
        </w:tc>
        <w:tc>
          <w:tcPr>
            <w:tcW w:w="633" w:type="dxa"/>
            <w:noWrap/>
          </w:tcPr>
          <w:p w14:paraId="771739DD" w14:textId="77777777" w:rsidR="00B02788" w:rsidRDefault="00B02788" w:rsidP="00C21BAD">
            <w:pPr>
              <w:pStyle w:val="TableTextCentred"/>
            </w:pPr>
            <w:r>
              <w:t>13.6</w:t>
            </w:r>
          </w:p>
        </w:tc>
        <w:tc>
          <w:tcPr>
            <w:tcW w:w="594" w:type="dxa"/>
            <w:noWrap/>
          </w:tcPr>
          <w:p w14:paraId="5113C2C7" w14:textId="77777777" w:rsidR="00B02788" w:rsidRDefault="00B02788" w:rsidP="00C21BAD">
            <w:pPr>
              <w:pStyle w:val="TableTextCentred"/>
            </w:pPr>
            <w:r>
              <w:t> -</w:t>
            </w:r>
          </w:p>
        </w:tc>
        <w:tc>
          <w:tcPr>
            <w:tcW w:w="1162" w:type="dxa"/>
          </w:tcPr>
          <w:p w14:paraId="7E2430EB" w14:textId="77777777" w:rsidR="00B02788" w:rsidRDefault="00B02788" w:rsidP="00C21BAD">
            <w:pPr>
              <w:pStyle w:val="TableTextLeft"/>
            </w:pPr>
            <w:r>
              <w:t>Tight gas</w:t>
            </w:r>
          </w:p>
        </w:tc>
        <w:tc>
          <w:tcPr>
            <w:tcW w:w="1843" w:type="dxa"/>
            <w:noWrap/>
          </w:tcPr>
          <w:p w14:paraId="4D75A566" w14:textId="77777777" w:rsidR="00B02788" w:rsidRDefault="00B02788" w:rsidP="00C21BAD">
            <w:pPr>
              <w:pStyle w:val="TableTextLeft"/>
            </w:pPr>
            <w:r>
              <w:t>Strzelecki Group</w:t>
            </w:r>
          </w:p>
        </w:tc>
        <w:tc>
          <w:tcPr>
            <w:tcW w:w="1701" w:type="dxa"/>
          </w:tcPr>
          <w:p w14:paraId="355727D3" w14:textId="12281CA6" w:rsidR="00B02788" w:rsidRDefault="00B02788" w:rsidP="00C21BAD">
            <w:pPr>
              <w:pStyle w:val="TableTextLeft"/>
            </w:pPr>
            <w:r>
              <w:t>GA (2017a); AERA (2018)</w:t>
            </w:r>
          </w:p>
        </w:tc>
      </w:tr>
      <w:tr w:rsidR="00B02788" w:rsidRPr="00D27DD2" w14:paraId="0694E43A"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hideMark/>
          </w:tcPr>
          <w:p w14:paraId="66E84397" w14:textId="77777777" w:rsidR="00B02788" w:rsidRDefault="00B02788" w:rsidP="00C21BAD">
            <w:pPr>
              <w:pStyle w:val="TableTextLeft"/>
            </w:pPr>
            <w:r>
              <w:t>Gippsland Basin</w:t>
            </w:r>
          </w:p>
        </w:tc>
        <w:tc>
          <w:tcPr>
            <w:tcW w:w="992" w:type="dxa"/>
            <w:noWrap/>
            <w:hideMark/>
          </w:tcPr>
          <w:p w14:paraId="7775DD15" w14:textId="77777777" w:rsidR="00B02788" w:rsidRDefault="00B02788" w:rsidP="00C21BAD">
            <w:pPr>
              <w:pStyle w:val="TableTextLeft"/>
            </w:pPr>
            <w:r>
              <w:t>VIC</w:t>
            </w:r>
          </w:p>
        </w:tc>
        <w:tc>
          <w:tcPr>
            <w:tcW w:w="1701" w:type="dxa"/>
            <w:noWrap/>
            <w:hideMark/>
          </w:tcPr>
          <w:p w14:paraId="7FAF57AD" w14:textId="444CD117" w:rsidR="00B02788" w:rsidRDefault="00B50F32" w:rsidP="00C21BAD">
            <w:pPr>
              <w:pStyle w:val="TableTextLeft"/>
            </w:pPr>
            <w:r>
              <w:t xml:space="preserve">Regional; </w:t>
            </w:r>
            <w:r w:rsidR="007C6A6F" w:rsidRPr="009266CD">
              <w:t>2,179 km</w:t>
            </w:r>
            <w:r w:rsidR="007C6A6F" w:rsidRPr="009266CD">
              <w:rPr>
                <w:vertAlign w:val="superscript"/>
              </w:rPr>
              <w:t>2</w:t>
            </w:r>
          </w:p>
        </w:tc>
        <w:tc>
          <w:tcPr>
            <w:tcW w:w="1052" w:type="dxa"/>
            <w:noWrap/>
            <w:hideMark/>
          </w:tcPr>
          <w:p w14:paraId="04C37B04" w14:textId="77777777" w:rsidR="00B02788" w:rsidRDefault="00B02788" w:rsidP="00C21BAD">
            <w:pPr>
              <w:pStyle w:val="TableTextLeft"/>
            </w:pPr>
            <w:r>
              <w:t> -</w:t>
            </w:r>
          </w:p>
        </w:tc>
        <w:tc>
          <w:tcPr>
            <w:tcW w:w="633" w:type="dxa"/>
            <w:noWrap/>
            <w:hideMark/>
          </w:tcPr>
          <w:p w14:paraId="5A5302F9" w14:textId="77777777" w:rsidR="00B02788" w:rsidRDefault="00B02788" w:rsidP="00C21BAD">
            <w:pPr>
              <w:pStyle w:val="TableTextCentred"/>
            </w:pPr>
            <w:r>
              <w:t> -</w:t>
            </w:r>
          </w:p>
        </w:tc>
        <w:tc>
          <w:tcPr>
            <w:tcW w:w="755" w:type="dxa"/>
            <w:noWrap/>
            <w:hideMark/>
          </w:tcPr>
          <w:p w14:paraId="3DA5DEFA" w14:textId="77777777" w:rsidR="00B02788" w:rsidRDefault="00B02788" w:rsidP="00C21BAD">
            <w:pPr>
              <w:pStyle w:val="TableTextCentred"/>
            </w:pPr>
            <w:r>
              <w:t> -</w:t>
            </w:r>
          </w:p>
        </w:tc>
        <w:tc>
          <w:tcPr>
            <w:tcW w:w="633" w:type="dxa"/>
            <w:noWrap/>
            <w:hideMark/>
          </w:tcPr>
          <w:p w14:paraId="1F67F277" w14:textId="77777777" w:rsidR="00B02788" w:rsidRDefault="00B02788" w:rsidP="00C21BAD">
            <w:pPr>
              <w:pStyle w:val="TableTextCentred"/>
            </w:pPr>
            <w:r>
              <w:t> -</w:t>
            </w:r>
          </w:p>
        </w:tc>
        <w:tc>
          <w:tcPr>
            <w:tcW w:w="633" w:type="dxa"/>
            <w:noWrap/>
            <w:hideMark/>
          </w:tcPr>
          <w:p w14:paraId="71CD8A4E" w14:textId="77777777" w:rsidR="00B02788" w:rsidRDefault="00B02788" w:rsidP="00C21BAD">
            <w:pPr>
              <w:pStyle w:val="TableTextCentred"/>
            </w:pPr>
            <w:r>
              <w:t> -</w:t>
            </w:r>
          </w:p>
        </w:tc>
        <w:tc>
          <w:tcPr>
            <w:tcW w:w="633" w:type="dxa"/>
            <w:noWrap/>
            <w:hideMark/>
          </w:tcPr>
          <w:p w14:paraId="753FD2AF" w14:textId="77777777" w:rsidR="00B02788" w:rsidRDefault="00B02788" w:rsidP="00C21BAD">
            <w:pPr>
              <w:pStyle w:val="TableTextCentred"/>
            </w:pPr>
            <w:r>
              <w:t>5.6</w:t>
            </w:r>
          </w:p>
        </w:tc>
        <w:tc>
          <w:tcPr>
            <w:tcW w:w="594" w:type="dxa"/>
            <w:noWrap/>
            <w:hideMark/>
          </w:tcPr>
          <w:p w14:paraId="2C82899F" w14:textId="77777777" w:rsidR="00B02788" w:rsidRDefault="00B02788" w:rsidP="00C21BAD">
            <w:pPr>
              <w:pStyle w:val="TableTextCentred"/>
            </w:pPr>
            <w:r>
              <w:t> -</w:t>
            </w:r>
          </w:p>
        </w:tc>
        <w:tc>
          <w:tcPr>
            <w:tcW w:w="1162" w:type="dxa"/>
          </w:tcPr>
          <w:p w14:paraId="26E670F4" w14:textId="77777777" w:rsidR="00B02788" w:rsidRDefault="00B02788" w:rsidP="00C21BAD">
            <w:pPr>
              <w:pStyle w:val="TableTextLeft"/>
            </w:pPr>
            <w:r>
              <w:t>Shale gas</w:t>
            </w:r>
          </w:p>
        </w:tc>
        <w:tc>
          <w:tcPr>
            <w:tcW w:w="1843" w:type="dxa"/>
            <w:noWrap/>
            <w:hideMark/>
          </w:tcPr>
          <w:p w14:paraId="71881276" w14:textId="77777777" w:rsidR="00B02788" w:rsidRDefault="00B02788" w:rsidP="00C21BAD">
            <w:pPr>
              <w:pStyle w:val="TableTextLeft"/>
            </w:pPr>
            <w:r>
              <w:t>Strzelecki Group</w:t>
            </w:r>
          </w:p>
        </w:tc>
        <w:tc>
          <w:tcPr>
            <w:tcW w:w="1701" w:type="dxa"/>
          </w:tcPr>
          <w:p w14:paraId="0C392032" w14:textId="4DDE6C8D" w:rsidR="00B02788" w:rsidRDefault="00B02788" w:rsidP="00C21BAD">
            <w:pPr>
              <w:pStyle w:val="TableTextLeft"/>
            </w:pPr>
            <w:r>
              <w:t>GA (2017a); AERA (2018)</w:t>
            </w:r>
          </w:p>
        </w:tc>
      </w:tr>
      <w:tr w:rsidR="00B02788" w:rsidRPr="00D27DD2" w14:paraId="374F534D"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1904322E" w14:textId="77777777" w:rsidR="00B02788" w:rsidRDefault="00B02788" w:rsidP="00C21BAD">
            <w:pPr>
              <w:pStyle w:val="TableTextLeft"/>
            </w:pPr>
            <w:r>
              <w:t>Gunnedah Basin</w:t>
            </w:r>
          </w:p>
        </w:tc>
        <w:tc>
          <w:tcPr>
            <w:tcW w:w="992" w:type="dxa"/>
            <w:noWrap/>
          </w:tcPr>
          <w:p w14:paraId="5105CF86" w14:textId="77572BF7" w:rsidR="00B02788" w:rsidRDefault="00DC0115" w:rsidP="00DC0115">
            <w:pPr>
              <w:pStyle w:val="TableTextLeft"/>
            </w:pPr>
            <w:r>
              <w:t>NSW</w:t>
            </w:r>
          </w:p>
        </w:tc>
        <w:tc>
          <w:tcPr>
            <w:tcW w:w="1701" w:type="dxa"/>
            <w:noWrap/>
          </w:tcPr>
          <w:p w14:paraId="66F72616" w14:textId="51FE288F" w:rsidR="00B02788" w:rsidRDefault="00B50F32" w:rsidP="00C21BAD">
            <w:pPr>
              <w:pStyle w:val="TableTextLeft"/>
            </w:pPr>
            <w:r>
              <w:t xml:space="preserve">Regional; </w:t>
            </w:r>
            <w:r w:rsidR="00C7412E" w:rsidRPr="00C7412E">
              <w:t>8,631</w:t>
            </w:r>
            <w:r w:rsidR="00C7412E">
              <w:t xml:space="preserve"> km</w:t>
            </w:r>
            <w:r w:rsidR="00C7412E" w:rsidRPr="00C7412E">
              <w:rPr>
                <w:vertAlign w:val="superscript"/>
              </w:rPr>
              <w:t>2</w:t>
            </w:r>
          </w:p>
        </w:tc>
        <w:tc>
          <w:tcPr>
            <w:tcW w:w="1052" w:type="dxa"/>
            <w:noWrap/>
          </w:tcPr>
          <w:p w14:paraId="327D151A" w14:textId="77777777" w:rsidR="00B02788" w:rsidRDefault="00B02788" w:rsidP="00C21BAD">
            <w:pPr>
              <w:pStyle w:val="TableTextLeft"/>
            </w:pPr>
            <w:r>
              <w:t> -</w:t>
            </w:r>
          </w:p>
        </w:tc>
        <w:tc>
          <w:tcPr>
            <w:tcW w:w="633" w:type="dxa"/>
            <w:noWrap/>
          </w:tcPr>
          <w:p w14:paraId="039F4AA2" w14:textId="77777777" w:rsidR="00B02788" w:rsidRDefault="00B02788" w:rsidP="00C21BAD">
            <w:pPr>
              <w:pStyle w:val="TableTextCentred"/>
            </w:pPr>
            <w:r>
              <w:t> -</w:t>
            </w:r>
          </w:p>
        </w:tc>
        <w:tc>
          <w:tcPr>
            <w:tcW w:w="755" w:type="dxa"/>
            <w:noWrap/>
          </w:tcPr>
          <w:p w14:paraId="10FEE792" w14:textId="77777777" w:rsidR="00B02788" w:rsidRDefault="00B02788" w:rsidP="00C21BAD">
            <w:pPr>
              <w:pStyle w:val="TableTextCentred"/>
            </w:pPr>
            <w:r>
              <w:t> -</w:t>
            </w:r>
          </w:p>
        </w:tc>
        <w:tc>
          <w:tcPr>
            <w:tcW w:w="633" w:type="dxa"/>
            <w:noWrap/>
          </w:tcPr>
          <w:p w14:paraId="1E0680CA" w14:textId="77777777" w:rsidR="00B02788" w:rsidRDefault="00B02788" w:rsidP="00C21BAD">
            <w:pPr>
              <w:pStyle w:val="TableTextCentred"/>
            </w:pPr>
            <w:r>
              <w:t> -</w:t>
            </w:r>
          </w:p>
        </w:tc>
        <w:tc>
          <w:tcPr>
            <w:tcW w:w="633" w:type="dxa"/>
            <w:noWrap/>
          </w:tcPr>
          <w:p w14:paraId="7A879A6C" w14:textId="77777777" w:rsidR="00B02788" w:rsidRDefault="00B02788" w:rsidP="00C21BAD">
            <w:pPr>
              <w:pStyle w:val="TableTextCentred"/>
            </w:pPr>
            <w:r>
              <w:t> -</w:t>
            </w:r>
          </w:p>
        </w:tc>
        <w:tc>
          <w:tcPr>
            <w:tcW w:w="633" w:type="dxa"/>
            <w:noWrap/>
          </w:tcPr>
          <w:p w14:paraId="3F3C27A8" w14:textId="77777777" w:rsidR="00B02788" w:rsidRDefault="00B02788" w:rsidP="00C21BAD">
            <w:pPr>
              <w:pStyle w:val="TableTextCentred"/>
            </w:pPr>
            <w:r>
              <w:t>13</w:t>
            </w:r>
          </w:p>
        </w:tc>
        <w:tc>
          <w:tcPr>
            <w:tcW w:w="594" w:type="dxa"/>
            <w:noWrap/>
          </w:tcPr>
          <w:p w14:paraId="01CA2CA1" w14:textId="77777777" w:rsidR="00B02788" w:rsidRDefault="00B02788" w:rsidP="00C21BAD">
            <w:pPr>
              <w:pStyle w:val="TableTextCentred"/>
            </w:pPr>
            <w:r>
              <w:t> -</w:t>
            </w:r>
          </w:p>
        </w:tc>
        <w:tc>
          <w:tcPr>
            <w:tcW w:w="1162" w:type="dxa"/>
          </w:tcPr>
          <w:p w14:paraId="441ED2BD" w14:textId="77777777" w:rsidR="00B02788" w:rsidRDefault="00B02788" w:rsidP="00C21BAD">
            <w:pPr>
              <w:pStyle w:val="TableTextLeft"/>
            </w:pPr>
            <w:r>
              <w:t>Shale gas</w:t>
            </w:r>
          </w:p>
        </w:tc>
        <w:tc>
          <w:tcPr>
            <w:tcW w:w="1843" w:type="dxa"/>
            <w:noWrap/>
          </w:tcPr>
          <w:p w14:paraId="6D87639E" w14:textId="77777777" w:rsidR="00B02788" w:rsidRDefault="00B02788" w:rsidP="00C21BAD">
            <w:pPr>
              <w:pStyle w:val="TableTextLeft"/>
            </w:pPr>
            <w:r>
              <w:t>Watermark Formation</w:t>
            </w:r>
          </w:p>
        </w:tc>
        <w:tc>
          <w:tcPr>
            <w:tcW w:w="1701" w:type="dxa"/>
          </w:tcPr>
          <w:p w14:paraId="7E0595C3" w14:textId="71021BB8" w:rsidR="00B02788" w:rsidRDefault="00B02788" w:rsidP="00C21BAD">
            <w:pPr>
              <w:pStyle w:val="TableTextLeft"/>
            </w:pPr>
            <w:r>
              <w:t>AWT International (2013)</w:t>
            </w:r>
          </w:p>
        </w:tc>
      </w:tr>
      <w:tr w:rsidR="00B02788" w:rsidRPr="00D27DD2" w14:paraId="576C69E9"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793B7561" w14:textId="77777777" w:rsidR="00B02788" w:rsidRDefault="00B02788" w:rsidP="00C21BAD">
            <w:pPr>
              <w:pStyle w:val="TableTextLeft"/>
            </w:pPr>
            <w:r>
              <w:t>Isa Superbasin</w:t>
            </w:r>
          </w:p>
        </w:tc>
        <w:tc>
          <w:tcPr>
            <w:tcW w:w="992" w:type="dxa"/>
            <w:noWrap/>
          </w:tcPr>
          <w:p w14:paraId="79130438" w14:textId="77777777" w:rsidR="00B02788" w:rsidRDefault="00B02788" w:rsidP="00C21BAD">
            <w:pPr>
              <w:pStyle w:val="TableTextLeft"/>
            </w:pPr>
            <w:r>
              <w:t>QLD</w:t>
            </w:r>
          </w:p>
        </w:tc>
        <w:tc>
          <w:tcPr>
            <w:tcW w:w="1701" w:type="dxa"/>
            <w:noWrap/>
          </w:tcPr>
          <w:p w14:paraId="6995CD74" w14:textId="77777777" w:rsidR="00B02788" w:rsidRDefault="00B02788" w:rsidP="00C21BAD">
            <w:pPr>
              <w:pStyle w:val="TableTextLeft"/>
            </w:pPr>
            <w:r>
              <w:t>ATP 1087</w:t>
            </w:r>
          </w:p>
        </w:tc>
        <w:tc>
          <w:tcPr>
            <w:tcW w:w="1052" w:type="dxa"/>
            <w:noWrap/>
          </w:tcPr>
          <w:p w14:paraId="32F7D7BF" w14:textId="77777777" w:rsidR="00B02788" w:rsidRDefault="00B02788" w:rsidP="00C21BAD">
            <w:pPr>
              <w:pStyle w:val="TableTextLeft"/>
            </w:pPr>
            <w:r>
              <w:t>Armour Energy</w:t>
            </w:r>
          </w:p>
        </w:tc>
        <w:tc>
          <w:tcPr>
            <w:tcW w:w="633" w:type="dxa"/>
            <w:noWrap/>
          </w:tcPr>
          <w:p w14:paraId="691C96D9" w14:textId="77777777" w:rsidR="00B02788" w:rsidRDefault="00B02788" w:rsidP="00C21BAD">
            <w:pPr>
              <w:pStyle w:val="TableTextCentred"/>
            </w:pPr>
            <w:r>
              <w:t>0.03</w:t>
            </w:r>
          </w:p>
        </w:tc>
        <w:tc>
          <w:tcPr>
            <w:tcW w:w="755" w:type="dxa"/>
            <w:noWrap/>
          </w:tcPr>
          <w:p w14:paraId="08D3E238" w14:textId="77777777" w:rsidR="00B02788" w:rsidRDefault="00B02788" w:rsidP="00C21BAD">
            <w:pPr>
              <w:pStyle w:val="TableTextCentred"/>
            </w:pPr>
            <w:r>
              <w:t>0.15</w:t>
            </w:r>
          </w:p>
        </w:tc>
        <w:tc>
          <w:tcPr>
            <w:tcW w:w="633" w:type="dxa"/>
            <w:noWrap/>
          </w:tcPr>
          <w:p w14:paraId="439A3A96" w14:textId="77777777" w:rsidR="00B02788" w:rsidRDefault="00B02788" w:rsidP="00C21BAD">
            <w:pPr>
              <w:pStyle w:val="TableTextCentred"/>
            </w:pPr>
            <w:r>
              <w:t>0.36</w:t>
            </w:r>
          </w:p>
        </w:tc>
        <w:tc>
          <w:tcPr>
            <w:tcW w:w="633" w:type="dxa"/>
            <w:noWrap/>
          </w:tcPr>
          <w:p w14:paraId="0EC667D5" w14:textId="77777777" w:rsidR="00B02788" w:rsidRDefault="00B02788" w:rsidP="00C21BAD">
            <w:pPr>
              <w:pStyle w:val="TableTextCentred"/>
            </w:pPr>
            <w:r>
              <w:t> -</w:t>
            </w:r>
          </w:p>
        </w:tc>
        <w:tc>
          <w:tcPr>
            <w:tcW w:w="633" w:type="dxa"/>
            <w:noWrap/>
          </w:tcPr>
          <w:p w14:paraId="6C8A19F6" w14:textId="77777777" w:rsidR="00B02788" w:rsidRDefault="00B02788" w:rsidP="00C21BAD">
            <w:pPr>
              <w:pStyle w:val="TableTextCentred"/>
            </w:pPr>
            <w:r>
              <w:t>- </w:t>
            </w:r>
          </w:p>
        </w:tc>
        <w:tc>
          <w:tcPr>
            <w:tcW w:w="594" w:type="dxa"/>
            <w:noWrap/>
          </w:tcPr>
          <w:p w14:paraId="0912EC6E" w14:textId="77777777" w:rsidR="00B02788" w:rsidRDefault="00B02788" w:rsidP="00C21BAD">
            <w:pPr>
              <w:pStyle w:val="TableTextCentred"/>
            </w:pPr>
            <w:r>
              <w:t>- </w:t>
            </w:r>
          </w:p>
        </w:tc>
        <w:tc>
          <w:tcPr>
            <w:tcW w:w="1162" w:type="dxa"/>
          </w:tcPr>
          <w:p w14:paraId="3604E764" w14:textId="77777777" w:rsidR="00B02788" w:rsidRDefault="00B02788" w:rsidP="00C21BAD">
            <w:pPr>
              <w:pStyle w:val="TableTextLeft"/>
            </w:pPr>
            <w:r>
              <w:t>Shale gas</w:t>
            </w:r>
          </w:p>
        </w:tc>
        <w:tc>
          <w:tcPr>
            <w:tcW w:w="1843" w:type="dxa"/>
            <w:noWrap/>
          </w:tcPr>
          <w:p w14:paraId="752DC057" w14:textId="77777777" w:rsidR="00B02788" w:rsidRDefault="00B02788" w:rsidP="00C21BAD">
            <w:pPr>
              <w:pStyle w:val="TableTextLeft"/>
            </w:pPr>
            <w:r>
              <w:t>Lawn Hill Shale at Egilabria-2 DW1</w:t>
            </w:r>
          </w:p>
        </w:tc>
        <w:tc>
          <w:tcPr>
            <w:tcW w:w="1701" w:type="dxa"/>
          </w:tcPr>
          <w:p w14:paraId="7738C1B6" w14:textId="6CACF2AC" w:rsidR="00B02788" w:rsidRDefault="00B02788" w:rsidP="00C21BAD">
            <w:pPr>
              <w:pStyle w:val="TableTextLeft"/>
            </w:pPr>
            <w:r>
              <w:t>Armour Energy (2014, 2017b)</w:t>
            </w:r>
            <w:r w:rsidRPr="00116B50">
              <w:t> </w:t>
            </w:r>
          </w:p>
        </w:tc>
      </w:tr>
      <w:tr w:rsidR="00B02788" w:rsidRPr="00D27DD2" w14:paraId="3D14EDB5"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75280727" w14:textId="77777777" w:rsidR="00B02788" w:rsidRDefault="00B02788" w:rsidP="00C21BAD">
            <w:pPr>
              <w:pStyle w:val="TableTextLeft"/>
            </w:pPr>
            <w:r>
              <w:t>Isa Superbasin</w:t>
            </w:r>
          </w:p>
        </w:tc>
        <w:tc>
          <w:tcPr>
            <w:tcW w:w="992" w:type="dxa"/>
            <w:noWrap/>
          </w:tcPr>
          <w:p w14:paraId="1BA75882" w14:textId="77777777" w:rsidR="00B02788" w:rsidRDefault="00B02788" w:rsidP="00C21BAD">
            <w:pPr>
              <w:pStyle w:val="TableTextLeft"/>
            </w:pPr>
            <w:r>
              <w:t>QLD</w:t>
            </w:r>
          </w:p>
        </w:tc>
        <w:tc>
          <w:tcPr>
            <w:tcW w:w="1701" w:type="dxa"/>
            <w:noWrap/>
          </w:tcPr>
          <w:p w14:paraId="7DFB37EF" w14:textId="77777777" w:rsidR="00B02788" w:rsidRDefault="00B02788" w:rsidP="00C21BAD">
            <w:pPr>
              <w:pStyle w:val="TableTextLeft"/>
            </w:pPr>
            <w:r>
              <w:t>ATP 1087</w:t>
            </w:r>
          </w:p>
        </w:tc>
        <w:tc>
          <w:tcPr>
            <w:tcW w:w="1052" w:type="dxa"/>
            <w:noWrap/>
          </w:tcPr>
          <w:p w14:paraId="299DBB52" w14:textId="77777777" w:rsidR="00B02788" w:rsidRDefault="00B02788" w:rsidP="00C21BAD">
            <w:pPr>
              <w:pStyle w:val="TableTextLeft"/>
            </w:pPr>
            <w:r>
              <w:t>Armour Energy</w:t>
            </w:r>
          </w:p>
        </w:tc>
        <w:tc>
          <w:tcPr>
            <w:tcW w:w="633" w:type="dxa"/>
            <w:noWrap/>
          </w:tcPr>
          <w:p w14:paraId="2327F70E" w14:textId="77777777" w:rsidR="00B02788" w:rsidRDefault="00B02788" w:rsidP="00C21BAD">
            <w:pPr>
              <w:pStyle w:val="TableTextCentred"/>
            </w:pPr>
            <w:r>
              <w:t> -</w:t>
            </w:r>
          </w:p>
        </w:tc>
        <w:tc>
          <w:tcPr>
            <w:tcW w:w="755" w:type="dxa"/>
            <w:noWrap/>
          </w:tcPr>
          <w:p w14:paraId="4F3DABC0" w14:textId="77777777" w:rsidR="00B02788" w:rsidRDefault="00B02788" w:rsidP="00C21BAD">
            <w:pPr>
              <w:pStyle w:val="TableTextCentred"/>
            </w:pPr>
            <w:r>
              <w:t> -</w:t>
            </w:r>
          </w:p>
        </w:tc>
        <w:tc>
          <w:tcPr>
            <w:tcW w:w="633" w:type="dxa"/>
            <w:noWrap/>
          </w:tcPr>
          <w:p w14:paraId="0BF2D286" w14:textId="77777777" w:rsidR="00B02788" w:rsidRDefault="00B02788" w:rsidP="00C21BAD">
            <w:pPr>
              <w:pStyle w:val="TableTextCentred"/>
            </w:pPr>
            <w:r>
              <w:t> -</w:t>
            </w:r>
          </w:p>
        </w:tc>
        <w:tc>
          <w:tcPr>
            <w:tcW w:w="633" w:type="dxa"/>
            <w:noWrap/>
          </w:tcPr>
          <w:p w14:paraId="7D831620" w14:textId="77777777" w:rsidR="00B02788" w:rsidRDefault="00B02788" w:rsidP="00C21BAD">
            <w:pPr>
              <w:pStyle w:val="TableTextCentred"/>
            </w:pPr>
            <w:r>
              <w:t>2.7</w:t>
            </w:r>
          </w:p>
        </w:tc>
        <w:tc>
          <w:tcPr>
            <w:tcW w:w="633" w:type="dxa"/>
            <w:noWrap/>
          </w:tcPr>
          <w:p w14:paraId="28F4B35A" w14:textId="77777777" w:rsidR="00B02788" w:rsidRDefault="00B02788" w:rsidP="00C21BAD">
            <w:pPr>
              <w:pStyle w:val="TableTextCentred"/>
            </w:pPr>
            <w:r>
              <w:t>8.1</w:t>
            </w:r>
          </w:p>
        </w:tc>
        <w:tc>
          <w:tcPr>
            <w:tcW w:w="594" w:type="dxa"/>
            <w:noWrap/>
          </w:tcPr>
          <w:p w14:paraId="4E91428F" w14:textId="77777777" w:rsidR="00B02788" w:rsidRDefault="00B02788" w:rsidP="00C21BAD">
            <w:pPr>
              <w:pStyle w:val="TableTextCentred"/>
            </w:pPr>
            <w:r>
              <w:t>19.6</w:t>
            </w:r>
          </w:p>
        </w:tc>
        <w:tc>
          <w:tcPr>
            <w:tcW w:w="1162" w:type="dxa"/>
          </w:tcPr>
          <w:p w14:paraId="35B35100" w14:textId="77777777" w:rsidR="00B02788" w:rsidRDefault="00B02788" w:rsidP="00C21BAD">
            <w:pPr>
              <w:pStyle w:val="TableTextLeft"/>
            </w:pPr>
            <w:r>
              <w:t>Shale gas</w:t>
            </w:r>
          </w:p>
        </w:tc>
        <w:tc>
          <w:tcPr>
            <w:tcW w:w="1843" w:type="dxa"/>
            <w:noWrap/>
          </w:tcPr>
          <w:p w14:paraId="3B3739CD" w14:textId="77777777" w:rsidR="00B02788" w:rsidRDefault="00B02788" w:rsidP="00C21BAD">
            <w:pPr>
              <w:pStyle w:val="TableTextLeft"/>
            </w:pPr>
            <w:r>
              <w:t>Lawn Hill Shale</w:t>
            </w:r>
          </w:p>
        </w:tc>
        <w:tc>
          <w:tcPr>
            <w:tcW w:w="1701" w:type="dxa"/>
          </w:tcPr>
          <w:p w14:paraId="50B14E48" w14:textId="4820F830" w:rsidR="00B02788" w:rsidRDefault="00B02788" w:rsidP="00C21BAD">
            <w:pPr>
              <w:pStyle w:val="TableTextLeft"/>
            </w:pPr>
            <w:r>
              <w:t>Armour Energy (2015)</w:t>
            </w:r>
            <w:r w:rsidRPr="00116B50">
              <w:t> </w:t>
            </w:r>
          </w:p>
        </w:tc>
      </w:tr>
      <w:tr w:rsidR="00B02788" w:rsidRPr="00D27DD2" w14:paraId="5FAA2E57"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66F01284" w14:textId="77777777" w:rsidR="00B02788" w:rsidRDefault="00B02788" w:rsidP="00C21BAD">
            <w:pPr>
              <w:pStyle w:val="TableTextLeft"/>
            </w:pPr>
            <w:r>
              <w:t>Isa Superbasin</w:t>
            </w:r>
          </w:p>
        </w:tc>
        <w:tc>
          <w:tcPr>
            <w:tcW w:w="992" w:type="dxa"/>
            <w:noWrap/>
          </w:tcPr>
          <w:p w14:paraId="23034306" w14:textId="77777777" w:rsidR="00B02788" w:rsidRDefault="00B02788" w:rsidP="00C21BAD">
            <w:pPr>
              <w:pStyle w:val="TableTextLeft"/>
            </w:pPr>
            <w:r>
              <w:t>QLD</w:t>
            </w:r>
          </w:p>
        </w:tc>
        <w:tc>
          <w:tcPr>
            <w:tcW w:w="1701" w:type="dxa"/>
            <w:noWrap/>
          </w:tcPr>
          <w:p w14:paraId="4F2EF454" w14:textId="77777777" w:rsidR="00B02788" w:rsidRDefault="00B02788" w:rsidP="00C21BAD">
            <w:pPr>
              <w:pStyle w:val="TableTextLeft"/>
            </w:pPr>
            <w:r>
              <w:t>ATP 1087</w:t>
            </w:r>
          </w:p>
        </w:tc>
        <w:tc>
          <w:tcPr>
            <w:tcW w:w="1052" w:type="dxa"/>
            <w:noWrap/>
          </w:tcPr>
          <w:p w14:paraId="5760085D" w14:textId="77777777" w:rsidR="00B02788" w:rsidRDefault="00B02788" w:rsidP="00C21BAD">
            <w:pPr>
              <w:pStyle w:val="TableTextLeft"/>
            </w:pPr>
            <w:r>
              <w:t>Armour Energy</w:t>
            </w:r>
          </w:p>
        </w:tc>
        <w:tc>
          <w:tcPr>
            <w:tcW w:w="633" w:type="dxa"/>
            <w:noWrap/>
          </w:tcPr>
          <w:p w14:paraId="1A2DCD6D" w14:textId="77777777" w:rsidR="00B02788" w:rsidRDefault="00B02788" w:rsidP="00C21BAD">
            <w:pPr>
              <w:pStyle w:val="TableTextCentred"/>
            </w:pPr>
            <w:r>
              <w:t>- </w:t>
            </w:r>
          </w:p>
        </w:tc>
        <w:tc>
          <w:tcPr>
            <w:tcW w:w="755" w:type="dxa"/>
            <w:noWrap/>
          </w:tcPr>
          <w:p w14:paraId="6A2E88D1" w14:textId="77777777" w:rsidR="00B02788" w:rsidRDefault="00B02788" w:rsidP="00C21BAD">
            <w:pPr>
              <w:pStyle w:val="TableTextCentred"/>
            </w:pPr>
            <w:r>
              <w:t> -</w:t>
            </w:r>
          </w:p>
        </w:tc>
        <w:tc>
          <w:tcPr>
            <w:tcW w:w="633" w:type="dxa"/>
            <w:noWrap/>
          </w:tcPr>
          <w:p w14:paraId="164398F0" w14:textId="77777777" w:rsidR="00B02788" w:rsidRDefault="00B02788" w:rsidP="00C21BAD">
            <w:pPr>
              <w:pStyle w:val="TableTextCentred"/>
            </w:pPr>
            <w:r>
              <w:t>- </w:t>
            </w:r>
          </w:p>
        </w:tc>
        <w:tc>
          <w:tcPr>
            <w:tcW w:w="633" w:type="dxa"/>
            <w:noWrap/>
          </w:tcPr>
          <w:p w14:paraId="3A4EEEF4" w14:textId="77777777" w:rsidR="00B02788" w:rsidRDefault="00B02788" w:rsidP="00C21BAD">
            <w:pPr>
              <w:pStyle w:val="TableTextCentred"/>
            </w:pPr>
            <w:r>
              <w:t>3.9</w:t>
            </w:r>
          </w:p>
        </w:tc>
        <w:tc>
          <w:tcPr>
            <w:tcW w:w="633" w:type="dxa"/>
            <w:noWrap/>
          </w:tcPr>
          <w:p w14:paraId="0131D039" w14:textId="77777777" w:rsidR="00B02788" w:rsidRDefault="00B02788" w:rsidP="00C21BAD">
            <w:pPr>
              <w:pStyle w:val="TableTextCentred"/>
            </w:pPr>
            <w:r>
              <w:t>14</w:t>
            </w:r>
          </w:p>
        </w:tc>
        <w:tc>
          <w:tcPr>
            <w:tcW w:w="594" w:type="dxa"/>
            <w:noWrap/>
          </w:tcPr>
          <w:p w14:paraId="6F0DDC6B" w14:textId="77777777" w:rsidR="00B02788" w:rsidRDefault="00B02788" w:rsidP="00C21BAD">
            <w:pPr>
              <w:pStyle w:val="TableTextCentred"/>
            </w:pPr>
            <w:r>
              <w:t>39.4</w:t>
            </w:r>
          </w:p>
        </w:tc>
        <w:tc>
          <w:tcPr>
            <w:tcW w:w="1162" w:type="dxa"/>
          </w:tcPr>
          <w:p w14:paraId="01CDDA2E" w14:textId="77777777" w:rsidR="00B02788" w:rsidRDefault="00B02788" w:rsidP="00C21BAD">
            <w:pPr>
              <w:pStyle w:val="TableTextLeft"/>
            </w:pPr>
            <w:r>
              <w:t>Shale gas</w:t>
            </w:r>
          </w:p>
        </w:tc>
        <w:tc>
          <w:tcPr>
            <w:tcW w:w="1843" w:type="dxa"/>
            <w:noWrap/>
          </w:tcPr>
          <w:p w14:paraId="5137C58A" w14:textId="77777777" w:rsidR="00B02788" w:rsidRDefault="00B02788" w:rsidP="00C21BAD">
            <w:pPr>
              <w:pStyle w:val="TableTextLeft"/>
            </w:pPr>
            <w:r>
              <w:t>Riversleigh Shale</w:t>
            </w:r>
          </w:p>
        </w:tc>
        <w:tc>
          <w:tcPr>
            <w:tcW w:w="1701" w:type="dxa"/>
          </w:tcPr>
          <w:p w14:paraId="63A22D21" w14:textId="6B3015A5" w:rsidR="00B02788" w:rsidRDefault="00B02788" w:rsidP="00C21BAD">
            <w:pPr>
              <w:pStyle w:val="TableTextLeft"/>
            </w:pPr>
            <w:r>
              <w:t>Armour Energy (2015)</w:t>
            </w:r>
            <w:r w:rsidRPr="00116B50">
              <w:t> </w:t>
            </w:r>
          </w:p>
        </w:tc>
      </w:tr>
      <w:tr w:rsidR="00B02788" w:rsidRPr="00D27DD2" w14:paraId="14B87AEA"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1EC0BA44" w14:textId="77777777" w:rsidR="00B02788" w:rsidRDefault="00B02788" w:rsidP="00C21BAD">
            <w:pPr>
              <w:pStyle w:val="TableTextLeft"/>
            </w:pPr>
            <w:r>
              <w:t>Maryborough Basin</w:t>
            </w:r>
          </w:p>
        </w:tc>
        <w:tc>
          <w:tcPr>
            <w:tcW w:w="992" w:type="dxa"/>
            <w:noWrap/>
          </w:tcPr>
          <w:p w14:paraId="62B68370" w14:textId="77777777" w:rsidR="00B02788" w:rsidRDefault="00B02788" w:rsidP="00C21BAD">
            <w:pPr>
              <w:pStyle w:val="TableTextLeft"/>
            </w:pPr>
            <w:r>
              <w:t>QLD</w:t>
            </w:r>
          </w:p>
        </w:tc>
        <w:tc>
          <w:tcPr>
            <w:tcW w:w="1701" w:type="dxa"/>
            <w:noWrap/>
          </w:tcPr>
          <w:p w14:paraId="0EDD5D7F" w14:textId="1E66E18C" w:rsidR="00B02788" w:rsidRDefault="00B50F32" w:rsidP="00C21BAD">
            <w:pPr>
              <w:pStyle w:val="TableTextLeft"/>
            </w:pPr>
            <w:r>
              <w:t xml:space="preserve">Regional; </w:t>
            </w:r>
            <w:r w:rsidR="00C7412E" w:rsidRPr="00C7412E">
              <w:t>3,264</w:t>
            </w:r>
            <w:r w:rsidR="00C7412E">
              <w:t xml:space="preserve"> km</w:t>
            </w:r>
            <w:r w:rsidR="00C7412E" w:rsidRPr="00C7412E">
              <w:rPr>
                <w:vertAlign w:val="superscript"/>
              </w:rPr>
              <w:t>2</w:t>
            </w:r>
          </w:p>
        </w:tc>
        <w:tc>
          <w:tcPr>
            <w:tcW w:w="1052" w:type="dxa"/>
            <w:noWrap/>
          </w:tcPr>
          <w:p w14:paraId="5D5883A3" w14:textId="77777777" w:rsidR="00B02788" w:rsidRDefault="00B02788" w:rsidP="00C21BAD">
            <w:pPr>
              <w:pStyle w:val="TableTextLeft"/>
            </w:pPr>
            <w:r>
              <w:t> </w:t>
            </w:r>
          </w:p>
        </w:tc>
        <w:tc>
          <w:tcPr>
            <w:tcW w:w="633" w:type="dxa"/>
            <w:noWrap/>
          </w:tcPr>
          <w:p w14:paraId="27BEEE64" w14:textId="77777777" w:rsidR="00B02788" w:rsidRDefault="00B02788" w:rsidP="00C21BAD">
            <w:pPr>
              <w:pStyle w:val="TableTextCentred"/>
            </w:pPr>
            <w:r>
              <w:t>- </w:t>
            </w:r>
          </w:p>
        </w:tc>
        <w:tc>
          <w:tcPr>
            <w:tcW w:w="755" w:type="dxa"/>
            <w:noWrap/>
          </w:tcPr>
          <w:p w14:paraId="62CC3490" w14:textId="77777777" w:rsidR="00B02788" w:rsidRDefault="00B02788" w:rsidP="00C21BAD">
            <w:pPr>
              <w:pStyle w:val="TableTextCentred"/>
            </w:pPr>
            <w:r>
              <w:t>- </w:t>
            </w:r>
          </w:p>
        </w:tc>
        <w:tc>
          <w:tcPr>
            <w:tcW w:w="633" w:type="dxa"/>
            <w:noWrap/>
          </w:tcPr>
          <w:p w14:paraId="4F096808" w14:textId="77777777" w:rsidR="00B02788" w:rsidRDefault="00B02788" w:rsidP="00C21BAD">
            <w:pPr>
              <w:pStyle w:val="TableTextCentred"/>
            </w:pPr>
            <w:r>
              <w:t> -</w:t>
            </w:r>
          </w:p>
        </w:tc>
        <w:tc>
          <w:tcPr>
            <w:tcW w:w="633" w:type="dxa"/>
            <w:noWrap/>
          </w:tcPr>
          <w:p w14:paraId="36E8CE14" w14:textId="77777777" w:rsidR="00B02788" w:rsidRDefault="00B02788" w:rsidP="00C21BAD">
            <w:pPr>
              <w:pStyle w:val="TableTextCentred"/>
            </w:pPr>
            <w:r>
              <w:t> -</w:t>
            </w:r>
          </w:p>
        </w:tc>
        <w:tc>
          <w:tcPr>
            <w:tcW w:w="633" w:type="dxa"/>
            <w:noWrap/>
          </w:tcPr>
          <w:p w14:paraId="1C36A092" w14:textId="77777777" w:rsidR="00B02788" w:rsidRDefault="00B02788" w:rsidP="00C21BAD">
            <w:pPr>
              <w:pStyle w:val="TableTextCentred"/>
            </w:pPr>
            <w:r>
              <w:t>7</w:t>
            </w:r>
          </w:p>
        </w:tc>
        <w:tc>
          <w:tcPr>
            <w:tcW w:w="594" w:type="dxa"/>
            <w:noWrap/>
          </w:tcPr>
          <w:p w14:paraId="76BAC991" w14:textId="77777777" w:rsidR="00B02788" w:rsidRDefault="00B02788" w:rsidP="00C21BAD">
            <w:pPr>
              <w:pStyle w:val="TableTextCentred"/>
            </w:pPr>
            <w:r>
              <w:t>- </w:t>
            </w:r>
          </w:p>
        </w:tc>
        <w:tc>
          <w:tcPr>
            <w:tcW w:w="1162" w:type="dxa"/>
          </w:tcPr>
          <w:p w14:paraId="76D3B948" w14:textId="77777777" w:rsidR="00B02788" w:rsidRDefault="00B02788" w:rsidP="00C21BAD">
            <w:pPr>
              <w:pStyle w:val="TableTextLeft"/>
            </w:pPr>
            <w:r>
              <w:t>Shale gas</w:t>
            </w:r>
          </w:p>
        </w:tc>
        <w:tc>
          <w:tcPr>
            <w:tcW w:w="1843" w:type="dxa"/>
            <w:noWrap/>
          </w:tcPr>
          <w:p w14:paraId="3377F7DE" w14:textId="77777777" w:rsidR="00B02788" w:rsidRDefault="00B02788" w:rsidP="00C21BAD">
            <w:pPr>
              <w:pStyle w:val="TableTextLeft"/>
            </w:pPr>
            <w:r>
              <w:t>Cherwell Mudstone (Maryborough Formation)</w:t>
            </w:r>
          </w:p>
        </w:tc>
        <w:tc>
          <w:tcPr>
            <w:tcW w:w="1701" w:type="dxa"/>
          </w:tcPr>
          <w:p w14:paraId="1C6CCB1B" w14:textId="626E2597" w:rsidR="00B02788" w:rsidRDefault="00B02788" w:rsidP="00C21BAD">
            <w:pPr>
              <w:pStyle w:val="TableTextLeft"/>
            </w:pPr>
            <w:r>
              <w:t>AWT International (2013)</w:t>
            </w:r>
          </w:p>
        </w:tc>
      </w:tr>
      <w:tr w:rsidR="00B02788" w:rsidRPr="00D27DD2" w14:paraId="27C2C2AB"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04502E04" w14:textId="77777777" w:rsidR="00B02788" w:rsidRDefault="00B02788" w:rsidP="00C21BAD">
            <w:pPr>
              <w:pStyle w:val="TableTextLeft"/>
            </w:pPr>
            <w:r>
              <w:t>McArthur Basin</w:t>
            </w:r>
          </w:p>
        </w:tc>
        <w:tc>
          <w:tcPr>
            <w:tcW w:w="992" w:type="dxa"/>
            <w:noWrap/>
          </w:tcPr>
          <w:p w14:paraId="1301FC1D" w14:textId="77777777" w:rsidR="00B02788" w:rsidRDefault="00B02788" w:rsidP="00C21BAD">
            <w:pPr>
              <w:pStyle w:val="TableTextLeft"/>
            </w:pPr>
            <w:r>
              <w:t>NT</w:t>
            </w:r>
          </w:p>
        </w:tc>
        <w:tc>
          <w:tcPr>
            <w:tcW w:w="1701" w:type="dxa"/>
            <w:noWrap/>
          </w:tcPr>
          <w:p w14:paraId="4E31A1E7" w14:textId="77777777" w:rsidR="00B02788" w:rsidRDefault="00B02788" w:rsidP="00C21BAD">
            <w:pPr>
              <w:pStyle w:val="TableTextLeft"/>
            </w:pPr>
            <w:r>
              <w:t>EP 171, EP 176 (Batten Trough)</w:t>
            </w:r>
          </w:p>
        </w:tc>
        <w:tc>
          <w:tcPr>
            <w:tcW w:w="1052" w:type="dxa"/>
            <w:noWrap/>
          </w:tcPr>
          <w:p w14:paraId="611CEBB0" w14:textId="77777777" w:rsidR="00B02788" w:rsidRDefault="00B02788" w:rsidP="00C21BAD">
            <w:pPr>
              <w:pStyle w:val="TableTextLeft"/>
            </w:pPr>
            <w:r>
              <w:t>Armour Energy</w:t>
            </w:r>
          </w:p>
        </w:tc>
        <w:tc>
          <w:tcPr>
            <w:tcW w:w="633" w:type="dxa"/>
            <w:noWrap/>
          </w:tcPr>
          <w:p w14:paraId="2D8AB7CC" w14:textId="77777777" w:rsidR="00B02788" w:rsidRDefault="00B02788" w:rsidP="00C21BAD">
            <w:pPr>
              <w:pStyle w:val="TableTextCentred"/>
            </w:pPr>
            <w:r>
              <w:t>- </w:t>
            </w:r>
          </w:p>
        </w:tc>
        <w:tc>
          <w:tcPr>
            <w:tcW w:w="755" w:type="dxa"/>
            <w:noWrap/>
          </w:tcPr>
          <w:p w14:paraId="3DB9E66D" w14:textId="77777777" w:rsidR="00B02788" w:rsidRDefault="00B02788" w:rsidP="00C21BAD">
            <w:pPr>
              <w:pStyle w:val="TableTextCentred"/>
            </w:pPr>
            <w:r>
              <w:t>- </w:t>
            </w:r>
          </w:p>
        </w:tc>
        <w:tc>
          <w:tcPr>
            <w:tcW w:w="633" w:type="dxa"/>
            <w:noWrap/>
          </w:tcPr>
          <w:p w14:paraId="1FC9AADB" w14:textId="77777777" w:rsidR="00B02788" w:rsidRDefault="00B02788" w:rsidP="00C21BAD">
            <w:pPr>
              <w:pStyle w:val="TableTextCentred"/>
            </w:pPr>
            <w:r>
              <w:t> -</w:t>
            </w:r>
          </w:p>
        </w:tc>
        <w:tc>
          <w:tcPr>
            <w:tcW w:w="633" w:type="dxa"/>
            <w:noWrap/>
          </w:tcPr>
          <w:p w14:paraId="16AC636F" w14:textId="77777777" w:rsidR="00B02788" w:rsidRDefault="00B02788" w:rsidP="00C21BAD">
            <w:pPr>
              <w:pStyle w:val="TableTextCentred"/>
            </w:pPr>
            <w:r>
              <w:t>- </w:t>
            </w:r>
          </w:p>
        </w:tc>
        <w:tc>
          <w:tcPr>
            <w:tcW w:w="633" w:type="dxa"/>
            <w:noWrap/>
          </w:tcPr>
          <w:p w14:paraId="6E6F64ED" w14:textId="77777777" w:rsidR="00B02788" w:rsidRDefault="00B02788" w:rsidP="00C21BAD">
            <w:pPr>
              <w:pStyle w:val="TableTextCentred"/>
            </w:pPr>
            <w:r>
              <w:t>18.6</w:t>
            </w:r>
          </w:p>
        </w:tc>
        <w:tc>
          <w:tcPr>
            <w:tcW w:w="594" w:type="dxa"/>
            <w:noWrap/>
          </w:tcPr>
          <w:p w14:paraId="427FBC80" w14:textId="77777777" w:rsidR="00B02788" w:rsidRDefault="00B02788" w:rsidP="00C21BAD">
            <w:pPr>
              <w:pStyle w:val="TableTextCentred"/>
            </w:pPr>
            <w:r>
              <w:t>- </w:t>
            </w:r>
          </w:p>
        </w:tc>
        <w:tc>
          <w:tcPr>
            <w:tcW w:w="1162" w:type="dxa"/>
          </w:tcPr>
          <w:p w14:paraId="396F63A0" w14:textId="77777777" w:rsidR="00B02788" w:rsidRDefault="00B02788" w:rsidP="00C21BAD">
            <w:pPr>
              <w:pStyle w:val="TableTextLeft"/>
            </w:pPr>
            <w:r>
              <w:t>Shale gas</w:t>
            </w:r>
          </w:p>
        </w:tc>
        <w:tc>
          <w:tcPr>
            <w:tcW w:w="1843" w:type="dxa"/>
            <w:noWrap/>
          </w:tcPr>
          <w:p w14:paraId="014DC4E6" w14:textId="77777777" w:rsidR="00B02788" w:rsidRDefault="00B02788" w:rsidP="00C21BAD">
            <w:pPr>
              <w:pStyle w:val="TableTextLeft"/>
            </w:pPr>
            <w:r>
              <w:t>Barney Creek Formation</w:t>
            </w:r>
          </w:p>
        </w:tc>
        <w:tc>
          <w:tcPr>
            <w:tcW w:w="1701" w:type="dxa"/>
          </w:tcPr>
          <w:p w14:paraId="1F8761E1" w14:textId="70D03360" w:rsidR="00B02788" w:rsidRDefault="00B02788" w:rsidP="00C21BAD">
            <w:pPr>
              <w:pStyle w:val="TableTextLeft"/>
            </w:pPr>
            <w:r>
              <w:t>Armour Energy (2012, 2017a)</w:t>
            </w:r>
          </w:p>
        </w:tc>
      </w:tr>
      <w:tr w:rsidR="00B02788" w:rsidRPr="00D27DD2" w14:paraId="02092BAC"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75B2D580" w14:textId="77777777" w:rsidR="00B02788" w:rsidRDefault="00B02788" w:rsidP="00C21BAD">
            <w:pPr>
              <w:pStyle w:val="TableTextLeft"/>
            </w:pPr>
            <w:r>
              <w:t>McArthur Basin</w:t>
            </w:r>
          </w:p>
        </w:tc>
        <w:tc>
          <w:tcPr>
            <w:tcW w:w="992" w:type="dxa"/>
            <w:noWrap/>
          </w:tcPr>
          <w:p w14:paraId="68B57A9C" w14:textId="77777777" w:rsidR="00B02788" w:rsidRDefault="00B02788" w:rsidP="00C21BAD">
            <w:pPr>
              <w:pStyle w:val="TableTextLeft"/>
            </w:pPr>
            <w:r>
              <w:t>NT</w:t>
            </w:r>
          </w:p>
        </w:tc>
        <w:tc>
          <w:tcPr>
            <w:tcW w:w="1701" w:type="dxa"/>
            <w:noWrap/>
          </w:tcPr>
          <w:p w14:paraId="152D9282" w14:textId="77777777" w:rsidR="00B02788" w:rsidRDefault="00B02788" w:rsidP="00C21BAD">
            <w:pPr>
              <w:pStyle w:val="TableTextLeft"/>
            </w:pPr>
            <w:r>
              <w:t>EP 176 (Batten Trough)</w:t>
            </w:r>
          </w:p>
        </w:tc>
        <w:tc>
          <w:tcPr>
            <w:tcW w:w="1052" w:type="dxa"/>
            <w:noWrap/>
          </w:tcPr>
          <w:p w14:paraId="105A44EB" w14:textId="77777777" w:rsidR="00B02788" w:rsidRDefault="00B02788" w:rsidP="00C21BAD">
            <w:pPr>
              <w:pStyle w:val="TableTextLeft"/>
            </w:pPr>
            <w:r>
              <w:t>Armour Energy</w:t>
            </w:r>
          </w:p>
        </w:tc>
        <w:tc>
          <w:tcPr>
            <w:tcW w:w="633" w:type="dxa"/>
            <w:noWrap/>
          </w:tcPr>
          <w:p w14:paraId="7212ADFB" w14:textId="77777777" w:rsidR="00B02788" w:rsidRDefault="00B02788" w:rsidP="00C21BAD">
            <w:pPr>
              <w:pStyle w:val="TableTextCentred"/>
            </w:pPr>
            <w:r>
              <w:t> -</w:t>
            </w:r>
          </w:p>
        </w:tc>
        <w:tc>
          <w:tcPr>
            <w:tcW w:w="755" w:type="dxa"/>
            <w:noWrap/>
          </w:tcPr>
          <w:p w14:paraId="51A96261" w14:textId="77777777" w:rsidR="00B02788" w:rsidRDefault="00B02788" w:rsidP="00C21BAD">
            <w:pPr>
              <w:pStyle w:val="TableTextCentred"/>
            </w:pPr>
            <w:r>
              <w:t>- </w:t>
            </w:r>
          </w:p>
        </w:tc>
        <w:tc>
          <w:tcPr>
            <w:tcW w:w="633" w:type="dxa"/>
            <w:noWrap/>
          </w:tcPr>
          <w:p w14:paraId="6A30082A" w14:textId="77777777" w:rsidR="00B02788" w:rsidRDefault="00B02788" w:rsidP="00C21BAD">
            <w:pPr>
              <w:pStyle w:val="TableTextCentred"/>
            </w:pPr>
            <w:r>
              <w:t>-- </w:t>
            </w:r>
          </w:p>
        </w:tc>
        <w:tc>
          <w:tcPr>
            <w:tcW w:w="633" w:type="dxa"/>
            <w:noWrap/>
          </w:tcPr>
          <w:p w14:paraId="4FB626CC" w14:textId="77777777" w:rsidR="00B02788" w:rsidRDefault="00B02788" w:rsidP="00C21BAD">
            <w:pPr>
              <w:pStyle w:val="TableTextCentred"/>
            </w:pPr>
            <w:r>
              <w:t> -</w:t>
            </w:r>
          </w:p>
        </w:tc>
        <w:tc>
          <w:tcPr>
            <w:tcW w:w="633" w:type="dxa"/>
            <w:noWrap/>
          </w:tcPr>
          <w:p w14:paraId="19FB3D66" w14:textId="77777777" w:rsidR="00B02788" w:rsidRDefault="00B02788" w:rsidP="00C21BAD">
            <w:pPr>
              <w:pStyle w:val="TableTextCentred"/>
            </w:pPr>
            <w:r>
              <w:t>0.1</w:t>
            </w:r>
          </w:p>
        </w:tc>
        <w:tc>
          <w:tcPr>
            <w:tcW w:w="594" w:type="dxa"/>
            <w:noWrap/>
          </w:tcPr>
          <w:p w14:paraId="566F2B00" w14:textId="77777777" w:rsidR="00B02788" w:rsidRDefault="00B02788" w:rsidP="00C21BAD">
            <w:pPr>
              <w:pStyle w:val="TableTextCentred"/>
            </w:pPr>
            <w:r>
              <w:t>- </w:t>
            </w:r>
          </w:p>
        </w:tc>
        <w:tc>
          <w:tcPr>
            <w:tcW w:w="1162" w:type="dxa"/>
          </w:tcPr>
          <w:p w14:paraId="01D17AA4" w14:textId="77777777" w:rsidR="00B02788" w:rsidRDefault="00B02788" w:rsidP="00C21BAD">
            <w:pPr>
              <w:pStyle w:val="TableTextLeft"/>
            </w:pPr>
            <w:r>
              <w:t>Shale gas, tight gas</w:t>
            </w:r>
          </w:p>
        </w:tc>
        <w:tc>
          <w:tcPr>
            <w:tcW w:w="1843" w:type="dxa"/>
            <w:noWrap/>
          </w:tcPr>
          <w:p w14:paraId="5C5A9EAC" w14:textId="77777777" w:rsidR="00B02788" w:rsidRDefault="00B02788" w:rsidP="00C21BAD">
            <w:pPr>
              <w:pStyle w:val="TableTextLeft"/>
            </w:pPr>
            <w:r>
              <w:t>Lynott Formation; Reward Formation</w:t>
            </w:r>
          </w:p>
        </w:tc>
        <w:tc>
          <w:tcPr>
            <w:tcW w:w="1701" w:type="dxa"/>
          </w:tcPr>
          <w:p w14:paraId="1B861610" w14:textId="593305B0" w:rsidR="00B02788" w:rsidRDefault="00B02788" w:rsidP="00C21BAD">
            <w:pPr>
              <w:pStyle w:val="TableTextLeft"/>
            </w:pPr>
            <w:r>
              <w:t>Armour Energy (2017a)</w:t>
            </w:r>
          </w:p>
        </w:tc>
      </w:tr>
      <w:tr w:rsidR="00B02788" w:rsidRPr="00D27DD2" w14:paraId="529B2989"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34DD2061" w14:textId="77777777" w:rsidR="00B02788" w:rsidRDefault="00B02788" w:rsidP="00C21BAD">
            <w:pPr>
              <w:pStyle w:val="TableTextLeft"/>
            </w:pPr>
            <w:r>
              <w:lastRenderedPageBreak/>
              <w:t xml:space="preserve">McArthur Basin </w:t>
            </w:r>
          </w:p>
        </w:tc>
        <w:tc>
          <w:tcPr>
            <w:tcW w:w="992" w:type="dxa"/>
            <w:noWrap/>
          </w:tcPr>
          <w:p w14:paraId="222FFA3E" w14:textId="77777777" w:rsidR="00B02788" w:rsidRDefault="00B02788" w:rsidP="00C21BAD">
            <w:pPr>
              <w:pStyle w:val="TableTextLeft"/>
            </w:pPr>
            <w:r>
              <w:t>NT</w:t>
            </w:r>
          </w:p>
        </w:tc>
        <w:tc>
          <w:tcPr>
            <w:tcW w:w="1701" w:type="dxa"/>
            <w:noWrap/>
          </w:tcPr>
          <w:p w14:paraId="259FCE34" w14:textId="77777777" w:rsidR="00B02788" w:rsidRDefault="00B02788" w:rsidP="00C21BAD">
            <w:pPr>
              <w:pStyle w:val="TableTextLeft"/>
            </w:pPr>
            <w:r>
              <w:t>EP76, EP98, EP117 (Beetaloo Sub-basin)</w:t>
            </w:r>
          </w:p>
        </w:tc>
        <w:tc>
          <w:tcPr>
            <w:tcW w:w="1052" w:type="dxa"/>
            <w:noWrap/>
          </w:tcPr>
          <w:p w14:paraId="7EB664C6" w14:textId="77777777" w:rsidR="00B02788" w:rsidRDefault="00B02788" w:rsidP="00C21BAD">
            <w:pPr>
              <w:pStyle w:val="TableTextLeft"/>
            </w:pPr>
            <w:r>
              <w:t>Origin Energy</w:t>
            </w:r>
          </w:p>
        </w:tc>
        <w:tc>
          <w:tcPr>
            <w:tcW w:w="633" w:type="dxa"/>
            <w:noWrap/>
          </w:tcPr>
          <w:p w14:paraId="3644EF80" w14:textId="77777777" w:rsidR="00B02788" w:rsidRDefault="00B02788" w:rsidP="00C21BAD">
            <w:pPr>
              <w:pStyle w:val="TableTextCentred"/>
            </w:pPr>
            <w:r>
              <w:t> -</w:t>
            </w:r>
          </w:p>
        </w:tc>
        <w:tc>
          <w:tcPr>
            <w:tcW w:w="755" w:type="dxa"/>
            <w:noWrap/>
          </w:tcPr>
          <w:p w14:paraId="0DA4C6D0" w14:textId="77777777" w:rsidR="00B02788" w:rsidRDefault="00B02788" w:rsidP="00C21BAD">
            <w:pPr>
              <w:pStyle w:val="TableTextCentred"/>
            </w:pPr>
            <w:r>
              <w:t>6.6</w:t>
            </w:r>
          </w:p>
        </w:tc>
        <w:tc>
          <w:tcPr>
            <w:tcW w:w="633" w:type="dxa"/>
            <w:noWrap/>
          </w:tcPr>
          <w:p w14:paraId="056BCDB7" w14:textId="77777777" w:rsidR="00B02788" w:rsidRDefault="00B02788" w:rsidP="00C21BAD">
            <w:pPr>
              <w:pStyle w:val="TableTextCentred"/>
            </w:pPr>
            <w:r>
              <w:t> -</w:t>
            </w:r>
          </w:p>
        </w:tc>
        <w:tc>
          <w:tcPr>
            <w:tcW w:w="633" w:type="dxa"/>
            <w:noWrap/>
          </w:tcPr>
          <w:p w14:paraId="13BFA925" w14:textId="77777777" w:rsidR="00B02788" w:rsidRDefault="00B02788" w:rsidP="00C21BAD">
            <w:pPr>
              <w:pStyle w:val="TableTextCentred"/>
            </w:pPr>
            <w:r>
              <w:t>- </w:t>
            </w:r>
          </w:p>
        </w:tc>
        <w:tc>
          <w:tcPr>
            <w:tcW w:w="633" w:type="dxa"/>
            <w:noWrap/>
          </w:tcPr>
          <w:p w14:paraId="3AC8A4BE" w14:textId="77777777" w:rsidR="00B02788" w:rsidRDefault="00B02788" w:rsidP="00C21BAD">
            <w:pPr>
              <w:pStyle w:val="TableTextCentred"/>
            </w:pPr>
            <w:r>
              <w:t>- </w:t>
            </w:r>
          </w:p>
        </w:tc>
        <w:tc>
          <w:tcPr>
            <w:tcW w:w="594" w:type="dxa"/>
            <w:noWrap/>
          </w:tcPr>
          <w:p w14:paraId="3E64DE9F" w14:textId="77777777" w:rsidR="00B02788" w:rsidRDefault="00B02788" w:rsidP="00C21BAD">
            <w:pPr>
              <w:pStyle w:val="TableTextCentred"/>
            </w:pPr>
            <w:r>
              <w:t>- </w:t>
            </w:r>
          </w:p>
        </w:tc>
        <w:tc>
          <w:tcPr>
            <w:tcW w:w="1162" w:type="dxa"/>
          </w:tcPr>
          <w:p w14:paraId="3EBD4C2F" w14:textId="77777777" w:rsidR="00B02788" w:rsidRDefault="00B02788" w:rsidP="00C21BAD">
            <w:pPr>
              <w:pStyle w:val="TableTextLeft"/>
            </w:pPr>
            <w:r>
              <w:t>Shale gas</w:t>
            </w:r>
          </w:p>
        </w:tc>
        <w:tc>
          <w:tcPr>
            <w:tcW w:w="1843" w:type="dxa"/>
            <w:noWrap/>
          </w:tcPr>
          <w:p w14:paraId="7F20796B" w14:textId="77777777" w:rsidR="00B02788" w:rsidRDefault="00B02788" w:rsidP="00C21BAD">
            <w:pPr>
              <w:pStyle w:val="TableTextLeft"/>
            </w:pPr>
            <w:r>
              <w:t>B Shale member of the Velkerri Formation at Amungee NW-1H</w:t>
            </w:r>
          </w:p>
        </w:tc>
        <w:tc>
          <w:tcPr>
            <w:tcW w:w="1701" w:type="dxa"/>
          </w:tcPr>
          <w:p w14:paraId="1BDEEF9D" w14:textId="3CE1E076" w:rsidR="00B02788" w:rsidRDefault="00B02788" w:rsidP="00C21BAD">
            <w:pPr>
              <w:pStyle w:val="TableTextLeft"/>
            </w:pPr>
            <w:r>
              <w:t>Origin Energy (2017)</w:t>
            </w:r>
            <w:r w:rsidRPr="00116B50">
              <w:t> </w:t>
            </w:r>
          </w:p>
        </w:tc>
      </w:tr>
      <w:tr w:rsidR="00B02788" w:rsidRPr="00D27DD2" w14:paraId="2D4219C2"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25953BE5" w14:textId="77777777" w:rsidR="00B02788" w:rsidRDefault="00B02788" w:rsidP="00C21BAD">
            <w:pPr>
              <w:pStyle w:val="TableTextLeft"/>
            </w:pPr>
            <w:r>
              <w:t xml:space="preserve">McArthur Basin </w:t>
            </w:r>
          </w:p>
        </w:tc>
        <w:tc>
          <w:tcPr>
            <w:tcW w:w="992" w:type="dxa"/>
            <w:noWrap/>
          </w:tcPr>
          <w:p w14:paraId="692792D6" w14:textId="77777777" w:rsidR="00B02788" w:rsidRDefault="00B02788" w:rsidP="00C21BAD">
            <w:pPr>
              <w:pStyle w:val="TableTextLeft"/>
            </w:pPr>
            <w:r>
              <w:t>NT</w:t>
            </w:r>
          </w:p>
        </w:tc>
        <w:tc>
          <w:tcPr>
            <w:tcW w:w="1701" w:type="dxa"/>
            <w:noWrap/>
          </w:tcPr>
          <w:p w14:paraId="2E3902FF" w14:textId="26D313DE" w:rsidR="00B02788" w:rsidRDefault="00365CE5" w:rsidP="00C21BAD">
            <w:pPr>
              <w:pStyle w:val="TableTextLeft"/>
            </w:pPr>
            <w:r w:rsidRPr="00116B50">
              <w:t>Regional</w:t>
            </w:r>
            <w:r>
              <w:t>; area unknown</w:t>
            </w:r>
          </w:p>
        </w:tc>
        <w:tc>
          <w:tcPr>
            <w:tcW w:w="1052" w:type="dxa"/>
            <w:noWrap/>
          </w:tcPr>
          <w:p w14:paraId="5C34AFA6" w14:textId="77777777" w:rsidR="00B02788" w:rsidRDefault="00B02788" w:rsidP="00C21BAD">
            <w:pPr>
              <w:pStyle w:val="TableTextLeft"/>
            </w:pPr>
            <w:r>
              <w:t> </w:t>
            </w:r>
          </w:p>
        </w:tc>
        <w:tc>
          <w:tcPr>
            <w:tcW w:w="633" w:type="dxa"/>
            <w:noWrap/>
          </w:tcPr>
          <w:p w14:paraId="6C436A4A" w14:textId="77777777" w:rsidR="00B02788" w:rsidRDefault="00B02788" w:rsidP="00C21BAD">
            <w:pPr>
              <w:pStyle w:val="TableTextCentred"/>
            </w:pPr>
            <w:r>
              <w:t>- </w:t>
            </w:r>
          </w:p>
        </w:tc>
        <w:tc>
          <w:tcPr>
            <w:tcW w:w="755" w:type="dxa"/>
            <w:noWrap/>
          </w:tcPr>
          <w:p w14:paraId="715183CE" w14:textId="77777777" w:rsidR="00B02788" w:rsidRPr="00C7068B" w:rsidRDefault="00B02788" w:rsidP="00C21BAD">
            <w:pPr>
              <w:pStyle w:val="TableTextCentred"/>
            </w:pPr>
            <w:r>
              <w:t>-</w:t>
            </w:r>
            <w:r w:rsidRPr="00C7068B">
              <w:t> </w:t>
            </w:r>
          </w:p>
        </w:tc>
        <w:tc>
          <w:tcPr>
            <w:tcW w:w="633" w:type="dxa"/>
            <w:noWrap/>
          </w:tcPr>
          <w:p w14:paraId="5F3A5777" w14:textId="77777777" w:rsidR="00B02788" w:rsidRPr="00C7068B" w:rsidRDefault="00B02788" w:rsidP="00C21BAD">
            <w:pPr>
              <w:pStyle w:val="TableTextCentred"/>
            </w:pPr>
            <w:r>
              <w:t>-</w:t>
            </w:r>
            <w:r w:rsidRPr="00C7068B">
              <w:t> </w:t>
            </w:r>
          </w:p>
        </w:tc>
        <w:tc>
          <w:tcPr>
            <w:tcW w:w="633" w:type="dxa"/>
            <w:noWrap/>
          </w:tcPr>
          <w:p w14:paraId="5C3A6425" w14:textId="77777777" w:rsidR="00B02788" w:rsidRPr="00C7068B" w:rsidRDefault="00B02788" w:rsidP="00C21BAD">
            <w:pPr>
              <w:pStyle w:val="TableTextCentred"/>
            </w:pPr>
            <w:r w:rsidRPr="00C7068B">
              <w:t> 11.8*</w:t>
            </w:r>
          </w:p>
        </w:tc>
        <w:tc>
          <w:tcPr>
            <w:tcW w:w="633" w:type="dxa"/>
            <w:noWrap/>
          </w:tcPr>
          <w:p w14:paraId="4720B935" w14:textId="77777777" w:rsidR="00B02788" w:rsidRPr="00C7068B" w:rsidRDefault="00B02788" w:rsidP="00C21BAD">
            <w:pPr>
              <w:pStyle w:val="TableTextCentred"/>
            </w:pPr>
            <w:r w:rsidRPr="00C7068B">
              <w:t>20.2*</w:t>
            </w:r>
          </w:p>
        </w:tc>
        <w:tc>
          <w:tcPr>
            <w:tcW w:w="594" w:type="dxa"/>
            <w:noWrap/>
          </w:tcPr>
          <w:p w14:paraId="4D6DF0F5" w14:textId="77777777" w:rsidR="00B02788" w:rsidRPr="00C7068B" w:rsidRDefault="00B02788" w:rsidP="00C21BAD">
            <w:pPr>
              <w:pStyle w:val="TableTextCentred"/>
            </w:pPr>
            <w:r w:rsidRPr="00C7068B">
              <w:t>29.3* </w:t>
            </w:r>
          </w:p>
        </w:tc>
        <w:tc>
          <w:tcPr>
            <w:tcW w:w="1162" w:type="dxa"/>
          </w:tcPr>
          <w:p w14:paraId="0DC1C485" w14:textId="77777777" w:rsidR="00B02788" w:rsidRPr="00C7068B" w:rsidRDefault="00B02788" w:rsidP="00C21BAD">
            <w:pPr>
              <w:pStyle w:val="TableTextLeft"/>
            </w:pPr>
            <w:r w:rsidRPr="00C7068B">
              <w:t>Shale gas</w:t>
            </w:r>
          </w:p>
        </w:tc>
        <w:tc>
          <w:tcPr>
            <w:tcW w:w="1843" w:type="dxa"/>
            <w:noWrap/>
          </w:tcPr>
          <w:p w14:paraId="5D9CC9CD" w14:textId="77777777" w:rsidR="00B02788" w:rsidRDefault="00B02788" w:rsidP="00C21BAD">
            <w:pPr>
              <w:pStyle w:val="TableTextLeft"/>
            </w:pPr>
            <w:r>
              <w:t>middle Velkerri Formation</w:t>
            </w:r>
          </w:p>
        </w:tc>
        <w:tc>
          <w:tcPr>
            <w:tcW w:w="1701" w:type="dxa"/>
          </w:tcPr>
          <w:p w14:paraId="62F6B31C" w14:textId="715C94BD" w:rsidR="00B02788" w:rsidRDefault="00B02788" w:rsidP="00502669">
            <w:pPr>
              <w:pStyle w:val="TableTextLeft"/>
            </w:pPr>
            <w:r>
              <w:t>Revie (2017); Weatherford Laboratories (2017); *assuming</w:t>
            </w:r>
            <w:r w:rsidR="00365CE5">
              <w:t xml:space="preserve"> a generic</w:t>
            </w:r>
            <w:r>
              <w:t xml:space="preserve"> 10% recovery factor</w:t>
            </w:r>
            <w:r w:rsidRPr="00116B50">
              <w:t> </w:t>
            </w:r>
          </w:p>
        </w:tc>
      </w:tr>
      <w:tr w:rsidR="00B02788" w:rsidRPr="00D27DD2" w14:paraId="0C4282A5"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5BE2E01F" w14:textId="77777777" w:rsidR="00B02788" w:rsidRDefault="00B02788" w:rsidP="00C21BAD">
            <w:pPr>
              <w:pStyle w:val="TableTextLeft"/>
            </w:pPr>
            <w:r>
              <w:t>Otway Basin</w:t>
            </w:r>
          </w:p>
        </w:tc>
        <w:tc>
          <w:tcPr>
            <w:tcW w:w="992" w:type="dxa"/>
            <w:noWrap/>
          </w:tcPr>
          <w:p w14:paraId="29BCEB64" w14:textId="77777777" w:rsidR="00B02788" w:rsidRDefault="00B02788" w:rsidP="00C21BAD">
            <w:pPr>
              <w:pStyle w:val="TableTextLeft"/>
            </w:pPr>
            <w:r>
              <w:t>SA, VIC</w:t>
            </w:r>
          </w:p>
        </w:tc>
        <w:tc>
          <w:tcPr>
            <w:tcW w:w="1701" w:type="dxa"/>
            <w:noWrap/>
          </w:tcPr>
          <w:p w14:paraId="4F9F24E8" w14:textId="4C6D8092" w:rsidR="00B02788" w:rsidRDefault="00B02788" w:rsidP="00C21BAD">
            <w:pPr>
              <w:pStyle w:val="TableTextLeft"/>
            </w:pPr>
            <w:r>
              <w:t>Regional</w:t>
            </w:r>
            <w:r w:rsidR="008C07DB">
              <w:t xml:space="preserve">; </w:t>
            </w:r>
            <w:r w:rsidR="00373371" w:rsidRPr="00373371">
              <w:t>wet gas 628 km</w:t>
            </w:r>
            <w:r w:rsidR="00373371" w:rsidRPr="00373371">
              <w:rPr>
                <w:vertAlign w:val="superscript"/>
              </w:rPr>
              <w:t>2</w:t>
            </w:r>
            <w:r w:rsidR="00373371" w:rsidRPr="00373371">
              <w:t>; dry gas 369 km</w:t>
            </w:r>
            <w:r w:rsidR="00373371" w:rsidRPr="00373371">
              <w:rPr>
                <w:vertAlign w:val="superscript"/>
              </w:rPr>
              <w:t>2</w:t>
            </w:r>
          </w:p>
        </w:tc>
        <w:tc>
          <w:tcPr>
            <w:tcW w:w="1052" w:type="dxa"/>
            <w:noWrap/>
          </w:tcPr>
          <w:p w14:paraId="2757C05C" w14:textId="77777777" w:rsidR="00B02788" w:rsidRDefault="00B02788" w:rsidP="00C21BAD">
            <w:pPr>
              <w:pStyle w:val="TableTextLeft"/>
            </w:pPr>
            <w:r>
              <w:t> </w:t>
            </w:r>
          </w:p>
        </w:tc>
        <w:tc>
          <w:tcPr>
            <w:tcW w:w="633" w:type="dxa"/>
            <w:noWrap/>
          </w:tcPr>
          <w:p w14:paraId="6C7B485C" w14:textId="77777777" w:rsidR="00B02788" w:rsidRDefault="00B02788" w:rsidP="00C21BAD">
            <w:pPr>
              <w:pStyle w:val="TableTextCentred"/>
            </w:pPr>
            <w:r>
              <w:t>- </w:t>
            </w:r>
          </w:p>
        </w:tc>
        <w:tc>
          <w:tcPr>
            <w:tcW w:w="755" w:type="dxa"/>
            <w:noWrap/>
          </w:tcPr>
          <w:p w14:paraId="5093E170" w14:textId="77777777" w:rsidR="00B02788" w:rsidRDefault="00B02788" w:rsidP="00C21BAD">
            <w:pPr>
              <w:pStyle w:val="TableTextCentred"/>
            </w:pPr>
            <w:r>
              <w:t>- </w:t>
            </w:r>
          </w:p>
        </w:tc>
        <w:tc>
          <w:tcPr>
            <w:tcW w:w="633" w:type="dxa"/>
            <w:noWrap/>
          </w:tcPr>
          <w:p w14:paraId="543C74CE" w14:textId="77777777" w:rsidR="00B02788" w:rsidRDefault="00B02788" w:rsidP="00C21BAD">
            <w:pPr>
              <w:pStyle w:val="TableTextCentred"/>
            </w:pPr>
            <w:r>
              <w:t>- </w:t>
            </w:r>
          </w:p>
        </w:tc>
        <w:tc>
          <w:tcPr>
            <w:tcW w:w="633" w:type="dxa"/>
            <w:noWrap/>
          </w:tcPr>
          <w:p w14:paraId="2E59EAFD" w14:textId="77777777" w:rsidR="00B02788" w:rsidRDefault="00B02788" w:rsidP="00C21BAD">
            <w:pPr>
              <w:pStyle w:val="TableTextCentred"/>
            </w:pPr>
            <w:r>
              <w:t>- </w:t>
            </w:r>
          </w:p>
        </w:tc>
        <w:tc>
          <w:tcPr>
            <w:tcW w:w="633" w:type="dxa"/>
            <w:noWrap/>
          </w:tcPr>
          <w:p w14:paraId="4A98B1D1" w14:textId="6A654A45" w:rsidR="00B02788" w:rsidRDefault="00B02788" w:rsidP="00C21BAD">
            <w:pPr>
              <w:pStyle w:val="TableTextCentred"/>
            </w:pPr>
            <w:r>
              <w:t>1.6</w:t>
            </w:r>
          </w:p>
        </w:tc>
        <w:tc>
          <w:tcPr>
            <w:tcW w:w="594" w:type="dxa"/>
            <w:noWrap/>
          </w:tcPr>
          <w:p w14:paraId="5EEA8AD2" w14:textId="77777777" w:rsidR="00B02788" w:rsidRDefault="00B02788" w:rsidP="00C21BAD">
            <w:pPr>
              <w:pStyle w:val="TableTextCentred"/>
            </w:pPr>
            <w:r>
              <w:t> -</w:t>
            </w:r>
          </w:p>
        </w:tc>
        <w:tc>
          <w:tcPr>
            <w:tcW w:w="1162" w:type="dxa"/>
          </w:tcPr>
          <w:p w14:paraId="66DC89B5" w14:textId="77777777" w:rsidR="00B02788" w:rsidRDefault="00B02788" w:rsidP="00C21BAD">
            <w:pPr>
              <w:pStyle w:val="TableTextLeft"/>
            </w:pPr>
            <w:r>
              <w:t>Shale gas</w:t>
            </w:r>
          </w:p>
        </w:tc>
        <w:tc>
          <w:tcPr>
            <w:tcW w:w="1843" w:type="dxa"/>
            <w:noWrap/>
          </w:tcPr>
          <w:p w14:paraId="359BC26A" w14:textId="4BCE0D42" w:rsidR="00B02788" w:rsidRDefault="00B02788" w:rsidP="00C21BAD">
            <w:pPr>
              <w:pStyle w:val="TableTextLeft"/>
            </w:pPr>
            <w:r>
              <w:t>Crayfish Sub-group; Eumeralla Formation; Casterton Formation</w:t>
            </w:r>
          </w:p>
        </w:tc>
        <w:tc>
          <w:tcPr>
            <w:tcW w:w="1701" w:type="dxa"/>
          </w:tcPr>
          <w:p w14:paraId="337E384C" w14:textId="623FDE1A" w:rsidR="00B02788" w:rsidRDefault="00B02788" w:rsidP="00C21BAD">
            <w:pPr>
              <w:pStyle w:val="TableTextLeft"/>
            </w:pPr>
            <w:r>
              <w:t>GA (2017b); AERA (2018)</w:t>
            </w:r>
          </w:p>
        </w:tc>
      </w:tr>
      <w:tr w:rsidR="00B02788" w:rsidRPr="00D27DD2" w14:paraId="49DBCF43"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6E9AAEE8" w14:textId="34676035" w:rsidR="00B02788" w:rsidRDefault="00B02788" w:rsidP="00C21BAD">
            <w:pPr>
              <w:pStyle w:val="TableTextLeft"/>
            </w:pPr>
            <w:r>
              <w:t>Otway Basin</w:t>
            </w:r>
          </w:p>
        </w:tc>
        <w:tc>
          <w:tcPr>
            <w:tcW w:w="992" w:type="dxa"/>
            <w:noWrap/>
          </w:tcPr>
          <w:p w14:paraId="3F34F89C" w14:textId="1E54AEB2" w:rsidR="00B02788" w:rsidRDefault="00B02788" w:rsidP="00C21BAD">
            <w:pPr>
              <w:pStyle w:val="TableTextLeft"/>
            </w:pPr>
            <w:r>
              <w:t>SA, VIC</w:t>
            </w:r>
          </w:p>
        </w:tc>
        <w:tc>
          <w:tcPr>
            <w:tcW w:w="1701" w:type="dxa"/>
            <w:noWrap/>
          </w:tcPr>
          <w:p w14:paraId="6E325BF3" w14:textId="67F98AF3" w:rsidR="00B02788" w:rsidRDefault="008C07DB" w:rsidP="00C21BAD">
            <w:pPr>
              <w:pStyle w:val="TableTextLeft"/>
            </w:pPr>
            <w:r>
              <w:t>Regional; 17,233 km</w:t>
            </w:r>
            <w:r w:rsidRPr="008C07DB">
              <w:rPr>
                <w:vertAlign w:val="superscript"/>
              </w:rPr>
              <w:t>2</w:t>
            </w:r>
          </w:p>
        </w:tc>
        <w:tc>
          <w:tcPr>
            <w:tcW w:w="1052" w:type="dxa"/>
            <w:noWrap/>
          </w:tcPr>
          <w:p w14:paraId="1CFE6CF8" w14:textId="3E159356" w:rsidR="00B02788" w:rsidRDefault="00B02788" w:rsidP="00C21BAD">
            <w:pPr>
              <w:pStyle w:val="TableTextLeft"/>
            </w:pPr>
            <w:r>
              <w:t> </w:t>
            </w:r>
          </w:p>
        </w:tc>
        <w:tc>
          <w:tcPr>
            <w:tcW w:w="633" w:type="dxa"/>
            <w:noWrap/>
          </w:tcPr>
          <w:p w14:paraId="67A72AF3" w14:textId="207E9954" w:rsidR="00B02788" w:rsidRDefault="00B02788" w:rsidP="00C21BAD">
            <w:pPr>
              <w:pStyle w:val="TableTextCentred"/>
            </w:pPr>
            <w:r>
              <w:t>- </w:t>
            </w:r>
          </w:p>
        </w:tc>
        <w:tc>
          <w:tcPr>
            <w:tcW w:w="755" w:type="dxa"/>
            <w:noWrap/>
          </w:tcPr>
          <w:p w14:paraId="1327A9B6" w14:textId="55E6E432" w:rsidR="00B02788" w:rsidRDefault="00B02788" w:rsidP="00C21BAD">
            <w:pPr>
              <w:pStyle w:val="TableTextCentred"/>
            </w:pPr>
            <w:r>
              <w:t> -</w:t>
            </w:r>
          </w:p>
        </w:tc>
        <w:tc>
          <w:tcPr>
            <w:tcW w:w="633" w:type="dxa"/>
            <w:noWrap/>
          </w:tcPr>
          <w:p w14:paraId="73A66123" w14:textId="7A631C70" w:rsidR="00B02788" w:rsidRDefault="00B02788" w:rsidP="00C21BAD">
            <w:pPr>
              <w:pStyle w:val="TableTextCentred"/>
            </w:pPr>
            <w:r>
              <w:t>- </w:t>
            </w:r>
          </w:p>
        </w:tc>
        <w:tc>
          <w:tcPr>
            <w:tcW w:w="633" w:type="dxa"/>
            <w:noWrap/>
          </w:tcPr>
          <w:p w14:paraId="50E97A7E" w14:textId="08028272" w:rsidR="00B02788" w:rsidRDefault="00B02788" w:rsidP="00C21BAD">
            <w:pPr>
              <w:pStyle w:val="TableTextCentred"/>
            </w:pPr>
            <w:r>
              <w:t>- </w:t>
            </w:r>
          </w:p>
        </w:tc>
        <w:tc>
          <w:tcPr>
            <w:tcW w:w="633" w:type="dxa"/>
            <w:noWrap/>
          </w:tcPr>
          <w:p w14:paraId="280D1A80" w14:textId="31D600C9" w:rsidR="00B02788" w:rsidRDefault="00B02788" w:rsidP="00C21BAD">
            <w:pPr>
              <w:pStyle w:val="TableTextCentred"/>
            </w:pPr>
            <w:r>
              <w:t>5.8</w:t>
            </w:r>
          </w:p>
        </w:tc>
        <w:tc>
          <w:tcPr>
            <w:tcW w:w="594" w:type="dxa"/>
            <w:noWrap/>
          </w:tcPr>
          <w:p w14:paraId="19BE7B77" w14:textId="0EDE307E" w:rsidR="00B02788" w:rsidRDefault="00B02788" w:rsidP="00C21BAD">
            <w:pPr>
              <w:pStyle w:val="TableTextCentred"/>
            </w:pPr>
            <w:r>
              <w:t> -</w:t>
            </w:r>
          </w:p>
        </w:tc>
        <w:tc>
          <w:tcPr>
            <w:tcW w:w="1162" w:type="dxa"/>
          </w:tcPr>
          <w:p w14:paraId="3B934B57" w14:textId="2A91656F" w:rsidR="00B02788" w:rsidRDefault="00B02788" w:rsidP="00C21BAD">
            <w:pPr>
              <w:pStyle w:val="TableTextLeft"/>
            </w:pPr>
            <w:r>
              <w:t>Tight gas</w:t>
            </w:r>
          </w:p>
        </w:tc>
        <w:tc>
          <w:tcPr>
            <w:tcW w:w="1843" w:type="dxa"/>
            <w:noWrap/>
          </w:tcPr>
          <w:p w14:paraId="1CBE0A8B" w14:textId="5EAA135C" w:rsidR="00B02788" w:rsidRDefault="00B02788" w:rsidP="00C21BAD">
            <w:pPr>
              <w:pStyle w:val="TableTextLeft"/>
            </w:pPr>
            <w:r>
              <w:t>Casterton Formation; Eumeralla Formation</w:t>
            </w:r>
          </w:p>
        </w:tc>
        <w:tc>
          <w:tcPr>
            <w:tcW w:w="1701" w:type="dxa"/>
          </w:tcPr>
          <w:p w14:paraId="41A74A57" w14:textId="5B8C5C6E" w:rsidR="00B02788" w:rsidRDefault="00B02788" w:rsidP="00C21BAD">
            <w:pPr>
              <w:pStyle w:val="TableTextLeft"/>
            </w:pPr>
            <w:r w:rsidRPr="00D03BA2">
              <w:t>GA (2017b); AERA (2018)</w:t>
            </w:r>
          </w:p>
        </w:tc>
      </w:tr>
      <w:tr w:rsidR="00B02788" w:rsidRPr="00D27DD2" w14:paraId="45C4EC69" w14:textId="77777777" w:rsidTr="004B10C9">
        <w:trPr>
          <w:cnfStyle w:val="000000100000" w:firstRow="0" w:lastRow="0" w:firstColumn="0" w:lastColumn="0" w:oddVBand="0" w:evenVBand="0" w:oddHBand="1" w:evenHBand="0" w:firstRowFirstColumn="0" w:firstRowLastColumn="0" w:lastRowFirstColumn="0" w:lastRowLastColumn="0"/>
          <w:trHeight w:val="300"/>
        </w:trPr>
        <w:tc>
          <w:tcPr>
            <w:tcW w:w="1418" w:type="dxa"/>
            <w:noWrap/>
          </w:tcPr>
          <w:p w14:paraId="2A05D0CC" w14:textId="17239C14" w:rsidR="00B02788" w:rsidRDefault="00B02788" w:rsidP="00C21BAD">
            <w:pPr>
              <w:pStyle w:val="TableTextLeft"/>
            </w:pPr>
            <w:r w:rsidRPr="00116B50">
              <w:t>Perdirka Basin</w:t>
            </w:r>
          </w:p>
        </w:tc>
        <w:tc>
          <w:tcPr>
            <w:tcW w:w="992" w:type="dxa"/>
            <w:noWrap/>
          </w:tcPr>
          <w:p w14:paraId="3C27E565" w14:textId="2080ED22" w:rsidR="00B02788" w:rsidRDefault="00B02788" w:rsidP="00C21BAD">
            <w:pPr>
              <w:pStyle w:val="TableTextLeft"/>
            </w:pPr>
            <w:r w:rsidRPr="00116B50">
              <w:t>NT</w:t>
            </w:r>
          </w:p>
        </w:tc>
        <w:tc>
          <w:tcPr>
            <w:tcW w:w="1701" w:type="dxa"/>
            <w:noWrap/>
          </w:tcPr>
          <w:p w14:paraId="619831E0" w14:textId="4D04E6AC" w:rsidR="00B02788" w:rsidRDefault="00B02788" w:rsidP="00C21BAD">
            <w:pPr>
              <w:pStyle w:val="TableTextLeft"/>
            </w:pPr>
            <w:r w:rsidRPr="00116B50">
              <w:t>Regional</w:t>
            </w:r>
            <w:r w:rsidR="00365CE5">
              <w:t>;</w:t>
            </w:r>
            <w:r w:rsidR="00C7412E">
              <w:t xml:space="preserve"> area unknown</w:t>
            </w:r>
          </w:p>
        </w:tc>
        <w:tc>
          <w:tcPr>
            <w:tcW w:w="1052" w:type="dxa"/>
            <w:noWrap/>
          </w:tcPr>
          <w:p w14:paraId="26BE4494" w14:textId="3060122D" w:rsidR="00B02788" w:rsidRDefault="00B02788" w:rsidP="00C21BAD">
            <w:pPr>
              <w:pStyle w:val="TableTextLeft"/>
            </w:pPr>
            <w:r w:rsidRPr="00116B50">
              <w:t xml:space="preserve"> </w:t>
            </w:r>
          </w:p>
        </w:tc>
        <w:tc>
          <w:tcPr>
            <w:tcW w:w="633" w:type="dxa"/>
            <w:noWrap/>
          </w:tcPr>
          <w:p w14:paraId="6C59B250" w14:textId="2E3E56D9" w:rsidR="00B02788" w:rsidRDefault="00B02788" w:rsidP="00C21BAD">
            <w:pPr>
              <w:pStyle w:val="TableTextCentred"/>
            </w:pPr>
            <w:r>
              <w:t>-</w:t>
            </w:r>
            <w:r w:rsidRPr="00116B50">
              <w:t xml:space="preserve"> </w:t>
            </w:r>
          </w:p>
        </w:tc>
        <w:tc>
          <w:tcPr>
            <w:tcW w:w="755" w:type="dxa"/>
            <w:noWrap/>
          </w:tcPr>
          <w:p w14:paraId="481A8B04" w14:textId="3161EE0F" w:rsidR="00B02788" w:rsidRDefault="00B02788" w:rsidP="00C21BAD">
            <w:pPr>
              <w:pStyle w:val="TableTextCentred"/>
            </w:pPr>
            <w:r w:rsidRPr="00116B50">
              <w:t xml:space="preserve"> </w:t>
            </w:r>
            <w:r>
              <w:t>-</w:t>
            </w:r>
          </w:p>
        </w:tc>
        <w:tc>
          <w:tcPr>
            <w:tcW w:w="633" w:type="dxa"/>
            <w:noWrap/>
          </w:tcPr>
          <w:p w14:paraId="3D53FE22" w14:textId="50B32943" w:rsidR="00B02788" w:rsidRDefault="00B02788" w:rsidP="00C21BAD">
            <w:pPr>
              <w:pStyle w:val="TableTextCentred"/>
            </w:pPr>
            <w:r>
              <w:t>-</w:t>
            </w:r>
            <w:r w:rsidRPr="00116B50">
              <w:t xml:space="preserve"> </w:t>
            </w:r>
          </w:p>
        </w:tc>
        <w:tc>
          <w:tcPr>
            <w:tcW w:w="633" w:type="dxa"/>
            <w:noWrap/>
          </w:tcPr>
          <w:p w14:paraId="5A49247C" w14:textId="1354A28E" w:rsidR="00B02788" w:rsidRDefault="00B02788" w:rsidP="00C21BAD">
            <w:pPr>
              <w:pStyle w:val="TableTextCentred"/>
            </w:pPr>
            <w:r>
              <w:t>-</w:t>
            </w:r>
            <w:r w:rsidRPr="00116B50">
              <w:t xml:space="preserve"> </w:t>
            </w:r>
          </w:p>
        </w:tc>
        <w:tc>
          <w:tcPr>
            <w:tcW w:w="633" w:type="dxa"/>
            <w:noWrap/>
          </w:tcPr>
          <w:p w14:paraId="4309837C" w14:textId="0ACD406F" w:rsidR="00B02788" w:rsidRDefault="00B02788" w:rsidP="00C21BAD">
            <w:pPr>
              <w:pStyle w:val="TableTextCentred"/>
            </w:pPr>
            <w:r w:rsidRPr="00116B50">
              <w:t>33.7</w:t>
            </w:r>
          </w:p>
        </w:tc>
        <w:tc>
          <w:tcPr>
            <w:tcW w:w="594" w:type="dxa"/>
            <w:noWrap/>
          </w:tcPr>
          <w:p w14:paraId="5F060F1A" w14:textId="12E42AA1" w:rsidR="00B02788" w:rsidRDefault="00B02788" w:rsidP="00C21BAD">
            <w:pPr>
              <w:pStyle w:val="TableTextCentred"/>
            </w:pPr>
            <w:r>
              <w:t>-</w:t>
            </w:r>
            <w:r w:rsidRPr="00116B50">
              <w:t xml:space="preserve"> </w:t>
            </w:r>
          </w:p>
        </w:tc>
        <w:tc>
          <w:tcPr>
            <w:tcW w:w="1162" w:type="dxa"/>
          </w:tcPr>
          <w:p w14:paraId="067E373C" w14:textId="1041916B" w:rsidR="00B02788" w:rsidRDefault="00B02788" w:rsidP="00C21BAD">
            <w:pPr>
              <w:pStyle w:val="TableTextLeft"/>
            </w:pPr>
            <w:r w:rsidRPr="00116B50">
              <w:t>Shale gas</w:t>
            </w:r>
          </w:p>
        </w:tc>
        <w:tc>
          <w:tcPr>
            <w:tcW w:w="1843" w:type="dxa"/>
            <w:noWrap/>
          </w:tcPr>
          <w:p w14:paraId="3319A3A8" w14:textId="14813B6B" w:rsidR="00B02788" w:rsidRDefault="00B02788" w:rsidP="00C21BAD">
            <w:pPr>
              <w:pStyle w:val="TableTextLeft"/>
            </w:pPr>
            <w:r w:rsidRPr="00116B50">
              <w:t>Purni Formation</w:t>
            </w:r>
          </w:p>
        </w:tc>
        <w:tc>
          <w:tcPr>
            <w:tcW w:w="1701" w:type="dxa"/>
          </w:tcPr>
          <w:p w14:paraId="79A839F9" w14:textId="750A61B6" w:rsidR="00B02788" w:rsidRDefault="00B02788" w:rsidP="00C21BAD">
            <w:pPr>
              <w:pStyle w:val="TableTextLeft"/>
            </w:pPr>
            <w:r w:rsidRPr="00116B50">
              <w:t>NTGS (pers. Comm)</w:t>
            </w:r>
          </w:p>
        </w:tc>
      </w:tr>
      <w:tr w:rsidR="00B02788" w:rsidRPr="00D27DD2" w14:paraId="01D1C841" w14:textId="77777777" w:rsidTr="004B10C9">
        <w:trPr>
          <w:cnfStyle w:val="000000010000" w:firstRow="0" w:lastRow="0" w:firstColumn="0" w:lastColumn="0" w:oddVBand="0" w:evenVBand="0" w:oddHBand="0" w:evenHBand="1" w:firstRowFirstColumn="0" w:firstRowLastColumn="0" w:lastRowFirstColumn="0" w:lastRowLastColumn="0"/>
          <w:trHeight w:val="300"/>
        </w:trPr>
        <w:tc>
          <w:tcPr>
            <w:tcW w:w="1418" w:type="dxa"/>
            <w:noWrap/>
          </w:tcPr>
          <w:p w14:paraId="2EAE41A7" w14:textId="565063AD" w:rsidR="00B02788" w:rsidRDefault="00B02788" w:rsidP="00C21BAD">
            <w:pPr>
              <w:pStyle w:val="TableTextLeft"/>
            </w:pPr>
            <w:r w:rsidRPr="00116B50">
              <w:t>TOTAL</w:t>
            </w:r>
          </w:p>
        </w:tc>
        <w:tc>
          <w:tcPr>
            <w:tcW w:w="992" w:type="dxa"/>
            <w:noWrap/>
          </w:tcPr>
          <w:p w14:paraId="6E195E69" w14:textId="650CB6F1" w:rsidR="00B02788" w:rsidRDefault="00B02788" w:rsidP="00C21BAD">
            <w:pPr>
              <w:pStyle w:val="TableTextLeft"/>
            </w:pPr>
          </w:p>
        </w:tc>
        <w:tc>
          <w:tcPr>
            <w:tcW w:w="1701" w:type="dxa"/>
            <w:noWrap/>
          </w:tcPr>
          <w:p w14:paraId="5E47CB91" w14:textId="33D32640" w:rsidR="00B02788" w:rsidRDefault="00B02788" w:rsidP="00C21BAD">
            <w:pPr>
              <w:pStyle w:val="TableTextLeft"/>
            </w:pPr>
          </w:p>
        </w:tc>
        <w:tc>
          <w:tcPr>
            <w:tcW w:w="1052" w:type="dxa"/>
            <w:noWrap/>
          </w:tcPr>
          <w:p w14:paraId="03596966" w14:textId="466F31E7" w:rsidR="00B02788" w:rsidRDefault="00B02788" w:rsidP="00C21BAD">
            <w:pPr>
              <w:pStyle w:val="TableTextLeft"/>
            </w:pPr>
          </w:p>
        </w:tc>
        <w:tc>
          <w:tcPr>
            <w:tcW w:w="633" w:type="dxa"/>
            <w:noWrap/>
          </w:tcPr>
          <w:p w14:paraId="182D1ADD" w14:textId="473F3CB7" w:rsidR="00B02788" w:rsidRDefault="00B02788" w:rsidP="00C21BAD">
            <w:pPr>
              <w:pStyle w:val="TableTextCentred"/>
            </w:pPr>
            <w:r>
              <w:t>- </w:t>
            </w:r>
          </w:p>
        </w:tc>
        <w:tc>
          <w:tcPr>
            <w:tcW w:w="755" w:type="dxa"/>
            <w:noWrap/>
          </w:tcPr>
          <w:p w14:paraId="156C5B97" w14:textId="6B550088" w:rsidR="00B02788" w:rsidRDefault="00B02788" w:rsidP="00C21BAD">
            <w:pPr>
              <w:pStyle w:val="TableTextCentred"/>
            </w:pPr>
            <w:r w:rsidRPr="00116B50">
              <w:t>17.1</w:t>
            </w:r>
          </w:p>
        </w:tc>
        <w:tc>
          <w:tcPr>
            <w:tcW w:w="633" w:type="dxa"/>
            <w:noWrap/>
          </w:tcPr>
          <w:p w14:paraId="79027862" w14:textId="54BDA03B" w:rsidR="00B02788" w:rsidRDefault="00B02788" w:rsidP="00C21BAD">
            <w:pPr>
              <w:pStyle w:val="TableTextCentred"/>
            </w:pPr>
            <w:r>
              <w:t>- </w:t>
            </w:r>
          </w:p>
        </w:tc>
        <w:tc>
          <w:tcPr>
            <w:tcW w:w="633" w:type="dxa"/>
            <w:noWrap/>
          </w:tcPr>
          <w:p w14:paraId="6ED14135" w14:textId="138BCD3B" w:rsidR="00B02788" w:rsidRDefault="00B02788" w:rsidP="00C21BAD">
            <w:pPr>
              <w:pStyle w:val="TableTextCentred"/>
            </w:pPr>
            <w:r>
              <w:t>- </w:t>
            </w:r>
          </w:p>
        </w:tc>
        <w:tc>
          <w:tcPr>
            <w:tcW w:w="633" w:type="dxa"/>
            <w:noWrap/>
          </w:tcPr>
          <w:p w14:paraId="6CBF86F6" w14:textId="0506935A" w:rsidR="00B02788" w:rsidRDefault="00B02788" w:rsidP="00C21BAD">
            <w:pPr>
              <w:pStyle w:val="TableTextCentred"/>
            </w:pPr>
            <w:r>
              <w:t>393.3</w:t>
            </w:r>
          </w:p>
        </w:tc>
        <w:tc>
          <w:tcPr>
            <w:tcW w:w="594" w:type="dxa"/>
            <w:noWrap/>
          </w:tcPr>
          <w:p w14:paraId="0AA97D30" w14:textId="2A42094A" w:rsidR="00B02788" w:rsidRDefault="00B02788" w:rsidP="00C21BAD">
            <w:pPr>
              <w:pStyle w:val="TableTextCentred"/>
            </w:pPr>
            <w:r>
              <w:t>- </w:t>
            </w:r>
          </w:p>
        </w:tc>
        <w:tc>
          <w:tcPr>
            <w:tcW w:w="1162" w:type="dxa"/>
          </w:tcPr>
          <w:p w14:paraId="23344A9E" w14:textId="6C8D585B" w:rsidR="00B02788" w:rsidRDefault="00B02788" w:rsidP="00C21BAD">
            <w:pPr>
              <w:pStyle w:val="TableTextLeft"/>
            </w:pPr>
          </w:p>
        </w:tc>
        <w:tc>
          <w:tcPr>
            <w:tcW w:w="1843" w:type="dxa"/>
            <w:noWrap/>
          </w:tcPr>
          <w:p w14:paraId="281F615F" w14:textId="05838144" w:rsidR="00B02788" w:rsidRDefault="00B02788" w:rsidP="00C21BAD">
            <w:pPr>
              <w:pStyle w:val="TableTextLeft"/>
            </w:pPr>
          </w:p>
        </w:tc>
        <w:tc>
          <w:tcPr>
            <w:tcW w:w="1701" w:type="dxa"/>
          </w:tcPr>
          <w:p w14:paraId="56E74869" w14:textId="5DDF5532" w:rsidR="00B02788" w:rsidRDefault="00B02788" w:rsidP="00C21BAD">
            <w:pPr>
              <w:pStyle w:val="TableTextLeft"/>
            </w:pPr>
          </w:p>
        </w:tc>
      </w:tr>
    </w:tbl>
    <w:p w14:paraId="6887A3FE" w14:textId="77777777" w:rsidR="00746540" w:rsidRPr="00B134DD" w:rsidRDefault="00746540" w:rsidP="00746540">
      <w:pPr>
        <w:pStyle w:val="BodyText"/>
        <w:sectPr w:rsidR="00746540" w:rsidRPr="00B134DD" w:rsidSect="005E271C">
          <w:headerReference w:type="default" r:id="rId42"/>
          <w:pgSz w:w="16840" w:h="11907" w:orient="landscape" w:code="9"/>
          <w:pgMar w:top="1418" w:right="1418" w:bottom="1418" w:left="1418" w:header="510" w:footer="624" w:gutter="0"/>
          <w:cols w:space="720"/>
          <w:docGrid w:linePitch="326"/>
        </w:sectPr>
      </w:pPr>
    </w:p>
    <w:p w14:paraId="0AABE3F8" w14:textId="77777777" w:rsidR="00524398" w:rsidRPr="00960B30" w:rsidRDefault="00524398" w:rsidP="00147CAE">
      <w:pPr>
        <w:pStyle w:val="Heading3notnumbered"/>
        <w:rPr>
          <w:rStyle w:val="ReferencesItalic"/>
          <w:i/>
        </w:rPr>
      </w:pPr>
      <w:bookmarkStart w:id="23" w:name="_Toc475367309"/>
      <w:bookmarkStart w:id="24" w:name="_Toc475367374"/>
      <w:bookmarkStart w:id="25" w:name="_Toc517161112"/>
      <w:bookmarkStart w:id="26" w:name="_Toc494277038"/>
      <w:bookmarkEnd w:id="11"/>
      <w:bookmarkEnd w:id="23"/>
      <w:bookmarkEnd w:id="24"/>
      <w:r w:rsidRPr="00960B30">
        <w:rPr>
          <w:rStyle w:val="ReferencesItalic"/>
          <w:i/>
        </w:rPr>
        <w:lastRenderedPageBreak/>
        <w:t>References</w:t>
      </w:r>
      <w:bookmarkEnd w:id="25"/>
    </w:p>
    <w:p w14:paraId="30C7A21E" w14:textId="658044A2" w:rsidR="005C4297" w:rsidRDefault="005C4297" w:rsidP="005C4297">
      <w:pPr>
        <w:pStyle w:val="References"/>
      </w:pPr>
      <w:r>
        <w:t xml:space="preserve">AERA (Australian Energy Resources Assessment) </w:t>
      </w:r>
      <w:r w:rsidR="00596C20">
        <w:t>(</w:t>
      </w:r>
      <w:r>
        <w:t>2018</w:t>
      </w:r>
      <w:r w:rsidR="00596C20">
        <w:t>)</w:t>
      </w:r>
      <w:r>
        <w:t xml:space="preserve"> Australian Energy Resources Assessment interim report, Geoscience Australia, Canberra. Viewed 16/01/2018, &lt;</w:t>
      </w:r>
      <w:hyperlink r:id="rId43" w:history="1">
        <w:r w:rsidRPr="00C40D71">
          <w:rPr>
            <w:rStyle w:val="Hyperlink"/>
          </w:rPr>
          <w:t>http://www.ga.gov.au/aera</w:t>
        </w:r>
      </w:hyperlink>
      <w:r>
        <w:rPr>
          <w:rStyle w:val="Hyperlink"/>
        </w:rPr>
        <w:t>&gt;.</w:t>
      </w:r>
      <w:r>
        <w:t xml:space="preserve">   </w:t>
      </w:r>
    </w:p>
    <w:p w14:paraId="09188584" w14:textId="115C3E54" w:rsidR="00524398" w:rsidRDefault="00524398" w:rsidP="00DD43E4">
      <w:pPr>
        <w:pStyle w:val="References"/>
      </w:pPr>
      <w:r>
        <w:t xml:space="preserve">AGL </w:t>
      </w:r>
      <w:r w:rsidR="005C4297">
        <w:t>(</w:t>
      </w:r>
      <w:r>
        <w:t>2017</w:t>
      </w:r>
      <w:r w:rsidR="005C4297">
        <w:t>)</w:t>
      </w:r>
      <w:r>
        <w:t xml:space="preserve"> Camden Gas Project</w:t>
      </w:r>
      <w:r w:rsidR="005C4297">
        <w:t>. Viewed 16/01/2918,</w:t>
      </w:r>
      <w:r>
        <w:t xml:space="preserve"> </w:t>
      </w:r>
      <w:r w:rsidR="005C4297">
        <w:t>&lt;</w:t>
      </w:r>
      <w:hyperlink r:id="rId44" w:history="1">
        <w:r w:rsidRPr="00DD43E4">
          <w:rPr>
            <w:rStyle w:val="Hyperlink"/>
          </w:rPr>
          <w:t>https://www.agl.com.au/about-agl/how-we-source-energy/natural-gas/natural-gas-projects/camden-gas-project</w:t>
        </w:r>
      </w:hyperlink>
      <w:r w:rsidR="005C4297">
        <w:rPr>
          <w:rStyle w:val="Hyperlink"/>
        </w:rPr>
        <w:t>&gt;.</w:t>
      </w:r>
      <w:r w:rsidRPr="00DD43E4">
        <w:rPr>
          <w:rStyle w:val="Hyperlink"/>
        </w:rPr>
        <w:t xml:space="preserve"> </w:t>
      </w:r>
    </w:p>
    <w:p w14:paraId="0CC6C10B" w14:textId="655E2571" w:rsidR="00524398" w:rsidRDefault="00524398" w:rsidP="00DD43E4">
      <w:pPr>
        <w:pStyle w:val="References"/>
      </w:pPr>
      <w:r>
        <w:t xml:space="preserve">Armour Energy </w:t>
      </w:r>
      <w:r w:rsidR="00C15990">
        <w:t>(</w:t>
      </w:r>
      <w:r>
        <w:t>2012</w:t>
      </w:r>
      <w:r w:rsidR="00C15990">
        <w:t>)</w:t>
      </w:r>
      <w:r>
        <w:t xml:space="preserve"> Replacement prospectus 2012. </w:t>
      </w:r>
      <w:r w:rsidR="00C15990">
        <w:t>Viewed 07/08/2017, &lt;</w:t>
      </w:r>
      <w:hyperlink r:id="rId45" w:history="1">
        <w:r w:rsidRPr="00DD43E4">
          <w:rPr>
            <w:rStyle w:val="Hyperlink"/>
          </w:rPr>
          <w:t>http://www.armourenergy.com.au/assets/downloads/prospectus/armour-energy-limited-prospectus_with-apps_20120320.pdf</w:t>
        </w:r>
      </w:hyperlink>
      <w:r w:rsidR="00C15990">
        <w:t>&gt;.</w:t>
      </w:r>
    </w:p>
    <w:p w14:paraId="3FE87D4A" w14:textId="09888A24" w:rsidR="00524398" w:rsidRDefault="00524398" w:rsidP="00DD43E4">
      <w:pPr>
        <w:pStyle w:val="References"/>
      </w:pPr>
      <w:r>
        <w:t xml:space="preserve">Armour Energy </w:t>
      </w:r>
      <w:r w:rsidR="00C15990">
        <w:t>(</w:t>
      </w:r>
      <w:r>
        <w:t>2014</w:t>
      </w:r>
      <w:r w:rsidR="00C15990">
        <w:t>)</w:t>
      </w:r>
      <w:r>
        <w:t xml:space="preserve"> Third part independent certification of 350 PJs (3C) contingent resources Lawn Hill Shale, Egilabria 2 DW1, ATP1087, Queensland. </w:t>
      </w:r>
      <w:r w:rsidR="00C15990">
        <w:t>Viewed 07/08/2017, &lt;</w:t>
      </w:r>
      <w:hyperlink r:id="rId46" w:history="1">
        <w:r w:rsidRPr="00DD43E4">
          <w:rPr>
            <w:rStyle w:val="Hyperlink"/>
          </w:rPr>
          <w:t>http://www.armourenergy.com.au/assets/2014/2014.07.16%20-%20ASX%20Announcement%20Maiden%20Contingence%20Resource%20Lawn%20Hill20Shale20Egilabria20220DW1.pdf</w:t>
        </w:r>
      </w:hyperlink>
      <w:r w:rsidR="00C15990">
        <w:rPr>
          <w:rStyle w:val="Hyperlink"/>
        </w:rPr>
        <w:t>&gt;</w:t>
      </w:r>
      <w:r w:rsidRPr="00116B50">
        <w:t xml:space="preserve"> </w:t>
      </w:r>
    </w:p>
    <w:p w14:paraId="551B65DC" w14:textId="56283C34" w:rsidR="00524398" w:rsidRDefault="00524398" w:rsidP="00DD43E4">
      <w:pPr>
        <w:pStyle w:val="References"/>
      </w:pPr>
      <w:r>
        <w:t xml:space="preserve">Armour Energy </w:t>
      </w:r>
      <w:r w:rsidR="00C15990">
        <w:t>(</w:t>
      </w:r>
      <w:r>
        <w:t>2015</w:t>
      </w:r>
      <w:r w:rsidR="00C15990">
        <w:t>)</w:t>
      </w:r>
      <w:r>
        <w:t xml:space="preserve"> 66% increase in prospective gas resources in Northern Australia. Maiden prospective gas resources in the Tawallah Group, McArthur Basin (NT) and in the Riversleigh Shale Formation (QLD). </w:t>
      </w:r>
      <w:r w:rsidR="00C15990">
        <w:t>Viewed 07</w:t>
      </w:r>
      <w:r w:rsidR="005C4297">
        <w:t>/0</w:t>
      </w:r>
      <w:r w:rsidR="00C15990">
        <w:t>8</w:t>
      </w:r>
      <w:r w:rsidR="005C4297">
        <w:t>/2017, &lt;</w:t>
      </w:r>
      <w:hyperlink r:id="rId47" w:history="1">
        <w:r w:rsidRPr="00DD43E4">
          <w:rPr>
            <w:rStyle w:val="Hyperlink"/>
          </w:rPr>
          <w:t>http://www.armourenergy.com.au/assets/1475615.pdf</w:t>
        </w:r>
      </w:hyperlink>
      <w:r w:rsidR="005C4297">
        <w:t>&gt;.</w:t>
      </w:r>
    </w:p>
    <w:p w14:paraId="171F8AEE" w14:textId="04D5DF42" w:rsidR="00524398" w:rsidRDefault="00524398" w:rsidP="00DD43E4">
      <w:pPr>
        <w:pStyle w:val="References"/>
      </w:pPr>
      <w:r>
        <w:t xml:space="preserve">Armour Energy </w:t>
      </w:r>
      <w:r w:rsidR="00C15990">
        <w:t>(</w:t>
      </w:r>
      <w:r>
        <w:t>2017a</w:t>
      </w:r>
      <w:r w:rsidR="00C15990">
        <w:t>)</w:t>
      </w:r>
      <w:r w:rsidRPr="0068687C">
        <w:t xml:space="preserve"> </w:t>
      </w:r>
      <w:r>
        <w:t xml:space="preserve">Northern Territory. </w:t>
      </w:r>
      <w:r w:rsidR="005C4297">
        <w:t>Viewed 16/01/2018, &lt;</w:t>
      </w:r>
      <w:r w:rsidR="00C15990" w:rsidRPr="00C15990">
        <w:rPr>
          <w:rStyle w:val="Hyperlink"/>
        </w:rPr>
        <w:t>https://www.armourenergy.com.au/northern-territory/</w:t>
      </w:r>
      <w:r w:rsidR="005C4297" w:rsidRPr="00C15990">
        <w:rPr>
          <w:rStyle w:val="Hyperlink"/>
        </w:rPr>
        <w:t>&gt;.</w:t>
      </w:r>
    </w:p>
    <w:p w14:paraId="390ED5AE" w14:textId="09283374" w:rsidR="005C4297" w:rsidRDefault="005C4297" w:rsidP="005C4297">
      <w:pPr>
        <w:pStyle w:val="References"/>
      </w:pPr>
      <w:r>
        <w:t>Armour Energy (2017b) Queensland. Viewed 16/01/2018, &lt;</w:t>
      </w:r>
      <w:r w:rsidRPr="003640CF">
        <w:rPr>
          <w:rStyle w:val="Hyperlink"/>
        </w:rPr>
        <w:t>https://www.armourenergy.com.au/north-west-queensland</w:t>
      </w:r>
      <w:r>
        <w:rPr>
          <w:rStyle w:val="Hyperlink"/>
        </w:rPr>
        <w:t>&gt;.</w:t>
      </w:r>
    </w:p>
    <w:p w14:paraId="30CFA93A" w14:textId="75A9AE16" w:rsidR="00763544" w:rsidRDefault="00763544" w:rsidP="00DD43E4">
      <w:pPr>
        <w:pStyle w:val="References"/>
      </w:pPr>
      <w:r>
        <w:t xml:space="preserve">ASX </w:t>
      </w:r>
      <w:r w:rsidR="00C15990">
        <w:t>(</w:t>
      </w:r>
      <w:r>
        <w:t>2014</w:t>
      </w:r>
      <w:r w:rsidR="00C15990">
        <w:t>)</w:t>
      </w:r>
      <w:r>
        <w:t xml:space="preserve"> Chapter 5 - </w:t>
      </w:r>
      <w:r w:rsidR="00DD43E4">
        <w:t>A</w:t>
      </w:r>
      <w:r>
        <w:t xml:space="preserve">dditional reporting on mining and oil and gas production and exploration activities. </w:t>
      </w:r>
      <w:r w:rsidR="00C15990">
        <w:t>Viewed 16/01/2018, &lt;</w:t>
      </w:r>
      <w:hyperlink r:id="rId48" w:history="1">
        <w:r w:rsidRPr="00DD43E4">
          <w:rPr>
            <w:rStyle w:val="Hyperlink"/>
          </w:rPr>
          <w:t>http://www.asx.com.au/documents/rules/Chapter05.pdf</w:t>
        </w:r>
      </w:hyperlink>
      <w:r w:rsidR="00C15990">
        <w:t>&gt;.</w:t>
      </w:r>
    </w:p>
    <w:p w14:paraId="1848C40F" w14:textId="77777777" w:rsidR="00C15990" w:rsidRPr="00150F31" w:rsidRDefault="00C15990" w:rsidP="00C15990">
      <w:pPr>
        <w:pStyle w:val="References"/>
      </w:pPr>
      <w:r w:rsidRPr="00150F31">
        <w:t>AWT International</w:t>
      </w:r>
      <w:r>
        <w:t xml:space="preserve"> (</w:t>
      </w:r>
      <w:r w:rsidRPr="00150F31">
        <w:t>2013</w:t>
      </w:r>
      <w:r>
        <w:t xml:space="preserve">) </w:t>
      </w:r>
      <w:r w:rsidRPr="00150F31">
        <w:t>Shale Gas Prospectivity Potential Report prepared for the Australian Council of Learned Academies (ACOLA</w:t>
      </w:r>
      <w:r>
        <w:t xml:space="preserve">) </w:t>
      </w:r>
      <w:r w:rsidRPr="00150F31">
        <w:t>54 p.</w:t>
      </w:r>
    </w:p>
    <w:p w14:paraId="3A2A4783" w14:textId="2ECF4AA4" w:rsidR="00524398" w:rsidRDefault="00524398" w:rsidP="00DD43E4">
      <w:pPr>
        <w:pStyle w:val="References"/>
      </w:pPr>
      <w:r w:rsidRPr="00DD43E4">
        <w:t>Bacon</w:t>
      </w:r>
      <w:r w:rsidR="00DD43E4" w:rsidRPr="00DD43E4">
        <w:t xml:space="preserve"> CA, Calver</w:t>
      </w:r>
      <w:r w:rsidR="00C15990">
        <w:t xml:space="preserve"> </w:t>
      </w:r>
      <w:r w:rsidR="00DD43E4" w:rsidRPr="00DD43E4">
        <w:t>CR, Boreham CJ, Leaman DE, Morrison</w:t>
      </w:r>
      <w:r w:rsidR="00C15990">
        <w:t xml:space="preserve"> </w:t>
      </w:r>
      <w:r w:rsidR="00DD43E4" w:rsidRPr="00DD43E4">
        <w:t>KC, Revill AT and Volkman JK</w:t>
      </w:r>
      <w:r w:rsidR="00DD43E4" w:rsidRPr="00DD43E4" w:rsidDel="00DD43E4">
        <w:t xml:space="preserve"> </w:t>
      </w:r>
      <w:r w:rsidR="00316322">
        <w:t>(</w:t>
      </w:r>
      <w:r w:rsidRPr="00DD43E4">
        <w:t>2000</w:t>
      </w:r>
      <w:r w:rsidR="00316322">
        <w:t>)</w:t>
      </w:r>
      <w:r w:rsidRPr="00DD43E4">
        <w:t xml:space="preserve"> The petroleum potential of onshore Tasmanian: a review.</w:t>
      </w:r>
      <w:r>
        <w:t xml:space="preserve"> </w:t>
      </w:r>
      <w:r w:rsidR="00316322">
        <w:t>Viewed 16/01/2018, &lt;</w:t>
      </w:r>
      <w:hyperlink r:id="rId49" w:history="1">
        <w:r w:rsidR="00316322" w:rsidRPr="00635952">
          <w:rPr>
            <w:rStyle w:val="Hyperlink"/>
          </w:rPr>
          <w:t>www.mrt.tas.gov.au/mrtdoc/dominfo/download/GSB71/GSB71.pdf</w:t>
        </w:r>
      </w:hyperlink>
      <w:r w:rsidR="00316322">
        <w:t>&gt;</w:t>
      </w:r>
      <w:r>
        <w:t xml:space="preserve"> </w:t>
      </w:r>
    </w:p>
    <w:p w14:paraId="0306381F" w14:textId="32509DA0" w:rsidR="00524398" w:rsidRDefault="00524398" w:rsidP="00DD43E4">
      <w:pPr>
        <w:pStyle w:val="References"/>
      </w:pPr>
      <w:r>
        <w:t xml:space="preserve">Beach Energy </w:t>
      </w:r>
      <w:r w:rsidR="00316322">
        <w:t>(</w:t>
      </w:r>
      <w:r>
        <w:t>2015</w:t>
      </w:r>
      <w:r w:rsidR="00316322">
        <w:t>)</w:t>
      </w:r>
      <w:r>
        <w:t xml:space="preserve"> Annual report. </w:t>
      </w:r>
      <w:r w:rsidR="00316322">
        <w:t>Viewed 16/01/2018, &lt;</w:t>
      </w:r>
      <w:hyperlink r:id="rId50" w:history="1">
        <w:r w:rsidRPr="00C40D71">
          <w:rPr>
            <w:rStyle w:val="Hyperlink"/>
          </w:rPr>
          <w:t>www.beachenergy.com.au/irm/PDF/4440_0/2015BeachEnergyLtdAnnualReport</w:t>
        </w:r>
      </w:hyperlink>
      <w:r w:rsidR="00316322">
        <w:t>&gt;.</w:t>
      </w:r>
    </w:p>
    <w:p w14:paraId="20A3B456" w14:textId="1EA475F7" w:rsidR="00524398" w:rsidRDefault="00983C9B" w:rsidP="00DD43E4">
      <w:pPr>
        <w:pStyle w:val="References"/>
      </w:pPr>
      <w:r>
        <w:t>Blue Energy</w:t>
      </w:r>
      <w:r w:rsidR="00524398">
        <w:t xml:space="preserve"> </w:t>
      </w:r>
      <w:r w:rsidR="00316322">
        <w:t>(</w:t>
      </w:r>
      <w:r w:rsidR="00524398">
        <w:t>2013</w:t>
      </w:r>
      <w:r w:rsidR="00316322">
        <w:t>)</w:t>
      </w:r>
      <w:r w:rsidR="00524398">
        <w:t xml:space="preserve"> Blue Energy 2013 Review. </w:t>
      </w:r>
      <w:r w:rsidR="00316322">
        <w:t>Viewed 16/01/2018, &lt;</w:t>
      </w:r>
      <w:hyperlink r:id="rId51" w:history="1">
        <w:r w:rsidR="00524398" w:rsidRPr="00C03A7D">
          <w:rPr>
            <w:rStyle w:val="Hyperlink"/>
          </w:rPr>
          <w:t>https://blueenergy.com.au/files/media/bul_ar_2013_web.pdf</w:t>
        </w:r>
      </w:hyperlink>
      <w:r w:rsidR="00316322">
        <w:rPr>
          <w:rStyle w:val="Hyperlink"/>
        </w:rPr>
        <w:t>&gt;.</w:t>
      </w:r>
    </w:p>
    <w:p w14:paraId="36F1BAD3" w14:textId="77777777" w:rsidR="001901EA" w:rsidRPr="00AA00C4" w:rsidRDefault="001901EA" w:rsidP="001901EA">
      <w:pPr>
        <w:pStyle w:val="References"/>
      </w:pPr>
      <w:r>
        <w:t>Central Petroleum (</w:t>
      </w:r>
      <w:r w:rsidRPr="00AA00C4">
        <w:t>2017</w:t>
      </w:r>
      <w:r>
        <w:t xml:space="preserve">) </w:t>
      </w:r>
      <w:r w:rsidRPr="00AA00C4">
        <w:t>Amadeus Basin</w:t>
      </w:r>
      <w:r>
        <w:t>. Viewed 16/01/2018, &lt;</w:t>
      </w:r>
      <w:hyperlink r:id="rId52" w:history="1">
        <w:r w:rsidRPr="000E4EFC">
          <w:rPr>
            <w:rStyle w:val="Hyperlink"/>
          </w:rPr>
          <w:t>http://centralpetroleum.com.au/our-business/our-licence-areas/amadeus/mereenie-oil-and-gas-field-ol4-ol5/</w:t>
        </w:r>
      </w:hyperlink>
      <w:r>
        <w:rPr>
          <w:rStyle w:val="Hyperlink"/>
        </w:rPr>
        <w:t>&gt;</w:t>
      </w:r>
      <w:r>
        <w:t>.</w:t>
      </w:r>
    </w:p>
    <w:p w14:paraId="434A0E20" w14:textId="3EE83268" w:rsidR="00524398" w:rsidRDefault="00524398" w:rsidP="00DD43E4">
      <w:pPr>
        <w:pStyle w:val="References"/>
      </w:pPr>
      <w:r>
        <w:lastRenderedPageBreak/>
        <w:t xml:space="preserve">Central Petroleum </w:t>
      </w:r>
      <w:r w:rsidR="00316322">
        <w:t>(</w:t>
      </w:r>
      <w:r>
        <w:t>2011</w:t>
      </w:r>
      <w:r w:rsidR="00316322">
        <w:t>)</w:t>
      </w:r>
      <w:r>
        <w:t xml:space="preserve"> Maturation modelling of the western Lander Trough Wiso Basin, Northern Territory. </w:t>
      </w:r>
      <w:r w:rsidR="00316322">
        <w:t>Viewed 16/01/2018, &lt;</w:t>
      </w:r>
      <w:hyperlink r:id="rId53" w:history="1">
        <w:r w:rsidRPr="00C03A7D">
          <w:rPr>
            <w:rStyle w:val="Hyperlink"/>
          </w:rPr>
          <w:t>www.asx.com.au/asxpdf/20110526/pdf/41yw60sk5b7r1s.pdf</w:t>
        </w:r>
      </w:hyperlink>
      <w:r w:rsidR="00316322">
        <w:rPr>
          <w:rStyle w:val="Hyperlink"/>
        </w:rPr>
        <w:t>&gt;.</w:t>
      </w:r>
    </w:p>
    <w:p w14:paraId="09D759F7" w14:textId="77777777" w:rsidR="00316322" w:rsidRDefault="00316322" w:rsidP="00316322">
      <w:pPr>
        <w:pStyle w:val="References"/>
      </w:pPr>
      <w:r>
        <w:t>Close D, Côté A, Baruch E, Altmann C, Mohinudeen F, Richards B, Ilett R, Evans R. and Stonier S (</w:t>
      </w:r>
      <w:r w:rsidRPr="006B07A3">
        <w:t>2017</w:t>
      </w:r>
      <w:r>
        <w:t xml:space="preserve">) </w:t>
      </w:r>
      <w:r w:rsidRPr="006B07A3">
        <w:t>Exploring the Beetaloo: will Australia’s first viable shale play be sourced by billion yea</w:t>
      </w:r>
      <w:r>
        <w:t>r old gas? The APPEA Journal 57</w:t>
      </w:r>
      <w:r w:rsidRPr="006B07A3">
        <w:t>(2).</w:t>
      </w:r>
    </w:p>
    <w:p w14:paraId="72315A31" w14:textId="6A5DED27" w:rsidR="00316322" w:rsidRDefault="00316322" w:rsidP="00316322">
      <w:pPr>
        <w:pStyle w:val="References"/>
      </w:pPr>
      <w:r>
        <w:t>Comet Ridge (2017a) Galilee Basin. Viewed 16/01/2018, &lt;</w:t>
      </w:r>
      <w:hyperlink r:id="rId54" w:history="1">
        <w:r w:rsidRPr="000F12ED">
          <w:rPr>
            <w:rStyle w:val="Hyperlink"/>
          </w:rPr>
          <w:t>http://www.cometridge.com.au/Projects_Galilee.htm</w:t>
        </w:r>
      </w:hyperlink>
      <w:r>
        <w:t>&gt;.</w:t>
      </w:r>
    </w:p>
    <w:p w14:paraId="4CCD0225" w14:textId="31C170DB" w:rsidR="00524398" w:rsidRDefault="00524398" w:rsidP="00DD43E4">
      <w:pPr>
        <w:pStyle w:val="References"/>
      </w:pPr>
      <w:r>
        <w:t xml:space="preserve">Comet Ridge </w:t>
      </w:r>
      <w:r w:rsidR="00316322">
        <w:t>(</w:t>
      </w:r>
      <w:r>
        <w:t>2017b</w:t>
      </w:r>
      <w:r w:rsidR="00316322">
        <w:t>)</w:t>
      </w:r>
      <w:r>
        <w:t xml:space="preserve"> New South Wales Projects. </w:t>
      </w:r>
      <w:r w:rsidR="00316322">
        <w:t>Viewed 16/01/2018, &lt;</w:t>
      </w:r>
      <w:hyperlink r:id="rId55" w:history="1">
        <w:r w:rsidRPr="00C03A7D">
          <w:rPr>
            <w:rStyle w:val="Hyperlink"/>
          </w:rPr>
          <w:t>http://www.cometridge.com.au/Projects_NSW.htm</w:t>
        </w:r>
      </w:hyperlink>
      <w:r w:rsidR="00316322">
        <w:t>&gt;.</w:t>
      </w:r>
    </w:p>
    <w:p w14:paraId="50602866" w14:textId="1BE2A9BD" w:rsidR="00524398" w:rsidRDefault="00524398" w:rsidP="00DD43E4">
      <w:pPr>
        <w:pStyle w:val="References"/>
      </w:pPr>
      <w:r>
        <w:t xml:space="preserve">CORE (Creating Opportunities for Resource Exploration) </w:t>
      </w:r>
      <w:r w:rsidR="00316322">
        <w:t>(</w:t>
      </w:r>
      <w:r>
        <w:t>2017</w:t>
      </w:r>
      <w:r w:rsidR="00316322">
        <w:t>)</w:t>
      </w:r>
      <w:r>
        <w:t xml:space="preserve"> Central Petroleum. </w:t>
      </w:r>
      <w:r w:rsidR="00316322">
        <w:t>Viewed 16/01/2018, &lt;</w:t>
      </w:r>
      <w:hyperlink r:id="rId56" w:history="1">
        <w:r w:rsidRPr="00C03A7D">
          <w:rPr>
            <w:rStyle w:val="Hyperlink"/>
          </w:rPr>
          <w:t>https://core.nt.gov.au/__data/assets/pdf_file/0011/378416/Central-Petroleum.pdf</w:t>
        </w:r>
      </w:hyperlink>
      <w:r w:rsidR="00316322">
        <w:t>&gt;.</w:t>
      </w:r>
    </w:p>
    <w:p w14:paraId="41F460CD" w14:textId="77777777" w:rsidR="00316322" w:rsidRPr="00CD20C0" w:rsidRDefault="00316322" w:rsidP="00316322">
      <w:pPr>
        <w:pStyle w:val="References"/>
      </w:pPr>
      <w:r w:rsidRPr="00CD20C0">
        <w:t>DNRM (Department of Natural Resources and Mines)</w:t>
      </w:r>
      <w:r>
        <w:t xml:space="preserve"> (2</w:t>
      </w:r>
      <w:r w:rsidRPr="00CD20C0">
        <w:t>0</w:t>
      </w:r>
      <w:r>
        <w:t>17)</w:t>
      </w:r>
      <w:r w:rsidRPr="00CD20C0">
        <w:t xml:space="preserve"> Queensland’s unconventional petroleum potential – shale oil and gas, tight gas and coal seam gas. Department of Natural </w:t>
      </w:r>
      <w:r>
        <w:t>Resources and Mines, Queensland. Viewed</w:t>
      </w:r>
      <w:r w:rsidRPr="00CD20C0">
        <w:t xml:space="preserve"> </w:t>
      </w:r>
      <w:r>
        <w:t>16/01/2018, &lt;</w:t>
      </w:r>
      <w:hyperlink r:id="rId57" w:history="1">
        <w:r w:rsidRPr="00CD20C0">
          <w:rPr>
            <w:rStyle w:val="Hyperlink"/>
          </w:rPr>
          <w:t>https://www.business.qld.gov.au/industries/invest/mining/resources-potential/petroleum-gas</w:t>
        </w:r>
      </w:hyperlink>
      <w:r>
        <w:t xml:space="preserve">&gt;. </w:t>
      </w:r>
    </w:p>
    <w:p w14:paraId="46DD8F2C" w14:textId="6C2BBB64" w:rsidR="00524398" w:rsidRPr="00DD43E4" w:rsidRDefault="00524398" w:rsidP="00DD43E4">
      <w:pPr>
        <w:pStyle w:val="References"/>
      </w:pPr>
      <w:r w:rsidRPr="00DD43E4">
        <w:t xml:space="preserve">DPCSA (Department of the Premier and Cabinet, South Australia) </w:t>
      </w:r>
      <w:r w:rsidR="00316322">
        <w:t>(</w:t>
      </w:r>
      <w:r w:rsidRPr="00DD43E4">
        <w:t>2017</w:t>
      </w:r>
      <w:r w:rsidR="00316322">
        <w:t>)</w:t>
      </w:r>
      <w:r w:rsidRPr="00DD43E4">
        <w:t xml:space="preserve"> Cooper Basin gas well information for unconventional resource plays. </w:t>
      </w:r>
      <w:r w:rsidR="00316322">
        <w:t>Viewed</w:t>
      </w:r>
      <w:r w:rsidR="00316322" w:rsidRPr="00CD20C0">
        <w:t xml:space="preserve"> </w:t>
      </w:r>
      <w:r w:rsidR="00316322">
        <w:t>16/01/2018, &lt;</w:t>
      </w:r>
      <w:hyperlink r:id="rId58" w:history="1">
        <w:r w:rsidRPr="00C03A7D">
          <w:rPr>
            <w:rStyle w:val="Hyperlink"/>
          </w:rPr>
          <w:t>http://petroleum.statedevelopment.sa.gov.au/prospectivity/resource_plays/cooper_basin_gas_well_information_for_unconventional_reservoir_plays</w:t>
        </w:r>
      </w:hyperlink>
      <w:r w:rsidR="00316322">
        <w:rPr>
          <w:rStyle w:val="Hyperlink"/>
        </w:rPr>
        <w:t>&gt;.</w:t>
      </w:r>
    </w:p>
    <w:p w14:paraId="3DC10AD9" w14:textId="0612C98A" w:rsidR="00524398" w:rsidRPr="00DD43E4" w:rsidRDefault="00524398" w:rsidP="00DD43E4">
      <w:pPr>
        <w:pStyle w:val="References"/>
      </w:pPr>
      <w:r w:rsidRPr="00DD43E4">
        <w:t xml:space="preserve">Draper JJ, Boreham CJ, Hoffmann KL </w:t>
      </w:r>
      <w:r w:rsidR="00DD43E4" w:rsidRPr="00DD43E4">
        <w:t xml:space="preserve">and </w:t>
      </w:r>
      <w:r w:rsidRPr="00DD43E4">
        <w:t xml:space="preserve">McKellar JL </w:t>
      </w:r>
      <w:r w:rsidR="00316322">
        <w:t>(</w:t>
      </w:r>
      <w:r w:rsidRPr="00DD43E4">
        <w:t>2004</w:t>
      </w:r>
      <w:r w:rsidR="00316322">
        <w:t>)</w:t>
      </w:r>
      <w:r w:rsidRPr="00DD43E4">
        <w:t xml:space="preserve"> Devonian Petroleum Systems in Queensland. PESA Eastern Australian Basins Symposium II, Adelaide, 297–318.</w:t>
      </w:r>
    </w:p>
    <w:p w14:paraId="2C88C3AB" w14:textId="018A9019" w:rsidR="00524398" w:rsidRPr="00DD43E4" w:rsidRDefault="00524398" w:rsidP="00DD43E4">
      <w:pPr>
        <w:pStyle w:val="References"/>
      </w:pPr>
      <w:r w:rsidRPr="00DD43E4">
        <w:t>Drillsearch</w:t>
      </w:r>
      <w:r w:rsidR="00DD43E4" w:rsidRPr="00DD43E4">
        <w:t xml:space="preserve"> </w:t>
      </w:r>
      <w:r w:rsidR="00316322">
        <w:t>(</w:t>
      </w:r>
      <w:r w:rsidRPr="00DD43E4">
        <w:t>2015</w:t>
      </w:r>
      <w:r w:rsidR="00316322">
        <w:t>)</w:t>
      </w:r>
      <w:r w:rsidRPr="00DD43E4">
        <w:t xml:space="preserve"> ASX/Media Release – 2015 reserves and contingent resource statement. </w:t>
      </w:r>
      <w:r w:rsidR="00316322">
        <w:t>Viewed</w:t>
      </w:r>
      <w:r w:rsidR="00316322" w:rsidRPr="00CD20C0">
        <w:t xml:space="preserve"> </w:t>
      </w:r>
      <w:r w:rsidR="00316322">
        <w:t>16/01/2018, &lt;</w:t>
      </w:r>
      <w:hyperlink r:id="rId59" w:history="1">
        <w:r w:rsidRPr="00C03A7D">
          <w:rPr>
            <w:rStyle w:val="Hyperlink"/>
          </w:rPr>
          <w:t>http://www.asx.com.au/asxpdf/20150826/pdf/430t3gtkqdgjjt.pdf</w:t>
        </w:r>
      </w:hyperlink>
      <w:r w:rsidR="00316322">
        <w:t>&gt;.</w:t>
      </w:r>
    </w:p>
    <w:p w14:paraId="4B11FAB8" w14:textId="2EE0E417" w:rsidR="00316322" w:rsidRPr="00AA00C4" w:rsidRDefault="00316322" w:rsidP="00316322">
      <w:pPr>
        <w:pStyle w:val="References"/>
      </w:pPr>
      <w:r w:rsidRPr="00AA00C4">
        <w:t>DSWPET</w:t>
      </w:r>
      <w:r>
        <w:t xml:space="preserve"> (2</w:t>
      </w:r>
      <w:r w:rsidRPr="00AA00C4">
        <w:t>011</w:t>
      </w:r>
      <w:r w:rsidR="001901EA">
        <w:t>a</w:t>
      </w:r>
      <w:r>
        <w:t xml:space="preserve">) </w:t>
      </w:r>
      <w:r w:rsidRPr="00AA00C4">
        <w:t>Unconventional reservoir resource assessment for the lower Larapinta Group Amadeus Basin. Central Petroleum Ltd, ASX Announcement, 7 February 2011.</w:t>
      </w:r>
    </w:p>
    <w:p w14:paraId="17E1BCEB" w14:textId="150CB3AF" w:rsidR="00524398" w:rsidRPr="00DD43E4" w:rsidRDefault="00524398" w:rsidP="00DD43E4">
      <w:pPr>
        <w:pStyle w:val="References"/>
      </w:pPr>
      <w:r w:rsidRPr="00DD43E4">
        <w:t xml:space="preserve">DSWPET </w:t>
      </w:r>
      <w:r w:rsidR="00316322">
        <w:t>(</w:t>
      </w:r>
      <w:r w:rsidRPr="00DD43E4">
        <w:t>2011b</w:t>
      </w:r>
      <w:r w:rsidR="00316322">
        <w:t>)</w:t>
      </w:r>
      <w:r w:rsidRPr="00DD43E4">
        <w:t xml:space="preserve"> Unconventional reservoir resource assessment, the Arthur Creek Formation, Georgina Basin, Australia. Central Petroleum Ltd, ASX Announcement, 11 April 2011.</w:t>
      </w:r>
      <w:r w:rsidR="00316322">
        <w:t xml:space="preserve"> Viewed</w:t>
      </w:r>
      <w:r w:rsidR="00316322" w:rsidRPr="00CD20C0">
        <w:t xml:space="preserve"> </w:t>
      </w:r>
      <w:r w:rsidR="00316322">
        <w:t>16/01/2018, &lt;</w:t>
      </w:r>
      <w:hyperlink r:id="rId60" w:history="1">
        <w:r w:rsidRPr="00C03A7D">
          <w:rPr>
            <w:rStyle w:val="Hyperlink"/>
          </w:rPr>
          <w:t>www.asx.com.au/asxpdf/20110411/pdf/41xyzxdrpth0gg.pdf</w:t>
        </w:r>
      </w:hyperlink>
      <w:r w:rsidR="00316322">
        <w:t>&gt;.</w:t>
      </w:r>
    </w:p>
    <w:p w14:paraId="4337A191" w14:textId="09582193" w:rsidR="00524398" w:rsidRPr="00C03A7D" w:rsidRDefault="00524398" w:rsidP="00DD43E4">
      <w:pPr>
        <w:pStyle w:val="References"/>
        <w:rPr>
          <w:rStyle w:val="Hyperlink"/>
        </w:rPr>
      </w:pPr>
      <w:r w:rsidRPr="00DD43E4">
        <w:t xml:space="preserve">EIA (Energy Information Administration) </w:t>
      </w:r>
      <w:r w:rsidR="00316322">
        <w:t>(</w:t>
      </w:r>
      <w:r w:rsidRPr="00DD43E4">
        <w:t>2013</w:t>
      </w:r>
      <w:r w:rsidR="00316322">
        <w:t>)</w:t>
      </w:r>
      <w:r w:rsidRPr="00DD43E4">
        <w:t xml:space="preserve"> Technically Recoverable Shale Oil and Shale Gas Resources: An Assessment of 137 Shale Formations in 41 Countries Outside the United States. United States Energy Information Administration, 730 p. </w:t>
      </w:r>
      <w:r w:rsidR="00316322">
        <w:t>Viewed</w:t>
      </w:r>
      <w:r w:rsidR="00316322" w:rsidRPr="00CD20C0">
        <w:t xml:space="preserve"> </w:t>
      </w:r>
      <w:r w:rsidR="00316322">
        <w:t>16/01/2018, &lt;</w:t>
      </w:r>
      <w:hyperlink r:id="rId61" w:history="1">
        <w:r w:rsidR="00316322" w:rsidRPr="00635952">
          <w:rPr>
            <w:rStyle w:val="Hyperlink"/>
          </w:rPr>
          <w:t>https://www.eia.gov/analysis/studies/worldshalegas/pdf/overview.pdf</w:t>
        </w:r>
      </w:hyperlink>
      <w:r w:rsidR="00316322">
        <w:t>&gt;.</w:t>
      </w:r>
    </w:p>
    <w:p w14:paraId="483E0B4C" w14:textId="06A94977" w:rsidR="00524398" w:rsidRDefault="00316322" w:rsidP="00DD43E4">
      <w:pPr>
        <w:pStyle w:val="References"/>
      </w:pPr>
      <w:r>
        <w:lastRenderedPageBreak/>
        <w:t>Exoma Energy (2012)</w:t>
      </w:r>
      <w:r w:rsidR="00524398" w:rsidRPr="00DD43E4">
        <w:t xml:space="preserve"> Interim financial statement.</w:t>
      </w:r>
      <w:r w:rsidR="00524398">
        <w:t xml:space="preserve"> </w:t>
      </w:r>
      <w:r>
        <w:t>Viewed</w:t>
      </w:r>
      <w:r w:rsidRPr="00CD20C0">
        <w:t xml:space="preserve"> </w:t>
      </w:r>
      <w:r>
        <w:t>16/01/2018, &lt;</w:t>
      </w:r>
      <w:hyperlink r:id="rId62" w:history="1">
        <w:r w:rsidRPr="00635952">
          <w:rPr>
            <w:rStyle w:val="Hyperlink"/>
          </w:rPr>
          <w:t>https://www.google.com.au/url?sa=t&amp;rct=j&amp;q=&amp;esrc=s&amp;source=web&amp;cd=10&amp;ved=0ahUKEwjXyonPjLDVAhVIgLwKHR2uDv4QFghLMAk&amp;url=http%3A%2F%2Fwww.asx.com.au%2Fasxpdf%2F20120510%2Fpdf%2F4265wmkn0fw9n0.pdf&amp;usg=AFQjCNFvJXYWD_gqa6p0ZeOdLQqL7R5MIA</w:t>
        </w:r>
      </w:hyperlink>
      <w:r>
        <w:rPr>
          <w:rStyle w:val="Hyperlink"/>
        </w:rPr>
        <w:t>&gt;.</w:t>
      </w:r>
    </w:p>
    <w:p w14:paraId="6FD7CF46" w14:textId="61968B6E" w:rsidR="008E1A69" w:rsidRDefault="00316322" w:rsidP="008E1A69">
      <w:pPr>
        <w:pStyle w:val="References"/>
      </w:pPr>
      <w:r>
        <w:t>GA (Geoscience Australia) (</w:t>
      </w:r>
      <w:r w:rsidR="008E1A69">
        <w:t>2015</w:t>
      </w:r>
      <w:r>
        <w:t>)</w:t>
      </w:r>
      <w:r w:rsidR="008E1A69">
        <w:t xml:space="preserve"> </w:t>
      </w:r>
      <w:r w:rsidR="008E1A69" w:rsidRPr="00093164">
        <w:t>Oil and Gas Infrastructure</w:t>
      </w:r>
      <w:r>
        <w:t>. Viewed</w:t>
      </w:r>
      <w:r w:rsidRPr="00CD20C0">
        <w:t xml:space="preserve"> </w:t>
      </w:r>
      <w:r>
        <w:t>16/01/2018, &lt;</w:t>
      </w:r>
      <w:hyperlink r:id="rId63" w:history="1">
        <w:r w:rsidR="008E1A69" w:rsidRPr="00A401F0">
          <w:rPr>
            <w:rStyle w:val="Hyperlink"/>
          </w:rPr>
          <w:t>http://services.ga.gov.au/site_9/rest/services/Oil_Gas_Infrastructure/MapServer</w:t>
        </w:r>
      </w:hyperlink>
      <w:r>
        <w:t>&gt;.</w:t>
      </w:r>
    </w:p>
    <w:p w14:paraId="0F44315D" w14:textId="676FD7A5" w:rsidR="00524398" w:rsidRPr="009B2A2E" w:rsidRDefault="00524398" w:rsidP="00DD43E4">
      <w:pPr>
        <w:pStyle w:val="References"/>
      </w:pPr>
      <w:r w:rsidRPr="009B2A2E">
        <w:t>GA (</w:t>
      </w:r>
      <w:r>
        <w:t xml:space="preserve">Geoscience Australia) </w:t>
      </w:r>
      <w:r w:rsidR="00316322">
        <w:t>(</w:t>
      </w:r>
      <w:r>
        <w:t>2017a</w:t>
      </w:r>
      <w:r w:rsidR="00316322">
        <w:t>)</w:t>
      </w:r>
      <w:r w:rsidRPr="009B2A2E">
        <w:t xml:space="preserve"> </w:t>
      </w:r>
      <w:r>
        <w:t xml:space="preserve">Interim </w:t>
      </w:r>
      <w:r w:rsidRPr="009B2A2E">
        <w:t>Gippsland</w:t>
      </w:r>
      <w:r>
        <w:t xml:space="preserve"> Basin</w:t>
      </w:r>
      <w:r w:rsidRPr="009B2A2E">
        <w:t xml:space="preserve"> </w:t>
      </w:r>
      <w:r>
        <w:t>unconventional</w:t>
      </w:r>
      <w:r w:rsidRPr="009B2A2E">
        <w:t xml:space="preserve"> resource assessment</w:t>
      </w:r>
      <w:r>
        <w:t xml:space="preserve">. </w:t>
      </w:r>
      <w:r w:rsidR="00316322">
        <w:t>Viewed</w:t>
      </w:r>
      <w:r w:rsidR="00316322" w:rsidRPr="00CD20C0">
        <w:t xml:space="preserve"> </w:t>
      </w:r>
      <w:r w:rsidR="00316322">
        <w:t>16/01/2018, &lt;</w:t>
      </w:r>
      <w:hyperlink r:id="rId64" w:history="1">
        <w:r w:rsidRPr="00C03A7D">
          <w:rPr>
            <w:rStyle w:val="Hyperlink"/>
          </w:rPr>
          <w:t>http://www.ga.gov.au/metadata-gateway/metadata/record/104422</w:t>
        </w:r>
      </w:hyperlink>
      <w:r w:rsidR="00316322">
        <w:t>&gt;.</w:t>
      </w:r>
    </w:p>
    <w:p w14:paraId="46266C97" w14:textId="37E7734F" w:rsidR="00524398" w:rsidRPr="009B2A2E" w:rsidRDefault="00524398" w:rsidP="00DD43E4">
      <w:pPr>
        <w:pStyle w:val="References"/>
      </w:pPr>
      <w:r w:rsidRPr="009B2A2E">
        <w:t>GA (</w:t>
      </w:r>
      <w:r>
        <w:t xml:space="preserve">Geoscience Australia) </w:t>
      </w:r>
      <w:r w:rsidR="00316322">
        <w:t>(</w:t>
      </w:r>
      <w:r>
        <w:t>2017b</w:t>
      </w:r>
      <w:r w:rsidR="00596C20">
        <w:t>)</w:t>
      </w:r>
      <w:r w:rsidRPr="009B2A2E">
        <w:t xml:space="preserve"> </w:t>
      </w:r>
      <w:r>
        <w:t xml:space="preserve">Interim </w:t>
      </w:r>
      <w:r w:rsidRPr="009B2A2E">
        <w:t xml:space="preserve">Otway </w:t>
      </w:r>
      <w:r>
        <w:t xml:space="preserve">Basin unconventional </w:t>
      </w:r>
      <w:r w:rsidRPr="009B2A2E">
        <w:t>resource assessment</w:t>
      </w:r>
      <w:r>
        <w:t xml:space="preserve">. </w:t>
      </w:r>
      <w:r w:rsidR="00316322">
        <w:t>Viewed</w:t>
      </w:r>
      <w:r w:rsidR="00316322" w:rsidRPr="00CD20C0">
        <w:t xml:space="preserve"> </w:t>
      </w:r>
      <w:r w:rsidR="00316322">
        <w:t>16/01/2018, &lt;</w:t>
      </w:r>
      <w:hyperlink r:id="rId65" w:history="1">
        <w:r w:rsidRPr="00C03A7D">
          <w:rPr>
            <w:rStyle w:val="Hyperlink"/>
          </w:rPr>
          <w:t>http://www.ga.gov.au/metadata-gateway/metadata/record/104440</w:t>
        </w:r>
      </w:hyperlink>
      <w:r w:rsidR="00316322">
        <w:t>&gt;.</w:t>
      </w:r>
    </w:p>
    <w:p w14:paraId="64407635" w14:textId="3C06F015" w:rsidR="008A2AEB" w:rsidRDefault="00DC0970" w:rsidP="008A2AEB">
      <w:pPr>
        <w:pStyle w:val="References"/>
      </w:pPr>
      <w:r>
        <w:t>Goldie Divko</w:t>
      </w:r>
      <w:r w:rsidR="008A2AEB">
        <w:t xml:space="preserve"> LM (2015) A review of gas prospectivity: Gippsland region. Department of Economic Development, Jobs, Transport and Resources. Melbourne, Victoria.</w:t>
      </w:r>
    </w:p>
    <w:p w14:paraId="5B84FA99" w14:textId="77777777" w:rsidR="008A2AEB" w:rsidRDefault="008A2AEB" w:rsidP="008A2AEB">
      <w:pPr>
        <w:pStyle w:val="References"/>
      </w:pPr>
      <w:r>
        <w:t>Goldstein B, Menpes S, Hill A, Wickham A, Alexander E, Jarosz M, Pepicelli D, Malavazos M, Staritski K, Taliangis P, Coda J, Hill D and Webb M (2012) Roadmap for Unconventional Gas Projects in South Australia. Department for Manufacturing, Innovation, Trade, Resources and Energy, 267p. Viewed 18/01/2018,</w:t>
      </w:r>
      <w:r w:rsidRPr="004C71B8">
        <w:t xml:space="preserve"> </w:t>
      </w:r>
      <w:r>
        <w:t>&lt;</w:t>
      </w:r>
      <w:hyperlink r:id="rId66" w:history="1">
        <w:r w:rsidRPr="00EB72D7">
          <w:rPr>
            <w:rStyle w:val="Hyperlink"/>
          </w:rPr>
          <w:t>https://statedevelopment.sa.gov.au/resourcesUNPUBLISHED/unconventional-gas-projects</w:t>
        </w:r>
      </w:hyperlink>
      <w:r>
        <w:t>&gt;.</w:t>
      </w:r>
    </w:p>
    <w:p w14:paraId="09F7B152" w14:textId="5FD60EE2" w:rsidR="00524398" w:rsidRPr="009B2A2E" w:rsidRDefault="00524398" w:rsidP="00DD43E4">
      <w:pPr>
        <w:pStyle w:val="References"/>
      </w:pPr>
      <w:r w:rsidRPr="009B2A2E">
        <w:t xml:space="preserve">Hawkins PJ </w:t>
      </w:r>
      <w:r w:rsidR="00644D9C">
        <w:t>and</w:t>
      </w:r>
      <w:r w:rsidR="00644D9C" w:rsidRPr="009B2A2E">
        <w:t xml:space="preserve"> </w:t>
      </w:r>
      <w:r w:rsidRPr="009B2A2E">
        <w:t xml:space="preserve">Green PM </w:t>
      </w:r>
      <w:r w:rsidR="008A2AEB">
        <w:t>(</w:t>
      </w:r>
      <w:r w:rsidRPr="009B2A2E">
        <w:t>1993</w:t>
      </w:r>
      <w:r w:rsidR="008A2AEB">
        <w:t>)</w:t>
      </w:r>
      <w:r w:rsidRPr="009B2A2E">
        <w:t xml:space="preserve"> Exploration results, hydrocarbon potential and future strategies for the northern Galilee Basin. APPEA Journal, 33(1), 280–296.</w:t>
      </w:r>
    </w:p>
    <w:p w14:paraId="7E5A489D" w14:textId="453F7D15" w:rsidR="00524398" w:rsidRPr="009B2A2E" w:rsidRDefault="00524398" w:rsidP="00DD43E4">
      <w:pPr>
        <w:pStyle w:val="References"/>
      </w:pPr>
      <w:r w:rsidRPr="009B2A2E">
        <w:t xml:space="preserve">Hawkins PJ </w:t>
      </w:r>
      <w:r w:rsidR="00644D9C">
        <w:t>and</w:t>
      </w:r>
      <w:r w:rsidR="00644D9C" w:rsidRPr="009B2A2E">
        <w:t xml:space="preserve"> </w:t>
      </w:r>
      <w:r w:rsidRPr="009B2A2E">
        <w:t xml:space="preserve">Williams LJ </w:t>
      </w:r>
      <w:r w:rsidR="008A2AEB">
        <w:t>(</w:t>
      </w:r>
      <w:r w:rsidRPr="009B2A2E">
        <w:t>1990</w:t>
      </w:r>
      <w:r w:rsidR="008A2AEB">
        <w:t>)</w:t>
      </w:r>
      <w:r w:rsidRPr="009B2A2E">
        <w:t xml:space="preserve"> Review of the geology and economic potential of the Laura Basin. Queensland Resource Industries Record, 1990/2.</w:t>
      </w:r>
    </w:p>
    <w:p w14:paraId="68A0A738" w14:textId="7FD4A1BE" w:rsidR="00524398" w:rsidRDefault="00524398" w:rsidP="00DD43E4">
      <w:pPr>
        <w:pStyle w:val="References"/>
      </w:pPr>
      <w:r>
        <w:t xml:space="preserve">Hayes BJ, Nicholls P, Dorey K, Bresnahan R, McDougall W and Wickens C </w:t>
      </w:r>
      <w:r w:rsidR="008A2AEB">
        <w:t>(</w:t>
      </w:r>
      <w:r>
        <w:t>2016</w:t>
      </w:r>
      <w:r w:rsidR="008A2AEB">
        <w:t>)</w:t>
      </w:r>
      <w:r>
        <w:t xml:space="preserve">. Comparing basin-centred gas prospectivity in the Bowen-Surat Basin (Queensland, Australia) with the Deep Basin of western Canada and the Piceance Basin of Utah. AAPG 2016 Annual Convention and Exhibition, Abstract. AAPG Search and Discovery Article #10866. </w:t>
      </w:r>
      <w:r w:rsidR="008A2AEB">
        <w:t>Viewed 18/01/2018,</w:t>
      </w:r>
      <w:r w:rsidR="008A2AEB" w:rsidRPr="004C71B8">
        <w:t xml:space="preserve"> </w:t>
      </w:r>
      <w:r w:rsidR="008A2AEB">
        <w:t>&lt;</w:t>
      </w:r>
      <w:hyperlink r:id="rId67" w:history="1">
        <w:r w:rsidRPr="00C03A7D">
          <w:rPr>
            <w:rStyle w:val="Hyperlink"/>
          </w:rPr>
          <w:t>http://www.searchanddiscovery.com/pdfz/documents/2016/10866hayes/ndx_hayes.pdf.html</w:t>
        </w:r>
      </w:hyperlink>
      <w:r w:rsidR="008A2AEB">
        <w:rPr>
          <w:rStyle w:val="Hyperlink"/>
        </w:rPr>
        <w:t>&gt;.</w:t>
      </w:r>
    </w:p>
    <w:p w14:paraId="64E1712F" w14:textId="77777777" w:rsidR="008A2AEB" w:rsidRDefault="008A2AEB" w:rsidP="008A2AEB">
      <w:pPr>
        <w:pStyle w:val="References"/>
      </w:pPr>
      <w:r>
        <w:t>Jell PA (ed.) (2013) Geology of Queensland. Geological Survey of Queensland, Brisbane.</w:t>
      </w:r>
    </w:p>
    <w:p w14:paraId="7572EA77" w14:textId="1A40F556" w:rsidR="00524398" w:rsidRDefault="00524398" w:rsidP="00DD43E4">
      <w:pPr>
        <w:pStyle w:val="References"/>
      </w:pPr>
      <w:r>
        <w:t xml:space="preserve">Lakes Oil </w:t>
      </w:r>
      <w:r w:rsidR="008A2AEB">
        <w:t>(</w:t>
      </w:r>
      <w:r>
        <w:t>2009</w:t>
      </w:r>
      <w:r w:rsidR="008A2AEB">
        <w:t>)</w:t>
      </w:r>
      <w:r>
        <w:t xml:space="preserve"> Wombat 2 Frac successful – substantial increase in gas flow. </w:t>
      </w:r>
      <w:r w:rsidR="008A2AEB">
        <w:t>Viewed 12/07/2018,</w:t>
      </w:r>
      <w:r w:rsidR="008A2AEB" w:rsidRPr="004C71B8">
        <w:t xml:space="preserve"> </w:t>
      </w:r>
      <w:r w:rsidR="008A2AEB">
        <w:t>&lt;</w:t>
      </w:r>
      <w:hyperlink r:id="rId68" w:history="1">
        <w:r w:rsidRPr="00C03A7D">
          <w:rPr>
            <w:rStyle w:val="Hyperlink"/>
          </w:rPr>
          <w:t>http://www.lakesoil.com.au/index.php/reports-and-announcements?task=callelement&amp;format=raw&amp;item_id=85&amp;element=f85c494b-2b32-4109-b8c1-083cca2b7db6&amp;method=download&amp;args[0]=ba8d41bb1d9155ea73ef7c5896186f74</w:t>
        </w:r>
      </w:hyperlink>
      <w:r w:rsidR="008A2AEB">
        <w:t>&gt;.</w:t>
      </w:r>
    </w:p>
    <w:p w14:paraId="5499CA18" w14:textId="247EB401" w:rsidR="00524398" w:rsidRPr="009B2A2E" w:rsidRDefault="00524398" w:rsidP="009E0A32">
      <w:pPr>
        <w:pStyle w:val="References"/>
        <w:keepLines/>
      </w:pPr>
      <w:r>
        <w:lastRenderedPageBreak/>
        <w:t xml:space="preserve">Lakes Oil </w:t>
      </w:r>
      <w:r w:rsidR="008A2AEB">
        <w:t>(</w:t>
      </w:r>
      <w:r>
        <w:t>2010</w:t>
      </w:r>
      <w:r w:rsidR="008A2AEB">
        <w:t>)</w:t>
      </w:r>
      <w:r>
        <w:t xml:space="preserve"> ASX Announcement – Lakes Oil, Beach ready to exploit “tight” gas onshore Gippsland.</w:t>
      </w:r>
      <w:r w:rsidR="008A2AEB">
        <w:t xml:space="preserve"> Viewed 12/07/2018,</w:t>
      </w:r>
      <w:r w:rsidR="008A2AEB" w:rsidRPr="004C71B8">
        <w:t xml:space="preserve"> </w:t>
      </w:r>
      <w:r w:rsidR="008A2AEB">
        <w:t>&lt;</w:t>
      </w:r>
      <w:hyperlink r:id="rId69" w:history="1">
        <w:r w:rsidRPr="00C03A7D">
          <w:rPr>
            <w:rStyle w:val="Hyperlink"/>
          </w:rPr>
          <w:t>http://www.lakesoil.com.au/index.php/reports-and-announcements/item/lko-beach-ready-to-exploit-tight-gas-onshore-gippsland?category_id=3</w:t>
        </w:r>
      </w:hyperlink>
      <w:r w:rsidR="008A2AEB">
        <w:t>&gt;.</w:t>
      </w:r>
    </w:p>
    <w:p w14:paraId="2AEAE618" w14:textId="2F908E0A" w:rsidR="00524398" w:rsidRDefault="00596C20" w:rsidP="00DD43E4">
      <w:pPr>
        <w:pStyle w:val="References"/>
      </w:pPr>
      <w:r>
        <w:t>Lakes Oil (</w:t>
      </w:r>
      <w:r w:rsidR="00524398" w:rsidRPr="00DD094A">
        <w:t>201</w:t>
      </w:r>
      <w:r w:rsidR="00524398">
        <w:t>7</w:t>
      </w:r>
      <w:r>
        <w:t>)</w:t>
      </w:r>
      <w:r w:rsidR="00524398" w:rsidRPr="00DD094A">
        <w:t xml:space="preserve"> Onshore Gippsland Basin Permits</w:t>
      </w:r>
      <w:r w:rsidR="00524398">
        <w:t xml:space="preserve">. </w:t>
      </w:r>
      <w:r w:rsidR="008A2AEB">
        <w:t>Viewed 18/01/2018,</w:t>
      </w:r>
      <w:r w:rsidR="008A2AEB" w:rsidRPr="004C71B8">
        <w:t xml:space="preserve"> </w:t>
      </w:r>
      <w:hyperlink r:id="rId70" w:history="1">
        <w:r w:rsidR="008A2AEB" w:rsidRPr="00635952">
          <w:rPr>
            <w:rStyle w:val="Hyperlink"/>
          </w:rPr>
          <w:t>http://lakesoil.net.au/2017/10/19/onshore-gippsland-basin-permits/</w:t>
        </w:r>
      </w:hyperlink>
      <w:r w:rsidR="008A2AEB">
        <w:rPr>
          <w:rStyle w:val="Hyperlink"/>
        </w:rPr>
        <w:t>.</w:t>
      </w:r>
    </w:p>
    <w:p w14:paraId="1089E55D" w14:textId="7E04A70B" w:rsidR="00524398" w:rsidRDefault="00524398" w:rsidP="00DD43E4">
      <w:pPr>
        <w:pStyle w:val="References"/>
      </w:pPr>
      <w:r>
        <w:t xml:space="preserve">Linc Energy </w:t>
      </w:r>
      <w:r w:rsidR="008A2AEB">
        <w:t>(</w:t>
      </w:r>
      <w:r>
        <w:t>2017</w:t>
      </w:r>
      <w:r w:rsidR="008A2AEB">
        <w:t>) SAPEX (Shale Oil). Viewed 18/01/2018,</w:t>
      </w:r>
      <w:r w:rsidR="008A2AEB" w:rsidRPr="004C71B8">
        <w:t xml:space="preserve"> </w:t>
      </w:r>
      <w:r w:rsidR="008A2AEB">
        <w:t>&lt;</w:t>
      </w:r>
      <w:hyperlink r:id="rId71" w:history="1">
        <w:r w:rsidRPr="00C03A7D">
          <w:rPr>
            <w:rStyle w:val="Hyperlink"/>
          </w:rPr>
          <w:t>http://www.lincenergy.com/sapex_shale_oil.php</w:t>
        </w:r>
      </w:hyperlink>
      <w:r w:rsidR="008A2AEB">
        <w:t>&gt;.</w:t>
      </w:r>
    </w:p>
    <w:p w14:paraId="0C7169D8" w14:textId="38CB644A" w:rsidR="00524398" w:rsidRDefault="00524398" w:rsidP="00DD43E4">
      <w:pPr>
        <w:pStyle w:val="References"/>
      </w:pPr>
      <w:r>
        <w:t xml:space="preserve">Metgasco </w:t>
      </w:r>
      <w:r w:rsidR="008A2AEB">
        <w:t>(</w:t>
      </w:r>
      <w:r>
        <w:t>2011</w:t>
      </w:r>
      <w:r w:rsidR="008A2AEB">
        <w:t>)</w:t>
      </w:r>
      <w:r>
        <w:t xml:space="preserve"> Quarterly activities report Quarter ended 31 December 2010. </w:t>
      </w:r>
      <w:r w:rsidR="008A2AEB">
        <w:t>Viewed 18/01/2018,</w:t>
      </w:r>
      <w:r w:rsidR="008A2AEB" w:rsidRPr="004C71B8">
        <w:t xml:space="preserve"> </w:t>
      </w:r>
      <w:r w:rsidR="008A2AEB">
        <w:t>&lt;</w:t>
      </w:r>
      <w:hyperlink r:id="rId72" w:history="1">
        <w:r w:rsidRPr="00C03A7D">
          <w:rPr>
            <w:rStyle w:val="Hyperlink"/>
          </w:rPr>
          <w:t>http://www.asx.com.au/asx/statistics/displayAnnouncement.do?display=pdf&amp;idsId=01146528</w:t>
        </w:r>
      </w:hyperlink>
      <w:r w:rsidR="008A2AEB">
        <w:rPr>
          <w:rStyle w:val="Hyperlink"/>
        </w:rPr>
        <w:t>&gt;</w:t>
      </w:r>
    </w:p>
    <w:p w14:paraId="75F63CC9" w14:textId="0743CE90" w:rsidR="00524398" w:rsidRDefault="00524398" w:rsidP="00DD43E4">
      <w:pPr>
        <w:pStyle w:val="References"/>
      </w:pPr>
      <w:r>
        <w:t xml:space="preserve">Metgasco </w:t>
      </w:r>
      <w:r w:rsidR="008A2AEB">
        <w:t>(</w:t>
      </w:r>
      <w:r>
        <w:t>2013</w:t>
      </w:r>
      <w:r w:rsidR="008A2AEB">
        <w:t>)</w:t>
      </w:r>
      <w:r>
        <w:t xml:space="preserve"> </w:t>
      </w:r>
      <w:r w:rsidRPr="00C84A57">
        <w:t>Metgasco plans to recommence gas exploration in Northern Rivers NSW</w:t>
      </w:r>
      <w:r>
        <w:t xml:space="preserve">. ASX announcement. </w:t>
      </w:r>
      <w:r w:rsidR="008A2AEB">
        <w:t>Viewed 18/01/2018,</w:t>
      </w:r>
      <w:r w:rsidR="008A2AEB" w:rsidRPr="004C71B8">
        <w:t xml:space="preserve"> </w:t>
      </w:r>
      <w:r w:rsidR="008A2AEB">
        <w:t>&lt;</w:t>
      </w:r>
      <w:hyperlink r:id="rId73" w:history="1">
        <w:r w:rsidRPr="00C03A7D">
          <w:rPr>
            <w:rStyle w:val="Hyperlink"/>
          </w:rPr>
          <w:t>http://www.metgasco.com.au/asx-announcements/metgasco-plans-recommence-gas-exploration-northern-rivers-nsw</w:t>
        </w:r>
      </w:hyperlink>
      <w:r w:rsidR="008A2AEB">
        <w:t>&gt;.</w:t>
      </w:r>
    </w:p>
    <w:p w14:paraId="552DAC1B" w14:textId="77777777" w:rsidR="008A2AEB" w:rsidRPr="000E4EFC" w:rsidRDefault="008A2AEB" w:rsidP="008A2AEB">
      <w:pPr>
        <w:pStyle w:val="References"/>
      </w:pPr>
      <w:r>
        <w:t>Munson TJ (2</w:t>
      </w:r>
      <w:r w:rsidRPr="000E4EFC">
        <w:t>014</w:t>
      </w:r>
      <w:r>
        <w:t xml:space="preserve">) </w:t>
      </w:r>
      <w:r w:rsidRPr="00147CAE">
        <w:t>Petroleum geology and potential of the onshore Northern Territory, 2014</w:t>
      </w:r>
      <w:r w:rsidRPr="000E4EFC">
        <w:t>. Northern Territory Geological Survey, Report 22, 242 pp.</w:t>
      </w:r>
    </w:p>
    <w:p w14:paraId="0CB89E5B" w14:textId="3EE93CB8" w:rsidR="00524398" w:rsidRDefault="00524398" w:rsidP="00DD43E4">
      <w:pPr>
        <w:pStyle w:val="References"/>
      </w:pPr>
      <w:r>
        <w:t xml:space="preserve">Nicholls P, Bresnahan R, Hayes BJ, Dorey K and McDougall W </w:t>
      </w:r>
      <w:r w:rsidR="008A2AEB">
        <w:t>(</w:t>
      </w:r>
      <w:r>
        <w:t>2015</w:t>
      </w:r>
      <w:r w:rsidR="008A2AEB">
        <w:t>)</w:t>
      </w:r>
      <w:r>
        <w:t xml:space="preserve"> Unconventional resource potential of the Taroom Trough in the southern Surat-Bowen Basin, Queensland, Australia. AAPG/SEG International Conference and Exhibition, Melbourne, Australia, Extended Abstract. AAPG Search and Discovery Article #10804. </w:t>
      </w:r>
      <w:r w:rsidR="008A2AEB">
        <w:t>Viewed 18/01/2018,</w:t>
      </w:r>
      <w:r w:rsidR="008A2AEB" w:rsidRPr="004C71B8">
        <w:t xml:space="preserve"> </w:t>
      </w:r>
      <w:r w:rsidR="008A2AEB">
        <w:t>&lt;</w:t>
      </w:r>
      <w:hyperlink r:id="rId74" w:history="1">
        <w:r w:rsidRPr="00C03A7D">
          <w:rPr>
            <w:rStyle w:val="Hyperlink"/>
          </w:rPr>
          <w:t>http://www.searchanddiscovery.com/documents/2015/10804nicholls/ndx_nicholls.pdf</w:t>
        </w:r>
      </w:hyperlink>
      <w:r w:rsidR="008A2AEB">
        <w:rPr>
          <w:rStyle w:val="Hyperlink"/>
        </w:rPr>
        <w:t>&gt;.</w:t>
      </w:r>
    </w:p>
    <w:p w14:paraId="0AB43E0C" w14:textId="782FD45B" w:rsidR="00524398" w:rsidRDefault="00524398" w:rsidP="00DD43E4">
      <w:pPr>
        <w:pStyle w:val="References"/>
      </w:pPr>
      <w:r>
        <w:t xml:space="preserve">O’Neill C and Danis C </w:t>
      </w:r>
      <w:r w:rsidR="008A2AEB">
        <w:t>(</w:t>
      </w:r>
      <w:r>
        <w:t>2013</w:t>
      </w:r>
      <w:r w:rsidR="008A2AEB">
        <w:t>)</w:t>
      </w:r>
      <w:r>
        <w:t xml:space="preserve"> </w:t>
      </w:r>
      <w:r w:rsidRPr="001027E4">
        <w:t>The Geology of NSW. The geological characteristics and history of NSW with a focus on</w:t>
      </w:r>
      <w:r>
        <w:t xml:space="preserve"> </w:t>
      </w:r>
      <w:r w:rsidRPr="001027E4">
        <w:t>coal seam gas (CSG) resources.</w:t>
      </w:r>
      <w:r>
        <w:t xml:space="preserve"> </w:t>
      </w:r>
      <w:r w:rsidRPr="001027E4">
        <w:t>A report commissioned for the NSW Chief Scientist’s Office, May, 2013.</w:t>
      </w:r>
      <w:r>
        <w:t xml:space="preserve"> </w:t>
      </w:r>
      <w:r w:rsidR="008A2AEB">
        <w:t>Viewed 18/01/2018,</w:t>
      </w:r>
      <w:r w:rsidR="008A2AEB" w:rsidRPr="004C71B8">
        <w:t xml:space="preserve"> </w:t>
      </w:r>
      <w:r w:rsidR="008A2AEB">
        <w:t>&lt;</w:t>
      </w:r>
      <w:hyperlink r:id="rId75" w:history="1">
        <w:r w:rsidRPr="00C03A7D">
          <w:rPr>
            <w:rStyle w:val="Hyperlink"/>
          </w:rPr>
          <w:t>http://www.chiefscientist.nsw.gov.au/reports/coal-seam-gas-review/csg-background-papers</w:t>
        </w:r>
      </w:hyperlink>
      <w:r w:rsidR="008A2AEB">
        <w:t>&gt;.</w:t>
      </w:r>
    </w:p>
    <w:p w14:paraId="15BDA70B" w14:textId="77777777" w:rsidR="008A2AEB" w:rsidRDefault="008A2AEB" w:rsidP="008A2AEB">
      <w:pPr>
        <w:pStyle w:val="References"/>
      </w:pPr>
      <w:r>
        <w:t>Origin Energy (2017) Beetaloo Basin drilling results indicate material gas resources. Viewed 16/01/2018, &lt;</w:t>
      </w:r>
      <w:hyperlink r:id="rId76" w:history="1">
        <w:r w:rsidRPr="00401C5B">
          <w:rPr>
            <w:rStyle w:val="Hyperlink"/>
          </w:rPr>
          <w:t>https://www.originenergy.com.au/about/investors-media/media-centre/beetaloo-basin-drilling-results-indicate-material-gas-resource.html</w:t>
        </w:r>
      </w:hyperlink>
      <w:r>
        <w:rPr>
          <w:rStyle w:val="Hyperlink"/>
        </w:rPr>
        <w:t>&gt;</w:t>
      </w:r>
      <w:r>
        <w:t>.</w:t>
      </w:r>
    </w:p>
    <w:p w14:paraId="52381D1B" w14:textId="36C31683" w:rsidR="00524398" w:rsidRPr="00116B50" w:rsidRDefault="00524398" w:rsidP="00DD43E4">
      <w:pPr>
        <w:pStyle w:val="References"/>
      </w:pPr>
      <w:r w:rsidRPr="00116B50">
        <w:t xml:space="preserve">Petrofrontier </w:t>
      </w:r>
      <w:r w:rsidR="008A2AEB">
        <w:t>(</w:t>
      </w:r>
      <w:r w:rsidRPr="00116B50">
        <w:t>2011</w:t>
      </w:r>
      <w:r w:rsidR="008A2AEB">
        <w:t>)</w:t>
      </w:r>
      <w:r w:rsidRPr="00116B50">
        <w:t xml:space="preserve"> Petrofrontier copr. Announces successful drilling of Baldwin-2Hst1</w:t>
      </w:r>
      <w:r w:rsidR="008A2AEB">
        <w:t>. Viewed 16/01/2018, &lt;</w:t>
      </w:r>
      <w:r w:rsidRPr="00C03A7D">
        <w:rPr>
          <w:rStyle w:val="Hyperlink"/>
        </w:rPr>
        <w:t>petrofrontier.com/assets/files/press-releases/2011-10-11.pdf</w:t>
      </w:r>
      <w:r w:rsidR="008A2AEB">
        <w:t>&gt;.</w:t>
      </w:r>
    </w:p>
    <w:p w14:paraId="48906048" w14:textId="77777777" w:rsidR="00B4726E" w:rsidRDefault="00B4726E" w:rsidP="00B4726E">
      <w:pPr>
        <w:pStyle w:val="References"/>
        <w:rPr>
          <w:rStyle w:val="Hyperlink"/>
          <w:rFonts w:ascii="Helvetica" w:hAnsi="Helvetica" w:cs="Helvetica"/>
          <w:lang w:val="en-US"/>
        </w:rPr>
      </w:pPr>
      <w:r w:rsidRPr="00E70BDF">
        <w:t>PRMS</w:t>
      </w:r>
      <w:r>
        <w:t xml:space="preserve"> (2007) </w:t>
      </w:r>
      <w:r w:rsidRPr="00E70BDF">
        <w:t>Petroleum Resources Management System, published by Society of Petroleum Engineers, American Association of Petroleum Geologists, World Petroleum Council, and Society of Petrole</w:t>
      </w:r>
      <w:r>
        <w:t>um Evaluation Engineers, 49 pp. Viewed 16/01/2018, &lt;</w:t>
      </w:r>
      <w:hyperlink r:id="rId77" w:history="1">
        <w:r w:rsidRPr="00270090">
          <w:rPr>
            <w:rStyle w:val="Hyperlink"/>
          </w:rPr>
          <w:t>http://www.spe.org/industry/docs/Petroleum_Resources_Management_System_2007.pdf</w:t>
        </w:r>
      </w:hyperlink>
      <w:r>
        <w:rPr>
          <w:rStyle w:val="Hyperlink"/>
        </w:rPr>
        <w:t>&gt;.</w:t>
      </w:r>
      <w:r>
        <w:t xml:space="preserve"> </w:t>
      </w:r>
    </w:p>
    <w:p w14:paraId="1328AC2D" w14:textId="57A5CF40" w:rsidR="00524398" w:rsidRDefault="00524398" w:rsidP="00DD43E4">
      <w:pPr>
        <w:pStyle w:val="References"/>
      </w:pPr>
      <w:r>
        <w:lastRenderedPageBreak/>
        <w:t xml:space="preserve">Resources and Energy, New South Wales </w:t>
      </w:r>
      <w:r w:rsidR="00B4726E">
        <w:t>(</w:t>
      </w:r>
      <w:r>
        <w:t>2017a</w:t>
      </w:r>
      <w:r w:rsidR="00B4726E">
        <w:t>)</w:t>
      </w:r>
      <w:r>
        <w:t xml:space="preserve"> Darling Basin. </w:t>
      </w:r>
      <w:r w:rsidR="00B4726E">
        <w:t>Viewed 16/01/2018, &lt;</w:t>
      </w:r>
      <w:hyperlink r:id="rId78" w:history="1">
        <w:r w:rsidR="00B4726E" w:rsidRPr="00635952">
          <w:rPr>
            <w:rStyle w:val="Hyperlink"/>
          </w:rPr>
          <w:t>http://www.resourcesandenergy.nsw.gov.au/miners-and-explorers/geoscience-information/nsw-geology-overview/sedimentary-basins/darling-basin</w:t>
        </w:r>
      </w:hyperlink>
      <w:r w:rsidR="00B4726E">
        <w:t>&gt;.</w:t>
      </w:r>
    </w:p>
    <w:p w14:paraId="1A61E9B4" w14:textId="0F0CBE3E" w:rsidR="00524398" w:rsidRDefault="00524398" w:rsidP="00DD43E4">
      <w:pPr>
        <w:pStyle w:val="References"/>
      </w:pPr>
      <w:r>
        <w:t xml:space="preserve">Resources and Energy, New South Wales </w:t>
      </w:r>
      <w:r w:rsidR="00B4726E">
        <w:t>(</w:t>
      </w:r>
      <w:r>
        <w:t>2017b</w:t>
      </w:r>
      <w:r w:rsidR="00B4726E">
        <w:t>)</w:t>
      </w:r>
      <w:r>
        <w:t xml:space="preserve"> Oaklands Basin. </w:t>
      </w:r>
      <w:r w:rsidR="00B4726E">
        <w:t>Viewed 16/01/2018, &lt;</w:t>
      </w:r>
      <w:hyperlink r:id="rId79" w:history="1">
        <w:r w:rsidRPr="00C03A7D">
          <w:rPr>
            <w:rStyle w:val="Hyperlink"/>
          </w:rPr>
          <w:t>http://www.resourcesandenergy.nsw.gov.au/miners-and-explorers/geoscience-information/nsw-geology-overview/sedimentary-basins/oaklands-basin</w:t>
        </w:r>
      </w:hyperlink>
      <w:r w:rsidR="00B4726E">
        <w:t>&gt;.</w:t>
      </w:r>
    </w:p>
    <w:p w14:paraId="394F7070" w14:textId="76EB0AE4" w:rsidR="00524398" w:rsidRDefault="00524398" w:rsidP="00DD43E4">
      <w:pPr>
        <w:pStyle w:val="References"/>
      </w:pPr>
      <w:r>
        <w:t xml:space="preserve">Resources and Energy, New South Wales </w:t>
      </w:r>
      <w:r w:rsidR="00B4726E">
        <w:t>(</w:t>
      </w:r>
      <w:r>
        <w:t>2012</w:t>
      </w:r>
      <w:r w:rsidR="00B4726E">
        <w:t>)</w:t>
      </w:r>
      <w:r>
        <w:t xml:space="preserve"> </w:t>
      </w:r>
      <w:r w:rsidRPr="008F7A6F">
        <w:t>NSW Code of Practice for Coal Seam Gas Fracture Stimulation Activities</w:t>
      </w:r>
      <w:r>
        <w:t>.</w:t>
      </w:r>
      <w:r w:rsidRPr="008F7A6F">
        <w:t xml:space="preserve"> </w:t>
      </w:r>
      <w:r w:rsidR="00B4726E">
        <w:t>Viewed 16/01/2018, &lt;</w:t>
      </w:r>
      <w:hyperlink r:id="rId80" w:history="1">
        <w:r w:rsidRPr="00C03A7D">
          <w:rPr>
            <w:rStyle w:val="Hyperlink"/>
          </w:rPr>
          <w:t>http://www.resourcesandenergy.nsw.gov.au/__data/assets/pdf_file/0018/516114/Code-of-Practice-for-Coal-Seam-Gas-Fracture-Stimulation.pdf</w:t>
        </w:r>
      </w:hyperlink>
      <w:r w:rsidR="00B4726E">
        <w:t>&gt;.</w:t>
      </w:r>
    </w:p>
    <w:p w14:paraId="0DDA23EA" w14:textId="77777777" w:rsidR="00B4726E" w:rsidRPr="00116B50" w:rsidRDefault="00B4726E" w:rsidP="00B4726E">
      <w:pPr>
        <w:pStyle w:val="References"/>
      </w:pPr>
      <w:r w:rsidRPr="00116B50">
        <w:t>Revie D</w:t>
      </w:r>
      <w:r>
        <w:t xml:space="preserve"> (20</w:t>
      </w:r>
      <w:r w:rsidRPr="00116B50">
        <w:t>17a</w:t>
      </w:r>
      <w:r>
        <w:t xml:space="preserve">) </w:t>
      </w:r>
      <w:r w:rsidRPr="00116B50">
        <w:t>Unconventional petroleum resources of the Roper Group, McArthur Basin. Northern Territory Geological Survey, Record 2017-002.</w:t>
      </w:r>
    </w:p>
    <w:p w14:paraId="04A07292" w14:textId="77777777" w:rsidR="00B4726E" w:rsidRPr="00116B50" w:rsidRDefault="00B4726E" w:rsidP="00B4726E">
      <w:pPr>
        <w:pStyle w:val="References"/>
      </w:pPr>
      <w:r w:rsidRPr="00116B50">
        <w:t>Revie D</w:t>
      </w:r>
      <w:r>
        <w:t xml:space="preserve"> (20</w:t>
      </w:r>
      <w:r w:rsidRPr="00116B50">
        <w:t>17b</w:t>
      </w:r>
      <w:r>
        <w:t xml:space="preserve">) </w:t>
      </w:r>
      <w:r w:rsidRPr="00231EFC">
        <w:t>Volumetric resource assessment of the lower Kyalla and middle Velkerri formations of the McArthur Basin</w:t>
      </w:r>
      <w:r>
        <w:t>. AGES conference, Alice Springs, March 2017.</w:t>
      </w:r>
    </w:p>
    <w:p w14:paraId="05AF4269" w14:textId="2887C7A0" w:rsidR="00433420" w:rsidRDefault="00433420" w:rsidP="00DD43E4">
      <w:pPr>
        <w:pStyle w:val="References"/>
      </w:pPr>
      <w:r>
        <w:t xml:space="preserve">RISC </w:t>
      </w:r>
      <w:r w:rsidR="00B1308C">
        <w:t>(</w:t>
      </w:r>
      <w:r>
        <w:t>2013</w:t>
      </w:r>
      <w:r w:rsidR="00B1308C">
        <w:t>)</w:t>
      </w:r>
      <w:r>
        <w:t xml:space="preserve"> ASX reserves and reousrces reporting for oil and gas companies. Public seminar, July 2013. </w:t>
      </w:r>
      <w:r w:rsidR="00B1308C">
        <w:t>Viewed 16/01/2018, &lt;</w:t>
      </w:r>
      <w:hyperlink r:id="rId81" w:history="1">
        <w:r w:rsidRPr="00C03A7D">
          <w:rPr>
            <w:rStyle w:val="Hyperlink"/>
          </w:rPr>
          <w:t>http://www.asx.com.au/documents/asx-compliance/asx-oil-and-gas-risc-presentation-july-2013_2.pdf</w:t>
        </w:r>
      </w:hyperlink>
      <w:r w:rsidR="00B1308C">
        <w:t>&gt;.</w:t>
      </w:r>
    </w:p>
    <w:p w14:paraId="104917AB" w14:textId="320DB9C6" w:rsidR="00524398" w:rsidRDefault="00524398" w:rsidP="00DD43E4">
      <w:pPr>
        <w:pStyle w:val="References"/>
      </w:pPr>
      <w:r>
        <w:t xml:space="preserve">Santos </w:t>
      </w:r>
      <w:r w:rsidR="00B1308C">
        <w:t>(</w:t>
      </w:r>
      <w:r>
        <w:t>2012</w:t>
      </w:r>
      <w:r w:rsidR="00B1308C">
        <w:t>)</w:t>
      </w:r>
      <w:r>
        <w:t xml:space="preserve"> Cooper Basin unconventional gas opportunities and commercialisation. </w:t>
      </w:r>
      <w:r w:rsidR="00B1308C">
        <w:t>Viewed 16/01/2018, &lt;</w:t>
      </w:r>
      <w:hyperlink r:id="rId82" w:history="1">
        <w:r w:rsidRPr="00C03A7D">
          <w:rPr>
            <w:rStyle w:val="Hyperlink"/>
          </w:rPr>
          <w:t>https://www.santos.com/media-centre/announcements/cooper-basin-unconventional-gas-opportunities-and-commercialisation/</w:t>
        </w:r>
      </w:hyperlink>
      <w:r w:rsidR="00B1308C">
        <w:t>&gt;.</w:t>
      </w:r>
    </w:p>
    <w:p w14:paraId="5F1DB57D" w14:textId="539CBED0" w:rsidR="00524398" w:rsidRDefault="00524398" w:rsidP="00DD43E4">
      <w:pPr>
        <w:pStyle w:val="References"/>
      </w:pPr>
      <w:r>
        <w:t xml:space="preserve">Santos </w:t>
      </w:r>
      <w:r w:rsidR="00B1308C">
        <w:t>(</w:t>
      </w:r>
      <w:r>
        <w:t>2017</w:t>
      </w:r>
      <w:r w:rsidR="00B1308C">
        <w:t>)</w:t>
      </w:r>
      <w:r>
        <w:t xml:space="preserve"> Narrabri Gas Project. </w:t>
      </w:r>
      <w:r w:rsidR="00B1308C">
        <w:t>Viewed 16/01/2018, &lt;</w:t>
      </w:r>
      <w:hyperlink r:id="rId83" w:history="1">
        <w:r w:rsidRPr="00C03A7D">
          <w:rPr>
            <w:rStyle w:val="Hyperlink"/>
          </w:rPr>
          <w:t>https://www.santos.com/what-we-do/activities/new-south-wales/gunnedah-basin/narrabri-gas-project/</w:t>
        </w:r>
      </w:hyperlink>
      <w:r w:rsidR="00B1308C">
        <w:rPr>
          <w:rStyle w:val="Hyperlink"/>
        </w:rPr>
        <w:t>&gt;.</w:t>
      </w:r>
    </w:p>
    <w:p w14:paraId="11C8695C" w14:textId="4F69315B" w:rsidR="00524398" w:rsidRPr="00150F31" w:rsidRDefault="00524398" w:rsidP="00DD43E4">
      <w:pPr>
        <w:pStyle w:val="References"/>
      </w:pPr>
      <w:r w:rsidRPr="00150F31">
        <w:t xml:space="preserve">Schmoker JW </w:t>
      </w:r>
      <w:r w:rsidR="00B1308C">
        <w:t>(</w:t>
      </w:r>
      <w:r w:rsidRPr="00150F31">
        <w:t>1995</w:t>
      </w:r>
      <w:r w:rsidR="00B1308C">
        <w:t>)</w:t>
      </w:r>
      <w:r w:rsidRPr="00150F31">
        <w:t xml:space="preserve"> Method for assessing continuous-type (unconventional) hydrocarbon accumulatio</w:t>
      </w:r>
      <w:r w:rsidRPr="001D3FB0">
        <w:t>ns. In: Gautier DL, Dolton GL</w:t>
      </w:r>
      <w:r w:rsidR="001D3FB0">
        <w:t>,</w:t>
      </w:r>
      <w:r w:rsidRPr="001D3FB0">
        <w:t xml:space="preserve"> Takahashi KI and Varnes KL (eds). National assessment </w:t>
      </w:r>
      <w:r w:rsidRPr="00150F31">
        <w:t>of United States oil and gas resources—results, methodology, and supporting data: U.S. Geological Survey Digital Data Series DDS-30, 1 CD-ROM.</w:t>
      </w:r>
    </w:p>
    <w:p w14:paraId="507EA5F1" w14:textId="3F512241" w:rsidR="00524398" w:rsidRPr="00150F31" w:rsidRDefault="00524398" w:rsidP="00DD43E4">
      <w:pPr>
        <w:pStyle w:val="References"/>
      </w:pPr>
      <w:r w:rsidRPr="00150F31">
        <w:t xml:space="preserve">Schmoker JW </w:t>
      </w:r>
      <w:r w:rsidR="001D3FB0">
        <w:t>(</w:t>
      </w:r>
      <w:r w:rsidRPr="00150F31">
        <w:t>2002</w:t>
      </w:r>
      <w:r w:rsidR="001D3FB0">
        <w:t>)</w:t>
      </w:r>
      <w:r w:rsidRPr="00150F31">
        <w:t xml:space="preserve"> Resource assessment perspectives for unconventional gas systems. AAPG Bulletin, 86(11), 1993–1999.</w:t>
      </w:r>
    </w:p>
    <w:p w14:paraId="00573E67" w14:textId="3B0CC7AF" w:rsidR="001D3FB0" w:rsidRPr="00487C1E" w:rsidRDefault="001D3FB0" w:rsidP="001D3FB0">
      <w:pPr>
        <w:pStyle w:val="References"/>
      </w:pPr>
      <w:r w:rsidRPr="000E4EFC">
        <w:t>Scientific Inquiry into Hydraulic Fracturing in the Northern Territory</w:t>
      </w:r>
      <w:r>
        <w:t xml:space="preserve"> (</w:t>
      </w:r>
      <w:r w:rsidR="004F7731" w:rsidRPr="003E2015">
        <w:t>201</w:t>
      </w:r>
      <w:r w:rsidR="004F7731">
        <w:t>8</w:t>
      </w:r>
      <w:r>
        <w:t xml:space="preserve">) </w:t>
      </w:r>
      <w:r w:rsidRPr="00487C1E">
        <w:t>Scientific Inquiry into Hydraulic Fracturing in the Northern Terri</w:t>
      </w:r>
      <w:r>
        <w:t xml:space="preserve">tory: </w:t>
      </w:r>
      <w:r w:rsidR="004F7731">
        <w:t xml:space="preserve">Final </w:t>
      </w:r>
      <w:r>
        <w:t xml:space="preserve">Report, </w:t>
      </w:r>
      <w:r w:rsidR="004F7731">
        <w:t>March 2018</w:t>
      </w:r>
      <w:r>
        <w:t>. Viewed</w:t>
      </w:r>
      <w:r w:rsidRPr="00487C1E">
        <w:t xml:space="preserve"> </w:t>
      </w:r>
      <w:r w:rsidR="004F7731">
        <w:t>23</w:t>
      </w:r>
      <w:r>
        <w:t>/</w:t>
      </w:r>
      <w:r w:rsidR="004F7731">
        <w:t>04</w:t>
      </w:r>
      <w:r>
        <w:t>/2018, &lt;</w:t>
      </w:r>
      <w:r w:rsidR="004242CA" w:rsidRPr="004242CA">
        <w:t>https://frackinginquiry.nt.gov.au/inquiry-reports?a=494286</w:t>
      </w:r>
      <w:r>
        <w:rPr>
          <w:rStyle w:val="Hyperlink"/>
        </w:rPr>
        <w:t>&gt;</w:t>
      </w:r>
      <w:r w:rsidR="00DE4DB5">
        <w:t>.</w:t>
      </w:r>
      <w:r>
        <w:t xml:space="preserve"> </w:t>
      </w:r>
    </w:p>
    <w:p w14:paraId="25B0FF3F" w14:textId="745557AB" w:rsidR="00524398" w:rsidRDefault="00524398" w:rsidP="00DD43E4">
      <w:pPr>
        <w:pStyle w:val="References"/>
      </w:pPr>
      <w:r>
        <w:t xml:space="preserve">Senex </w:t>
      </w:r>
      <w:r w:rsidR="00C81500">
        <w:t>(</w:t>
      </w:r>
      <w:r>
        <w:t>2013</w:t>
      </w:r>
      <w:r w:rsidR="00C81500">
        <w:t>)</w:t>
      </w:r>
      <w:r>
        <w:t xml:space="preserve"> </w:t>
      </w:r>
      <w:r w:rsidR="004F7731">
        <w:t xml:space="preserve">ASX </w:t>
      </w:r>
      <w:r>
        <w:t xml:space="preserve">Announcement – Major contingent gas resource upgrade to 5.5 tcf. </w:t>
      </w:r>
      <w:r w:rsidR="00C81500">
        <w:t>Viewed 16/01/2018, &lt;</w:t>
      </w:r>
      <w:hyperlink r:id="rId84" w:history="1">
        <w:r w:rsidR="00C81500" w:rsidRPr="00635952">
          <w:rPr>
            <w:rStyle w:val="Hyperlink"/>
          </w:rPr>
          <w:t>http://www.senexenergy.com.au/investor-centre/files/major-contingent-gas-resource-upgrade-to-5-5-tcf/</w:t>
        </w:r>
      </w:hyperlink>
      <w:r w:rsidR="00C81500">
        <w:t>&gt;.</w:t>
      </w:r>
    </w:p>
    <w:p w14:paraId="41CD000B" w14:textId="489EB466" w:rsidR="00524398" w:rsidRPr="00150F31" w:rsidRDefault="00524398" w:rsidP="00DD43E4">
      <w:pPr>
        <w:pStyle w:val="References"/>
      </w:pPr>
      <w:r w:rsidRPr="00116B50">
        <w:lastRenderedPageBreak/>
        <w:t>SPE</w:t>
      </w:r>
      <w:r w:rsidR="003E19DE">
        <w:t xml:space="preserve"> (</w:t>
      </w:r>
      <w:r w:rsidR="003E19DE">
        <w:rPr>
          <w:lang w:val="en-US"/>
        </w:rPr>
        <w:t>Society of Petroleum Engineers)</w:t>
      </w:r>
      <w:r w:rsidRPr="00116B50">
        <w:t xml:space="preserve"> </w:t>
      </w:r>
      <w:r w:rsidR="00C81500">
        <w:t>(</w:t>
      </w:r>
      <w:r w:rsidRPr="00116B50">
        <w:t>2007</w:t>
      </w:r>
      <w:r w:rsidR="00C81500">
        <w:t>)</w:t>
      </w:r>
      <w:r w:rsidR="003E19DE" w:rsidRPr="00116B50">
        <w:t xml:space="preserve"> </w:t>
      </w:r>
      <w:r w:rsidRPr="00116B50">
        <w:t>SPE Petroleum Resources Management System Guide for Non-Technical Users, 4 pp</w:t>
      </w:r>
      <w:r>
        <w:t>.</w:t>
      </w:r>
      <w:r w:rsidRPr="00116B50">
        <w:t xml:space="preserve"> </w:t>
      </w:r>
      <w:r w:rsidR="00C81500">
        <w:t>Viewed 16/01/2018, &lt;</w:t>
      </w:r>
      <w:hyperlink r:id="rId85" w:history="1">
        <w:r w:rsidRPr="00C03A7D">
          <w:rPr>
            <w:rStyle w:val="Hyperlink"/>
          </w:rPr>
          <w:t>http://www.spe.org/industry/docs/PRMS_guide_non_tech.pdf</w:t>
        </w:r>
      </w:hyperlink>
      <w:r w:rsidR="00C81500">
        <w:t>&gt;.</w:t>
      </w:r>
    </w:p>
    <w:p w14:paraId="0EF411D7" w14:textId="77777777" w:rsidR="00C81500" w:rsidRPr="00E70BDF" w:rsidRDefault="00C81500" w:rsidP="00C81500">
      <w:pPr>
        <w:pStyle w:val="References"/>
        <w:rPr>
          <w:rStyle w:val="Hyperlink"/>
        </w:rPr>
      </w:pPr>
      <w:r>
        <w:t>Stewart AJ, Raymond OL, Totterdell JM, Zhang W and Gallagher R (2013) Australian Geological Provinces, 2013.01 edition, scale 1:2 500 000. Geoscience Australia, Canberra. Viewed 16/01/2018, &lt;</w:t>
      </w:r>
      <w:hyperlink r:id="rId86" w:anchor="!2680f4bb-8494-14fc-e053-10a3070a4107" w:history="1">
        <w:r w:rsidRPr="0065740D">
          <w:rPr>
            <w:rStyle w:val="Hyperlink"/>
          </w:rPr>
          <w:t>https://ecat.ga.gov.au/geonetwork/srv/eng/search#!2680f4bb-8494-14fc-e053-10a3070a4107</w:t>
        </w:r>
      </w:hyperlink>
      <w:r>
        <w:rPr>
          <w:rStyle w:val="Hyperlink"/>
        </w:rPr>
        <w:t>&gt;.</w:t>
      </w:r>
      <w:r>
        <w:t xml:space="preserve"> </w:t>
      </w:r>
    </w:p>
    <w:p w14:paraId="1762DBE3" w14:textId="784334B5" w:rsidR="00524398" w:rsidRDefault="00524398" w:rsidP="00DD43E4">
      <w:pPr>
        <w:pStyle w:val="References"/>
        <w:rPr>
          <w:rStyle w:val="Hyperlink"/>
        </w:rPr>
      </w:pPr>
      <w:r>
        <w:t xml:space="preserve">Strike Energy </w:t>
      </w:r>
      <w:r w:rsidR="00C81500">
        <w:t>(</w:t>
      </w:r>
      <w:r>
        <w:t>2015</w:t>
      </w:r>
      <w:r w:rsidR="00C81500">
        <w:t>)</w:t>
      </w:r>
      <w:r>
        <w:t xml:space="preserve"> ASX Announcement – DUG Australia conference presentation – July 2015. </w:t>
      </w:r>
      <w:r w:rsidR="00C81500">
        <w:t>Viewed 16/01/2018, &lt;</w:t>
      </w:r>
      <w:hyperlink r:id="rId87" w:history="1">
        <w:r w:rsidRPr="00C03A7D">
          <w:rPr>
            <w:rStyle w:val="Hyperlink"/>
          </w:rPr>
          <w:t>http://www.strikeenergy.com.au/wp-content/uploads/2015/07/20150729-DUG-July-2015-Presentation.pdf</w:t>
        </w:r>
      </w:hyperlink>
      <w:r w:rsidR="00C81500">
        <w:rPr>
          <w:rStyle w:val="Hyperlink"/>
        </w:rPr>
        <w:t>&gt;.</w:t>
      </w:r>
    </w:p>
    <w:p w14:paraId="2697E91F" w14:textId="57281AE2" w:rsidR="00524398" w:rsidRDefault="00524398" w:rsidP="00C03A7D">
      <w:pPr>
        <w:pStyle w:val="References"/>
      </w:pPr>
      <w:r w:rsidRPr="00F60394">
        <w:t xml:space="preserve">UPR (Upstream Petroleum Resources Working Group) </w:t>
      </w:r>
      <w:r w:rsidR="00DE4DB5">
        <w:t>(</w:t>
      </w:r>
      <w:r w:rsidRPr="00F60394">
        <w:t>2015</w:t>
      </w:r>
      <w:r w:rsidR="00DE4DB5">
        <w:t>)</w:t>
      </w:r>
      <w:r w:rsidRPr="00F60394">
        <w:t xml:space="preserve"> Coal seam, shale and tight gas in Australia: resources assessment and operation overview 2015, Geoscience Australia, Canberra</w:t>
      </w:r>
      <w:r>
        <w:t>.</w:t>
      </w:r>
      <w:r w:rsidR="00C81500">
        <w:t xml:space="preserve"> Viewed 16/01/2018,</w:t>
      </w:r>
      <w:r w:rsidRPr="00F60394">
        <w:t xml:space="preserve"> </w:t>
      </w:r>
      <w:r w:rsidR="00C81500">
        <w:t>&lt;</w:t>
      </w:r>
      <w:r w:rsidR="00106DE1" w:rsidRPr="00106DE1">
        <w:rPr>
          <w:rStyle w:val="Hyperlink"/>
        </w:rPr>
        <w:t>http://www.coagenergycouncil.gov.au/sites/prod.energycouncil/files/publications/documents/UPR%20Unconventional%20Resources%20Report%202015%20-%20Final_0.pdf</w:t>
      </w:r>
      <w:r w:rsidR="00C81500">
        <w:t>&gt;.</w:t>
      </w:r>
    </w:p>
    <w:p w14:paraId="2CD71F28" w14:textId="32030071" w:rsidR="00524398" w:rsidRDefault="00524398" w:rsidP="00C03A7D">
      <w:pPr>
        <w:pStyle w:val="References"/>
      </w:pPr>
      <w:r w:rsidRPr="00F60394">
        <w:t xml:space="preserve">UPR (Upstream Petroleum Resources Working Group) </w:t>
      </w:r>
      <w:r w:rsidR="00DE4DB5">
        <w:t>(</w:t>
      </w:r>
      <w:r w:rsidRPr="00F60394">
        <w:t>201</w:t>
      </w:r>
      <w:r>
        <w:t>6</w:t>
      </w:r>
      <w:r w:rsidR="00DE4DB5">
        <w:t>)</w:t>
      </w:r>
      <w:r w:rsidRPr="00F60394">
        <w:t xml:space="preserve"> Coal seam, shale and tight gas in Australia: resources assessment and operation overview 201</w:t>
      </w:r>
      <w:r>
        <w:t>6</w:t>
      </w:r>
      <w:r w:rsidRPr="00F60394">
        <w:t>, Geoscience Australia, Canberra</w:t>
      </w:r>
      <w:r>
        <w:t>.</w:t>
      </w:r>
      <w:r w:rsidRPr="00F60394">
        <w:t xml:space="preserve"> </w:t>
      </w:r>
    </w:p>
    <w:p w14:paraId="63A5CA81" w14:textId="409C453B" w:rsidR="00524398" w:rsidRPr="00767274" w:rsidRDefault="00524398" w:rsidP="00DD43E4">
      <w:pPr>
        <w:pStyle w:val="References"/>
      </w:pPr>
      <w:r w:rsidRPr="00767274">
        <w:t xml:space="preserve">Vu TAT, Horsfield B </w:t>
      </w:r>
      <w:r w:rsidR="00DD43E4">
        <w:t xml:space="preserve">and </w:t>
      </w:r>
      <w:r w:rsidRPr="00767274">
        <w:t xml:space="preserve">di Primio R </w:t>
      </w:r>
      <w:r w:rsidR="00C81500">
        <w:t>(</w:t>
      </w:r>
      <w:r w:rsidRPr="00767274">
        <w:t>2011</w:t>
      </w:r>
      <w:r w:rsidR="00C81500">
        <w:t>)</w:t>
      </w:r>
      <w:r w:rsidRPr="00767274">
        <w:t xml:space="preserve"> </w:t>
      </w:r>
      <w:r w:rsidRPr="00C30F1D">
        <w:t xml:space="preserve">Gas shale potential of the Amadeus and Georgina basins, Australia: preliminary insights. </w:t>
      </w:r>
      <w:r w:rsidRPr="00116B50">
        <w:t>Geoscience Australia Record</w:t>
      </w:r>
      <w:r w:rsidRPr="00767274">
        <w:t>, 2011/10, 39 pp.</w:t>
      </w:r>
      <w:r w:rsidR="00C81500">
        <w:t xml:space="preserve"> Viewed 16/01/2018,</w:t>
      </w:r>
      <w:r>
        <w:t xml:space="preserve"> </w:t>
      </w:r>
      <w:r w:rsidR="00C81500">
        <w:t>&lt;</w:t>
      </w:r>
      <w:hyperlink r:id="rId88" w:anchor="!a05f7893-007c-7506-e044-00144fdd4fa6" w:history="1">
        <w:r w:rsidRPr="00C03A7D">
          <w:rPr>
            <w:rStyle w:val="Hyperlink"/>
          </w:rPr>
          <w:t>https://ecat.ga.gov.au/geonetwork/srv/eng/search#!a05f7893-007c-7506-e044-00144fdd4fa6</w:t>
        </w:r>
      </w:hyperlink>
      <w:r w:rsidR="00C81500">
        <w:rPr>
          <w:rStyle w:val="Hyperlink"/>
        </w:rPr>
        <w:t>&gt;.</w:t>
      </w:r>
    </w:p>
    <w:p w14:paraId="6A5692B9" w14:textId="4328F888" w:rsidR="00524398" w:rsidRDefault="00524398" w:rsidP="00C03A7D">
      <w:pPr>
        <w:pStyle w:val="References"/>
      </w:pPr>
      <w:r>
        <w:t xml:space="preserve">Ward CR and Kelly BFJ </w:t>
      </w:r>
      <w:r w:rsidR="00C81500">
        <w:t>(</w:t>
      </w:r>
      <w:r>
        <w:t>2013</w:t>
      </w:r>
      <w:r w:rsidR="00C81500">
        <w:t>)</w:t>
      </w:r>
      <w:r>
        <w:t xml:space="preserve"> Background paper on New South Wales Geology. Report for the Office of the NSW Chief Scientist and Engineer, August, 2013. </w:t>
      </w:r>
      <w:r w:rsidR="00C81500">
        <w:t>Viewed 16/01/2018, &lt;</w:t>
      </w:r>
      <w:hyperlink r:id="rId89" w:history="1">
        <w:r w:rsidRPr="00C03A7D">
          <w:rPr>
            <w:rStyle w:val="Hyperlink"/>
          </w:rPr>
          <w:t>http://www.chiefscientist.nsw.gov.au/reports/coal-seam-gas-review/csg-background-papers</w:t>
        </w:r>
      </w:hyperlink>
      <w:r w:rsidR="00C81500">
        <w:t>&gt;.</w:t>
      </w:r>
    </w:p>
    <w:p w14:paraId="1DC159CA" w14:textId="77777777" w:rsidR="00C81500" w:rsidRPr="00147CAE" w:rsidRDefault="00C81500" w:rsidP="00C81500">
      <w:pPr>
        <w:pStyle w:val="References"/>
      </w:pPr>
      <w:r>
        <w:t>Warner D, Ambrose G</w:t>
      </w:r>
      <w:r w:rsidRPr="00147CAE">
        <w:t xml:space="preserve"> a</w:t>
      </w:r>
      <w:r>
        <w:t>nd Heugh J (20</w:t>
      </w:r>
      <w:r w:rsidRPr="00147CAE">
        <w:t>12</w:t>
      </w:r>
      <w:r>
        <w:t xml:space="preserve">) </w:t>
      </w:r>
      <w:r w:rsidRPr="00147CAE">
        <w:t>Potential for unconventional plays in the Lower Larapinta Petroleum System of</w:t>
      </w:r>
      <w:r>
        <w:t xml:space="preserve"> the Amadeus Basin. In: Ambrose GJ and Scott J</w:t>
      </w:r>
      <w:r w:rsidRPr="00147CAE">
        <w:t xml:space="preserve"> (</w:t>
      </w:r>
      <w:r>
        <w:t>eds</w:t>
      </w:r>
      <w:r w:rsidRPr="00147CAE">
        <w:t>), Central Australian Basins Symposium III. Petroleum Exploration Society of Australia, Special Publication, 7 pp.</w:t>
      </w:r>
    </w:p>
    <w:p w14:paraId="1D9E64F0" w14:textId="77777777" w:rsidR="00C81500" w:rsidRDefault="00C81500" w:rsidP="00C81500">
      <w:pPr>
        <w:pStyle w:val="References"/>
      </w:pPr>
      <w:r>
        <w:t>Weatherford Laboratories (2017) Kyalla and middle Velkerri Resource Assessment: Gorrie, Beetaloo, OT Downs, and Broadmere Sub-basins. Study Project No. AB.74329. Northern Territory Geological Survey, Record 2017.003.</w:t>
      </w:r>
    </w:p>
    <w:p w14:paraId="60554DE2" w14:textId="361414A0" w:rsidR="008D05EF" w:rsidRDefault="00C81500" w:rsidP="00C81500">
      <w:pPr>
        <w:pStyle w:val="References"/>
      </w:pPr>
      <w:r>
        <w:t>Wells AJ and O’Brien PE (eds) (1994) Geology and petroleum potential of the Clarence-Moreton Basin, New South Wales and Queensland</w:t>
      </w:r>
      <w:r w:rsidRPr="00C30F1D">
        <w:t>. Australian Geological Survey Organisation, Bulletin</w:t>
      </w:r>
      <w:r>
        <w:t>, 241.</w:t>
      </w:r>
    </w:p>
    <w:p w14:paraId="3B681199" w14:textId="77777777" w:rsidR="008D05EF" w:rsidRDefault="008D05EF">
      <w:pPr>
        <w:spacing w:after="180"/>
      </w:pPr>
      <w:r>
        <w:br w:type="page"/>
      </w:r>
    </w:p>
    <w:p w14:paraId="3D425DC5" w14:textId="77777777" w:rsidR="00C81500" w:rsidRDefault="00C81500" w:rsidP="00C81500">
      <w:pPr>
        <w:pStyle w:val="References"/>
      </w:pPr>
    </w:p>
    <w:p w14:paraId="18532498" w14:textId="4399C6F8" w:rsidR="00524398" w:rsidRDefault="00524398" w:rsidP="00C03A7D">
      <w:pPr>
        <w:pStyle w:val="References"/>
        <w:sectPr w:rsidR="00524398" w:rsidSect="005E271C">
          <w:headerReference w:type="default" r:id="rId90"/>
          <w:pgSz w:w="11907" w:h="16840" w:code="9"/>
          <w:pgMar w:top="1418" w:right="1134" w:bottom="1418" w:left="1134" w:header="510" w:footer="624" w:gutter="0"/>
          <w:cols w:space="720"/>
          <w:docGrid w:linePitch="326"/>
        </w:sectPr>
      </w:pPr>
    </w:p>
    <w:p w14:paraId="12E52A1F" w14:textId="77777777" w:rsidR="00524398" w:rsidRPr="00E8799B" w:rsidRDefault="00524398" w:rsidP="00524398">
      <w:pPr>
        <w:pStyle w:val="Heading9"/>
      </w:pPr>
      <w:bookmarkStart w:id="27" w:name="_Toc517161113"/>
      <w:r w:rsidRPr="00E8799B">
        <w:lastRenderedPageBreak/>
        <w:t>Regional Maps</w:t>
      </w:r>
      <w:bookmarkEnd w:id="27"/>
    </w:p>
    <w:p w14:paraId="7C8DADFE" w14:textId="77777777" w:rsidR="00524398" w:rsidRDefault="00524398" w:rsidP="00524398">
      <w:pPr>
        <w:pStyle w:val="BodyText"/>
      </w:pPr>
    </w:p>
    <w:p w14:paraId="6258D518" w14:textId="77777777" w:rsidR="00524398" w:rsidRDefault="00524398" w:rsidP="00524398">
      <w:pPr>
        <w:pStyle w:val="BodyText"/>
      </w:pPr>
      <w:r>
        <w:t xml:space="preserve">Maps of the regional datasets are presented in Appendix B (Figures B.1 to B.22) and a full list of the datasets incorporated in the data inventory discussed in the main report. It is expected that in future stages of assessment, the range of factors and analysis undertaken will be broadened as basin short-listing is progressed. </w:t>
      </w:r>
    </w:p>
    <w:p w14:paraId="04F3E23F" w14:textId="77777777" w:rsidR="00524398" w:rsidRDefault="00524398" w:rsidP="00524398">
      <w:pPr>
        <w:pStyle w:val="BodyText"/>
        <w:sectPr w:rsidR="00524398" w:rsidSect="005E271C">
          <w:pgSz w:w="11907" w:h="16840" w:code="9"/>
          <w:pgMar w:top="1418" w:right="1418" w:bottom="1418" w:left="1418" w:header="510" w:footer="624" w:gutter="0"/>
          <w:cols w:space="720"/>
          <w:docGrid w:linePitch="326"/>
        </w:sectPr>
      </w:pPr>
      <w:r>
        <w:t>The datasets provide information on a range of factors seen as pertinent in the Rapid Regional Prioritisation Phase. They inform aspects relating to groundwater, s</w:t>
      </w:r>
      <w:r w:rsidRPr="003228CA">
        <w:t>urface water</w:t>
      </w:r>
      <w:r>
        <w:t>,</w:t>
      </w:r>
      <w:r w:rsidRPr="003228CA">
        <w:t xml:space="preserve"> </w:t>
      </w:r>
      <w:r>
        <w:t>e</w:t>
      </w:r>
      <w:r w:rsidRPr="003228CA">
        <w:t xml:space="preserve">nvironmental </w:t>
      </w:r>
      <w:r>
        <w:t>assets and social f</w:t>
      </w:r>
      <w:r w:rsidRPr="003228CA">
        <w:t>actors</w:t>
      </w:r>
    </w:p>
    <w:p w14:paraId="1B3B4D47" w14:textId="77777777" w:rsidR="00524398" w:rsidRDefault="00524398" w:rsidP="00524398">
      <w:pPr>
        <w:pStyle w:val="FiguresImagesCentred"/>
      </w:pPr>
      <w:bookmarkStart w:id="28" w:name="_GoBack"/>
      <w:r>
        <w:rPr>
          <w:noProof/>
        </w:rPr>
        <w:lastRenderedPageBreak/>
        <w:drawing>
          <wp:inline distT="0" distB="0" distL="0" distR="0" wp14:anchorId="53FB56F6" wp14:editId="726274DF">
            <wp:extent cx="8881200" cy="12564079"/>
            <wp:effectExtent l="0" t="0" r="0"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8881200" cy="12564079"/>
                    </a:xfrm>
                    <a:prstGeom prst="rect">
                      <a:avLst/>
                    </a:prstGeom>
                    <a:noFill/>
                    <a:ln>
                      <a:noFill/>
                    </a:ln>
                  </pic:spPr>
                </pic:pic>
              </a:graphicData>
            </a:graphic>
          </wp:inline>
        </w:drawing>
      </w:r>
      <w:bookmarkEnd w:id="28"/>
    </w:p>
    <w:p w14:paraId="4D104DB8" w14:textId="77777777" w:rsidR="00524398" w:rsidRDefault="00524398" w:rsidP="009F3E8F">
      <w:pPr>
        <w:pStyle w:val="Caption"/>
      </w:pPr>
      <w:bookmarkStart w:id="29" w:name="_Toc508972053"/>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w:instrText>
      </w:r>
      <w:r w:rsidR="008079F1">
        <w:instrText xml:space="preserve">Figure \* ARABIC \s 9 </w:instrText>
      </w:r>
      <w:r w:rsidR="008079F1">
        <w:fldChar w:fldCharType="separate"/>
      </w:r>
      <w:r w:rsidR="00640CCB">
        <w:rPr>
          <w:noProof/>
        </w:rPr>
        <w:t>1</w:t>
      </w:r>
      <w:r w:rsidR="008079F1">
        <w:rPr>
          <w:noProof/>
        </w:rPr>
        <w:fldChar w:fldCharType="end"/>
      </w:r>
      <w:r>
        <w:rPr>
          <w:noProof/>
        </w:rPr>
        <w:t xml:space="preserve"> </w:t>
      </w:r>
      <w:r>
        <w:t>Classification of principal aquifer types from the national hydrogeology map (Jacobson and Lau, 1987).</w:t>
      </w:r>
      <w:bookmarkEnd w:id="29"/>
    </w:p>
    <w:p w14:paraId="05827D24" w14:textId="77777777" w:rsidR="00524398" w:rsidRDefault="00524398" w:rsidP="00524398">
      <w:pPr>
        <w:pStyle w:val="FiguresImagesCentred"/>
      </w:pPr>
      <w:r>
        <w:rPr>
          <w:noProof/>
        </w:rPr>
        <w:lastRenderedPageBreak/>
        <w:drawing>
          <wp:inline distT="0" distB="0" distL="0" distR="0" wp14:anchorId="098C9C9D" wp14:editId="7260F33F">
            <wp:extent cx="8881200" cy="12564000"/>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8881200" cy="12564000"/>
                    </a:xfrm>
                    <a:prstGeom prst="rect">
                      <a:avLst/>
                    </a:prstGeom>
                    <a:noFill/>
                    <a:ln>
                      <a:noFill/>
                    </a:ln>
                  </pic:spPr>
                </pic:pic>
              </a:graphicData>
            </a:graphic>
          </wp:inline>
        </w:drawing>
      </w:r>
    </w:p>
    <w:p w14:paraId="7A0773C4" w14:textId="77777777" w:rsidR="00524398" w:rsidRDefault="00524398" w:rsidP="009F3E8F">
      <w:pPr>
        <w:pStyle w:val="Caption"/>
      </w:pPr>
      <w:bookmarkStart w:id="30" w:name="_Toc508972054"/>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2</w:t>
      </w:r>
      <w:r w:rsidR="008079F1">
        <w:rPr>
          <w:noProof/>
        </w:rPr>
        <w:fldChar w:fldCharType="end"/>
      </w:r>
      <w:r>
        <w:rPr>
          <w:noProof/>
        </w:rPr>
        <w:t xml:space="preserve"> </w:t>
      </w:r>
      <w:r>
        <w:t>Depth of groundwater bores in the basins analysed, derived from the National Groundwater Information System (BOM, 2016).</w:t>
      </w:r>
      <w:bookmarkEnd w:id="30"/>
    </w:p>
    <w:p w14:paraId="0AF10E0F" w14:textId="77777777" w:rsidR="00524398" w:rsidRDefault="00524398" w:rsidP="00524398">
      <w:pPr>
        <w:pStyle w:val="FiguresImagesCentred"/>
      </w:pPr>
      <w:r>
        <w:rPr>
          <w:noProof/>
        </w:rPr>
        <w:lastRenderedPageBreak/>
        <w:drawing>
          <wp:inline distT="0" distB="0" distL="0" distR="0" wp14:anchorId="0C60AB48" wp14:editId="73979224">
            <wp:extent cx="8881200" cy="12564079"/>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8881200" cy="12564079"/>
                    </a:xfrm>
                    <a:prstGeom prst="rect">
                      <a:avLst/>
                    </a:prstGeom>
                    <a:noFill/>
                    <a:ln>
                      <a:noFill/>
                    </a:ln>
                  </pic:spPr>
                </pic:pic>
              </a:graphicData>
            </a:graphic>
          </wp:inline>
        </w:drawing>
      </w:r>
    </w:p>
    <w:p w14:paraId="5CB4FF7C" w14:textId="77777777" w:rsidR="00524398" w:rsidRPr="00744B8D" w:rsidRDefault="00524398" w:rsidP="009F3E8F">
      <w:pPr>
        <w:pStyle w:val="Caption"/>
      </w:pPr>
      <w:bookmarkStart w:id="31" w:name="_Toc508972055"/>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3</w:t>
      </w:r>
      <w:r w:rsidR="008079F1">
        <w:rPr>
          <w:noProof/>
        </w:rPr>
        <w:fldChar w:fldCharType="end"/>
      </w:r>
      <w:r>
        <w:rPr>
          <w:noProof/>
        </w:rPr>
        <w:t xml:space="preserve"> </w:t>
      </w:r>
      <w:r>
        <w:t>Estimated salinity values, expressed as total dissolved solids (mg/L) for groundwater bores in the National Groundwater Information System (BoM, 2016).</w:t>
      </w:r>
      <w:bookmarkEnd w:id="31"/>
    </w:p>
    <w:p w14:paraId="26BA0E11" w14:textId="77777777" w:rsidR="00524398" w:rsidRDefault="00524398" w:rsidP="00524398">
      <w:pPr>
        <w:pStyle w:val="FiguresImagesCentred"/>
      </w:pPr>
      <w:r>
        <w:rPr>
          <w:noProof/>
        </w:rPr>
        <w:lastRenderedPageBreak/>
        <w:drawing>
          <wp:inline distT="0" distB="0" distL="0" distR="0" wp14:anchorId="18CE56A2" wp14:editId="3EDE3960">
            <wp:extent cx="8881200" cy="12564000"/>
            <wp:effectExtent l="0" t="0" r="0"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8881200" cy="12564000"/>
                    </a:xfrm>
                    <a:prstGeom prst="rect">
                      <a:avLst/>
                    </a:prstGeom>
                    <a:noFill/>
                    <a:ln>
                      <a:noFill/>
                    </a:ln>
                  </pic:spPr>
                </pic:pic>
              </a:graphicData>
            </a:graphic>
          </wp:inline>
        </w:drawing>
      </w:r>
    </w:p>
    <w:p w14:paraId="4ABA69BB" w14:textId="77777777" w:rsidR="00524398" w:rsidRPr="00744B8D" w:rsidRDefault="00524398" w:rsidP="009F3E8F">
      <w:pPr>
        <w:pStyle w:val="Caption"/>
      </w:pPr>
      <w:bookmarkStart w:id="32" w:name="_Toc508972056"/>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w:t>
      </w:r>
      <w:r w:rsidR="008079F1">
        <w:rPr>
          <w:noProof/>
        </w:rPr>
        <w:fldChar w:fldCharType="end"/>
      </w:r>
      <w:r>
        <w:rPr>
          <w:noProof/>
        </w:rPr>
        <w:t xml:space="preserve"> </w:t>
      </w:r>
      <w:r>
        <w:t>Density of groundwater bores found in the National Groundwater Information System, as displayed in Australian Groundwater Insight (BOM, 2015).</w:t>
      </w:r>
      <w:bookmarkEnd w:id="32"/>
    </w:p>
    <w:p w14:paraId="6C7716AE" w14:textId="77777777" w:rsidR="00524398" w:rsidRDefault="00524398" w:rsidP="00524398">
      <w:pPr>
        <w:pStyle w:val="FiguresImagesCentred"/>
      </w:pPr>
      <w:r>
        <w:rPr>
          <w:noProof/>
        </w:rPr>
        <w:lastRenderedPageBreak/>
        <w:drawing>
          <wp:inline distT="0" distB="0" distL="0" distR="0" wp14:anchorId="6E4BFE60" wp14:editId="746A954B">
            <wp:extent cx="8881200" cy="12564000"/>
            <wp:effectExtent l="0" t="0" r="0" b="952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8881200" cy="12564000"/>
                    </a:xfrm>
                    <a:prstGeom prst="rect">
                      <a:avLst/>
                    </a:prstGeom>
                    <a:noFill/>
                    <a:ln>
                      <a:noFill/>
                    </a:ln>
                  </pic:spPr>
                </pic:pic>
              </a:graphicData>
            </a:graphic>
          </wp:inline>
        </w:drawing>
      </w:r>
    </w:p>
    <w:p w14:paraId="2FADF2B2" w14:textId="77777777" w:rsidR="00524398" w:rsidRPr="00744B8D" w:rsidRDefault="00524398" w:rsidP="009F3E8F">
      <w:pPr>
        <w:pStyle w:val="Caption"/>
      </w:pPr>
      <w:bookmarkStart w:id="33" w:name="_Toc508972057"/>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w:t>
      </w:r>
      <w:r w:rsidR="008079F1">
        <w:rPr>
          <w:noProof/>
        </w:rPr>
        <w:fldChar w:fldCharType="end"/>
      </w:r>
      <w:r>
        <w:rPr>
          <w:noProof/>
        </w:rPr>
        <w:t xml:space="preserve"> </w:t>
      </w:r>
      <w:r>
        <w:t>Location of internationally important (Ramsar-listed) wetlands and nationally important wetlands (Directory of Important Wetlands in Australia) found within the extents of each basin area (DoEE, 2016a; DoEE, 2010).</w:t>
      </w:r>
      <w:bookmarkEnd w:id="33"/>
    </w:p>
    <w:p w14:paraId="3F445647" w14:textId="77777777" w:rsidR="00524398" w:rsidRDefault="00524398" w:rsidP="00524398">
      <w:pPr>
        <w:pStyle w:val="FiguresImagesCentred"/>
      </w:pPr>
      <w:r>
        <w:rPr>
          <w:noProof/>
        </w:rPr>
        <w:lastRenderedPageBreak/>
        <w:drawing>
          <wp:inline distT="0" distB="0" distL="0" distR="0" wp14:anchorId="37EE5828" wp14:editId="4DB8BE63">
            <wp:extent cx="8881200" cy="125604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8881200" cy="12560400"/>
                    </a:xfrm>
                    <a:prstGeom prst="rect">
                      <a:avLst/>
                    </a:prstGeom>
                    <a:noFill/>
                    <a:ln>
                      <a:noFill/>
                    </a:ln>
                  </pic:spPr>
                </pic:pic>
              </a:graphicData>
            </a:graphic>
          </wp:inline>
        </w:drawing>
      </w:r>
    </w:p>
    <w:p w14:paraId="3BAEC3CD" w14:textId="77777777" w:rsidR="00524398" w:rsidRPr="000F1F25" w:rsidRDefault="00524398" w:rsidP="009F3E8F">
      <w:pPr>
        <w:pStyle w:val="Caption"/>
      </w:pPr>
      <w:bookmarkStart w:id="34" w:name="_Toc508972058"/>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6</w:t>
      </w:r>
      <w:r w:rsidR="008079F1">
        <w:rPr>
          <w:noProof/>
        </w:rPr>
        <w:fldChar w:fldCharType="end"/>
      </w:r>
      <w:r>
        <w:rPr>
          <w:noProof/>
        </w:rPr>
        <w:t xml:space="preserve"> </w:t>
      </w:r>
      <w:r>
        <w:t>Geographic extent of areas with at least a moderate potential for groundwater-dependent ecosystems, as found in the Groundwater Dependent Ecosystem Atlas (BOM, 2017).</w:t>
      </w:r>
      <w:bookmarkEnd w:id="34"/>
    </w:p>
    <w:p w14:paraId="3A9A596D" w14:textId="77777777" w:rsidR="00524398" w:rsidRDefault="00524398" w:rsidP="00524398">
      <w:pPr>
        <w:pStyle w:val="FiguresImagesCentred"/>
      </w:pPr>
      <w:r>
        <w:rPr>
          <w:noProof/>
        </w:rPr>
        <w:lastRenderedPageBreak/>
        <w:drawing>
          <wp:inline distT="0" distB="0" distL="0" distR="0" wp14:anchorId="436CBD39" wp14:editId="3DA404B4">
            <wp:extent cx="8881200" cy="12564000"/>
            <wp:effectExtent l="0" t="0" r="0" b="9525"/>
            <wp:docPr id="7232" name="Picture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8881200" cy="12564000"/>
                    </a:xfrm>
                    <a:prstGeom prst="rect">
                      <a:avLst/>
                    </a:prstGeom>
                    <a:noFill/>
                    <a:ln>
                      <a:noFill/>
                    </a:ln>
                  </pic:spPr>
                </pic:pic>
              </a:graphicData>
            </a:graphic>
          </wp:inline>
        </w:drawing>
      </w:r>
    </w:p>
    <w:p w14:paraId="4E658F27" w14:textId="77777777" w:rsidR="00524398" w:rsidRPr="000F1F25" w:rsidRDefault="00524398" w:rsidP="009F3E8F">
      <w:pPr>
        <w:pStyle w:val="Caption"/>
      </w:pPr>
      <w:bookmarkStart w:id="35" w:name="_Toc508972059"/>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7</w:t>
      </w:r>
      <w:r w:rsidR="008079F1">
        <w:rPr>
          <w:noProof/>
        </w:rPr>
        <w:fldChar w:fldCharType="end"/>
      </w:r>
      <w:r>
        <w:rPr>
          <w:noProof/>
        </w:rPr>
        <w:t xml:space="preserve"> </w:t>
      </w:r>
      <w:r>
        <w:t>Extent of protected areas and reserves found in the Collaborative Australian Protected Area Database (DoEE, 2016b).</w:t>
      </w:r>
      <w:bookmarkEnd w:id="35"/>
    </w:p>
    <w:p w14:paraId="29319BDE" w14:textId="77777777" w:rsidR="00524398" w:rsidRDefault="00524398" w:rsidP="00524398">
      <w:pPr>
        <w:pStyle w:val="FiguresImagesCentred"/>
      </w:pPr>
      <w:r>
        <w:rPr>
          <w:noProof/>
        </w:rPr>
        <w:lastRenderedPageBreak/>
        <w:drawing>
          <wp:inline distT="0" distB="0" distL="0" distR="0" wp14:anchorId="585554CA" wp14:editId="5CA2BCB2">
            <wp:extent cx="8881200" cy="12564079"/>
            <wp:effectExtent l="0" t="0" r="0" b="9525"/>
            <wp:docPr id="7233" name="Picture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8881200" cy="12564079"/>
                    </a:xfrm>
                    <a:prstGeom prst="rect">
                      <a:avLst/>
                    </a:prstGeom>
                    <a:noFill/>
                    <a:ln>
                      <a:noFill/>
                    </a:ln>
                  </pic:spPr>
                </pic:pic>
              </a:graphicData>
            </a:graphic>
          </wp:inline>
        </w:drawing>
      </w:r>
    </w:p>
    <w:p w14:paraId="6F355F2C" w14:textId="77777777" w:rsidR="00524398" w:rsidRPr="000F1F25" w:rsidRDefault="00524398" w:rsidP="009F3E8F">
      <w:pPr>
        <w:pStyle w:val="Caption"/>
      </w:pPr>
      <w:bookmarkStart w:id="36" w:name="_Toc508972060"/>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8</w:t>
      </w:r>
      <w:r w:rsidR="008079F1">
        <w:rPr>
          <w:noProof/>
        </w:rPr>
        <w:fldChar w:fldCharType="end"/>
      </w:r>
      <w:r>
        <w:rPr>
          <w:noProof/>
        </w:rPr>
        <w:t xml:space="preserve"> </w:t>
      </w:r>
      <w:r>
        <w:t>Extent of areas identified as Indigenous Protected Area in the Collaborative Australian Protected Area Database, and areas where Native Title has been determined to exist (DoEE, 2016b; NNTT, 2017a).</w:t>
      </w:r>
      <w:bookmarkEnd w:id="36"/>
    </w:p>
    <w:p w14:paraId="6D911EC8" w14:textId="77777777" w:rsidR="00524398" w:rsidRDefault="00524398" w:rsidP="00524398">
      <w:pPr>
        <w:pStyle w:val="FiguresImagesCentred"/>
      </w:pPr>
      <w:r>
        <w:rPr>
          <w:noProof/>
        </w:rPr>
        <w:lastRenderedPageBreak/>
        <w:drawing>
          <wp:inline distT="0" distB="0" distL="0" distR="0" wp14:anchorId="6A2DE768" wp14:editId="7E136C73">
            <wp:extent cx="8881200" cy="12602846"/>
            <wp:effectExtent l="0" t="0" r="0" b="8255"/>
            <wp:docPr id="7234" name="Picture 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8881200" cy="12602846"/>
                    </a:xfrm>
                    <a:prstGeom prst="rect">
                      <a:avLst/>
                    </a:prstGeom>
                    <a:noFill/>
                    <a:ln>
                      <a:noFill/>
                    </a:ln>
                  </pic:spPr>
                </pic:pic>
              </a:graphicData>
            </a:graphic>
          </wp:inline>
        </w:drawing>
      </w:r>
    </w:p>
    <w:p w14:paraId="7356CBF9" w14:textId="77777777" w:rsidR="00524398" w:rsidRPr="000F1F25" w:rsidRDefault="00524398" w:rsidP="009F3E8F">
      <w:pPr>
        <w:pStyle w:val="Caption"/>
      </w:pPr>
      <w:bookmarkStart w:id="37" w:name="_Toc508972061"/>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9</w:t>
      </w:r>
      <w:r w:rsidR="008079F1">
        <w:rPr>
          <w:noProof/>
        </w:rPr>
        <w:fldChar w:fldCharType="end"/>
      </w:r>
      <w:r>
        <w:rPr>
          <w:noProof/>
        </w:rPr>
        <w:t xml:space="preserve"> </w:t>
      </w:r>
      <w:r>
        <w:t>Distribution of population, expressed as a population density of people per square kilometre in the Australian Population Grid (ABS, 2016).</w:t>
      </w:r>
      <w:bookmarkEnd w:id="37"/>
    </w:p>
    <w:p w14:paraId="63DC1042" w14:textId="77777777" w:rsidR="00524398" w:rsidRDefault="00524398" w:rsidP="00524398">
      <w:pPr>
        <w:pStyle w:val="FiguresImagesCentred"/>
      </w:pPr>
      <w:r>
        <w:rPr>
          <w:noProof/>
        </w:rPr>
        <w:lastRenderedPageBreak/>
        <w:drawing>
          <wp:inline distT="0" distB="0" distL="0" distR="0" wp14:anchorId="4A3478A7" wp14:editId="5A0588B1">
            <wp:extent cx="8881200" cy="12564079"/>
            <wp:effectExtent l="0" t="0" r="0" b="9525"/>
            <wp:docPr id="7235" name="Picture 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8881200" cy="12564079"/>
                    </a:xfrm>
                    <a:prstGeom prst="rect">
                      <a:avLst/>
                    </a:prstGeom>
                    <a:noFill/>
                    <a:ln>
                      <a:noFill/>
                    </a:ln>
                  </pic:spPr>
                </pic:pic>
              </a:graphicData>
            </a:graphic>
          </wp:inline>
        </w:drawing>
      </w:r>
    </w:p>
    <w:p w14:paraId="0C68971C" w14:textId="77777777" w:rsidR="00524398" w:rsidRPr="000F1F25" w:rsidRDefault="00524398" w:rsidP="009F3E8F">
      <w:pPr>
        <w:pStyle w:val="Caption"/>
      </w:pPr>
      <w:bookmarkStart w:id="38" w:name="_Toc508972062"/>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10</w:t>
      </w:r>
      <w:r w:rsidR="008079F1">
        <w:rPr>
          <w:noProof/>
        </w:rPr>
        <w:fldChar w:fldCharType="end"/>
      </w:r>
      <w:r>
        <w:rPr>
          <w:noProof/>
        </w:rPr>
        <w:t xml:space="preserve"> </w:t>
      </w:r>
      <w:r>
        <w:t>Land use types as identified in the Catchment-scale Land Use Mapping of Australia dataset (ABARES, 2016).</w:t>
      </w:r>
      <w:bookmarkEnd w:id="38"/>
    </w:p>
    <w:p w14:paraId="2379CC90" w14:textId="77DFF2C3" w:rsidR="00524398" w:rsidRDefault="00524398" w:rsidP="00524398">
      <w:pPr>
        <w:pStyle w:val="FiguresImagesCentred"/>
      </w:pPr>
    </w:p>
    <w:p w14:paraId="0B3D21D4" w14:textId="65711AF3" w:rsidR="00524398" w:rsidRDefault="00524398" w:rsidP="00524398">
      <w:pPr>
        <w:pStyle w:val="FiguresImagesCentred"/>
      </w:pPr>
    </w:p>
    <w:p w14:paraId="43477F15" w14:textId="24E916CF" w:rsidR="00524398" w:rsidRDefault="00524398" w:rsidP="009F3E8F">
      <w:pPr>
        <w:pStyle w:val="Caption"/>
      </w:pPr>
    </w:p>
    <w:p w14:paraId="28E323E5" w14:textId="1D1CCC08" w:rsidR="00524398" w:rsidRDefault="00524398" w:rsidP="00524398">
      <w:pPr>
        <w:pStyle w:val="FiguresImagesCentred"/>
      </w:pPr>
    </w:p>
    <w:p w14:paraId="5F5F1103" w14:textId="77777777" w:rsidR="00524398" w:rsidRDefault="00524398" w:rsidP="00524398">
      <w:pPr>
        <w:pStyle w:val="FiguresImagesCentred"/>
      </w:pPr>
      <w:r w:rsidRPr="00BC3DE1">
        <w:rPr>
          <w:noProof/>
        </w:rPr>
        <w:drawing>
          <wp:inline distT="0" distB="0" distL="0" distR="0" wp14:anchorId="54CD1576" wp14:editId="5ABD2283">
            <wp:extent cx="6391745" cy="6012000"/>
            <wp:effectExtent l="0" t="0" r="0" b="8255"/>
            <wp:docPr id="7239" name="Picture 7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6391745" cy="6012000"/>
                    </a:xfrm>
                    <a:prstGeom prst="rect">
                      <a:avLst/>
                    </a:prstGeom>
                    <a:noFill/>
                    <a:ln>
                      <a:noFill/>
                    </a:ln>
                  </pic:spPr>
                </pic:pic>
              </a:graphicData>
            </a:graphic>
          </wp:inline>
        </w:drawing>
      </w:r>
    </w:p>
    <w:p w14:paraId="5D1C9BCC" w14:textId="77777777" w:rsidR="00524398" w:rsidRPr="00BC3DE1" w:rsidRDefault="00524398" w:rsidP="009F3E8F">
      <w:pPr>
        <w:pStyle w:val="Caption"/>
      </w:pPr>
      <w:bookmarkStart w:id="39" w:name="_Toc508972063"/>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11</w:t>
      </w:r>
      <w:r w:rsidR="008079F1">
        <w:rPr>
          <w:noProof/>
        </w:rPr>
        <w:fldChar w:fldCharType="end"/>
      </w:r>
      <w:r>
        <w:rPr>
          <w:noProof/>
        </w:rPr>
        <w:t xml:space="preserve"> </w:t>
      </w:r>
      <w:r w:rsidRPr="00BC3DE1">
        <w:t>Surface water systems, including catchments, major rivers and their perenniality, overlying the Amadeus Basin (BOM</w:t>
      </w:r>
      <w:r>
        <w:t>,</w:t>
      </w:r>
      <w:r w:rsidRPr="00BC3DE1">
        <w:t xml:space="preserve"> 2014)</w:t>
      </w:r>
      <w:r>
        <w:t>.</w:t>
      </w:r>
      <w:bookmarkEnd w:id="39"/>
    </w:p>
    <w:p w14:paraId="2D91B6AE" w14:textId="77777777" w:rsidR="00524398" w:rsidRDefault="00524398" w:rsidP="00524398">
      <w:pPr>
        <w:pStyle w:val="FiguresImagesCentred"/>
      </w:pPr>
      <w:r w:rsidRPr="00BC3DE1">
        <w:rPr>
          <w:noProof/>
        </w:rPr>
        <w:lastRenderedPageBreak/>
        <w:drawing>
          <wp:inline distT="0" distB="0" distL="0" distR="0" wp14:anchorId="24E1E2D8" wp14:editId="08C8377D">
            <wp:extent cx="6391745" cy="6012000"/>
            <wp:effectExtent l="0" t="0" r="0" b="8255"/>
            <wp:docPr id="7240" name="Picture 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6391745" cy="6012000"/>
                    </a:xfrm>
                    <a:prstGeom prst="rect">
                      <a:avLst/>
                    </a:prstGeom>
                    <a:noFill/>
                    <a:ln>
                      <a:noFill/>
                    </a:ln>
                  </pic:spPr>
                </pic:pic>
              </a:graphicData>
            </a:graphic>
          </wp:inline>
        </w:drawing>
      </w:r>
    </w:p>
    <w:p w14:paraId="4A19F552" w14:textId="77777777" w:rsidR="00524398" w:rsidRPr="00BC3DE1" w:rsidRDefault="00524398" w:rsidP="009F3E8F">
      <w:pPr>
        <w:pStyle w:val="Caption"/>
      </w:pPr>
      <w:bookmarkStart w:id="40" w:name="_Toc508972064"/>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12</w:t>
      </w:r>
      <w:r w:rsidR="008079F1">
        <w:rPr>
          <w:noProof/>
        </w:rPr>
        <w:fldChar w:fldCharType="end"/>
      </w:r>
      <w:r>
        <w:rPr>
          <w:noProof/>
        </w:rPr>
        <w:t xml:space="preserve"> </w:t>
      </w:r>
      <w:r w:rsidRPr="00BC3DE1">
        <w:t>Surface water systems, including catchments, major rivers and their perenniality, overlying the Bowen Basin (BOM</w:t>
      </w:r>
      <w:r>
        <w:t>,</w:t>
      </w:r>
      <w:r w:rsidRPr="00BC3DE1">
        <w:t xml:space="preserve"> 2014)</w:t>
      </w:r>
      <w:r>
        <w:t>.</w:t>
      </w:r>
      <w:bookmarkEnd w:id="40"/>
    </w:p>
    <w:p w14:paraId="60E528E6" w14:textId="77777777" w:rsidR="00524398" w:rsidRDefault="00524398" w:rsidP="00524398">
      <w:pPr>
        <w:pStyle w:val="FiguresImagesCentred"/>
      </w:pPr>
      <w:r>
        <w:rPr>
          <w:noProof/>
        </w:rPr>
        <w:drawing>
          <wp:inline distT="0" distB="0" distL="0" distR="0" wp14:anchorId="040560AC" wp14:editId="5D5A6B0B">
            <wp:extent cx="6418800" cy="6012000"/>
            <wp:effectExtent l="0" t="0" r="1270" b="8255"/>
            <wp:docPr id="7241" name="Picture 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6418800" cy="6012000"/>
                    </a:xfrm>
                    <a:prstGeom prst="rect">
                      <a:avLst/>
                    </a:prstGeom>
                    <a:noFill/>
                    <a:ln>
                      <a:noFill/>
                    </a:ln>
                  </pic:spPr>
                </pic:pic>
              </a:graphicData>
            </a:graphic>
          </wp:inline>
        </w:drawing>
      </w:r>
    </w:p>
    <w:p w14:paraId="525EDECA" w14:textId="77777777" w:rsidR="00524398" w:rsidRPr="00BC3DE1" w:rsidRDefault="00524398" w:rsidP="009F3E8F">
      <w:pPr>
        <w:pStyle w:val="Caption"/>
      </w:pPr>
      <w:bookmarkStart w:id="41" w:name="_Toc508972065"/>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13</w:t>
      </w:r>
      <w:r w:rsidR="008079F1">
        <w:rPr>
          <w:noProof/>
        </w:rPr>
        <w:fldChar w:fldCharType="end"/>
      </w:r>
      <w:r>
        <w:rPr>
          <w:noProof/>
        </w:rPr>
        <w:t xml:space="preserve"> </w:t>
      </w:r>
      <w:r w:rsidRPr="00BC3DE1">
        <w:t>Surface water systems, including catchments, major rivers and their perenniality, overlying the Clarence-Moreton Basin (BOM</w:t>
      </w:r>
      <w:r>
        <w:t>,</w:t>
      </w:r>
      <w:r w:rsidRPr="00BC3DE1">
        <w:t xml:space="preserve"> 2014)</w:t>
      </w:r>
      <w:r>
        <w:t>.</w:t>
      </w:r>
      <w:bookmarkEnd w:id="41"/>
    </w:p>
    <w:p w14:paraId="1C95C00E" w14:textId="77777777" w:rsidR="00524398" w:rsidRDefault="00524398" w:rsidP="00524398">
      <w:pPr>
        <w:pStyle w:val="FiguresImagesCentred"/>
      </w:pPr>
      <w:r>
        <w:rPr>
          <w:noProof/>
        </w:rPr>
        <w:lastRenderedPageBreak/>
        <w:drawing>
          <wp:inline distT="0" distB="0" distL="0" distR="0" wp14:anchorId="70C9668D" wp14:editId="79701C17">
            <wp:extent cx="6418800" cy="6012000"/>
            <wp:effectExtent l="0" t="0" r="1270" b="8255"/>
            <wp:docPr id="7242" name="Picture 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6418800" cy="6012000"/>
                    </a:xfrm>
                    <a:prstGeom prst="rect">
                      <a:avLst/>
                    </a:prstGeom>
                    <a:noFill/>
                    <a:ln>
                      <a:noFill/>
                    </a:ln>
                  </pic:spPr>
                </pic:pic>
              </a:graphicData>
            </a:graphic>
          </wp:inline>
        </w:drawing>
      </w:r>
    </w:p>
    <w:p w14:paraId="37F5964E" w14:textId="77777777" w:rsidR="00524398" w:rsidRPr="00BC3DE1" w:rsidRDefault="00524398" w:rsidP="009F3E8F">
      <w:pPr>
        <w:pStyle w:val="Caption"/>
      </w:pPr>
      <w:bookmarkStart w:id="42" w:name="_Toc508972066"/>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14</w:t>
      </w:r>
      <w:r w:rsidR="008079F1">
        <w:rPr>
          <w:noProof/>
        </w:rPr>
        <w:fldChar w:fldCharType="end"/>
      </w:r>
      <w:r>
        <w:rPr>
          <w:noProof/>
        </w:rPr>
        <w:t xml:space="preserve"> </w:t>
      </w:r>
      <w:r w:rsidRPr="00BC3DE1">
        <w:t>Surface water systems, including catchments, major rivers and their perenniality, overlying the Cooper Basin (BOM</w:t>
      </w:r>
      <w:r>
        <w:t>,</w:t>
      </w:r>
      <w:r w:rsidRPr="00BC3DE1">
        <w:t xml:space="preserve"> 2014)</w:t>
      </w:r>
      <w:r>
        <w:t>.</w:t>
      </w:r>
      <w:bookmarkEnd w:id="42"/>
    </w:p>
    <w:p w14:paraId="6393F12C" w14:textId="77777777" w:rsidR="00524398" w:rsidRDefault="00524398" w:rsidP="00524398">
      <w:pPr>
        <w:pStyle w:val="FiguresImagesCentred"/>
      </w:pPr>
      <w:r w:rsidRPr="00BC3DE1">
        <w:rPr>
          <w:noProof/>
        </w:rPr>
        <w:drawing>
          <wp:inline distT="0" distB="0" distL="0" distR="0" wp14:anchorId="5CF29BB6" wp14:editId="624C6A9C">
            <wp:extent cx="6379200" cy="6012000"/>
            <wp:effectExtent l="0" t="0" r="3175" b="8255"/>
            <wp:docPr id="7243" name="Picture 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6379200" cy="6012000"/>
                    </a:xfrm>
                    <a:prstGeom prst="rect">
                      <a:avLst/>
                    </a:prstGeom>
                    <a:noFill/>
                    <a:ln>
                      <a:noFill/>
                    </a:ln>
                  </pic:spPr>
                </pic:pic>
              </a:graphicData>
            </a:graphic>
          </wp:inline>
        </w:drawing>
      </w:r>
    </w:p>
    <w:p w14:paraId="3D97FFB9" w14:textId="77777777" w:rsidR="00524398" w:rsidRPr="00BC3DE1" w:rsidRDefault="00524398" w:rsidP="009F3E8F">
      <w:pPr>
        <w:pStyle w:val="Caption"/>
      </w:pPr>
      <w:bookmarkStart w:id="43" w:name="_Toc508972067"/>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15</w:t>
      </w:r>
      <w:r w:rsidR="008079F1">
        <w:rPr>
          <w:noProof/>
        </w:rPr>
        <w:fldChar w:fldCharType="end"/>
      </w:r>
      <w:r>
        <w:rPr>
          <w:noProof/>
        </w:rPr>
        <w:t xml:space="preserve"> </w:t>
      </w:r>
      <w:r w:rsidRPr="00BC3DE1">
        <w:t>Surface water systems, including catchments, major rivers and their perenniality, overlying the Georgina Basin (BOM</w:t>
      </w:r>
      <w:r>
        <w:t>,</w:t>
      </w:r>
      <w:r w:rsidRPr="00BC3DE1">
        <w:t xml:space="preserve"> 2014)</w:t>
      </w:r>
      <w:r>
        <w:t>.</w:t>
      </w:r>
      <w:bookmarkEnd w:id="43"/>
    </w:p>
    <w:p w14:paraId="0B3A34C7" w14:textId="77777777" w:rsidR="00524398" w:rsidRDefault="00524398" w:rsidP="00524398">
      <w:pPr>
        <w:pStyle w:val="FiguresImagesCentred"/>
      </w:pPr>
      <w:r>
        <w:rPr>
          <w:noProof/>
        </w:rPr>
        <w:lastRenderedPageBreak/>
        <w:drawing>
          <wp:inline distT="0" distB="0" distL="0" distR="0" wp14:anchorId="28A2C62E" wp14:editId="07998E95">
            <wp:extent cx="6397200" cy="6012000"/>
            <wp:effectExtent l="0" t="0" r="3810" b="8255"/>
            <wp:docPr id="7244" name="Picture 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6397200" cy="6012000"/>
                    </a:xfrm>
                    <a:prstGeom prst="rect">
                      <a:avLst/>
                    </a:prstGeom>
                    <a:noFill/>
                    <a:ln>
                      <a:noFill/>
                    </a:ln>
                  </pic:spPr>
                </pic:pic>
              </a:graphicData>
            </a:graphic>
          </wp:inline>
        </w:drawing>
      </w:r>
    </w:p>
    <w:p w14:paraId="53075E3B" w14:textId="77777777" w:rsidR="00524398" w:rsidRPr="00BC3DE1" w:rsidRDefault="00524398" w:rsidP="009F3E8F">
      <w:pPr>
        <w:pStyle w:val="Caption"/>
      </w:pPr>
      <w:bookmarkStart w:id="44" w:name="_Toc508972068"/>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w:instrText>
      </w:r>
      <w:r w:rsidR="008079F1">
        <w:instrText xml:space="preserve">Q Apx_Figure \* ARABIC \s 9 </w:instrText>
      </w:r>
      <w:r w:rsidR="008079F1">
        <w:fldChar w:fldCharType="separate"/>
      </w:r>
      <w:r w:rsidR="00640CCB">
        <w:rPr>
          <w:noProof/>
        </w:rPr>
        <w:t>16</w:t>
      </w:r>
      <w:r w:rsidR="008079F1">
        <w:rPr>
          <w:noProof/>
        </w:rPr>
        <w:fldChar w:fldCharType="end"/>
      </w:r>
      <w:r>
        <w:rPr>
          <w:noProof/>
        </w:rPr>
        <w:t xml:space="preserve"> </w:t>
      </w:r>
      <w:r w:rsidRPr="00BC3DE1">
        <w:t>Surface water systems, including catchments, major rivers and their perenniality, overlying the Gippsland Basin (BOM</w:t>
      </w:r>
      <w:r>
        <w:t>,</w:t>
      </w:r>
      <w:r w:rsidRPr="00BC3DE1">
        <w:t xml:space="preserve"> 2014)</w:t>
      </w:r>
      <w:r>
        <w:t>.</w:t>
      </w:r>
      <w:bookmarkEnd w:id="44"/>
    </w:p>
    <w:p w14:paraId="5CB6D027" w14:textId="77777777" w:rsidR="00524398" w:rsidRDefault="00524398" w:rsidP="00524398">
      <w:pPr>
        <w:pStyle w:val="FiguresImagesCentred"/>
      </w:pPr>
      <w:r w:rsidRPr="00BC3DE1">
        <w:rPr>
          <w:noProof/>
        </w:rPr>
        <w:drawing>
          <wp:inline distT="0" distB="0" distL="0" distR="0" wp14:anchorId="28FFA2A0" wp14:editId="720EAC50">
            <wp:extent cx="6408000" cy="6012000"/>
            <wp:effectExtent l="0" t="0" r="0" b="8255"/>
            <wp:docPr id="7245" name="Picture 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6408000" cy="6012000"/>
                    </a:xfrm>
                    <a:prstGeom prst="rect">
                      <a:avLst/>
                    </a:prstGeom>
                    <a:noFill/>
                    <a:ln>
                      <a:noFill/>
                    </a:ln>
                  </pic:spPr>
                </pic:pic>
              </a:graphicData>
            </a:graphic>
          </wp:inline>
        </w:drawing>
      </w:r>
    </w:p>
    <w:p w14:paraId="6C5C5663" w14:textId="77777777" w:rsidR="00524398" w:rsidRPr="00BC3DE1" w:rsidRDefault="00524398" w:rsidP="009F3E8F">
      <w:pPr>
        <w:pStyle w:val="Caption"/>
      </w:pPr>
      <w:bookmarkStart w:id="45" w:name="_Toc508972069"/>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17</w:t>
      </w:r>
      <w:r w:rsidR="008079F1">
        <w:rPr>
          <w:noProof/>
        </w:rPr>
        <w:fldChar w:fldCharType="end"/>
      </w:r>
      <w:r>
        <w:rPr>
          <w:noProof/>
        </w:rPr>
        <w:t xml:space="preserve"> </w:t>
      </w:r>
      <w:r w:rsidRPr="00BC3DE1">
        <w:t>Surface water systems, including catchments, major rivers and their perenniality, overlying the McArthur Basin (BOM</w:t>
      </w:r>
      <w:r>
        <w:t>,</w:t>
      </w:r>
      <w:r w:rsidRPr="00BC3DE1">
        <w:t xml:space="preserve"> 2014)</w:t>
      </w:r>
      <w:r>
        <w:t>.</w:t>
      </w:r>
      <w:bookmarkEnd w:id="45"/>
    </w:p>
    <w:p w14:paraId="2D6AF539" w14:textId="77777777" w:rsidR="00524398" w:rsidRDefault="00524398" w:rsidP="00524398">
      <w:pPr>
        <w:pStyle w:val="FiguresImagesCentred"/>
      </w:pPr>
      <w:r w:rsidRPr="00BC3DE1">
        <w:rPr>
          <w:noProof/>
        </w:rPr>
        <w:lastRenderedPageBreak/>
        <w:drawing>
          <wp:inline distT="0" distB="0" distL="0" distR="0" wp14:anchorId="37F57140" wp14:editId="5E066536">
            <wp:extent cx="6393600" cy="6012000"/>
            <wp:effectExtent l="0" t="0" r="7620" b="8255"/>
            <wp:docPr id="7246" name="Picture 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6393600" cy="6012000"/>
                    </a:xfrm>
                    <a:prstGeom prst="rect">
                      <a:avLst/>
                    </a:prstGeom>
                    <a:noFill/>
                    <a:ln>
                      <a:noFill/>
                    </a:ln>
                  </pic:spPr>
                </pic:pic>
              </a:graphicData>
            </a:graphic>
          </wp:inline>
        </w:drawing>
      </w:r>
    </w:p>
    <w:p w14:paraId="7B4E5CB4" w14:textId="77777777" w:rsidR="00524398" w:rsidRPr="00BC3DE1" w:rsidRDefault="00524398" w:rsidP="009F3E8F">
      <w:pPr>
        <w:pStyle w:val="Caption"/>
      </w:pPr>
      <w:bookmarkStart w:id="46" w:name="_Toc508972070"/>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18</w:t>
      </w:r>
      <w:r w:rsidR="008079F1">
        <w:rPr>
          <w:noProof/>
        </w:rPr>
        <w:fldChar w:fldCharType="end"/>
      </w:r>
      <w:r>
        <w:rPr>
          <w:noProof/>
        </w:rPr>
        <w:t xml:space="preserve"> </w:t>
      </w:r>
      <w:r w:rsidRPr="00BC3DE1">
        <w:t>Surface water systems, including catchments, major rivers and their perenniality, overlying the Mount Isa Province, and therefore including the Isa Superbasin (BOM</w:t>
      </w:r>
      <w:r>
        <w:t>,</w:t>
      </w:r>
      <w:r w:rsidRPr="00BC3DE1">
        <w:t xml:space="preserve"> 2014)</w:t>
      </w:r>
      <w:r>
        <w:t>.</w:t>
      </w:r>
      <w:bookmarkEnd w:id="46"/>
    </w:p>
    <w:p w14:paraId="08474CCC" w14:textId="77777777" w:rsidR="00524398" w:rsidRDefault="00524398" w:rsidP="00524398">
      <w:pPr>
        <w:pStyle w:val="FiguresImagesCentred"/>
      </w:pPr>
      <w:r w:rsidRPr="00BC3DE1">
        <w:rPr>
          <w:noProof/>
        </w:rPr>
        <w:drawing>
          <wp:inline distT="0" distB="0" distL="0" distR="0" wp14:anchorId="3665B4F7" wp14:editId="76DC343B">
            <wp:extent cx="6501600" cy="6012000"/>
            <wp:effectExtent l="0" t="0" r="0" b="8255"/>
            <wp:docPr id="7247" name="Picture 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6501600" cy="6012000"/>
                    </a:xfrm>
                    <a:prstGeom prst="rect">
                      <a:avLst/>
                    </a:prstGeom>
                    <a:noFill/>
                    <a:ln>
                      <a:noFill/>
                    </a:ln>
                  </pic:spPr>
                </pic:pic>
              </a:graphicData>
            </a:graphic>
          </wp:inline>
        </w:drawing>
      </w:r>
    </w:p>
    <w:p w14:paraId="3259D4B3" w14:textId="77777777" w:rsidR="00524398" w:rsidRPr="00BC3DE1" w:rsidRDefault="00524398" w:rsidP="009F3E8F">
      <w:pPr>
        <w:pStyle w:val="Caption"/>
        <w:sectPr w:rsidR="00524398" w:rsidRPr="00BC3DE1" w:rsidSect="005E271C">
          <w:pgSz w:w="16839" w:h="23814" w:code="8"/>
          <w:pgMar w:top="1418" w:right="1418" w:bottom="1418" w:left="1418" w:header="510" w:footer="624" w:gutter="0"/>
          <w:cols w:space="720"/>
          <w:docGrid w:linePitch="326"/>
        </w:sectPr>
      </w:pPr>
      <w:bookmarkStart w:id="47" w:name="_Toc508972071"/>
      <w:r>
        <w:t xml:space="preserve">Figure </w:t>
      </w:r>
      <w:r w:rsidR="008079F1">
        <w:fldChar w:fldCharType="begin"/>
      </w:r>
      <w:r w:rsidR="008079F1">
        <w:instrText xml:space="preserve"> STYLEREF 9 \s </w:instrText>
      </w:r>
      <w:r w:rsidR="008079F1">
        <w:fldChar w:fldCharType="separate"/>
      </w:r>
      <w:r w:rsidR="00640CCB">
        <w:rPr>
          <w:noProof/>
        </w:rPr>
        <w:t>B</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19</w:t>
      </w:r>
      <w:r w:rsidR="008079F1">
        <w:rPr>
          <w:noProof/>
        </w:rPr>
        <w:fldChar w:fldCharType="end"/>
      </w:r>
      <w:r>
        <w:rPr>
          <w:noProof/>
        </w:rPr>
        <w:t xml:space="preserve"> </w:t>
      </w:r>
      <w:r w:rsidRPr="00BC3DE1">
        <w:t>Surface water systems, including catchments, major rivers and their perenniality, overlying the Otway Basin (BOM</w:t>
      </w:r>
      <w:r>
        <w:t>,</w:t>
      </w:r>
      <w:r w:rsidRPr="00BC3DE1">
        <w:t xml:space="preserve"> 2014)</w:t>
      </w:r>
      <w:r>
        <w:t>.</w:t>
      </w:r>
      <w:bookmarkEnd w:id="47"/>
    </w:p>
    <w:p w14:paraId="3B419F69" w14:textId="77777777" w:rsidR="00524398" w:rsidRPr="00E8799B" w:rsidRDefault="00524398" w:rsidP="00524398">
      <w:pPr>
        <w:pStyle w:val="Heading9"/>
      </w:pPr>
      <w:bookmarkStart w:id="48" w:name="_Toc517161114"/>
      <w:r w:rsidRPr="00E8799B">
        <w:lastRenderedPageBreak/>
        <w:t>Basin Audit</w:t>
      </w:r>
      <w:bookmarkEnd w:id="48"/>
    </w:p>
    <w:p w14:paraId="5F8D4474" w14:textId="77777777" w:rsidR="00524398" w:rsidRDefault="00524398" w:rsidP="00524398">
      <w:pPr>
        <w:pStyle w:val="BodyText"/>
      </w:pPr>
      <w:r>
        <w:t>Nine onshore basins were identified in which active exploration for shale and or tight gas resources is already underway and possible play, leads or prospects have already been identified. These are as follows:</w:t>
      </w:r>
    </w:p>
    <w:p w14:paraId="4987F0A7" w14:textId="61632C9E" w:rsidR="00524398" w:rsidRPr="009D2EB6" w:rsidRDefault="00524398" w:rsidP="00524398">
      <w:pPr>
        <w:pStyle w:val="ListBullet"/>
      </w:pPr>
      <w:r w:rsidRPr="009D2EB6">
        <w:t>Amadeus Basin (Northern Territory</w:t>
      </w:r>
      <w:r w:rsidR="00FA0FB9">
        <w:t>, Western Australia, South Australia</w:t>
      </w:r>
      <w:r w:rsidRPr="009D2EB6">
        <w:t>)</w:t>
      </w:r>
      <w:r>
        <w:t>;</w:t>
      </w:r>
    </w:p>
    <w:p w14:paraId="7F2820B0" w14:textId="77777777" w:rsidR="00524398" w:rsidRPr="009D2EB6" w:rsidRDefault="00524398" w:rsidP="00524398">
      <w:pPr>
        <w:pStyle w:val="ListBullet"/>
      </w:pPr>
      <w:r w:rsidRPr="009D2EB6">
        <w:t>Bowen Basin (Queensland)</w:t>
      </w:r>
      <w:r>
        <w:t>;</w:t>
      </w:r>
    </w:p>
    <w:p w14:paraId="417B00F7" w14:textId="77777777" w:rsidR="00524398" w:rsidRPr="009D2EB6" w:rsidRDefault="00524398" w:rsidP="00524398">
      <w:pPr>
        <w:pStyle w:val="ListBullet"/>
      </w:pPr>
      <w:r w:rsidRPr="009D2EB6">
        <w:t>Clarence-Moreton Basin (Queensland and New South Wales)</w:t>
      </w:r>
      <w:r>
        <w:t>;</w:t>
      </w:r>
    </w:p>
    <w:p w14:paraId="26E0D554" w14:textId="77777777" w:rsidR="00524398" w:rsidRPr="009D2EB6" w:rsidRDefault="00524398" w:rsidP="00524398">
      <w:pPr>
        <w:pStyle w:val="ListBullet"/>
      </w:pPr>
      <w:r w:rsidRPr="009D2EB6">
        <w:t>Cooper Basin (Queensland and South Australia)</w:t>
      </w:r>
      <w:r>
        <w:t>;</w:t>
      </w:r>
    </w:p>
    <w:p w14:paraId="1A64C9F0" w14:textId="77777777" w:rsidR="00524398" w:rsidRPr="009D2EB6" w:rsidRDefault="00524398" w:rsidP="00524398">
      <w:pPr>
        <w:pStyle w:val="ListBullet"/>
      </w:pPr>
      <w:r w:rsidRPr="009D2EB6">
        <w:t>Georgina Basin (Northern Territory</w:t>
      </w:r>
      <w:r>
        <w:t xml:space="preserve"> and Queensland</w:t>
      </w:r>
      <w:r w:rsidRPr="009D2EB6">
        <w:t>)</w:t>
      </w:r>
      <w:r>
        <w:t>;</w:t>
      </w:r>
    </w:p>
    <w:p w14:paraId="27A3CE89" w14:textId="6FB6D577" w:rsidR="00524398" w:rsidRPr="009D2EB6" w:rsidRDefault="00524398" w:rsidP="00524398">
      <w:pPr>
        <w:pStyle w:val="ListBullet"/>
      </w:pPr>
      <w:r w:rsidRPr="009D2EB6">
        <w:t>Gippsland Basin (Victoria)</w:t>
      </w:r>
      <w:r>
        <w:t>;</w:t>
      </w:r>
    </w:p>
    <w:p w14:paraId="52372926" w14:textId="77777777" w:rsidR="00524398" w:rsidRPr="009D2EB6" w:rsidRDefault="00524398" w:rsidP="00524398">
      <w:pPr>
        <w:pStyle w:val="ListBullet"/>
      </w:pPr>
      <w:r w:rsidRPr="009D2EB6">
        <w:t>Isa Superbasin, within the Mount Isa Province (Northern Territory and Queensland)</w:t>
      </w:r>
      <w:r>
        <w:t>;</w:t>
      </w:r>
    </w:p>
    <w:p w14:paraId="2932664E" w14:textId="77777777" w:rsidR="00524398" w:rsidRPr="009D2EB6" w:rsidRDefault="00524398" w:rsidP="00524398">
      <w:pPr>
        <w:pStyle w:val="ListBullet"/>
      </w:pPr>
      <w:r w:rsidRPr="009D2EB6">
        <w:t>McArthur Basin, including the Beetaloo sub-basin (Northern Territory)</w:t>
      </w:r>
      <w:r>
        <w:t>, and;</w:t>
      </w:r>
    </w:p>
    <w:p w14:paraId="0D8B8D77" w14:textId="54282C9E" w:rsidR="00524398" w:rsidRDefault="00524398" w:rsidP="00524398">
      <w:pPr>
        <w:pStyle w:val="ListBullet"/>
      </w:pPr>
      <w:r w:rsidRPr="009D2EB6">
        <w:t>Otway Basin (South Australia and Victoria)</w:t>
      </w:r>
      <w:r>
        <w:t>.</w:t>
      </w:r>
    </w:p>
    <w:p w14:paraId="3DBEBA83" w14:textId="77777777" w:rsidR="00524398" w:rsidRDefault="00524398" w:rsidP="00524398">
      <w:pPr>
        <w:pStyle w:val="BodyText"/>
      </w:pPr>
      <w:r>
        <w:t>Assuming sustained funding of activities and no other impediment to development (e.g. regulatory restrictions; environmental or social concerns), t</w:t>
      </w:r>
      <w:r w:rsidRPr="00B54532">
        <w:t xml:space="preserve">hese basins were considered to have </w:t>
      </w:r>
      <w:r>
        <w:t xml:space="preserve">potential </w:t>
      </w:r>
      <w:r w:rsidRPr="00B54532">
        <w:t xml:space="preserve">development timeframes of 10 year or less, </w:t>
      </w:r>
      <w:r>
        <w:t xml:space="preserve">and hence were </w:t>
      </w:r>
      <w:r w:rsidRPr="003E46FD">
        <w:t xml:space="preserve">short listed as priority areas for </w:t>
      </w:r>
      <w:r>
        <w:t xml:space="preserve">further </w:t>
      </w:r>
      <w:r w:rsidRPr="003E46FD">
        <w:t>early research</w:t>
      </w:r>
      <w:r>
        <w:t>, as part of the basin audit</w:t>
      </w:r>
      <w:r w:rsidRPr="003E46FD">
        <w:t>.</w:t>
      </w:r>
    </w:p>
    <w:p w14:paraId="59061AD7" w14:textId="77777777" w:rsidR="00524398" w:rsidRPr="00C13F18" w:rsidRDefault="00524398" w:rsidP="00524398">
      <w:pPr>
        <w:pStyle w:val="BodyText"/>
      </w:pPr>
      <w:r w:rsidRPr="00C13F18">
        <w:t>A rapid audit was then undertaken on the short-listed basins in order to prioritise areas for further research. This process aimed to:</w:t>
      </w:r>
    </w:p>
    <w:p w14:paraId="5A408F7B" w14:textId="77777777" w:rsidR="00524398" w:rsidRPr="00C13F18" w:rsidRDefault="00524398" w:rsidP="00524398">
      <w:pPr>
        <w:pStyle w:val="ListBullet"/>
      </w:pPr>
      <w:r w:rsidRPr="00C13F18">
        <w:t xml:space="preserve">capture the current state of knowledge </w:t>
      </w:r>
      <w:r>
        <w:t xml:space="preserve">of </w:t>
      </w:r>
      <w:r w:rsidRPr="00C13F18">
        <w:t>each basin’s shale and tight gas prospectivity</w:t>
      </w:r>
      <w:r>
        <w:t>,</w:t>
      </w:r>
      <w:r w:rsidRPr="00C13F18">
        <w:t xml:space="preserve"> and;</w:t>
      </w:r>
    </w:p>
    <w:p w14:paraId="79CD58AB" w14:textId="77777777" w:rsidR="00524398" w:rsidRPr="00C13F18" w:rsidRDefault="00524398" w:rsidP="00524398">
      <w:pPr>
        <w:pStyle w:val="ListBullet"/>
      </w:pPr>
      <w:r w:rsidRPr="00C13F18">
        <w:t xml:space="preserve">to identify the water resources and environmental assets that may be affected by shale and tight extraction. </w:t>
      </w:r>
    </w:p>
    <w:p w14:paraId="55CF830B" w14:textId="77777777" w:rsidR="00524398" w:rsidRPr="00C13F18" w:rsidRDefault="00524398" w:rsidP="00524398">
      <w:pPr>
        <w:pStyle w:val="BodyText"/>
      </w:pPr>
      <w:r w:rsidRPr="00C13F18">
        <w:t>The audit was conducted based on the following rapid regional rapid prioritisation criteria</w:t>
      </w:r>
      <w:r>
        <w:t xml:space="preserve"> as agreed by GA and DoEE</w:t>
      </w:r>
      <w:r w:rsidRPr="00C13F18">
        <w:t>, and hence contains a brief summary of the following topics for each short listed basin.</w:t>
      </w:r>
    </w:p>
    <w:p w14:paraId="14E31EA1" w14:textId="77777777" w:rsidR="00524398" w:rsidRPr="00C13F18" w:rsidRDefault="00524398" w:rsidP="00524398">
      <w:pPr>
        <w:pStyle w:val="ListBullet"/>
      </w:pPr>
      <w:r w:rsidRPr="00C13F18">
        <w:rPr>
          <w:rStyle w:val="Bold"/>
        </w:rPr>
        <w:t>Basin geology and prospectivity:</w:t>
      </w:r>
      <w:r w:rsidRPr="00C13F18">
        <w:t xml:space="preserve"> age, depth, lithology, depositional environment, source rock and reservoir formations, petroleum systems, summary of key unconventional play types (including formation, source rock characteristics); current basin exploration status (i.e. level of basin exploration and development) for shale and tight gas plays; reported production, reserves, contingent or prospective resources; key unconventional wells; approximate development timeframe.</w:t>
      </w:r>
    </w:p>
    <w:p w14:paraId="681AD3F6" w14:textId="77777777" w:rsidR="00524398" w:rsidRPr="00C13F18" w:rsidRDefault="00524398" w:rsidP="00524398">
      <w:pPr>
        <w:pStyle w:val="ListBullet"/>
      </w:pPr>
      <w:r w:rsidRPr="00C13F18">
        <w:rPr>
          <w:rStyle w:val="Bold"/>
        </w:rPr>
        <w:t xml:space="preserve">Market access and infrastructure: </w:t>
      </w:r>
      <w:r w:rsidRPr="00970CD0">
        <w:t>road/rail access;</w:t>
      </w:r>
      <w:r w:rsidRPr="00C13F18">
        <w:t xml:space="preserve"> proximity to existing gas infrastructure (incl. pipelines); distance to market</w:t>
      </w:r>
    </w:p>
    <w:p w14:paraId="68427D86" w14:textId="77777777" w:rsidR="00524398" w:rsidRPr="00C13F18" w:rsidRDefault="00524398" w:rsidP="00524398">
      <w:pPr>
        <w:pStyle w:val="ListBullet"/>
      </w:pPr>
      <w:r w:rsidRPr="00C13F18">
        <w:rPr>
          <w:rStyle w:val="Bold"/>
        </w:rPr>
        <w:lastRenderedPageBreak/>
        <w:t>Regulatory:</w:t>
      </w:r>
      <w:r w:rsidRPr="00C13F18">
        <w:t xml:space="preserve"> hydraulic fracturing moratoriums; exploration moratoriums.</w:t>
      </w:r>
    </w:p>
    <w:p w14:paraId="59D672DE" w14:textId="77777777" w:rsidR="00524398" w:rsidRPr="00C13F18" w:rsidRDefault="00524398" w:rsidP="00524398">
      <w:pPr>
        <w:pStyle w:val="ListBullet"/>
      </w:pPr>
      <w:r w:rsidRPr="00C13F18">
        <w:rPr>
          <w:rStyle w:val="Bold"/>
        </w:rPr>
        <w:t>Environmental constraints:</w:t>
      </w:r>
      <w:r w:rsidRPr="00C13F18">
        <w:t xml:space="preserve"> including groundwater systems; surface water systems; environmentally sensitive areas (e.g. groundwater-dependent ecosystems, important wetlands, national parks).</w:t>
      </w:r>
    </w:p>
    <w:p w14:paraId="13018BCA" w14:textId="77777777" w:rsidR="00524398" w:rsidRPr="00C13F18" w:rsidRDefault="00524398" w:rsidP="00524398">
      <w:pPr>
        <w:pStyle w:val="ListBullet"/>
      </w:pPr>
      <w:r w:rsidRPr="00C13F18">
        <w:rPr>
          <w:rStyle w:val="Bold"/>
        </w:rPr>
        <w:t>Social factors/constraints:</w:t>
      </w:r>
      <w:r w:rsidRPr="00C13F18">
        <w:t xml:space="preserve"> population distribution; existing land use; culturally significant areas </w:t>
      </w:r>
    </w:p>
    <w:p w14:paraId="3D5C6F64" w14:textId="0674419E" w:rsidR="00524398" w:rsidRPr="00C13F18" w:rsidRDefault="00524398" w:rsidP="00524398">
      <w:pPr>
        <w:pStyle w:val="BodyText"/>
      </w:pPr>
      <w:r w:rsidRPr="00C13F18">
        <w:t>The project required integration of disparate sources of spatial data on petroleum geology, unconventional gas resources</w:t>
      </w:r>
      <w:r>
        <w:t xml:space="preserve"> and</w:t>
      </w:r>
      <w:r w:rsidRPr="00C13F18">
        <w:t xml:space="preserve"> environmental conditions. The results of each prioritisation theme are clearly presented in tables, maps, matrices and within the basin summary documents in </w:t>
      </w:r>
      <w:r>
        <w:t>this appendix</w:t>
      </w:r>
      <w:r w:rsidRPr="00C13F18">
        <w:t xml:space="preserve"> for the DoEE’s consideration </w:t>
      </w:r>
      <w:r>
        <w:t xml:space="preserve">to inform </w:t>
      </w:r>
      <w:r w:rsidRPr="00C13F18">
        <w:t>deci</w:t>
      </w:r>
      <w:r>
        <w:t>sions</w:t>
      </w:r>
      <w:r w:rsidRPr="00C13F18">
        <w:t xml:space="preserve"> on priority areas for further </w:t>
      </w:r>
      <w:r w:rsidR="008C705F">
        <w:t>work by the G</w:t>
      </w:r>
      <w:r w:rsidRPr="00C13F18">
        <w:t xml:space="preserve">eological and </w:t>
      </w:r>
      <w:r w:rsidR="008C705F">
        <w:t>B</w:t>
      </w:r>
      <w:r w:rsidRPr="00C13F18">
        <w:t xml:space="preserve">ioregional </w:t>
      </w:r>
      <w:r w:rsidR="008C705F">
        <w:t>A</w:t>
      </w:r>
      <w:r w:rsidRPr="00C13F18">
        <w:t>ssessment</w:t>
      </w:r>
      <w:r w:rsidR="008C705F">
        <w:t>s Program.</w:t>
      </w:r>
      <w:r w:rsidRPr="00C13F18">
        <w:t xml:space="preserve"> </w:t>
      </w:r>
    </w:p>
    <w:p w14:paraId="7174A9B3" w14:textId="6025B336" w:rsidR="001E0B4B" w:rsidRDefault="00524398" w:rsidP="00A367C0">
      <w:pPr>
        <w:pStyle w:val="AppendixHeading2"/>
      </w:pPr>
      <w:r>
        <w:br w:type="page"/>
      </w:r>
      <w:r w:rsidRPr="00C13F18">
        <w:lastRenderedPageBreak/>
        <w:t xml:space="preserve"> </w:t>
      </w:r>
      <w:bookmarkStart w:id="49" w:name="_Toc517161115"/>
      <w:bookmarkEnd w:id="12"/>
      <w:bookmarkEnd w:id="26"/>
      <w:r w:rsidR="001E0B4B">
        <w:t xml:space="preserve">Amadeus </w:t>
      </w:r>
      <w:r w:rsidR="001E0B4B" w:rsidRPr="00AD7F0C">
        <w:t>Basin</w:t>
      </w:r>
      <w:bookmarkEnd w:id="49"/>
    </w:p>
    <w:p w14:paraId="2800807F" w14:textId="77777777" w:rsidR="00193BB2" w:rsidRPr="00F004F5" w:rsidRDefault="00193BB2" w:rsidP="00193BB2">
      <w:pPr>
        <w:pStyle w:val="Caption"/>
      </w:pPr>
      <w:bookmarkStart w:id="50" w:name="_Toc508972150"/>
      <w:bookmarkStart w:id="51" w:name="_Toc517161116"/>
      <w:r w:rsidRPr="00873419">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873419">
        <w:t>.</w:t>
      </w:r>
      <w:r w:rsidR="008079F1">
        <w:fldChar w:fldCharType="begin"/>
      </w:r>
      <w:r w:rsidR="008079F1">
        <w:instrText xml:space="preserve"> SEQ Apx_Table \* ARABIC \s 9 </w:instrText>
      </w:r>
      <w:r w:rsidR="008079F1">
        <w:fldChar w:fldCharType="separate"/>
      </w:r>
      <w:r w:rsidR="00640CCB">
        <w:rPr>
          <w:noProof/>
        </w:rPr>
        <w:t>1</w:t>
      </w:r>
      <w:r w:rsidR="008079F1">
        <w:rPr>
          <w:noProof/>
        </w:rPr>
        <w:fldChar w:fldCharType="end"/>
      </w:r>
      <w:r w:rsidRPr="00873419">
        <w:t xml:space="preserve"> Geology and petroleum prospectivity summary</w:t>
      </w:r>
      <w:bookmarkEnd w:id="50"/>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28" w:type="dxa"/>
          <w:right w:w="57" w:type="dxa"/>
        </w:tblCellMar>
        <w:tblLook w:val="04A0" w:firstRow="1" w:lastRow="0" w:firstColumn="1" w:lastColumn="0" w:noHBand="0" w:noVBand="1"/>
      </w:tblPr>
      <w:tblGrid>
        <w:gridCol w:w="3394"/>
        <w:gridCol w:w="6225"/>
      </w:tblGrid>
      <w:tr w:rsidR="006F487A" w14:paraId="28E6A837" w14:textId="77777777" w:rsidTr="00CA7302">
        <w:tc>
          <w:tcPr>
            <w:tcW w:w="9629" w:type="dxa"/>
            <w:gridSpan w:val="2"/>
            <w:shd w:val="clear" w:color="auto" w:fill="146692" w:themeFill="text2"/>
          </w:tcPr>
          <w:p w14:paraId="15BDAEC6" w14:textId="2D362D05" w:rsidR="006F487A" w:rsidRPr="006F487A" w:rsidRDefault="006F487A" w:rsidP="0093486F">
            <w:pPr>
              <w:spacing w:before="20" w:after="20" w:line="120" w:lineRule="atLeast"/>
              <w:rPr>
                <w:b/>
                <w:caps/>
                <w:color w:val="FFFFFF" w:themeColor="background1"/>
              </w:rPr>
            </w:pPr>
            <w:r w:rsidRPr="006F487A">
              <w:rPr>
                <w:b/>
                <w:caps/>
                <w:color w:val="FFFFFF" w:themeColor="background1"/>
              </w:rPr>
              <w:t>General</w:t>
            </w:r>
          </w:p>
        </w:tc>
      </w:tr>
      <w:tr w:rsidR="006F487A" w14:paraId="07F20988" w14:textId="77777777" w:rsidTr="00CA7302">
        <w:tc>
          <w:tcPr>
            <w:tcW w:w="3397" w:type="dxa"/>
            <w:shd w:val="clear" w:color="auto" w:fill="146692" w:themeFill="text2"/>
          </w:tcPr>
          <w:p w14:paraId="33D007FE" w14:textId="41BDDF7E" w:rsidR="006F487A" w:rsidRPr="006F487A" w:rsidRDefault="006F487A" w:rsidP="0093486F">
            <w:pPr>
              <w:spacing w:before="20" w:after="20" w:line="120" w:lineRule="atLeast"/>
              <w:rPr>
                <w:b/>
                <w:color w:val="FFFFFF" w:themeColor="background1"/>
              </w:rPr>
            </w:pPr>
            <w:r w:rsidRPr="006F487A">
              <w:rPr>
                <w:b/>
                <w:color w:val="FFFFFF" w:themeColor="background1"/>
              </w:rPr>
              <w:t>Jurisdiction</w:t>
            </w:r>
          </w:p>
        </w:tc>
        <w:tc>
          <w:tcPr>
            <w:tcW w:w="6232" w:type="dxa"/>
            <w:shd w:val="clear" w:color="auto" w:fill="DAEFFA"/>
          </w:tcPr>
          <w:p w14:paraId="4ECF7616" w14:textId="2C33C3B6" w:rsidR="006F487A" w:rsidRDefault="006F487A" w:rsidP="0093486F">
            <w:pPr>
              <w:spacing w:before="20" w:after="20" w:line="120" w:lineRule="atLeast"/>
            </w:pPr>
            <w:r w:rsidRPr="006361EB">
              <w:t>Northern Territory, South Australia</w:t>
            </w:r>
            <w:r>
              <w:t>, Western Australia</w:t>
            </w:r>
          </w:p>
        </w:tc>
      </w:tr>
      <w:tr w:rsidR="006F487A" w14:paraId="301C863F" w14:textId="77777777" w:rsidTr="00CA7302">
        <w:tc>
          <w:tcPr>
            <w:tcW w:w="3397" w:type="dxa"/>
            <w:shd w:val="clear" w:color="auto" w:fill="146692" w:themeFill="text2"/>
          </w:tcPr>
          <w:p w14:paraId="6B644A38" w14:textId="58E7D5E9" w:rsidR="006F487A" w:rsidRPr="006F487A" w:rsidRDefault="006F487A" w:rsidP="0093486F">
            <w:pPr>
              <w:spacing w:before="20" w:after="20" w:line="120" w:lineRule="atLeast"/>
              <w:rPr>
                <w:b/>
                <w:color w:val="FFFFFF" w:themeColor="background1"/>
              </w:rPr>
            </w:pPr>
            <w:r w:rsidRPr="006F487A">
              <w:rPr>
                <w:b/>
                <w:color w:val="FFFFFF" w:themeColor="background1"/>
              </w:rPr>
              <w:t>Area</w:t>
            </w:r>
          </w:p>
        </w:tc>
        <w:tc>
          <w:tcPr>
            <w:tcW w:w="6232" w:type="dxa"/>
            <w:shd w:val="clear" w:color="auto" w:fill="DAEFFA"/>
          </w:tcPr>
          <w:p w14:paraId="01803FCF" w14:textId="51063FB5" w:rsidR="006F487A" w:rsidRDefault="006F487A" w:rsidP="0093486F">
            <w:pPr>
              <w:spacing w:before="20" w:after="20" w:line="120" w:lineRule="atLeast"/>
            </w:pPr>
            <w:r>
              <w:t>180,</w:t>
            </w:r>
            <w:r w:rsidRPr="006361EB">
              <w:t>000</w:t>
            </w:r>
            <w:r>
              <w:t> km</w:t>
            </w:r>
            <w:r w:rsidRPr="009E7E91">
              <w:rPr>
                <w:rStyle w:val="Superscript"/>
              </w:rPr>
              <w:t>2</w:t>
            </w:r>
            <w:r w:rsidRPr="006361EB">
              <w:t xml:space="preserve"> </w:t>
            </w:r>
          </w:p>
        </w:tc>
      </w:tr>
      <w:tr w:rsidR="006F487A" w14:paraId="5E6A102C" w14:textId="77777777" w:rsidTr="00CA7302">
        <w:tc>
          <w:tcPr>
            <w:tcW w:w="3397" w:type="dxa"/>
            <w:shd w:val="clear" w:color="auto" w:fill="146692" w:themeFill="text2"/>
          </w:tcPr>
          <w:p w14:paraId="5156F282" w14:textId="77C6EA74" w:rsidR="006F487A" w:rsidRPr="006F487A" w:rsidRDefault="006F487A" w:rsidP="0093486F">
            <w:pPr>
              <w:spacing w:before="20" w:after="20" w:line="120" w:lineRule="atLeast"/>
              <w:rPr>
                <w:b/>
                <w:color w:val="FFFFFF" w:themeColor="background1"/>
              </w:rPr>
            </w:pPr>
            <w:r w:rsidRPr="006F487A">
              <w:rPr>
                <w:b/>
                <w:color w:val="FFFFFF" w:themeColor="background1"/>
              </w:rPr>
              <w:t>Max. basin depth/ sediment thickness</w:t>
            </w:r>
          </w:p>
        </w:tc>
        <w:tc>
          <w:tcPr>
            <w:tcW w:w="6232" w:type="dxa"/>
            <w:shd w:val="clear" w:color="auto" w:fill="DAEFFA"/>
          </w:tcPr>
          <w:p w14:paraId="0FA23F7B" w14:textId="251D4CF8" w:rsidR="006F487A" w:rsidRDefault="006F487A" w:rsidP="0093486F">
            <w:pPr>
              <w:spacing w:before="20" w:after="20" w:line="120" w:lineRule="atLeast"/>
            </w:pPr>
            <w:r w:rsidRPr="00960B30">
              <w:t>14,000 m</w:t>
            </w:r>
          </w:p>
        </w:tc>
      </w:tr>
      <w:tr w:rsidR="006F487A" w14:paraId="13E46B36" w14:textId="77777777" w:rsidTr="00CA7302">
        <w:tc>
          <w:tcPr>
            <w:tcW w:w="3397" w:type="dxa"/>
            <w:shd w:val="clear" w:color="auto" w:fill="146692" w:themeFill="text2"/>
          </w:tcPr>
          <w:p w14:paraId="25FB548F" w14:textId="701E7E10" w:rsidR="006F487A" w:rsidRPr="006F487A" w:rsidRDefault="006F487A" w:rsidP="0093486F">
            <w:pPr>
              <w:spacing w:before="20" w:after="20" w:line="120" w:lineRule="atLeast"/>
              <w:rPr>
                <w:b/>
                <w:color w:val="FFFFFF" w:themeColor="background1"/>
              </w:rPr>
            </w:pPr>
            <w:r w:rsidRPr="006F487A">
              <w:rPr>
                <w:b/>
                <w:color w:val="FFFFFF" w:themeColor="background1"/>
              </w:rPr>
              <w:t>Age range</w:t>
            </w:r>
          </w:p>
        </w:tc>
        <w:tc>
          <w:tcPr>
            <w:tcW w:w="6232" w:type="dxa"/>
            <w:shd w:val="clear" w:color="auto" w:fill="DAEFFA"/>
          </w:tcPr>
          <w:p w14:paraId="35E7ACFE" w14:textId="5CD71FF3" w:rsidR="006F487A" w:rsidRDefault="006F487A" w:rsidP="0093486F">
            <w:pPr>
              <w:spacing w:before="20" w:after="20" w:line="120" w:lineRule="atLeast"/>
            </w:pPr>
            <w:r w:rsidRPr="00960B30">
              <w:t>Neoproterozoic–Late Devonian</w:t>
            </w:r>
          </w:p>
        </w:tc>
      </w:tr>
      <w:tr w:rsidR="006F487A" w14:paraId="02AB8F7F" w14:textId="77777777" w:rsidTr="00CA7302">
        <w:tc>
          <w:tcPr>
            <w:tcW w:w="3397" w:type="dxa"/>
            <w:shd w:val="clear" w:color="auto" w:fill="146692" w:themeFill="text2"/>
          </w:tcPr>
          <w:p w14:paraId="0F962FF5" w14:textId="43F19C19" w:rsidR="006F487A" w:rsidRPr="006F487A" w:rsidRDefault="006F487A" w:rsidP="0093486F">
            <w:pPr>
              <w:spacing w:before="20" w:after="20" w:line="120" w:lineRule="atLeast"/>
              <w:rPr>
                <w:b/>
                <w:color w:val="FFFFFF" w:themeColor="background1"/>
              </w:rPr>
            </w:pPr>
            <w:r w:rsidRPr="006F487A">
              <w:rPr>
                <w:b/>
                <w:color w:val="FFFFFF" w:themeColor="background1"/>
              </w:rPr>
              <w:t>Depositional setting</w:t>
            </w:r>
          </w:p>
        </w:tc>
        <w:tc>
          <w:tcPr>
            <w:tcW w:w="6232" w:type="dxa"/>
            <w:shd w:val="clear" w:color="auto" w:fill="DAEFFA"/>
          </w:tcPr>
          <w:p w14:paraId="0FBA8C78" w14:textId="26FE375C" w:rsidR="006F487A" w:rsidRDefault="006F487A" w:rsidP="0093486F">
            <w:pPr>
              <w:spacing w:before="20" w:after="20" w:line="120" w:lineRule="atLeast"/>
            </w:pPr>
            <w:r w:rsidRPr="00960B30">
              <w:t>Shelf, lagoonal, continental and shallow-marine (Neoproterozoic); marine (Cambrian–Ordovician); non-marine (?Silurian–Devonian)</w:t>
            </w:r>
          </w:p>
        </w:tc>
      </w:tr>
      <w:tr w:rsidR="006F487A" w14:paraId="48C2E354" w14:textId="77777777" w:rsidTr="00CA7302">
        <w:tc>
          <w:tcPr>
            <w:tcW w:w="3397" w:type="dxa"/>
            <w:shd w:val="clear" w:color="auto" w:fill="146692" w:themeFill="text2"/>
          </w:tcPr>
          <w:p w14:paraId="229995E9" w14:textId="019E9AD1" w:rsidR="006F487A" w:rsidRPr="006F487A" w:rsidRDefault="006F487A" w:rsidP="0093486F">
            <w:pPr>
              <w:spacing w:before="20" w:after="20" w:line="120" w:lineRule="atLeast"/>
              <w:rPr>
                <w:b/>
                <w:color w:val="FFFFFF" w:themeColor="background1"/>
              </w:rPr>
            </w:pPr>
            <w:r w:rsidRPr="006F487A">
              <w:rPr>
                <w:b/>
                <w:color w:val="FFFFFF" w:themeColor="background1"/>
              </w:rPr>
              <w:t>Regional structure</w:t>
            </w:r>
          </w:p>
        </w:tc>
        <w:tc>
          <w:tcPr>
            <w:tcW w:w="6232" w:type="dxa"/>
            <w:shd w:val="clear" w:color="auto" w:fill="DAEFFA"/>
          </w:tcPr>
          <w:p w14:paraId="7918D57C" w14:textId="3CA607F6" w:rsidR="006F487A" w:rsidRDefault="006F487A" w:rsidP="0093486F">
            <w:pPr>
              <w:spacing w:before="20" w:after="20" w:line="120" w:lineRule="atLeast"/>
            </w:pPr>
            <w:r w:rsidRPr="00960B30">
              <w:t>Two phases of extension and thermal subsidence during the late Proterozoic–early Paleozoic; two contractional deformation phases resulting in nappes, folds, thrusts; salt tectonics</w:t>
            </w:r>
          </w:p>
        </w:tc>
      </w:tr>
      <w:tr w:rsidR="006F487A" w14:paraId="2745336F" w14:textId="77777777" w:rsidTr="00CA7302">
        <w:tc>
          <w:tcPr>
            <w:tcW w:w="3397" w:type="dxa"/>
            <w:shd w:val="clear" w:color="auto" w:fill="146692" w:themeFill="text2"/>
          </w:tcPr>
          <w:p w14:paraId="2DC28E7D" w14:textId="488C3F82" w:rsidR="006F487A" w:rsidRPr="006F487A" w:rsidRDefault="006F487A" w:rsidP="0093486F">
            <w:pPr>
              <w:spacing w:before="20" w:after="20" w:line="120" w:lineRule="atLeast"/>
              <w:rPr>
                <w:b/>
                <w:color w:val="FFFFFF" w:themeColor="background1"/>
              </w:rPr>
            </w:pPr>
            <w:r w:rsidRPr="006F487A">
              <w:rPr>
                <w:b/>
                <w:color w:val="FFFFFF" w:themeColor="background1"/>
              </w:rPr>
              <w:t>Overlying basin(s)</w:t>
            </w:r>
          </w:p>
        </w:tc>
        <w:tc>
          <w:tcPr>
            <w:tcW w:w="6232" w:type="dxa"/>
            <w:shd w:val="clear" w:color="auto" w:fill="DAEFFA"/>
          </w:tcPr>
          <w:p w14:paraId="1BE12495" w14:textId="476D4D0C" w:rsidR="006F487A" w:rsidRDefault="006F487A" w:rsidP="0093486F">
            <w:pPr>
              <w:spacing w:before="20" w:after="20" w:line="120" w:lineRule="atLeast"/>
            </w:pPr>
            <w:r w:rsidRPr="00960B30">
              <w:t>Pedirka and Eromanga basins (southeast); Canning Basin (west)</w:t>
            </w:r>
          </w:p>
        </w:tc>
      </w:tr>
      <w:tr w:rsidR="006F487A" w14:paraId="05FD73C1" w14:textId="77777777" w:rsidTr="00CA7302">
        <w:tc>
          <w:tcPr>
            <w:tcW w:w="9629" w:type="dxa"/>
            <w:gridSpan w:val="2"/>
            <w:shd w:val="clear" w:color="auto" w:fill="146692" w:themeFill="text2"/>
          </w:tcPr>
          <w:p w14:paraId="0286BC96" w14:textId="3B72CA99" w:rsidR="006F487A" w:rsidRPr="006F487A" w:rsidRDefault="006F487A" w:rsidP="0093486F">
            <w:pPr>
              <w:spacing w:before="20" w:after="20" w:line="120" w:lineRule="atLeast"/>
              <w:rPr>
                <w:b/>
                <w:caps/>
                <w:color w:val="FFFFFF" w:themeColor="background1"/>
              </w:rPr>
            </w:pPr>
            <w:r w:rsidRPr="006F487A">
              <w:rPr>
                <w:b/>
                <w:caps/>
                <w:color w:val="FFFFFF" w:themeColor="background1"/>
              </w:rPr>
              <w:t>Exploration status</w:t>
            </w:r>
          </w:p>
        </w:tc>
      </w:tr>
      <w:tr w:rsidR="006F487A" w14:paraId="6EC08AE0" w14:textId="77777777" w:rsidTr="00CA7302">
        <w:tc>
          <w:tcPr>
            <w:tcW w:w="3397" w:type="dxa"/>
            <w:shd w:val="clear" w:color="auto" w:fill="146692" w:themeFill="text2"/>
          </w:tcPr>
          <w:p w14:paraId="148678E7" w14:textId="7C0E6389" w:rsidR="006F487A" w:rsidRPr="006F487A" w:rsidRDefault="006F487A" w:rsidP="0093486F">
            <w:pPr>
              <w:spacing w:before="20" w:after="20" w:line="120" w:lineRule="atLeast"/>
              <w:rPr>
                <w:b/>
                <w:color w:val="FFFFFF" w:themeColor="background1"/>
              </w:rPr>
            </w:pPr>
            <w:r w:rsidRPr="006F487A">
              <w:rPr>
                <w:b/>
                <w:color w:val="FFFFFF" w:themeColor="background1"/>
              </w:rPr>
              <w:t>Seismic lines</w:t>
            </w:r>
          </w:p>
        </w:tc>
        <w:tc>
          <w:tcPr>
            <w:tcW w:w="6232" w:type="dxa"/>
            <w:shd w:val="clear" w:color="auto" w:fill="DAEFFA"/>
          </w:tcPr>
          <w:p w14:paraId="05D8F1CA" w14:textId="4F0D83FE" w:rsidR="006F487A" w:rsidRDefault="006F487A" w:rsidP="0093486F">
            <w:pPr>
              <w:spacing w:before="20" w:after="20" w:line="120" w:lineRule="atLeast"/>
            </w:pPr>
            <w:r w:rsidRPr="00960B30">
              <w:t>12,986 line km of 2D seismic</w:t>
            </w:r>
          </w:p>
        </w:tc>
      </w:tr>
      <w:tr w:rsidR="006F487A" w14:paraId="03C68E60" w14:textId="77777777" w:rsidTr="00CA7302">
        <w:tc>
          <w:tcPr>
            <w:tcW w:w="3397" w:type="dxa"/>
            <w:shd w:val="clear" w:color="auto" w:fill="146692" w:themeFill="text2"/>
          </w:tcPr>
          <w:p w14:paraId="69D3966D" w14:textId="548D7F9D" w:rsidR="006F487A" w:rsidRPr="006F487A" w:rsidRDefault="006F487A" w:rsidP="0093486F">
            <w:pPr>
              <w:spacing w:before="20" w:after="20" w:line="120" w:lineRule="atLeast"/>
              <w:rPr>
                <w:b/>
                <w:color w:val="FFFFFF" w:themeColor="background1"/>
              </w:rPr>
            </w:pPr>
            <w:r w:rsidRPr="006F487A">
              <w:rPr>
                <w:b/>
                <w:color w:val="FFFFFF" w:themeColor="background1"/>
              </w:rPr>
              <w:t>Number of petroleum wells</w:t>
            </w:r>
          </w:p>
        </w:tc>
        <w:tc>
          <w:tcPr>
            <w:tcW w:w="6232" w:type="dxa"/>
            <w:shd w:val="clear" w:color="auto" w:fill="DAEFFA"/>
          </w:tcPr>
          <w:p w14:paraId="753EC2DD" w14:textId="536589CB" w:rsidR="006F487A" w:rsidRDefault="006F487A" w:rsidP="0093486F">
            <w:pPr>
              <w:spacing w:before="20" w:after="20" w:line="120" w:lineRule="atLeast"/>
            </w:pPr>
            <w:r w:rsidRPr="00960B30">
              <w:t xml:space="preserve">~40 </w:t>
            </w:r>
          </w:p>
        </w:tc>
      </w:tr>
      <w:tr w:rsidR="006F487A" w14:paraId="44CB5803" w14:textId="77777777" w:rsidTr="00CA7302">
        <w:tc>
          <w:tcPr>
            <w:tcW w:w="3397" w:type="dxa"/>
            <w:shd w:val="clear" w:color="auto" w:fill="146692" w:themeFill="text2"/>
          </w:tcPr>
          <w:p w14:paraId="5DF892D1" w14:textId="79640FD4" w:rsidR="006F487A" w:rsidRPr="006F487A" w:rsidRDefault="006F487A" w:rsidP="0093486F">
            <w:pPr>
              <w:spacing w:before="20" w:after="20" w:line="120" w:lineRule="atLeast"/>
              <w:rPr>
                <w:b/>
                <w:color w:val="FFFFFF" w:themeColor="background1"/>
              </w:rPr>
            </w:pPr>
            <w:r w:rsidRPr="006F487A">
              <w:rPr>
                <w:b/>
                <w:color w:val="FFFFFF" w:themeColor="background1"/>
              </w:rPr>
              <w:t>Exploration status - conventional</w:t>
            </w:r>
          </w:p>
        </w:tc>
        <w:tc>
          <w:tcPr>
            <w:tcW w:w="6232" w:type="dxa"/>
            <w:shd w:val="clear" w:color="auto" w:fill="DAEFFA"/>
          </w:tcPr>
          <w:p w14:paraId="242544C1" w14:textId="0EC0251D" w:rsidR="006F487A" w:rsidRDefault="006F487A" w:rsidP="0093486F">
            <w:pPr>
              <w:spacing w:before="20" w:after="20" w:line="120" w:lineRule="atLeast"/>
            </w:pPr>
            <w:r w:rsidRPr="00960B30">
              <w:t>Producing</w:t>
            </w:r>
          </w:p>
        </w:tc>
      </w:tr>
      <w:tr w:rsidR="006F487A" w14:paraId="362EA747" w14:textId="77777777" w:rsidTr="00CA7302">
        <w:tc>
          <w:tcPr>
            <w:tcW w:w="3397" w:type="dxa"/>
            <w:shd w:val="clear" w:color="auto" w:fill="146692" w:themeFill="text2"/>
          </w:tcPr>
          <w:p w14:paraId="437F5183" w14:textId="7C5C8EFE" w:rsidR="006F487A" w:rsidRPr="006F487A" w:rsidRDefault="006F487A" w:rsidP="0093486F">
            <w:pPr>
              <w:spacing w:before="20" w:after="20" w:line="120" w:lineRule="atLeast"/>
              <w:rPr>
                <w:b/>
                <w:color w:val="FFFFFF" w:themeColor="background1"/>
              </w:rPr>
            </w:pPr>
            <w:r w:rsidRPr="006F487A">
              <w:rPr>
                <w:b/>
                <w:color w:val="FFFFFF" w:themeColor="background1"/>
              </w:rPr>
              <w:t>Exploration status – shale/ tight gas</w:t>
            </w:r>
          </w:p>
        </w:tc>
        <w:tc>
          <w:tcPr>
            <w:tcW w:w="6232" w:type="dxa"/>
            <w:shd w:val="clear" w:color="auto" w:fill="DAEFFA"/>
          </w:tcPr>
          <w:p w14:paraId="0666F0C0" w14:textId="05E68EBA" w:rsidR="006F487A" w:rsidRDefault="006F487A" w:rsidP="0093486F">
            <w:pPr>
              <w:spacing w:before="20" w:after="20" w:line="120" w:lineRule="atLeast"/>
            </w:pPr>
            <w:r w:rsidRPr="00960B30">
              <w:t>Minor tight gas production around conventional producing fields; otherwise under-explored</w:t>
            </w:r>
          </w:p>
        </w:tc>
      </w:tr>
      <w:tr w:rsidR="006F487A" w14:paraId="2FDE6C22" w14:textId="77777777" w:rsidTr="00CA7302">
        <w:tc>
          <w:tcPr>
            <w:tcW w:w="9629" w:type="dxa"/>
            <w:gridSpan w:val="2"/>
            <w:shd w:val="clear" w:color="auto" w:fill="146692" w:themeFill="text2"/>
          </w:tcPr>
          <w:p w14:paraId="2A6CED75" w14:textId="0BD1F11A" w:rsidR="006F487A" w:rsidRPr="006F487A" w:rsidRDefault="006F487A" w:rsidP="0093486F">
            <w:pPr>
              <w:spacing w:before="20" w:after="20" w:line="120" w:lineRule="atLeast"/>
              <w:rPr>
                <w:b/>
              </w:rPr>
            </w:pPr>
            <w:r w:rsidRPr="006F487A">
              <w:rPr>
                <w:b/>
                <w:color w:val="FFFFFF" w:themeColor="background1"/>
              </w:rPr>
              <w:t>PETROLEUM PROSPECTIVITY -  GENERAL</w:t>
            </w:r>
          </w:p>
        </w:tc>
      </w:tr>
      <w:tr w:rsidR="006F487A" w14:paraId="59142FC3" w14:textId="77777777" w:rsidTr="00CA7302">
        <w:tc>
          <w:tcPr>
            <w:tcW w:w="3397" w:type="dxa"/>
            <w:shd w:val="clear" w:color="auto" w:fill="146692" w:themeFill="text2"/>
          </w:tcPr>
          <w:p w14:paraId="41E6CB29" w14:textId="2BB8D02B" w:rsidR="006F487A" w:rsidRPr="006F487A" w:rsidRDefault="006F487A" w:rsidP="0093486F">
            <w:pPr>
              <w:spacing w:before="20" w:after="20" w:line="120" w:lineRule="atLeast"/>
              <w:rPr>
                <w:b/>
                <w:color w:val="FFFFFF" w:themeColor="background1"/>
              </w:rPr>
            </w:pPr>
            <w:r w:rsidRPr="006F487A">
              <w:rPr>
                <w:b/>
                <w:color w:val="FFFFFF" w:themeColor="background1"/>
              </w:rPr>
              <w:t>Petroleum systems</w:t>
            </w:r>
          </w:p>
        </w:tc>
        <w:tc>
          <w:tcPr>
            <w:tcW w:w="6232" w:type="dxa"/>
            <w:shd w:val="clear" w:color="auto" w:fill="DAEFFA"/>
          </w:tcPr>
          <w:p w14:paraId="4E0CB8A3" w14:textId="6C16DC5B" w:rsidR="006F487A" w:rsidRDefault="006F487A" w:rsidP="0093486F">
            <w:pPr>
              <w:spacing w:before="20" w:after="20" w:line="120" w:lineRule="atLeast"/>
            </w:pPr>
            <w:r w:rsidRPr="00960B30">
              <w:t>Proven (Larapintine Supersystem, Centralian Supersystem)</w:t>
            </w:r>
          </w:p>
        </w:tc>
      </w:tr>
      <w:tr w:rsidR="006F487A" w14:paraId="56634540" w14:textId="77777777" w:rsidTr="00CA7302">
        <w:tc>
          <w:tcPr>
            <w:tcW w:w="3397" w:type="dxa"/>
            <w:shd w:val="clear" w:color="auto" w:fill="146692" w:themeFill="text2"/>
          </w:tcPr>
          <w:p w14:paraId="6BD8A417" w14:textId="44108DFD" w:rsidR="006F487A" w:rsidRPr="006F487A" w:rsidRDefault="006F487A" w:rsidP="0093486F">
            <w:pPr>
              <w:spacing w:before="20" w:after="20" w:line="120" w:lineRule="atLeast"/>
              <w:rPr>
                <w:b/>
                <w:color w:val="FFFFFF" w:themeColor="background1"/>
              </w:rPr>
            </w:pPr>
            <w:r w:rsidRPr="006F487A">
              <w:rPr>
                <w:b/>
                <w:color w:val="FFFFFF" w:themeColor="background1"/>
              </w:rPr>
              <w:t>Prospectivity</w:t>
            </w:r>
          </w:p>
        </w:tc>
        <w:tc>
          <w:tcPr>
            <w:tcW w:w="6232" w:type="dxa"/>
            <w:shd w:val="clear" w:color="auto" w:fill="DAEFFA"/>
          </w:tcPr>
          <w:p w14:paraId="711BE669" w14:textId="4A23F15C" w:rsidR="006F487A" w:rsidRDefault="006F487A" w:rsidP="0093486F">
            <w:pPr>
              <w:spacing w:before="20" w:after="20" w:line="120" w:lineRule="atLeast"/>
            </w:pPr>
            <w:r w:rsidRPr="00960B30">
              <w:t>High</w:t>
            </w:r>
          </w:p>
        </w:tc>
      </w:tr>
      <w:tr w:rsidR="006F487A" w14:paraId="2ED63722" w14:textId="77777777" w:rsidTr="00CA7302">
        <w:tc>
          <w:tcPr>
            <w:tcW w:w="3397" w:type="dxa"/>
            <w:shd w:val="clear" w:color="auto" w:fill="146692" w:themeFill="text2"/>
          </w:tcPr>
          <w:p w14:paraId="198F5372" w14:textId="5FEF3714" w:rsidR="006F487A" w:rsidRPr="006F487A" w:rsidRDefault="006F487A" w:rsidP="0093486F">
            <w:pPr>
              <w:spacing w:before="20" w:after="20" w:line="120" w:lineRule="atLeast"/>
              <w:rPr>
                <w:b/>
                <w:color w:val="FFFFFF" w:themeColor="background1"/>
              </w:rPr>
            </w:pPr>
            <w:r w:rsidRPr="006F487A">
              <w:rPr>
                <w:b/>
                <w:color w:val="FFFFFF" w:themeColor="background1"/>
              </w:rPr>
              <w:t xml:space="preserve">Conventional discoveries </w:t>
            </w:r>
          </w:p>
        </w:tc>
        <w:tc>
          <w:tcPr>
            <w:tcW w:w="6232" w:type="dxa"/>
            <w:shd w:val="clear" w:color="auto" w:fill="DAEFFA"/>
          </w:tcPr>
          <w:p w14:paraId="2A80EB78" w14:textId="7720E03D" w:rsidR="006F487A" w:rsidRDefault="006F487A" w:rsidP="0093486F">
            <w:pPr>
              <w:spacing w:before="20" w:after="20" w:line="120" w:lineRule="atLeast"/>
            </w:pPr>
            <w:r w:rsidRPr="00960B30">
              <w:t>Mereenie 1963 (oil and gas); Palm Valley 1995 (gas); Dingo 1985 (gas); Surprise 2011 (oil)</w:t>
            </w:r>
          </w:p>
        </w:tc>
      </w:tr>
      <w:tr w:rsidR="006F487A" w14:paraId="7745D649" w14:textId="77777777" w:rsidTr="00CA7302">
        <w:tc>
          <w:tcPr>
            <w:tcW w:w="3397" w:type="dxa"/>
            <w:shd w:val="clear" w:color="auto" w:fill="146692" w:themeFill="text2"/>
          </w:tcPr>
          <w:p w14:paraId="7B8B4124" w14:textId="43478C88" w:rsidR="006F487A" w:rsidRPr="006F487A" w:rsidRDefault="006F487A" w:rsidP="0093486F">
            <w:pPr>
              <w:spacing w:before="20" w:after="20" w:line="120" w:lineRule="atLeast"/>
              <w:rPr>
                <w:b/>
                <w:color w:val="FFFFFF" w:themeColor="background1"/>
              </w:rPr>
            </w:pPr>
            <w:r w:rsidRPr="006F487A">
              <w:rPr>
                <w:b/>
                <w:color w:val="FFFFFF" w:themeColor="background1"/>
              </w:rPr>
              <w:t>Hydrocarbon production – total to date</w:t>
            </w:r>
          </w:p>
        </w:tc>
        <w:tc>
          <w:tcPr>
            <w:tcW w:w="6232" w:type="dxa"/>
            <w:shd w:val="clear" w:color="auto" w:fill="DAEFFA"/>
          </w:tcPr>
          <w:p w14:paraId="284EEF7A" w14:textId="2AE7075D" w:rsidR="006F487A" w:rsidRDefault="006F487A" w:rsidP="0093486F">
            <w:pPr>
              <w:spacing w:before="20" w:after="20" w:line="120" w:lineRule="atLeast"/>
            </w:pPr>
            <w:r w:rsidRPr="00B86422">
              <w:t>0.41</w:t>
            </w:r>
            <w:r>
              <w:t xml:space="preserve"> Tcf</w:t>
            </w:r>
            <w:r w:rsidRPr="00B86422">
              <w:t xml:space="preserve"> </w:t>
            </w:r>
            <w:r>
              <w:t xml:space="preserve">cumulative </w:t>
            </w:r>
            <w:r w:rsidRPr="00B86422">
              <w:t xml:space="preserve">conventional gas </w:t>
            </w:r>
            <w:r>
              <w:t xml:space="preserve">production </w:t>
            </w:r>
            <w:r w:rsidRPr="00B86422">
              <w:t>(current to 2014; AERA, 2018); includes production from fracture stimulated tight conventional reservoirs around the Mereenie and Palm Valley fields</w:t>
            </w:r>
          </w:p>
        </w:tc>
      </w:tr>
      <w:tr w:rsidR="006F487A" w14:paraId="360CFAEA" w14:textId="77777777" w:rsidTr="00CA7302">
        <w:tc>
          <w:tcPr>
            <w:tcW w:w="3397" w:type="dxa"/>
            <w:shd w:val="clear" w:color="auto" w:fill="146692" w:themeFill="text2"/>
          </w:tcPr>
          <w:p w14:paraId="0012B99B" w14:textId="7C1238F9" w:rsidR="006F487A" w:rsidRPr="006F487A" w:rsidRDefault="006F487A" w:rsidP="0093486F">
            <w:pPr>
              <w:spacing w:before="20" w:after="20" w:line="120" w:lineRule="atLeast"/>
              <w:rPr>
                <w:b/>
                <w:color w:val="FFFFFF" w:themeColor="background1"/>
              </w:rPr>
            </w:pPr>
            <w:r w:rsidRPr="006F487A">
              <w:rPr>
                <w:b/>
                <w:color w:val="FFFFFF" w:themeColor="background1"/>
              </w:rPr>
              <w:t xml:space="preserve">2P Reserves </w:t>
            </w:r>
          </w:p>
        </w:tc>
        <w:tc>
          <w:tcPr>
            <w:tcW w:w="6232" w:type="dxa"/>
            <w:shd w:val="clear" w:color="auto" w:fill="DAEFFA"/>
          </w:tcPr>
          <w:p w14:paraId="69672BEC" w14:textId="62209F84" w:rsidR="006F487A" w:rsidRDefault="006F487A" w:rsidP="0093486F">
            <w:pPr>
              <w:spacing w:before="20" w:after="20" w:line="120" w:lineRule="atLeast"/>
            </w:pPr>
            <w:r w:rsidRPr="00EA001B">
              <w:t>0.32 Tcf conventional reserves (current to 2014; AERA, 2018)</w:t>
            </w:r>
          </w:p>
        </w:tc>
      </w:tr>
      <w:tr w:rsidR="006F487A" w14:paraId="5FD26DE0" w14:textId="77777777" w:rsidTr="00CA7302">
        <w:tc>
          <w:tcPr>
            <w:tcW w:w="3397" w:type="dxa"/>
            <w:shd w:val="clear" w:color="auto" w:fill="146692" w:themeFill="text2"/>
          </w:tcPr>
          <w:p w14:paraId="50DC7EEA" w14:textId="18947CEC" w:rsidR="006F487A" w:rsidRPr="006F487A" w:rsidRDefault="006F487A" w:rsidP="0093486F">
            <w:pPr>
              <w:spacing w:before="20" w:after="20" w:line="120" w:lineRule="atLeast"/>
              <w:rPr>
                <w:b/>
                <w:color w:val="FFFFFF" w:themeColor="background1"/>
              </w:rPr>
            </w:pPr>
            <w:r w:rsidRPr="006F487A">
              <w:rPr>
                <w:b/>
                <w:color w:val="FFFFFF" w:themeColor="background1"/>
              </w:rPr>
              <w:t>Remaining resources (reserves + contingent resources)</w:t>
            </w:r>
          </w:p>
        </w:tc>
        <w:tc>
          <w:tcPr>
            <w:tcW w:w="6232" w:type="dxa"/>
            <w:shd w:val="clear" w:color="auto" w:fill="DAEFFA"/>
          </w:tcPr>
          <w:p w14:paraId="35FDAC94" w14:textId="138927C7" w:rsidR="006F487A" w:rsidRDefault="006F487A" w:rsidP="0093486F">
            <w:pPr>
              <w:spacing w:before="20" w:after="20" w:line="120" w:lineRule="atLeast"/>
            </w:pPr>
            <w:r>
              <w:t>0.4 Tcf</w:t>
            </w:r>
            <w:r w:rsidRPr="00EA001B">
              <w:t xml:space="preserve"> </w:t>
            </w:r>
            <w:r>
              <w:t xml:space="preserve">remaining conventional resources </w:t>
            </w:r>
            <w:r w:rsidRPr="00EA001B">
              <w:t>(current to 2014; AERA, 2018)</w:t>
            </w:r>
          </w:p>
        </w:tc>
      </w:tr>
      <w:tr w:rsidR="006F487A" w14:paraId="7667D4A1" w14:textId="77777777" w:rsidTr="00CA7302">
        <w:tc>
          <w:tcPr>
            <w:tcW w:w="3397" w:type="dxa"/>
            <w:shd w:val="clear" w:color="auto" w:fill="146692" w:themeFill="text2"/>
          </w:tcPr>
          <w:p w14:paraId="2C690AD4" w14:textId="0FC7C00F" w:rsidR="006F487A" w:rsidRPr="006F487A" w:rsidRDefault="006F487A" w:rsidP="0093486F">
            <w:pPr>
              <w:spacing w:before="20" w:after="20" w:line="120" w:lineRule="atLeast"/>
              <w:rPr>
                <w:b/>
                <w:color w:val="FFFFFF" w:themeColor="background1"/>
              </w:rPr>
            </w:pPr>
            <w:r w:rsidRPr="006F487A">
              <w:rPr>
                <w:b/>
                <w:color w:val="FFFFFF" w:themeColor="background1"/>
              </w:rPr>
              <w:t xml:space="preserve">Undiscovered resource estimates </w:t>
            </w:r>
          </w:p>
        </w:tc>
        <w:tc>
          <w:tcPr>
            <w:tcW w:w="6232" w:type="dxa"/>
            <w:shd w:val="clear" w:color="auto" w:fill="DAEFFA"/>
          </w:tcPr>
          <w:p w14:paraId="54D1243B" w14:textId="7D1FACDA" w:rsidR="006F487A" w:rsidRDefault="006F487A" w:rsidP="0093486F">
            <w:pPr>
              <w:spacing w:before="20" w:after="20" w:line="120" w:lineRule="atLeast"/>
            </w:pPr>
            <w:r>
              <w:t>Conventional prospective resources unknown; see below for prospective shale/ tight resources</w:t>
            </w:r>
          </w:p>
        </w:tc>
      </w:tr>
      <w:tr w:rsidR="006F487A" w14:paraId="0910E2D6" w14:textId="77777777" w:rsidTr="00CA7302">
        <w:tc>
          <w:tcPr>
            <w:tcW w:w="9629" w:type="dxa"/>
            <w:gridSpan w:val="2"/>
            <w:shd w:val="clear" w:color="auto" w:fill="146692" w:themeFill="text2"/>
          </w:tcPr>
          <w:p w14:paraId="243E6762" w14:textId="5FD06E3B" w:rsidR="006F487A" w:rsidRPr="006F487A" w:rsidRDefault="006F487A" w:rsidP="0093486F">
            <w:pPr>
              <w:spacing w:before="20" w:after="20" w:line="120" w:lineRule="atLeast"/>
              <w:rPr>
                <w:b/>
                <w:color w:val="FFFFFF" w:themeColor="background1"/>
              </w:rPr>
            </w:pPr>
            <w:r w:rsidRPr="006F487A">
              <w:rPr>
                <w:b/>
                <w:color w:val="FFFFFF" w:themeColor="background1"/>
              </w:rPr>
              <w:t>PETROLEUM PROSPECTIVITY – SHALE/ TIGHT GAS</w:t>
            </w:r>
          </w:p>
        </w:tc>
      </w:tr>
      <w:tr w:rsidR="006F487A" w14:paraId="157FD29C" w14:textId="77777777" w:rsidTr="00CA7302">
        <w:tc>
          <w:tcPr>
            <w:tcW w:w="3397" w:type="dxa"/>
            <w:shd w:val="clear" w:color="auto" w:fill="146692" w:themeFill="text2"/>
          </w:tcPr>
          <w:p w14:paraId="008FAA29" w14:textId="3D11C0DC" w:rsidR="006F487A" w:rsidRPr="006F487A" w:rsidRDefault="006F487A" w:rsidP="0093486F">
            <w:pPr>
              <w:spacing w:before="20" w:after="20" w:line="120" w:lineRule="atLeast"/>
              <w:rPr>
                <w:b/>
                <w:color w:val="FFFFFF" w:themeColor="background1"/>
              </w:rPr>
            </w:pPr>
            <w:r w:rsidRPr="006F487A">
              <w:rPr>
                <w:b/>
                <w:color w:val="FFFFFF" w:themeColor="background1"/>
              </w:rPr>
              <w:t>Unconventional play types</w:t>
            </w:r>
          </w:p>
        </w:tc>
        <w:tc>
          <w:tcPr>
            <w:tcW w:w="6232" w:type="dxa"/>
            <w:shd w:val="clear" w:color="auto" w:fill="DAEFFA"/>
          </w:tcPr>
          <w:p w14:paraId="227FA23D" w14:textId="6D20949B" w:rsidR="006F487A" w:rsidRDefault="006F487A" w:rsidP="0093486F">
            <w:pPr>
              <w:spacing w:before="20" w:after="20" w:line="120" w:lineRule="atLeast"/>
            </w:pPr>
            <w:r>
              <w:t>T</w:t>
            </w:r>
            <w:r w:rsidRPr="00960B30">
              <w:t>ight gas, shale gas</w:t>
            </w:r>
          </w:p>
        </w:tc>
      </w:tr>
      <w:tr w:rsidR="006F487A" w14:paraId="4B2873D4" w14:textId="77777777" w:rsidTr="00CA7302">
        <w:tc>
          <w:tcPr>
            <w:tcW w:w="3397" w:type="dxa"/>
            <w:shd w:val="clear" w:color="auto" w:fill="146692" w:themeFill="text2"/>
          </w:tcPr>
          <w:p w14:paraId="5C2E6341" w14:textId="15F1F29A" w:rsidR="006F487A" w:rsidRPr="006F487A" w:rsidRDefault="006F487A" w:rsidP="0093486F">
            <w:pPr>
              <w:spacing w:before="20" w:after="20" w:line="120" w:lineRule="atLeast"/>
              <w:rPr>
                <w:b/>
                <w:color w:val="FFFFFF" w:themeColor="background1"/>
              </w:rPr>
            </w:pPr>
            <w:r w:rsidRPr="006F487A">
              <w:rPr>
                <w:b/>
                <w:color w:val="FFFFFF" w:themeColor="background1"/>
              </w:rPr>
              <w:t>Wells targeting shale/tight gas plays</w:t>
            </w:r>
          </w:p>
        </w:tc>
        <w:tc>
          <w:tcPr>
            <w:tcW w:w="6232" w:type="dxa"/>
            <w:shd w:val="clear" w:color="auto" w:fill="DAEFFA"/>
          </w:tcPr>
          <w:p w14:paraId="7AA29B30" w14:textId="7DF4ADD2" w:rsidR="006F487A" w:rsidRDefault="006F487A" w:rsidP="0093486F">
            <w:pPr>
              <w:spacing w:before="20" w:after="20" w:line="120" w:lineRule="atLeast"/>
            </w:pPr>
            <w:r>
              <w:t>N</w:t>
            </w:r>
            <w:r w:rsidRPr="00960B30">
              <w:t>one</w:t>
            </w:r>
            <w:r>
              <w:t xml:space="preserve"> targeting shale or tight gas only</w:t>
            </w:r>
          </w:p>
        </w:tc>
      </w:tr>
      <w:tr w:rsidR="006F487A" w14:paraId="677CCBD4" w14:textId="77777777" w:rsidTr="00CA7302">
        <w:tc>
          <w:tcPr>
            <w:tcW w:w="3397" w:type="dxa"/>
            <w:shd w:val="clear" w:color="auto" w:fill="146692" w:themeFill="text2"/>
          </w:tcPr>
          <w:p w14:paraId="75AA4C21" w14:textId="2EBD541E" w:rsidR="006F487A" w:rsidRPr="006F487A" w:rsidRDefault="006F487A" w:rsidP="0093486F">
            <w:pPr>
              <w:spacing w:before="20" w:after="20" w:line="120" w:lineRule="atLeast"/>
              <w:rPr>
                <w:b/>
                <w:color w:val="FFFFFF" w:themeColor="background1"/>
              </w:rPr>
            </w:pPr>
            <w:r w:rsidRPr="006F487A">
              <w:rPr>
                <w:b/>
                <w:color w:val="FFFFFF" w:themeColor="background1"/>
              </w:rPr>
              <w:t>Production – shale/ tight gas</w:t>
            </w:r>
          </w:p>
        </w:tc>
        <w:tc>
          <w:tcPr>
            <w:tcW w:w="6232" w:type="dxa"/>
            <w:shd w:val="clear" w:color="auto" w:fill="DAEFFA"/>
          </w:tcPr>
          <w:p w14:paraId="2137747E" w14:textId="3050BC12" w:rsidR="006F487A" w:rsidRDefault="006F487A" w:rsidP="0093486F">
            <w:pPr>
              <w:spacing w:before="20" w:after="20" w:line="120" w:lineRule="atLeast"/>
            </w:pPr>
            <w:r w:rsidRPr="00960B30">
              <w:t>None; note production from tight reservoirs in conventional wells (above)</w:t>
            </w:r>
          </w:p>
        </w:tc>
      </w:tr>
      <w:tr w:rsidR="006F487A" w14:paraId="106F460E" w14:textId="77777777" w:rsidTr="00CA7302">
        <w:tc>
          <w:tcPr>
            <w:tcW w:w="3397" w:type="dxa"/>
            <w:shd w:val="clear" w:color="auto" w:fill="146692" w:themeFill="text2"/>
          </w:tcPr>
          <w:p w14:paraId="2E048C23" w14:textId="244BC8B8" w:rsidR="006F487A" w:rsidRPr="006F487A" w:rsidRDefault="006F487A" w:rsidP="0093486F">
            <w:pPr>
              <w:spacing w:before="20" w:after="20" w:line="120" w:lineRule="atLeast"/>
              <w:rPr>
                <w:b/>
                <w:color w:val="FFFFFF" w:themeColor="background1"/>
              </w:rPr>
            </w:pPr>
            <w:r w:rsidRPr="006F487A">
              <w:rPr>
                <w:b/>
                <w:color w:val="FFFFFF" w:themeColor="background1"/>
              </w:rPr>
              <w:t>2P Reserves – shale/ tight gas</w:t>
            </w:r>
          </w:p>
        </w:tc>
        <w:tc>
          <w:tcPr>
            <w:tcW w:w="6232" w:type="dxa"/>
            <w:shd w:val="clear" w:color="auto" w:fill="DAEFFA"/>
          </w:tcPr>
          <w:p w14:paraId="7F80EF75" w14:textId="0A600DF1" w:rsidR="006F487A" w:rsidRDefault="006F487A" w:rsidP="0093486F">
            <w:pPr>
              <w:spacing w:before="20" w:after="20" w:line="120" w:lineRule="atLeast"/>
            </w:pPr>
            <w:r w:rsidRPr="00960B30">
              <w:t>No reserves booked</w:t>
            </w:r>
          </w:p>
        </w:tc>
      </w:tr>
      <w:tr w:rsidR="006F487A" w14:paraId="77A5CE37" w14:textId="77777777" w:rsidTr="00CA7302">
        <w:tc>
          <w:tcPr>
            <w:tcW w:w="3397" w:type="dxa"/>
            <w:shd w:val="clear" w:color="auto" w:fill="146692" w:themeFill="text2"/>
          </w:tcPr>
          <w:p w14:paraId="5D94B751" w14:textId="22039AE3" w:rsidR="006F487A" w:rsidRPr="006F487A" w:rsidRDefault="006F487A" w:rsidP="0093486F">
            <w:pPr>
              <w:spacing w:before="20" w:after="20" w:line="120" w:lineRule="atLeast"/>
              <w:rPr>
                <w:b/>
                <w:color w:val="FFFFFF" w:themeColor="background1"/>
              </w:rPr>
            </w:pPr>
            <w:r w:rsidRPr="006F487A">
              <w:rPr>
                <w:b/>
                <w:color w:val="FFFFFF" w:themeColor="background1"/>
              </w:rPr>
              <w:t>Remaining resources (reserves + contingent resources) – shale/ tight gas</w:t>
            </w:r>
          </w:p>
        </w:tc>
        <w:tc>
          <w:tcPr>
            <w:tcW w:w="6232" w:type="dxa"/>
            <w:shd w:val="clear" w:color="auto" w:fill="DAEFFA"/>
          </w:tcPr>
          <w:p w14:paraId="2D497F4F" w14:textId="7F59C31D" w:rsidR="006F487A" w:rsidRDefault="006F487A" w:rsidP="0093486F">
            <w:pPr>
              <w:spacing w:before="20" w:after="20" w:line="120" w:lineRule="atLeast"/>
            </w:pPr>
            <w:r>
              <w:t>None reported</w:t>
            </w:r>
          </w:p>
        </w:tc>
      </w:tr>
      <w:tr w:rsidR="006F487A" w14:paraId="29F5E59C" w14:textId="77777777" w:rsidTr="00CA7302">
        <w:tc>
          <w:tcPr>
            <w:tcW w:w="3397" w:type="dxa"/>
            <w:shd w:val="clear" w:color="auto" w:fill="146692" w:themeFill="text2"/>
          </w:tcPr>
          <w:p w14:paraId="2244CEC6" w14:textId="319F28C5" w:rsidR="006F487A" w:rsidRPr="006F487A" w:rsidRDefault="006F487A" w:rsidP="0093486F">
            <w:pPr>
              <w:spacing w:before="20" w:after="20" w:line="120" w:lineRule="atLeast"/>
              <w:rPr>
                <w:b/>
                <w:color w:val="FFFFFF" w:themeColor="background1"/>
              </w:rPr>
            </w:pPr>
            <w:r w:rsidRPr="006F487A">
              <w:rPr>
                <w:b/>
                <w:color w:val="FFFFFF" w:themeColor="background1"/>
              </w:rPr>
              <w:lastRenderedPageBreak/>
              <w:t>Undiscovered resources estimates – shale/ tight gas</w:t>
            </w:r>
          </w:p>
        </w:tc>
        <w:tc>
          <w:tcPr>
            <w:tcW w:w="6232" w:type="dxa"/>
            <w:shd w:val="clear" w:color="auto" w:fill="DAEFFA"/>
          </w:tcPr>
          <w:p w14:paraId="41EBE382" w14:textId="77777777" w:rsidR="006F487A" w:rsidRDefault="006F487A" w:rsidP="0093486F">
            <w:pPr>
              <w:pStyle w:val="TableBullet"/>
              <w:widowControl w:val="0"/>
              <w:ind w:left="170" w:hanging="170"/>
            </w:pPr>
            <w:r w:rsidRPr="00960B30">
              <w:t>Horn Valley</w:t>
            </w:r>
            <w:r>
              <w:t xml:space="preserve"> Siltstone shale gas play best estimated recoverable resource of </w:t>
            </w:r>
            <w:r w:rsidRPr="00960B30">
              <w:t>16 Tcf (</w:t>
            </w:r>
            <w:r>
              <w:t>prospective area</w:t>
            </w:r>
            <w:r w:rsidRPr="00960B30">
              <w:t xml:space="preserve"> </w:t>
            </w:r>
            <w:r>
              <w:t>7,267 km</w:t>
            </w:r>
            <w:r w:rsidRPr="00D94887">
              <w:rPr>
                <w:vertAlign w:val="superscript"/>
              </w:rPr>
              <w:t>2</w:t>
            </w:r>
            <w:r>
              <w:t xml:space="preserve">; </w:t>
            </w:r>
            <w:r w:rsidRPr="00960B30">
              <w:t>AWT</w:t>
            </w:r>
            <w:r>
              <w:t xml:space="preserve"> International, 2013)</w:t>
            </w:r>
          </w:p>
          <w:p w14:paraId="44BD370E" w14:textId="1183D92E" w:rsidR="006F487A" w:rsidRDefault="006F487A" w:rsidP="0093486F">
            <w:pPr>
              <w:pStyle w:val="TableBullet"/>
              <w:widowControl w:val="0"/>
              <w:ind w:left="170" w:hanging="170"/>
            </w:pPr>
            <w:r>
              <w:t xml:space="preserve">Mean </w:t>
            </w:r>
            <w:r>
              <w:rPr>
                <w:rFonts w:eastAsiaTheme="minorHAnsi"/>
              </w:rPr>
              <w:t>probabilistic unrisked prospective recoverable resources for the</w:t>
            </w:r>
            <w:r w:rsidRPr="00960B30">
              <w:t xml:space="preserve"> </w:t>
            </w:r>
            <w:r>
              <w:t>l</w:t>
            </w:r>
            <w:r w:rsidRPr="00960B30">
              <w:t>ower Larapinta</w:t>
            </w:r>
            <w:r>
              <w:t xml:space="preserve"> Group of </w:t>
            </w:r>
            <w:r w:rsidRPr="00960B30">
              <w:t>26</w:t>
            </w:r>
            <w:r>
              <w:t>.2</w:t>
            </w:r>
            <w:r w:rsidRPr="00960B30">
              <w:t xml:space="preserve"> Tcf</w:t>
            </w:r>
            <w:r>
              <w:t>, including 11.3 Tcf of Horn Valley Siltstone shale gas (prospective area</w:t>
            </w:r>
            <w:r w:rsidRPr="00960B30">
              <w:t xml:space="preserve"> </w:t>
            </w:r>
            <w:r>
              <w:t>7,395 km</w:t>
            </w:r>
            <w:r w:rsidRPr="00BC5B2A">
              <w:rPr>
                <w:vertAlign w:val="superscript"/>
              </w:rPr>
              <w:t>2</w:t>
            </w:r>
            <w:r>
              <w:t>), 9.8 Tcf of Pacoota Sandstone tight gas (prospective area</w:t>
            </w:r>
            <w:r w:rsidRPr="00960B30">
              <w:t xml:space="preserve"> </w:t>
            </w:r>
            <w:r>
              <w:t>3,440 km</w:t>
            </w:r>
            <w:r w:rsidRPr="00BC5B2A">
              <w:rPr>
                <w:vertAlign w:val="superscript"/>
              </w:rPr>
              <w:t>2</w:t>
            </w:r>
            <w:r>
              <w:t>) and 5.1 Tcf of Stairway Sandstone tight gas (prospective area</w:t>
            </w:r>
            <w:r w:rsidRPr="00960B30">
              <w:t xml:space="preserve"> </w:t>
            </w:r>
            <w:r>
              <w:t>3,440 km</w:t>
            </w:r>
            <w:r w:rsidRPr="00BC5B2A">
              <w:rPr>
                <w:vertAlign w:val="superscript"/>
              </w:rPr>
              <w:t>2</w:t>
            </w:r>
            <w:r>
              <w:t xml:space="preserve">) </w:t>
            </w:r>
            <w:r w:rsidRPr="00960B30">
              <w:t>(Table A.3; DSWPET, 2011</w:t>
            </w:r>
            <w:r>
              <w:t>; AERA, 2018</w:t>
            </w:r>
            <w:r w:rsidRPr="00960B30">
              <w:t>)</w:t>
            </w:r>
          </w:p>
        </w:tc>
      </w:tr>
      <w:tr w:rsidR="006F487A" w14:paraId="508242CD" w14:textId="77777777" w:rsidTr="00CA7302">
        <w:tc>
          <w:tcPr>
            <w:tcW w:w="3397" w:type="dxa"/>
            <w:shd w:val="clear" w:color="auto" w:fill="146692" w:themeFill="text2"/>
          </w:tcPr>
          <w:p w14:paraId="121C42BA" w14:textId="0A2F8338" w:rsidR="006F487A" w:rsidRPr="006F487A" w:rsidRDefault="006F487A" w:rsidP="0093486F">
            <w:pPr>
              <w:spacing w:before="20" w:after="20" w:line="120" w:lineRule="atLeast"/>
              <w:rPr>
                <w:b/>
                <w:color w:val="FFFFFF" w:themeColor="background1"/>
              </w:rPr>
            </w:pPr>
            <w:r w:rsidRPr="006F487A">
              <w:rPr>
                <w:b/>
                <w:color w:val="FFFFFF" w:themeColor="background1"/>
              </w:rPr>
              <w:t>Hydrocarbon shows, tests – shale/ tight gas</w:t>
            </w:r>
          </w:p>
        </w:tc>
        <w:tc>
          <w:tcPr>
            <w:tcW w:w="6232" w:type="dxa"/>
            <w:shd w:val="clear" w:color="auto" w:fill="DAEFFA"/>
          </w:tcPr>
          <w:p w14:paraId="6138863A" w14:textId="5BC9B616" w:rsidR="006F487A" w:rsidRDefault="006F487A" w:rsidP="0093486F">
            <w:pPr>
              <w:spacing w:before="20" w:after="20" w:line="120" w:lineRule="atLeast"/>
            </w:pPr>
            <w:r w:rsidRPr="00960B30">
              <w:t>Potential for tight gas indicated by minor gas production from tight reservoirs in conventional fields</w:t>
            </w:r>
          </w:p>
        </w:tc>
      </w:tr>
    </w:tbl>
    <w:p w14:paraId="0A0CD4EA" w14:textId="77777777" w:rsidR="001E0B4B" w:rsidRDefault="001E0B4B" w:rsidP="00F004F5">
      <w:pPr>
        <w:pStyle w:val="AppendixHeading3"/>
        <w:keepLines w:val="0"/>
      </w:pPr>
      <w:r>
        <w:t>Basin Geology</w:t>
      </w:r>
      <w:bookmarkEnd w:id="51"/>
    </w:p>
    <w:p w14:paraId="2950D2E6" w14:textId="23CD75AE" w:rsidR="001E0B4B" w:rsidRPr="0083382B" w:rsidRDefault="001E0B4B" w:rsidP="0083382B">
      <w:pPr>
        <w:pStyle w:val="BodyText"/>
      </w:pPr>
      <w:r w:rsidRPr="0083382B">
        <w:t>The Amadeus Basin is a Neoproterozoic to Late Devonian sedimentary basin (Edgoose, 2013; Munson, 2014). It is located mainly in the Northern Territory, but also extends into Western Australia and just into South Australia (</w:t>
      </w:r>
      <w:r w:rsidR="00611607">
        <w:t>Figure C</w:t>
      </w:r>
      <w:r w:rsidR="008C2054" w:rsidRPr="0083382B">
        <w:t>.1</w:t>
      </w:r>
      <w:r w:rsidRPr="0083382B">
        <w:t>). The areal extent of the basin is about 180,000</w:t>
      </w:r>
      <w:r w:rsidR="008232C9">
        <w:t> km</w:t>
      </w:r>
      <w:r w:rsidRPr="000350BE">
        <w:rPr>
          <w:rStyle w:val="Superscript"/>
        </w:rPr>
        <w:t>2</w:t>
      </w:r>
      <w:r w:rsidRPr="0083382B">
        <w:t>, of which less than one fifth is exposed</w:t>
      </w:r>
      <w:r w:rsidR="00FA0FB9">
        <w:t xml:space="preserve"> at the surface</w:t>
      </w:r>
      <w:r w:rsidRPr="0083382B">
        <w:t xml:space="preserve"> (Edgoose, 2013). </w:t>
      </w:r>
    </w:p>
    <w:p w14:paraId="1CB79CBF" w14:textId="77777777" w:rsidR="001E0B4B" w:rsidRPr="0083382B" w:rsidRDefault="001E0B4B" w:rsidP="0083382B">
      <w:pPr>
        <w:pStyle w:val="BodyText"/>
      </w:pPr>
      <w:r w:rsidRPr="0083382B">
        <w:t>The Amadeus Basin contains up to 14</w:t>
      </w:r>
      <w:r w:rsidR="008232C9">
        <w:t> km</w:t>
      </w:r>
      <w:r w:rsidRPr="0083382B">
        <w:t xml:space="preserve"> of clastic, carbonate and evaporitic sedimentary rocks, which were deposited in shallow marine to continental environments during periods of extension and thermal subsidence the late Proterozoic–early Paleozoic and Late Devonian (</w:t>
      </w:r>
      <w:r w:rsidR="00611607">
        <w:t>Figure C</w:t>
      </w:r>
      <w:r w:rsidR="00873419" w:rsidRPr="0083382B">
        <w:t>.2</w:t>
      </w:r>
      <w:r w:rsidRPr="0083382B">
        <w:t>; Wells et al., 1970; Korsch and Kennard, 1991; Lindsay and Korsch, 1989, 1991; Wellman, 1991; Edgoose, 2013; Munson, 2014). The basin overlies the Musgrave Province in the south, and the Arunta Region in the north. The basin is overlain by the Permian–Triassic Pedirka Basin and the Mesozoic Eromanga Basin to the southeast, and possibly by the Paleozoic Canning Basin to the west (Edgoose, 2013).</w:t>
      </w:r>
    </w:p>
    <w:p w14:paraId="4B050109" w14:textId="77777777" w:rsidR="001E0B4B" w:rsidRPr="0083382B" w:rsidRDefault="001E0B4B" w:rsidP="0083382B">
      <w:pPr>
        <w:pStyle w:val="BodyText"/>
      </w:pPr>
      <w:r w:rsidRPr="0083382B">
        <w:t>The Amadeus Basin is subdivided into a platform area in the south and west, with a 2</w:t>
      </w:r>
      <w:r w:rsidR="008232C9">
        <w:t> km</w:t>
      </w:r>
      <w:r w:rsidRPr="0083382B">
        <w:t xml:space="preserve"> thick sediment cover, and the Ooraminna, Carmichael, and Idirriki sub-basins along the northern margin, in which the sedimentary successions are generally between 6</w:t>
      </w:r>
      <w:r w:rsidR="008232C9">
        <w:t> km</w:t>
      </w:r>
      <w:r w:rsidRPr="0083382B">
        <w:t xml:space="preserve"> and 14</w:t>
      </w:r>
      <w:r w:rsidR="008232C9">
        <w:t> km</w:t>
      </w:r>
      <w:r w:rsidRPr="0083382B">
        <w:t xml:space="preserve"> thick (Lindsay and Korsch, 1989). Structural highs occur throughout the basin, the most pronounced being the Central Ridge, which extends in a broad arch along the southern margin of the northern sub-basins and the Missionary Plain Trough (</w:t>
      </w:r>
      <w:r w:rsidR="00611607">
        <w:t>Figure C</w:t>
      </w:r>
      <w:r w:rsidR="007D5639">
        <w:t>.1</w:t>
      </w:r>
      <w:r w:rsidRPr="0083382B">
        <w:t>). It is considered to have initiated in the late Neoproterozoic and was enhanced by salt migration from the Bitter Springs Formation (Lindsay and Korsch, 1991; Oaks et al., 1991).</w:t>
      </w:r>
    </w:p>
    <w:p w14:paraId="1A059236" w14:textId="7A1FC267" w:rsidR="001E0B4B" w:rsidRPr="0083382B" w:rsidRDefault="001E0B4B" w:rsidP="0083382B">
      <w:pPr>
        <w:pStyle w:val="BodyText"/>
      </w:pPr>
      <w:r w:rsidRPr="0083382B">
        <w:t>The Amadeus Basin has undergone a complex tectonic evolution. Areas in the southwest of the basin were mostly affected by the 580–53</w:t>
      </w:r>
      <w:r w:rsidR="004C01AB">
        <w:t>0 </w:t>
      </w:r>
      <w:r w:rsidR="00441B07">
        <w:t>M</w:t>
      </w:r>
      <w:r w:rsidRPr="0083382B">
        <w:t>a Petermann Orogeny (Forman, 1966; Edgoose et al., 2004), and areas in the north were mostly affected by the late Ordovician to Carboniferous Alice Springs Orogeny. The contractional structures developed during these orogenies are often expressed at the surface as recumbent nappes, fault-related folds, and thrust sheets (Stewart, 1967; Forman, 1971; Stewart et al., 1991; Flöttmann and Hand, 1999; Flöttmann et al., 2004); these structures indicate a crustal shortening of 50–125</w:t>
      </w:r>
      <w:r w:rsidR="008232C9">
        <w:t> km</w:t>
      </w:r>
      <w:r w:rsidRPr="0083382B">
        <w:t xml:space="preserve"> (Stewart et al., 1991; Shaw et al., 1991, 1992; Haines et al., 2001).</w:t>
      </w:r>
    </w:p>
    <w:p w14:paraId="002EF3CD" w14:textId="77777777" w:rsidR="001E0B4B" w:rsidRDefault="001E0B4B" w:rsidP="003739CA">
      <w:pPr>
        <w:pStyle w:val="FiguresImagesCentred"/>
      </w:pPr>
      <w:r w:rsidRPr="003739CA">
        <w:rPr>
          <w:noProof/>
        </w:rPr>
        <w:lastRenderedPageBreak/>
        <w:drawing>
          <wp:inline distT="0" distB="0" distL="0" distR="0" wp14:anchorId="1FD61458" wp14:editId="63224490">
            <wp:extent cx="5749614" cy="7823308"/>
            <wp:effectExtent l="0" t="0" r="3810" b="6350"/>
            <wp:docPr id="7178" name="Picture 7178" title="(a) Location of the Amadeus Basin on a base map of surface geology. The surface geology is from the 1:1 000 000 scale geology map of Australia (Raymond, 2009), and the outline of the Amadeus Basin is from Stewart et al. (2013). (b) Map of the Amadeus Basin showing locations of the key depocentres (after Lindsay and Korsch, 1989,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screen">
                      <a:extLst>
                        <a:ext uri="{28A0092B-C50C-407E-A947-70E740481C1C}">
                          <a14:useLocalDpi xmlns:a14="http://schemas.microsoft.com/office/drawing/2010/main"/>
                        </a:ext>
                      </a:extLst>
                    </a:blip>
                    <a:stretch>
                      <a:fillRect/>
                    </a:stretch>
                  </pic:blipFill>
                  <pic:spPr>
                    <a:xfrm>
                      <a:off x="0" y="0"/>
                      <a:ext cx="5752609" cy="7827383"/>
                    </a:xfrm>
                    <a:prstGeom prst="rect">
                      <a:avLst/>
                    </a:prstGeom>
                  </pic:spPr>
                </pic:pic>
              </a:graphicData>
            </a:graphic>
          </wp:inline>
        </w:drawing>
      </w:r>
    </w:p>
    <w:p w14:paraId="244BB1D4" w14:textId="77777777" w:rsidR="001E0B4B" w:rsidRPr="002C4978" w:rsidRDefault="00E34CDE" w:rsidP="005E6901">
      <w:pPr>
        <w:pStyle w:val="Caption"/>
        <w:keepLines/>
      </w:pPr>
      <w:bookmarkStart w:id="52" w:name="_Ref426359436"/>
      <w:bookmarkStart w:id="53" w:name="_Toc508972072"/>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w:t>
      </w:r>
      <w:r w:rsidR="008079F1">
        <w:rPr>
          <w:noProof/>
        </w:rPr>
        <w:fldChar w:fldCharType="end"/>
      </w:r>
      <w:r>
        <w:rPr>
          <w:noProof/>
        </w:rPr>
        <w:t xml:space="preserve"> </w:t>
      </w:r>
      <w:r w:rsidR="001E0B4B" w:rsidRPr="002C4978">
        <w:t>Location of the Amadeus Basin on a base map of surface geology</w:t>
      </w:r>
      <w:r w:rsidR="001E0B4B">
        <w:t xml:space="preserve"> from Carr et al. (2016)</w:t>
      </w:r>
      <w:r w:rsidR="001E0B4B" w:rsidRPr="002C4978">
        <w:t>. The surface geology is from the 1:1</w:t>
      </w:r>
      <w:r w:rsidR="001E0B4B">
        <w:t>,</w:t>
      </w:r>
      <w:r w:rsidR="001E0B4B" w:rsidRPr="002C4978">
        <w:t>000</w:t>
      </w:r>
      <w:r w:rsidR="001E0B4B">
        <w:t>,</w:t>
      </w:r>
      <w:r w:rsidR="001E0B4B" w:rsidRPr="002C4978">
        <w:t>000 scale geology map of Australia (Raymond, 2009), and the outline of the Amadeus Basin is from Stewart et al. (2013). (b) Map of the Amadeus Basin showing locations of the key depocentres (after Lindsay and Korsch, 1989, 1991).</w:t>
      </w:r>
      <w:bookmarkEnd w:id="52"/>
      <w:bookmarkEnd w:id="53"/>
    </w:p>
    <w:p w14:paraId="06F1C7E5" w14:textId="77777777" w:rsidR="001E0B4B" w:rsidRPr="00AD7F0C" w:rsidRDefault="001E0B4B" w:rsidP="003739CA">
      <w:pPr>
        <w:pStyle w:val="FiguresImagesCentred"/>
      </w:pPr>
      <w:bookmarkStart w:id="54" w:name="_Toc447266774"/>
      <w:r w:rsidRPr="003739CA">
        <w:rPr>
          <w:noProof/>
        </w:rPr>
        <w:lastRenderedPageBreak/>
        <w:drawing>
          <wp:inline distT="0" distB="0" distL="0" distR="0" wp14:anchorId="471BE387" wp14:editId="13F4982C">
            <wp:extent cx="5380061" cy="7673009"/>
            <wp:effectExtent l="0" t="0" r="0" b="4445"/>
            <wp:docPr id="7179" name="Picture 7179" title="Figure 6.3: Lithostratigraphyy of the Amadeus Basin (modified from Edgoose (2013), Haines and Allen (2014) and Munson (2014). Proposed changes to the stratigraphic nomenclature by Normington et al. (2015) are shown in red text. Supersequences in the Neoproterozoic follow Walter et al. (1995). Chart also shows locations of key source rocks, reservoirs and hydrocarbon discoveries and shows in the basin. Geological time scale on left hand side is not to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5383756" cy="7678279"/>
                    </a:xfrm>
                    <a:prstGeom prst="rect">
                      <a:avLst/>
                    </a:prstGeom>
                  </pic:spPr>
                </pic:pic>
              </a:graphicData>
            </a:graphic>
          </wp:inline>
        </w:drawing>
      </w:r>
    </w:p>
    <w:p w14:paraId="048E4EB2" w14:textId="2F71EC78" w:rsidR="001E0B4B" w:rsidRDefault="00E34CDE" w:rsidP="005E6901">
      <w:pPr>
        <w:pStyle w:val="Caption"/>
        <w:keepLines/>
      </w:pPr>
      <w:bookmarkStart w:id="55" w:name="_Toc508972073"/>
      <w:bookmarkEnd w:id="54"/>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w:instrText>
      </w:r>
      <w:r w:rsidR="008079F1">
        <w:instrText xml:space="preserve"> </w:instrText>
      </w:r>
      <w:r w:rsidR="008079F1">
        <w:fldChar w:fldCharType="separate"/>
      </w:r>
      <w:r w:rsidR="00640CCB">
        <w:rPr>
          <w:noProof/>
        </w:rPr>
        <w:t>2</w:t>
      </w:r>
      <w:r w:rsidR="008079F1">
        <w:rPr>
          <w:noProof/>
        </w:rPr>
        <w:fldChar w:fldCharType="end"/>
      </w:r>
      <w:r>
        <w:rPr>
          <w:noProof/>
        </w:rPr>
        <w:t xml:space="preserve"> </w:t>
      </w:r>
      <w:r w:rsidR="001E0B4B" w:rsidRPr="004A4CC2">
        <w:t>Lithostratigraph</w:t>
      </w:r>
      <w:r w:rsidR="001E0B4B">
        <w:t>y of</w:t>
      </w:r>
      <w:r w:rsidR="001E0B4B" w:rsidRPr="004A4CC2">
        <w:t xml:space="preserve"> the Amadeus Basin (</w:t>
      </w:r>
      <w:r w:rsidR="001E0B4B">
        <w:t xml:space="preserve">from Carr et al. (2016); </w:t>
      </w:r>
      <w:r w:rsidR="001E0B4B" w:rsidRPr="004A4CC2">
        <w:t>modified from Edgoose (2013), Haines and Allen (2014) and Munson (2014)</w:t>
      </w:r>
      <w:r w:rsidR="00441B07">
        <w:t>)</w:t>
      </w:r>
      <w:r w:rsidR="001E0B4B" w:rsidRPr="004A4CC2">
        <w:t>. Supersequences in the Neoproterozoic follow Walter et al. (1995). Chart also shows locations of key source rocks, reservoirs and hydrocarbon discoveries and shows in the basin. Geological time scale on left hand side is not to scale.</w:t>
      </w:r>
      <w:bookmarkEnd w:id="55"/>
    </w:p>
    <w:p w14:paraId="626DC679" w14:textId="77777777" w:rsidR="001E0B4B" w:rsidRDefault="001E0B4B" w:rsidP="001E0B4B">
      <w:pPr>
        <w:pStyle w:val="AppendixHeading3"/>
      </w:pPr>
      <w:bookmarkStart w:id="56" w:name="_Toc517161117"/>
      <w:r>
        <w:lastRenderedPageBreak/>
        <w:t>Petroleum data coverage</w:t>
      </w:r>
      <w:bookmarkEnd w:id="56"/>
    </w:p>
    <w:p w14:paraId="2863F88F" w14:textId="36A38565" w:rsidR="001E0B4B" w:rsidRDefault="001E0B4B" w:rsidP="001E0B4B">
      <w:pPr>
        <w:pStyle w:val="BodyText"/>
      </w:pPr>
      <w:r>
        <w:t>P</w:t>
      </w:r>
      <w:r w:rsidRPr="00767274">
        <w:t xml:space="preserve">etroleum exploration </w:t>
      </w:r>
      <w:r>
        <w:t>drilling has been</w:t>
      </w:r>
      <w:r w:rsidRPr="00767274">
        <w:t xml:space="preserve"> </w:t>
      </w:r>
      <w:r>
        <w:t>concentrated in</w:t>
      </w:r>
      <w:r w:rsidRPr="00767274">
        <w:t xml:space="preserve"> the northern part of the basin</w:t>
      </w:r>
      <w:r>
        <w:t xml:space="preserve"> (</w:t>
      </w:r>
      <w:r w:rsidR="00611607">
        <w:t>Figure C</w:t>
      </w:r>
      <w:r w:rsidR="00873419">
        <w:t>.3</w:t>
      </w:r>
      <w:r w:rsidR="008B4050">
        <w:t>; NTGS, 2017a</w:t>
      </w:r>
      <w:r>
        <w:t>)</w:t>
      </w:r>
      <w:r w:rsidRPr="00767274">
        <w:t>. To date</w:t>
      </w:r>
      <w:r>
        <w:t>,</w:t>
      </w:r>
      <w:r w:rsidRPr="00767274">
        <w:t xml:space="preserve"> </w:t>
      </w:r>
      <w:r w:rsidRPr="00AD5C5B">
        <w:t>38</w:t>
      </w:r>
      <w:r w:rsidRPr="00767274">
        <w:t xml:space="preserve"> exploration wells have yielded four oil and/or gas discoveries and five technical gas discoveries </w:t>
      </w:r>
      <w:r>
        <w:t>that</w:t>
      </w:r>
      <w:r w:rsidRPr="00767274">
        <w:t xml:space="preserve"> flowed gas to surface</w:t>
      </w:r>
      <w:r w:rsidR="00EA0BD8">
        <w:t xml:space="preserve"> on drill-stem testing but are not producing wells</w:t>
      </w:r>
      <w:r w:rsidRPr="00767274">
        <w:t xml:space="preserve">. At least 13 exploration wells were drilled off-structure, and cannot </w:t>
      </w:r>
      <w:r>
        <w:t xml:space="preserve">be </w:t>
      </w:r>
      <w:r w:rsidRPr="00767274">
        <w:t xml:space="preserve">considered </w:t>
      </w:r>
      <w:r>
        <w:t>as</w:t>
      </w:r>
      <w:r w:rsidRPr="00767274">
        <w:t xml:space="preserve"> valid tests (Warburton et al., 2005)</w:t>
      </w:r>
      <w:r>
        <w:t>.</w:t>
      </w:r>
      <w:r w:rsidRPr="00767274">
        <w:t xml:space="preserve"> </w:t>
      </w:r>
    </w:p>
    <w:p w14:paraId="3A413F72" w14:textId="77777777" w:rsidR="008B4050" w:rsidRDefault="001E0B4B" w:rsidP="001E0B4B">
      <w:pPr>
        <w:pStyle w:val="BodyText"/>
      </w:pPr>
      <w:r>
        <w:t>12,986</w:t>
      </w:r>
      <w:r w:rsidR="008232C9">
        <w:t> km</w:t>
      </w:r>
      <w:r w:rsidRPr="00AD5C5B">
        <w:t xml:space="preserve"> </w:t>
      </w:r>
      <w:r w:rsidRPr="00767274">
        <w:t xml:space="preserve">of 2D seismic data </w:t>
      </w:r>
      <w:r>
        <w:t>has been acquired in the basin</w:t>
      </w:r>
      <w:r w:rsidRPr="00767274">
        <w:t xml:space="preserve"> (</w:t>
      </w:r>
      <w:r w:rsidR="00611607">
        <w:t>Figure C</w:t>
      </w:r>
      <w:r w:rsidR="007D5639">
        <w:t>.</w:t>
      </w:r>
      <w:r>
        <w:t>3</w:t>
      </w:r>
      <w:r w:rsidRPr="00767274">
        <w:t xml:space="preserve">), </w:t>
      </w:r>
      <w:r>
        <w:t xml:space="preserve">mostly in </w:t>
      </w:r>
      <w:r w:rsidRPr="00767274">
        <w:t>the</w:t>
      </w:r>
      <w:r>
        <w:t xml:space="preserve"> northern part of the basin in</w:t>
      </w:r>
      <w:r w:rsidRPr="00767274">
        <w:t xml:space="preserve"> </w:t>
      </w:r>
      <w:r>
        <w:t>the region surrounding</w:t>
      </w:r>
      <w:r w:rsidRPr="00767274">
        <w:t xml:space="preserve"> the Mereenie and Palm Valley fields. These data range in vintage</w:t>
      </w:r>
      <w:r>
        <w:t xml:space="preserve"> </w:t>
      </w:r>
      <w:r w:rsidRPr="00767274">
        <w:t>from early 1960s to 2013</w:t>
      </w:r>
      <w:r>
        <w:t xml:space="preserve"> (Carr et al., 2016</w:t>
      </w:r>
      <w:r w:rsidR="008B4050">
        <w:t>; NTGS, 2017b</w:t>
      </w:r>
      <w:r>
        <w:t xml:space="preserve">). </w:t>
      </w:r>
    </w:p>
    <w:p w14:paraId="1E434F4E" w14:textId="742BC463" w:rsidR="001E0B4B" w:rsidRDefault="001E0B4B" w:rsidP="001E0B4B">
      <w:pPr>
        <w:pStyle w:val="BodyText"/>
      </w:pPr>
      <w:r>
        <w:t>Away from the producing fields, large areas of the basin remain underexplored and data distribution is very sparse. In particular, no wells have been drilled in the western part of the basin, in Western Australia.</w:t>
      </w:r>
    </w:p>
    <w:p w14:paraId="17463682" w14:textId="3B565B63" w:rsidR="001E0B4B" w:rsidRPr="00214D03" w:rsidRDefault="001E0B4B" w:rsidP="001E0B4B">
      <w:pPr>
        <w:pStyle w:val="BodyText"/>
      </w:pPr>
      <w:r w:rsidRPr="00767274">
        <w:t>There is an almost complete coverage of gravity data across the basin with a station spacing of 4</w:t>
      </w:r>
      <w:r w:rsidR="008232C9">
        <w:t> km</w:t>
      </w:r>
      <w:r w:rsidRPr="00767274">
        <w:t xml:space="preserve"> or less</w:t>
      </w:r>
      <w:r>
        <w:t>. The basin is covered by a</w:t>
      </w:r>
      <w:r w:rsidRPr="00767274">
        <w:t>irborne magnetics data at a line spacing of 40</w:t>
      </w:r>
      <w:r w:rsidR="004C01AB">
        <w:t>0 m</w:t>
      </w:r>
      <w:r>
        <w:t xml:space="preserve"> or less</w:t>
      </w:r>
      <w:r w:rsidR="008B4050">
        <w:t xml:space="preserve"> (Carr et al., 2016)</w:t>
      </w:r>
      <w:r>
        <w:t>.</w:t>
      </w:r>
    </w:p>
    <w:p w14:paraId="7BA5E487" w14:textId="77777777" w:rsidR="001E0B4B" w:rsidRPr="00AD7F0C" w:rsidRDefault="001E0B4B" w:rsidP="00FD6771">
      <w:pPr>
        <w:pStyle w:val="FiguresImagesCentred"/>
      </w:pPr>
      <w:r w:rsidRPr="00FD6771">
        <w:rPr>
          <w:noProof/>
        </w:rPr>
        <w:lastRenderedPageBreak/>
        <w:drawing>
          <wp:inline distT="0" distB="0" distL="0" distR="0" wp14:anchorId="297E9991" wp14:editId="140681FF">
            <wp:extent cx="6129937" cy="5505450"/>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6131270" cy="5506648"/>
                    </a:xfrm>
                    <a:prstGeom prst="rect">
                      <a:avLst/>
                    </a:prstGeom>
                  </pic:spPr>
                </pic:pic>
              </a:graphicData>
            </a:graphic>
          </wp:inline>
        </w:drawing>
      </w:r>
    </w:p>
    <w:p w14:paraId="263CFDF0" w14:textId="0D54C638" w:rsidR="001E0B4B" w:rsidRDefault="008C2054" w:rsidP="009F3E8F">
      <w:pPr>
        <w:pStyle w:val="Caption"/>
      </w:pPr>
      <w:bookmarkStart w:id="57" w:name="_Toc508972074"/>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3</w:t>
      </w:r>
      <w:r w:rsidR="008079F1">
        <w:rPr>
          <w:noProof/>
        </w:rPr>
        <w:fldChar w:fldCharType="end"/>
      </w:r>
      <w:r>
        <w:rPr>
          <w:noProof/>
        </w:rPr>
        <w:t xml:space="preserve"> </w:t>
      </w:r>
      <w:r w:rsidR="001E0B4B" w:rsidRPr="004A4CC2">
        <w:t>Location of petroleum exploration wells the Amadeus Basin</w:t>
      </w:r>
      <w:r w:rsidR="001E0B4B">
        <w:t xml:space="preserve"> (NTGS, 2017). </w:t>
      </w:r>
      <w:r w:rsidR="005F1D49">
        <w:t xml:space="preserve">Amadeus Basin outline from Stewart et al. (2013). </w:t>
      </w:r>
      <w:r w:rsidR="001E0B4B">
        <w:t>Location of 2D seismic reflection lines updated</w:t>
      </w:r>
      <w:r w:rsidR="001E0B4B" w:rsidRPr="004A4CC2">
        <w:t xml:space="preserve"> </w:t>
      </w:r>
      <w:r w:rsidR="001E0B4B">
        <w:t>from compilation in Carr et al. (2016)</w:t>
      </w:r>
      <w:r w:rsidR="008B4050">
        <w:t>, using NTGS (2017b). Well data from NTGS (2017a).</w:t>
      </w:r>
      <w:bookmarkEnd w:id="57"/>
    </w:p>
    <w:p w14:paraId="0CE6B370" w14:textId="77777777" w:rsidR="001E0B4B" w:rsidRPr="00AA00C4" w:rsidRDefault="001E0B4B" w:rsidP="001E0B4B">
      <w:pPr>
        <w:pStyle w:val="BodyText"/>
      </w:pPr>
    </w:p>
    <w:p w14:paraId="097E7B99" w14:textId="77777777" w:rsidR="001E0B4B" w:rsidRDefault="001E0B4B" w:rsidP="001E0B4B">
      <w:pPr>
        <w:pStyle w:val="AppendixHeading3"/>
      </w:pPr>
      <w:bookmarkStart w:id="58" w:name="_Toc517161118"/>
      <w:r>
        <w:t>Shale and tight gas prospectivity</w:t>
      </w:r>
      <w:bookmarkEnd w:id="58"/>
    </w:p>
    <w:p w14:paraId="545860FE" w14:textId="77777777" w:rsidR="001E0B4B" w:rsidRPr="003739CA" w:rsidRDefault="001E0B4B" w:rsidP="003739CA">
      <w:pPr>
        <w:pStyle w:val="BodyText"/>
      </w:pPr>
      <w:r w:rsidRPr="003739CA">
        <w:t xml:space="preserve">The hydrocarbon prospectivity of the Amadeus Basin is summarised in </w:t>
      </w:r>
      <w:r w:rsidR="008232C9">
        <w:t xml:space="preserve">Table C.1. </w:t>
      </w:r>
      <w:r w:rsidRPr="003739CA">
        <w:t>A number of conventional oil and gas fields are currently producing in the basin. These include the Mereenie oil and gas field and Palm Valley gas field, which have been producing since 1984, the Dingo gas field and the Surprise oil field (Central Petroleum, 2017).</w:t>
      </w:r>
    </w:p>
    <w:p w14:paraId="5D8DC3E4" w14:textId="091125D3" w:rsidR="001E0B4B" w:rsidRDefault="001E0B4B" w:rsidP="003739CA">
      <w:pPr>
        <w:pStyle w:val="BodyText"/>
      </w:pPr>
      <w:r w:rsidRPr="003739CA">
        <w:t>Unconventional exploration interest is currently focused on the upper Cambrian–lower Ordovician lower Larapinta Group (</w:t>
      </w:r>
      <w:r w:rsidR="00611607">
        <w:t>Figure C</w:t>
      </w:r>
      <w:r w:rsidR="00873419" w:rsidRPr="003739CA">
        <w:t>.2</w:t>
      </w:r>
      <w:r w:rsidRPr="003739CA">
        <w:t xml:space="preserve">; </w:t>
      </w:r>
      <w:r w:rsidR="00611607">
        <w:t>Table C</w:t>
      </w:r>
      <w:r w:rsidR="00873419" w:rsidRPr="003739CA">
        <w:t>.2</w:t>
      </w:r>
      <w:r w:rsidRPr="003739CA">
        <w:t>). Fracture stimulation techniques have been used for many years to enable production of gas from lower permeability (tight) reservoirs in the Pacoota and Stairway sandstones associated with the conventional fields (</w:t>
      </w:r>
      <w:r w:rsidR="00611607">
        <w:t>Figure C</w:t>
      </w:r>
      <w:r w:rsidR="007D5639">
        <w:t>.4</w:t>
      </w:r>
      <w:r w:rsidRPr="003739CA">
        <w:t xml:space="preserve">). For example, 30 out </w:t>
      </w:r>
      <w:r w:rsidRPr="003739CA">
        <w:lastRenderedPageBreak/>
        <w:t>of 72 wells in the Mereenie field have been fracture stimulated, and 4 out of 19 wells have been fracture stimulated at Palm Valley (</w:t>
      </w:r>
      <w:r w:rsidR="00611607">
        <w:t>Figure C</w:t>
      </w:r>
      <w:r w:rsidR="007D5639">
        <w:t>.5</w:t>
      </w:r>
      <w:r>
        <w:t xml:space="preserve">; Scientific Inquiry into Hydraulic Fracturing in the Northern Territory, </w:t>
      </w:r>
      <w:r w:rsidR="00CC1E77">
        <w:t>2018</w:t>
      </w:r>
      <w:r>
        <w:t>). Despite the history of production from tight reservoirs</w:t>
      </w:r>
      <w:r w:rsidR="00EA0BD8">
        <w:t xml:space="preserve"> in conventional wells</w:t>
      </w:r>
      <w:r>
        <w:t xml:space="preserve">, no reserves or production data have been reported for tight reservoirs alone. </w:t>
      </w:r>
    </w:p>
    <w:p w14:paraId="22A0F6F1" w14:textId="77777777" w:rsidR="001E0B4B" w:rsidRDefault="001E0B4B" w:rsidP="001E0B4B">
      <w:pPr>
        <w:pStyle w:val="BodyText"/>
      </w:pPr>
      <w:r>
        <w:t xml:space="preserve">The potential for a shale gas play in the Horn Valley Siltstone has been recognised (Vu et al., </w:t>
      </w:r>
      <w:r w:rsidRPr="00D9640D">
        <w:t>2011</w:t>
      </w:r>
      <w:r>
        <w:t xml:space="preserve">; </w:t>
      </w:r>
      <w:r w:rsidRPr="00D9640D">
        <w:t>Central Petroleum, 2017)</w:t>
      </w:r>
      <w:r>
        <w:t>. Central Petroleum is</w:t>
      </w:r>
      <w:r w:rsidRPr="00D9640D">
        <w:t xml:space="preserve"> </w:t>
      </w:r>
      <w:r>
        <w:t xml:space="preserve">actively </w:t>
      </w:r>
      <w:r w:rsidRPr="00D9640D">
        <w:t xml:space="preserve">investigating the </w:t>
      </w:r>
      <w:r>
        <w:t xml:space="preserve">unconventional </w:t>
      </w:r>
      <w:r w:rsidRPr="00D9640D">
        <w:t xml:space="preserve">potential </w:t>
      </w:r>
      <w:r>
        <w:t>of the Horn Valley Siltstone</w:t>
      </w:r>
      <w:r w:rsidRPr="00D9640D">
        <w:t xml:space="preserve"> north of the Mereenie Field (EP115)</w:t>
      </w:r>
      <w:r>
        <w:t>;</w:t>
      </w:r>
      <w:r w:rsidRPr="00D9640D">
        <w:t xml:space="preserve"> </w:t>
      </w:r>
      <w:r>
        <w:t>the</w:t>
      </w:r>
      <w:r w:rsidRPr="00D9640D">
        <w:t xml:space="preserve"> formation extends into the gas window over an area of 10</w:t>
      </w:r>
      <w:r>
        <w:t>,</w:t>
      </w:r>
      <w:r w:rsidRPr="00D9640D">
        <w:t>000</w:t>
      </w:r>
      <w:r w:rsidR="008232C9">
        <w:t> km</w:t>
      </w:r>
      <w:r w:rsidRPr="00D9640D">
        <w:rPr>
          <w:rStyle w:val="Superscript"/>
        </w:rPr>
        <w:t>2</w:t>
      </w:r>
      <w:r>
        <w:t xml:space="preserve">, indicating the broad potential extent of this play (Ambrose, </w:t>
      </w:r>
      <w:r w:rsidRPr="00D9640D">
        <w:t>2006</w:t>
      </w:r>
      <w:r>
        <w:t>; Munson, 2014</w:t>
      </w:r>
      <w:r w:rsidRPr="00D9640D">
        <w:t xml:space="preserve">). </w:t>
      </w:r>
      <w:r>
        <w:t>T</w:t>
      </w:r>
      <w:r w:rsidRPr="00731453">
        <w:t>he</w:t>
      </w:r>
      <w:r>
        <w:t xml:space="preserve"> shale gas potential of the</w:t>
      </w:r>
      <w:r w:rsidRPr="00731453">
        <w:t xml:space="preserve"> Bitter Springs Formation, lower Giles Creek Dolostone, and Goyder Formation </w:t>
      </w:r>
      <w:r>
        <w:t xml:space="preserve">have also been assessed (Vu et al., </w:t>
      </w:r>
      <w:r w:rsidRPr="00731453">
        <w:t>2011)</w:t>
      </w:r>
      <w:r>
        <w:t xml:space="preserve">. These formations were </w:t>
      </w:r>
      <w:r w:rsidRPr="00731453">
        <w:t>determined to be poor gas shale candidates based on the samples available,</w:t>
      </w:r>
      <w:r>
        <w:t xml:space="preserve"> and hence</w:t>
      </w:r>
      <w:r w:rsidRPr="00731453">
        <w:t xml:space="preserve"> the shale gas potential of these units requires further </w:t>
      </w:r>
      <w:r>
        <w:t>investigation.</w:t>
      </w:r>
      <w:r w:rsidRPr="00731453">
        <w:t xml:space="preserve"> </w:t>
      </w:r>
      <w:r>
        <w:t>The Shannon, Pertatataka and Aralka formations have also been cited as potential tight/shale gas targets (Munson, 2014).</w:t>
      </w:r>
    </w:p>
    <w:p w14:paraId="4C195F1B" w14:textId="77777777" w:rsidR="00030FA7" w:rsidRDefault="008F1B4F" w:rsidP="0077289E">
      <w:pPr>
        <w:pStyle w:val="FiguresImagesCentred"/>
      </w:pPr>
      <w:r>
        <w:rPr>
          <w:noProof/>
        </w:rPr>
        <w:drawing>
          <wp:inline distT="0" distB="0" distL="0" distR="0" wp14:anchorId="7C21290B" wp14:editId="64899BEF">
            <wp:extent cx="5746750" cy="29527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5746750" cy="2952750"/>
                    </a:xfrm>
                    <a:prstGeom prst="rect">
                      <a:avLst/>
                    </a:prstGeom>
                    <a:noFill/>
                    <a:ln>
                      <a:noFill/>
                    </a:ln>
                  </pic:spPr>
                </pic:pic>
              </a:graphicData>
            </a:graphic>
          </wp:inline>
        </w:drawing>
      </w:r>
    </w:p>
    <w:p w14:paraId="5001D556" w14:textId="42C3C898" w:rsidR="001E0B4B" w:rsidRPr="00FB5120" w:rsidRDefault="008C2054" w:rsidP="0077289E">
      <w:pPr>
        <w:pStyle w:val="Caption"/>
      </w:pPr>
      <w:bookmarkStart w:id="59" w:name="_Toc508972075"/>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w:t>
      </w:r>
      <w:r w:rsidR="008079F1">
        <w:rPr>
          <w:noProof/>
        </w:rPr>
        <w:fldChar w:fldCharType="end"/>
      </w:r>
      <w:r>
        <w:rPr>
          <w:noProof/>
        </w:rPr>
        <w:t xml:space="preserve"> </w:t>
      </w:r>
      <w:r w:rsidR="001E0B4B" w:rsidRPr="00FB5120">
        <w:t>Cross-section showing unconventiona</w:t>
      </w:r>
      <w:r w:rsidR="00D34E68">
        <w:t>l plays of the lower Larapinta G</w:t>
      </w:r>
      <w:r w:rsidR="001E0B4B" w:rsidRPr="00FB5120">
        <w:t>roup (Warner et al., 2012).</w:t>
      </w:r>
      <w:bookmarkEnd w:id="59"/>
    </w:p>
    <w:p w14:paraId="716227BF" w14:textId="77777777" w:rsidR="001E0B4B" w:rsidRDefault="001E0B4B" w:rsidP="001E0B4B">
      <w:pPr>
        <w:pStyle w:val="BodyText"/>
      </w:pPr>
      <w:r>
        <w:t>No contingent shale or tight gas resources have been recorded for the basin, however two regional scale prospective resource estimates have been published for the Amadeus Basin, as described below.</w:t>
      </w:r>
    </w:p>
    <w:p w14:paraId="5D9BAC9E" w14:textId="45850669" w:rsidR="001E0B4B" w:rsidRDefault="001E0B4B" w:rsidP="00873419">
      <w:pPr>
        <w:pStyle w:val="ListBullet"/>
      </w:pPr>
      <w:r w:rsidRPr="008021A7">
        <w:t>DSWPET</w:t>
      </w:r>
      <w:r>
        <w:t xml:space="preserve"> conducted a</w:t>
      </w:r>
      <w:r w:rsidRPr="00767274">
        <w:t>n assessment of the hydrocarbon p</w:t>
      </w:r>
      <w:r>
        <w:t>otential of three continuous gas plays</w:t>
      </w:r>
      <w:r w:rsidRPr="00767274">
        <w:t xml:space="preserve"> in the </w:t>
      </w:r>
      <w:r w:rsidRPr="00615C9A">
        <w:t>lower Larapinta Group</w:t>
      </w:r>
      <w:r w:rsidRPr="00767274">
        <w:t xml:space="preserve"> </w:t>
      </w:r>
      <w:r>
        <w:t xml:space="preserve">(Stairway Sandstone, Horn Valley Siltstone and Pacoota Sandstone; </w:t>
      </w:r>
      <w:r w:rsidR="00611607">
        <w:t>Figure C</w:t>
      </w:r>
      <w:r w:rsidR="007D5639">
        <w:t>.4</w:t>
      </w:r>
      <w:r>
        <w:t xml:space="preserve">) </w:t>
      </w:r>
      <w:r w:rsidRPr="00767274">
        <w:t>estimat</w:t>
      </w:r>
      <w:r>
        <w:t>ing</w:t>
      </w:r>
      <w:r w:rsidRPr="00767274">
        <w:t xml:space="preserve"> a total mean prospective technically recoverable </w:t>
      </w:r>
      <w:r w:rsidRPr="008021A7">
        <w:t xml:space="preserve">resource of </w:t>
      </w:r>
      <w:r>
        <w:t>26</w:t>
      </w:r>
      <w:r w:rsidR="0026193D">
        <w:t>.2</w:t>
      </w:r>
      <w:r w:rsidR="007D5639">
        <w:t> T</w:t>
      </w:r>
      <w:r w:rsidRPr="008021A7">
        <w:t>cf of gas</w:t>
      </w:r>
      <w:r>
        <w:t xml:space="preserve"> </w:t>
      </w:r>
      <w:r w:rsidRPr="008021A7">
        <w:t>(</w:t>
      </w:r>
      <w:r w:rsidR="00F52403">
        <w:t xml:space="preserve">Table A.3; </w:t>
      </w:r>
      <w:r w:rsidR="00E41C76">
        <w:t xml:space="preserve">Table C.1; </w:t>
      </w:r>
      <w:r w:rsidRPr="008021A7">
        <w:t>DSWPET, 2011</w:t>
      </w:r>
      <w:r>
        <w:t>; Warner et al., 2012</w:t>
      </w:r>
      <w:r w:rsidR="001063A0">
        <w:t>; see also AERA, 2018</w:t>
      </w:r>
      <w:r w:rsidRPr="008021A7">
        <w:t>).</w:t>
      </w:r>
      <w:r w:rsidR="00BC5B2A">
        <w:t xml:space="preserve"> This includes 11.3 Tcf of Horn Valley Siltstone shale </w:t>
      </w:r>
      <w:r w:rsidR="00034336">
        <w:t>(prospective</w:t>
      </w:r>
      <w:r w:rsidR="00BC5B2A">
        <w:t xml:space="preserve"> area 7,395 km</w:t>
      </w:r>
      <w:r w:rsidR="00BC5B2A" w:rsidRPr="00BC5B2A">
        <w:rPr>
          <w:vertAlign w:val="superscript"/>
        </w:rPr>
        <w:t>2</w:t>
      </w:r>
      <w:r w:rsidR="00034336">
        <w:t>),</w:t>
      </w:r>
      <w:r w:rsidR="00BC5B2A">
        <w:t xml:space="preserve"> 9.8</w:t>
      </w:r>
      <w:r w:rsidR="00760876">
        <w:t> </w:t>
      </w:r>
      <w:r w:rsidR="00BC5B2A">
        <w:t xml:space="preserve">Tcf of Pacoota Sandstone tight gas </w:t>
      </w:r>
      <w:r w:rsidR="00034336">
        <w:t>(prospective area</w:t>
      </w:r>
      <w:r w:rsidR="00BC5B2A">
        <w:t xml:space="preserve"> 3,440 km</w:t>
      </w:r>
      <w:r w:rsidR="00BC5B2A" w:rsidRPr="00BC5B2A">
        <w:rPr>
          <w:vertAlign w:val="superscript"/>
        </w:rPr>
        <w:t>2</w:t>
      </w:r>
      <w:r w:rsidR="00034336">
        <w:t xml:space="preserve">) </w:t>
      </w:r>
      <w:r w:rsidR="00BC5B2A">
        <w:t xml:space="preserve">and 5.1 Tcf of Stairway Sandstone tight gas </w:t>
      </w:r>
      <w:r w:rsidR="00034336">
        <w:t>(prospective area</w:t>
      </w:r>
      <w:r w:rsidR="00BC5B2A">
        <w:t xml:space="preserve"> 3,440 km</w:t>
      </w:r>
      <w:r w:rsidR="00BC5B2A" w:rsidRPr="00BC5B2A">
        <w:rPr>
          <w:vertAlign w:val="superscript"/>
        </w:rPr>
        <w:t>2</w:t>
      </w:r>
      <w:r w:rsidR="00034336">
        <w:t>).</w:t>
      </w:r>
    </w:p>
    <w:p w14:paraId="383A0855" w14:textId="6DCFE6D8" w:rsidR="001E0B4B" w:rsidRPr="00F63AC1" w:rsidRDefault="001E0B4B" w:rsidP="00873419">
      <w:pPr>
        <w:pStyle w:val="ListBullet"/>
      </w:pPr>
      <w:r w:rsidRPr="00F63AC1">
        <w:lastRenderedPageBreak/>
        <w:t>AWT have reported the</w:t>
      </w:r>
      <w:r>
        <w:t>ir</w:t>
      </w:r>
      <w:r w:rsidRPr="00F63AC1">
        <w:t xml:space="preserve"> best estimate o</w:t>
      </w:r>
      <w:r>
        <w:t>f</w:t>
      </w:r>
      <w:r w:rsidRPr="00F63AC1">
        <w:t xml:space="preserve"> resource </w:t>
      </w:r>
      <w:r>
        <w:t xml:space="preserve">to be 16 </w:t>
      </w:r>
      <w:r w:rsidR="00441B07">
        <w:t>T</w:t>
      </w:r>
      <w:r>
        <w:t>cf for the potential shale gas play associated with the Horn Valley Siltstone</w:t>
      </w:r>
      <w:r w:rsidR="005A1A70">
        <w:t xml:space="preserve"> </w:t>
      </w:r>
      <w:r w:rsidR="00034336">
        <w:t>over a prospective area of 7,267 km</w:t>
      </w:r>
      <w:r w:rsidR="00034336" w:rsidRPr="00B8494C">
        <w:rPr>
          <w:rStyle w:val="Superscript"/>
        </w:rPr>
        <w:t>2</w:t>
      </w:r>
      <w:r w:rsidR="00034336">
        <w:t xml:space="preserve"> </w:t>
      </w:r>
      <w:r w:rsidRPr="00F63AC1">
        <w:t>(</w:t>
      </w:r>
      <w:r w:rsidR="001063A0">
        <w:t xml:space="preserve">Table C.1; </w:t>
      </w:r>
      <w:r w:rsidRPr="00F63AC1">
        <w:t>AWT International, 2013).</w:t>
      </w:r>
      <w:r>
        <w:t xml:space="preserve"> </w:t>
      </w:r>
      <w:r w:rsidR="00D46091">
        <w:t xml:space="preserve"> </w:t>
      </w:r>
    </w:p>
    <w:p w14:paraId="255E840A" w14:textId="77777777" w:rsidR="001E0B4B" w:rsidRDefault="001E0B4B" w:rsidP="001E0B4B">
      <w:pPr>
        <w:pStyle w:val="BodyText"/>
      </w:pPr>
      <w:r>
        <w:t>The Amadeus Basin is highly prospective both for conventional and unconventional oil and gas. However, despite the successful use of f</w:t>
      </w:r>
      <w:r w:rsidRPr="003B58A0">
        <w:t>racture stimulation techniques</w:t>
      </w:r>
      <w:r>
        <w:t xml:space="preserve"> to enhance gas production from existing conventional fields, exploration for both shale and tight gas in the basin is still at a frontier stage. Although the prospective resources reported above highlight the potential significance of shale and tight gas resources in the basin, </w:t>
      </w:r>
      <w:r w:rsidRPr="00767274">
        <w:t xml:space="preserve">the uncertainties due to lack of knowledge are considerable. </w:t>
      </w:r>
      <w:r>
        <w:t xml:space="preserve">Away from the producing fields, large areas of the basin remain underexplored with sparse data distribution and poorly characterised geology, particularly in the southern and western areas of the basin. As a result, the full extent of shale or tight </w:t>
      </w:r>
      <w:r w:rsidRPr="006B0224">
        <w:t>resources</w:t>
      </w:r>
      <w:r>
        <w:t xml:space="preserve"> in the basin </w:t>
      </w:r>
      <w:r w:rsidRPr="006B0224">
        <w:t>are</w:t>
      </w:r>
      <w:r>
        <w:t xml:space="preserve"> still</w:t>
      </w:r>
      <w:r w:rsidRPr="006B0224">
        <w:t xml:space="preserve"> poorly understood and quantified, and estimates of potential resources have a high degree of uncertainty.</w:t>
      </w:r>
      <w:r>
        <w:t xml:space="preserve"> Significant additional seismic acquisition, drilling and testing is required to resolve the full shale and tight gas resource potential of the basin.</w:t>
      </w:r>
    </w:p>
    <w:p w14:paraId="35FC4156" w14:textId="77777777" w:rsidR="001E0B4B" w:rsidRDefault="001E0B4B" w:rsidP="00FD6771">
      <w:pPr>
        <w:pStyle w:val="FiguresImagesCentred"/>
      </w:pPr>
      <w:r w:rsidRPr="00FD6771">
        <w:rPr>
          <w:noProof/>
        </w:rPr>
        <w:lastRenderedPageBreak/>
        <w:drawing>
          <wp:inline distT="0" distB="0" distL="0" distR="0" wp14:anchorId="449A49E3" wp14:editId="548148B8">
            <wp:extent cx="6000919" cy="6372225"/>
            <wp:effectExtent l="0" t="0" r="0" b="0"/>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4" cstate="screen">
                      <a:extLst>
                        <a:ext uri="{28A0092B-C50C-407E-A947-70E740481C1C}">
                          <a14:useLocalDpi xmlns:a14="http://schemas.microsoft.com/office/drawing/2010/main"/>
                        </a:ext>
                      </a:extLst>
                    </a:blip>
                    <a:stretch>
                      <a:fillRect/>
                    </a:stretch>
                  </pic:blipFill>
                  <pic:spPr bwMode="auto">
                    <a:xfrm>
                      <a:off x="0" y="0"/>
                      <a:ext cx="6002244" cy="6373632"/>
                    </a:xfrm>
                    <a:prstGeom prst="rect">
                      <a:avLst/>
                    </a:prstGeom>
                    <a:noFill/>
                    <a:ln>
                      <a:noFill/>
                    </a:ln>
                    <a:extLst>
                      <a:ext uri="{53640926-AAD7-44D8-BBD7-CCE9431645EC}">
                        <a14:shadowObscured xmlns:a14="http://schemas.microsoft.com/office/drawing/2010/main"/>
                      </a:ext>
                    </a:extLst>
                  </pic:spPr>
                </pic:pic>
              </a:graphicData>
            </a:graphic>
          </wp:inline>
        </w:drawing>
      </w:r>
    </w:p>
    <w:p w14:paraId="29634195" w14:textId="77777777" w:rsidR="001E0B4B" w:rsidRDefault="008C2054" w:rsidP="009F3E8F">
      <w:pPr>
        <w:pStyle w:val="Caption"/>
      </w:pPr>
      <w:bookmarkStart w:id="60" w:name="_Toc508972076"/>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w:t>
      </w:r>
      <w:r w:rsidR="008079F1">
        <w:rPr>
          <w:noProof/>
        </w:rPr>
        <w:fldChar w:fldCharType="end"/>
      </w:r>
      <w:r>
        <w:rPr>
          <w:noProof/>
        </w:rPr>
        <w:t xml:space="preserve"> </w:t>
      </w:r>
      <w:r w:rsidR="001E0B4B">
        <w:t xml:space="preserve">Producing fields and location of fracture stimulated wells. Approximate extent of the Horn Valley Siltstone is source from Ahmad and Scrimgeour (2013). </w:t>
      </w:r>
      <w:r w:rsidR="001E0B4B" w:rsidRPr="00152A6D">
        <w:t>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60"/>
    </w:p>
    <w:p w14:paraId="5FD7B397" w14:textId="77777777" w:rsidR="00E01F8F" w:rsidRPr="00E01F8F" w:rsidRDefault="00E01F8F" w:rsidP="00E01F8F">
      <w:pPr>
        <w:pStyle w:val="BodyText"/>
        <w:sectPr w:rsidR="00E01F8F" w:rsidRPr="00E01F8F" w:rsidSect="005E271C">
          <w:pgSz w:w="11907" w:h="16840" w:code="9"/>
          <w:pgMar w:top="1418" w:right="1134" w:bottom="1418" w:left="1134" w:header="510" w:footer="624" w:gutter="0"/>
          <w:cols w:space="720"/>
          <w:docGrid w:linePitch="326"/>
        </w:sectPr>
      </w:pPr>
    </w:p>
    <w:p w14:paraId="7111861D" w14:textId="77777777" w:rsidR="001E0B4B" w:rsidRPr="005243E4" w:rsidRDefault="00E01F8F" w:rsidP="009F3E8F">
      <w:pPr>
        <w:pStyle w:val="Caption"/>
      </w:pPr>
      <w:bookmarkStart w:id="61" w:name="_Toc508972151"/>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w:t>
      </w:r>
      <w:r w:rsidR="008079F1">
        <w:rPr>
          <w:noProof/>
        </w:rPr>
        <w:fldChar w:fldCharType="end"/>
      </w:r>
      <w:r>
        <w:t xml:space="preserve"> </w:t>
      </w:r>
      <w:r w:rsidR="001E0B4B" w:rsidRPr="005243E4">
        <w:t>Summa</w:t>
      </w:r>
      <w:r w:rsidR="001E0B4B">
        <w:t xml:space="preserve">ry of shale and tight gas plays </w:t>
      </w:r>
      <w:r w:rsidR="001E0B4B" w:rsidRPr="005243E4">
        <w:t xml:space="preserve">compiled from </w:t>
      </w:r>
      <w:r w:rsidR="001E0B4B">
        <w:t>Munson et al. (2014).</w:t>
      </w:r>
      <w:bookmarkEnd w:id="61"/>
    </w:p>
    <w:tbl>
      <w:tblPr>
        <w:tblStyle w:val="TableBAHeaderRow"/>
        <w:tblW w:w="5000" w:type="pct"/>
        <w:tblLook w:val="04A0" w:firstRow="1" w:lastRow="0" w:firstColumn="1" w:lastColumn="0" w:noHBand="0" w:noVBand="1"/>
      </w:tblPr>
      <w:tblGrid>
        <w:gridCol w:w="1390"/>
        <w:gridCol w:w="975"/>
        <w:gridCol w:w="1225"/>
        <w:gridCol w:w="1118"/>
        <w:gridCol w:w="1124"/>
        <w:gridCol w:w="1777"/>
        <w:gridCol w:w="1040"/>
        <w:gridCol w:w="1043"/>
        <w:gridCol w:w="1160"/>
        <w:gridCol w:w="3152"/>
      </w:tblGrid>
      <w:tr w:rsidR="001E0B4B" w14:paraId="36D8C9A4" w14:textId="77777777" w:rsidTr="001E0B4B">
        <w:trPr>
          <w:cnfStyle w:val="100000000000" w:firstRow="1" w:lastRow="0" w:firstColumn="0" w:lastColumn="0" w:oddVBand="0" w:evenVBand="0" w:oddHBand="0" w:evenHBand="0" w:firstRowFirstColumn="0" w:firstRowLastColumn="0" w:lastRowFirstColumn="0" w:lastRowLastColumn="0"/>
        </w:trPr>
        <w:tc>
          <w:tcPr>
            <w:tcW w:w="497" w:type="pct"/>
          </w:tcPr>
          <w:p w14:paraId="4852F3B5" w14:textId="77777777" w:rsidR="001E0B4B" w:rsidRDefault="001E0B4B" w:rsidP="008B38C1">
            <w:pPr>
              <w:pStyle w:val="TableTextLeft"/>
            </w:pPr>
            <w:r>
              <w:t>Formation</w:t>
            </w:r>
          </w:p>
        </w:tc>
        <w:tc>
          <w:tcPr>
            <w:tcW w:w="346" w:type="pct"/>
          </w:tcPr>
          <w:p w14:paraId="315C3342" w14:textId="77777777" w:rsidR="001E0B4B" w:rsidRDefault="001E0B4B" w:rsidP="008B38C1">
            <w:pPr>
              <w:pStyle w:val="TableTextLeft"/>
            </w:pPr>
            <w:r>
              <w:t>Age</w:t>
            </w:r>
          </w:p>
        </w:tc>
        <w:tc>
          <w:tcPr>
            <w:tcW w:w="434" w:type="pct"/>
          </w:tcPr>
          <w:p w14:paraId="39272FE9" w14:textId="77777777" w:rsidR="001E0B4B" w:rsidRDefault="001E0B4B" w:rsidP="008B38C1">
            <w:pPr>
              <w:pStyle w:val="TableTextLeft"/>
            </w:pPr>
            <w:r>
              <w:t>Environment</w:t>
            </w:r>
          </w:p>
        </w:tc>
        <w:tc>
          <w:tcPr>
            <w:tcW w:w="400" w:type="pct"/>
          </w:tcPr>
          <w:p w14:paraId="2F65DBAE" w14:textId="77777777" w:rsidR="001E0B4B" w:rsidRDefault="001E0B4B" w:rsidP="008B38C1">
            <w:pPr>
              <w:pStyle w:val="TableTextLeft"/>
            </w:pPr>
            <w:r>
              <w:t>Top depth (m)</w:t>
            </w:r>
          </w:p>
        </w:tc>
        <w:tc>
          <w:tcPr>
            <w:tcW w:w="402" w:type="pct"/>
          </w:tcPr>
          <w:p w14:paraId="71A97A79" w14:textId="77777777" w:rsidR="001E0B4B" w:rsidRDefault="001E0B4B" w:rsidP="008B38C1">
            <w:pPr>
              <w:pStyle w:val="TableTextLeft"/>
            </w:pPr>
            <w:r>
              <w:t>Thickness (m)</w:t>
            </w:r>
          </w:p>
        </w:tc>
        <w:tc>
          <w:tcPr>
            <w:tcW w:w="635" w:type="pct"/>
          </w:tcPr>
          <w:p w14:paraId="0DCC731D" w14:textId="77777777" w:rsidR="001E0B4B" w:rsidRDefault="001E0B4B" w:rsidP="008B38C1">
            <w:pPr>
              <w:pStyle w:val="TableTextLeft"/>
            </w:pPr>
            <w:r>
              <w:t>Source rock(s)</w:t>
            </w:r>
          </w:p>
        </w:tc>
        <w:tc>
          <w:tcPr>
            <w:tcW w:w="372" w:type="pct"/>
          </w:tcPr>
          <w:p w14:paraId="7768DC73" w14:textId="77777777" w:rsidR="001E0B4B" w:rsidRDefault="001E0B4B" w:rsidP="008B38C1">
            <w:pPr>
              <w:pStyle w:val="TableTextLeft"/>
            </w:pPr>
            <w:r>
              <w:t>Source rock TOC (%)</w:t>
            </w:r>
          </w:p>
        </w:tc>
        <w:tc>
          <w:tcPr>
            <w:tcW w:w="373" w:type="pct"/>
          </w:tcPr>
          <w:p w14:paraId="0CDE1B78" w14:textId="77777777" w:rsidR="001E0B4B" w:rsidRDefault="001E0B4B" w:rsidP="008B38C1">
            <w:pPr>
              <w:pStyle w:val="TableTextLeft"/>
            </w:pPr>
            <w:r>
              <w:t>Source rock maturity</w:t>
            </w:r>
          </w:p>
        </w:tc>
        <w:tc>
          <w:tcPr>
            <w:tcW w:w="415" w:type="pct"/>
          </w:tcPr>
          <w:p w14:paraId="3FD08F74" w14:textId="77777777" w:rsidR="001E0B4B" w:rsidRDefault="001E0B4B" w:rsidP="008B38C1">
            <w:pPr>
              <w:pStyle w:val="TableTextLeft"/>
            </w:pPr>
            <w:r>
              <w:t>Play type</w:t>
            </w:r>
          </w:p>
        </w:tc>
        <w:tc>
          <w:tcPr>
            <w:tcW w:w="1126" w:type="pct"/>
          </w:tcPr>
          <w:p w14:paraId="3F1C2C35" w14:textId="77777777" w:rsidR="001E0B4B" w:rsidRDefault="001E0B4B" w:rsidP="008B38C1">
            <w:pPr>
              <w:pStyle w:val="TableTextLeft"/>
            </w:pPr>
            <w:r>
              <w:t>Exploration status</w:t>
            </w:r>
          </w:p>
        </w:tc>
      </w:tr>
      <w:tr w:rsidR="001E0B4B" w:rsidRPr="00813CEB" w14:paraId="4656EEC3" w14:textId="77777777" w:rsidTr="001E0B4B">
        <w:trPr>
          <w:cnfStyle w:val="000000100000" w:firstRow="0" w:lastRow="0" w:firstColumn="0" w:lastColumn="0" w:oddVBand="0" w:evenVBand="0" w:oddHBand="1" w:evenHBand="0" w:firstRowFirstColumn="0" w:firstRowLastColumn="0" w:lastRowFirstColumn="0" w:lastRowLastColumn="0"/>
        </w:trPr>
        <w:tc>
          <w:tcPr>
            <w:tcW w:w="497" w:type="pct"/>
          </w:tcPr>
          <w:p w14:paraId="35BC70FF" w14:textId="77777777" w:rsidR="001E0B4B" w:rsidRDefault="001E0B4B" w:rsidP="008B38C1">
            <w:pPr>
              <w:pStyle w:val="TableTextLeft"/>
            </w:pPr>
            <w:r>
              <w:t>Stairway Sandstone</w:t>
            </w:r>
          </w:p>
        </w:tc>
        <w:tc>
          <w:tcPr>
            <w:tcW w:w="346" w:type="pct"/>
          </w:tcPr>
          <w:p w14:paraId="1947A701" w14:textId="03A1F99D" w:rsidR="001E0B4B" w:rsidRDefault="001E0B4B" w:rsidP="008B38C1">
            <w:pPr>
              <w:pStyle w:val="TableTextLeft"/>
            </w:pPr>
            <w:r>
              <w:t>Early Ordovician</w:t>
            </w:r>
          </w:p>
        </w:tc>
        <w:tc>
          <w:tcPr>
            <w:tcW w:w="434" w:type="pct"/>
          </w:tcPr>
          <w:p w14:paraId="6CDE85F6" w14:textId="77777777" w:rsidR="001E0B4B" w:rsidRDefault="001E0B4B" w:rsidP="008B38C1">
            <w:pPr>
              <w:pStyle w:val="TableTextLeft"/>
            </w:pPr>
            <w:r w:rsidRPr="003535F2">
              <w:t>epicontinental seaway</w:t>
            </w:r>
          </w:p>
        </w:tc>
        <w:tc>
          <w:tcPr>
            <w:tcW w:w="400" w:type="pct"/>
          </w:tcPr>
          <w:p w14:paraId="2FC61BD7" w14:textId="77777777" w:rsidR="001E0B4B" w:rsidRPr="002D06D6" w:rsidRDefault="001E0B4B" w:rsidP="008B38C1">
            <w:pPr>
              <w:pStyle w:val="TableTextLeft"/>
            </w:pPr>
            <w:r w:rsidRPr="002D06D6">
              <w:t>750–1</w:t>
            </w:r>
            <w:r w:rsidR="004C01AB">
              <w:t>,</w:t>
            </w:r>
            <w:r w:rsidRPr="002D06D6">
              <w:t>800</w:t>
            </w:r>
          </w:p>
        </w:tc>
        <w:tc>
          <w:tcPr>
            <w:tcW w:w="402" w:type="pct"/>
          </w:tcPr>
          <w:p w14:paraId="5E26C91E" w14:textId="77777777" w:rsidR="001E0B4B" w:rsidRPr="002F5992" w:rsidRDefault="001E0B4B" w:rsidP="008B38C1">
            <w:pPr>
              <w:pStyle w:val="TableTextLeft"/>
            </w:pPr>
            <w:r>
              <w:t>&lt; 55</w:t>
            </w:r>
            <w:r w:rsidR="004C01AB">
              <w:t>0 m</w:t>
            </w:r>
          </w:p>
        </w:tc>
        <w:tc>
          <w:tcPr>
            <w:tcW w:w="635" w:type="pct"/>
          </w:tcPr>
          <w:p w14:paraId="10FE5EB7" w14:textId="77777777" w:rsidR="001E0B4B" w:rsidRPr="002F5992" w:rsidRDefault="001E0B4B" w:rsidP="008B38C1">
            <w:pPr>
              <w:pStyle w:val="TableTextLeft"/>
            </w:pPr>
            <w:r>
              <w:t xml:space="preserve">Some </w:t>
            </w:r>
            <w:r w:rsidRPr="002F5992">
              <w:t>Type</w:t>
            </w:r>
            <w:r>
              <w:t xml:space="preserve"> </w:t>
            </w:r>
            <w:r w:rsidRPr="002F5992">
              <w:t>III</w:t>
            </w:r>
            <w:r>
              <w:t>; likely Horn Valley siltstone source</w:t>
            </w:r>
          </w:p>
        </w:tc>
        <w:tc>
          <w:tcPr>
            <w:tcW w:w="372" w:type="pct"/>
          </w:tcPr>
          <w:p w14:paraId="09844BA8" w14:textId="77777777" w:rsidR="001E0B4B" w:rsidRPr="002F5992" w:rsidRDefault="001E0B4B" w:rsidP="008B38C1">
            <w:pPr>
              <w:pStyle w:val="TableTextLeft"/>
            </w:pPr>
            <w:r w:rsidRPr="002F5992">
              <w:t>0.02–0.53%</w:t>
            </w:r>
          </w:p>
        </w:tc>
        <w:tc>
          <w:tcPr>
            <w:tcW w:w="373" w:type="pct"/>
          </w:tcPr>
          <w:p w14:paraId="33570FD9" w14:textId="77777777" w:rsidR="001E0B4B" w:rsidRPr="002F5992" w:rsidRDefault="001E0B4B" w:rsidP="008B38C1">
            <w:pPr>
              <w:pStyle w:val="TableTextLeft"/>
            </w:pPr>
            <w:r>
              <w:t>Unknown</w:t>
            </w:r>
          </w:p>
        </w:tc>
        <w:tc>
          <w:tcPr>
            <w:tcW w:w="415" w:type="pct"/>
          </w:tcPr>
          <w:p w14:paraId="2E07CAEE" w14:textId="77777777" w:rsidR="001E0B4B" w:rsidRPr="002F5992" w:rsidRDefault="001E0B4B" w:rsidP="008B38C1">
            <w:pPr>
              <w:pStyle w:val="TableTextLeft"/>
            </w:pPr>
            <w:r w:rsidRPr="002F5992">
              <w:t>Tight</w:t>
            </w:r>
            <w:r>
              <w:t xml:space="preserve"> gas</w:t>
            </w:r>
          </w:p>
        </w:tc>
        <w:tc>
          <w:tcPr>
            <w:tcW w:w="1126" w:type="pct"/>
          </w:tcPr>
          <w:p w14:paraId="7C00D0CB" w14:textId="47FE0542" w:rsidR="001E0B4B" w:rsidRPr="002F5992" w:rsidRDefault="00F64E11" w:rsidP="00F64E11">
            <w:pPr>
              <w:pStyle w:val="TableTextLeft"/>
            </w:pPr>
            <w:r>
              <w:t xml:space="preserve">?Preliminary exploration </w:t>
            </w:r>
            <w:r w:rsidR="001E0B4B" w:rsidRPr="002F5992">
              <w:t>(Central Petroleum, 2017</w:t>
            </w:r>
            <w:r w:rsidR="001E0B4B">
              <w:t>)</w:t>
            </w:r>
          </w:p>
        </w:tc>
      </w:tr>
      <w:tr w:rsidR="001E0B4B" w:rsidRPr="00813CEB" w14:paraId="7ED687A3" w14:textId="77777777" w:rsidTr="001E0B4B">
        <w:trPr>
          <w:cnfStyle w:val="000000010000" w:firstRow="0" w:lastRow="0" w:firstColumn="0" w:lastColumn="0" w:oddVBand="0" w:evenVBand="0" w:oddHBand="0" w:evenHBand="1" w:firstRowFirstColumn="0" w:firstRowLastColumn="0" w:lastRowFirstColumn="0" w:lastRowLastColumn="0"/>
        </w:trPr>
        <w:tc>
          <w:tcPr>
            <w:tcW w:w="497" w:type="pct"/>
          </w:tcPr>
          <w:p w14:paraId="101281CA" w14:textId="77777777" w:rsidR="001E0B4B" w:rsidRDefault="001E0B4B" w:rsidP="008B38C1">
            <w:pPr>
              <w:pStyle w:val="TableTextLeft"/>
            </w:pPr>
            <w:r>
              <w:t>Horn Valley Siltstone</w:t>
            </w:r>
          </w:p>
        </w:tc>
        <w:tc>
          <w:tcPr>
            <w:tcW w:w="346" w:type="pct"/>
          </w:tcPr>
          <w:p w14:paraId="3109D8C8" w14:textId="0BAB0000" w:rsidR="001E0B4B" w:rsidRDefault="001E0B4B" w:rsidP="008B38C1">
            <w:pPr>
              <w:pStyle w:val="TableTextLeft"/>
            </w:pPr>
            <w:r>
              <w:t>Early Ordovician</w:t>
            </w:r>
          </w:p>
        </w:tc>
        <w:tc>
          <w:tcPr>
            <w:tcW w:w="434" w:type="pct"/>
          </w:tcPr>
          <w:p w14:paraId="61CE458C" w14:textId="77777777" w:rsidR="001E0B4B" w:rsidRDefault="001E0B4B" w:rsidP="008B38C1">
            <w:pPr>
              <w:pStyle w:val="TableTextLeft"/>
            </w:pPr>
            <w:r>
              <w:t>shallow marine</w:t>
            </w:r>
          </w:p>
        </w:tc>
        <w:tc>
          <w:tcPr>
            <w:tcW w:w="400" w:type="pct"/>
          </w:tcPr>
          <w:p w14:paraId="414F0458" w14:textId="77777777" w:rsidR="001E0B4B" w:rsidRPr="002D06D6" w:rsidRDefault="001E0B4B" w:rsidP="008B38C1">
            <w:pPr>
              <w:pStyle w:val="TableTextLeft"/>
            </w:pPr>
            <w:r w:rsidRPr="002D06D6">
              <w:t>1</w:t>
            </w:r>
            <w:r w:rsidR="004C01AB">
              <w:t>,</w:t>
            </w:r>
            <w:r w:rsidRPr="002D06D6">
              <w:t>000–1</w:t>
            </w:r>
            <w:r w:rsidR="004C01AB">
              <w:t>,</w:t>
            </w:r>
            <w:r w:rsidRPr="002D06D6">
              <w:t>900</w:t>
            </w:r>
          </w:p>
        </w:tc>
        <w:tc>
          <w:tcPr>
            <w:tcW w:w="402" w:type="pct"/>
          </w:tcPr>
          <w:p w14:paraId="0F6680CF" w14:textId="77777777" w:rsidR="001E0B4B" w:rsidRPr="002F5992" w:rsidRDefault="001E0B4B" w:rsidP="008B38C1">
            <w:pPr>
              <w:pStyle w:val="TableTextLeft"/>
            </w:pPr>
            <w:r>
              <w:t>0</w:t>
            </w:r>
            <w:r w:rsidRPr="002F5992">
              <w:t>–</w:t>
            </w:r>
            <w:r>
              <w:t>422</w:t>
            </w:r>
            <w:r w:rsidRPr="002F5992">
              <w:t xml:space="preserve"> m</w:t>
            </w:r>
          </w:p>
        </w:tc>
        <w:tc>
          <w:tcPr>
            <w:tcW w:w="635" w:type="pct"/>
          </w:tcPr>
          <w:p w14:paraId="6A683AB2" w14:textId="77777777" w:rsidR="001E0B4B" w:rsidRPr="002F5992" w:rsidRDefault="001E0B4B" w:rsidP="008B38C1">
            <w:pPr>
              <w:pStyle w:val="TableTextLeft"/>
            </w:pPr>
            <w:r w:rsidRPr="002F5992">
              <w:t>Type II</w:t>
            </w:r>
            <w:r>
              <w:t xml:space="preserve">; type </w:t>
            </w:r>
            <w:r w:rsidRPr="002F5992">
              <w:t>III</w:t>
            </w:r>
          </w:p>
        </w:tc>
        <w:tc>
          <w:tcPr>
            <w:tcW w:w="372" w:type="pct"/>
          </w:tcPr>
          <w:p w14:paraId="3BA0B307" w14:textId="77777777" w:rsidR="001E0B4B" w:rsidRPr="002F5992" w:rsidRDefault="001E0B4B" w:rsidP="008B38C1">
            <w:pPr>
              <w:pStyle w:val="TableTextLeft"/>
            </w:pPr>
            <w:r w:rsidRPr="002F5992">
              <w:t>0.2–9.0%</w:t>
            </w:r>
          </w:p>
        </w:tc>
        <w:tc>
          <w:tcPr>
            <w:tcW w:w="373" w:type="pct"/>
          </w:tcPr>
          <w:p w14:paraId="1F00F0C2" w14:textId="77777777" w:rsidR="001E0B4B" w:rsidRPr="002F5992" w:rsidRDefault="001E0B4B" w:rsidP="008B38C1">
            <w:pPr>
              <w:pStyle w:val="TableTextLeft"/>
            </w:pPr>
            <w:r>
              <w:t>Early oil – gas window</w:t>
            </w:r>
          </w:p>
        </w:tc>
        <w:tc>
          <w:tcPr>
            <w:tcW w:w="415" w:type="pct"/>
          </w:tcPr>
          <w:p w14:paraId="0220F475" w14:textId="77777777" w:rsidR="001E0B4B" w:rsidRPr="002F5992" w:rsidRDefault="001E0B4B" w:rsidP="008B38C1">
            <w:pPr>
              <w:pStyle w:val="TableTextLeft"/>
            </w:pPr>
            <w:r w:rsidRPr="002F5992">
              <w:t>Shale</w:t>
            </w:r>
            <w:r>
              <w:t xml:space="preserve"> gas</w:t>
            </w:r>
          </w:p>
        </w:tc>
        <w:tc>
          <w:tcPr>
            <w:tcW w:w="1126" w:type="pct"/>
          </w:tcPr>
          <w:p w14:paraId="454EE5E6" w14:textId="77777777" w:rsidR="001E0B4B" w:rsidRPr="002F5992" w:rsidRDefault="001E0B4B" w:rsidP="008B38C1">
            <w:pPr>
              <w:pStyle w:val="TableTextLeft"/>
            </w:pPr>
            <w:r w:rsidRPr="002F5992">
              <w:t>Preliminary exploration (Central Petroleum, 2017)</w:t>
            </w:r>
          </w:p>
        </w:tc>
      </w:tr>
      <w:tr w:rsidR="001E0B4B" w:rsidRPr="00813CEB" w14:paraId="42E65978" w14:textId="77777777" w:rsidTr="001E0B4B">
        <w:trPr>
          <w:cnfStyle w:val="000000100000" w:firstRow="0" w:lastRow="0" w:firstColumn="0" w:lastColumn="0" w:oddVBand="0" w:evenVBand="0" w:oddHBand="1" w:evenHBand="0" w:firstRowFirstColumn="0" w:firstRowLastColumn="0" w:lastRowFirstColumn="0" w:lastRowLastColumn="0"/>
        </w:trPr>
        <w:tc>
          <w:tcPr>
            <w:tcW w:w="497" w:type="pct"/>
          </w:tcPr>
          <w:p w14:paraId="071E7C51" w14:textId="77777777" w:rsidR="001E0B4B" w:rsidRDefault="001E0B4B" w:rsidP="008B38C1">
            <w:pPr>
              <w:pStyle w:val="TableTextLeft"/>
            </w:pPr>
            <w:r>
              <w:t>Pacoota Sandstone</w:t>
            </w:r>
          </w:p>
        </w:tc>
        <w:tc>
          <w:tcPr>
            <w:tcW w:w="346" w:type="pct"/>
          </w:tcPr>
          <w:p w14:paraId="3793EBE5" w14:textId="3BAD88AE" w:rsidR="001E0B4B" w:rsidRDefault="001E0B4B" w:rsidP="008B38C1">
            <w:pPr>
              <w:pStyle w:val="TableTextLeft"/>
            </w:pPr>
            <w:r>
              <w:t>Early Ordovician</w:t>
            </w:r>
          </w:p>
        </w:tc>
        <w:tc>
          <w:tcPr>
            <w:tcW w:w="434" w:type="pct"/>
          </w:tcPr>
          <w:p w14:paraId="40CD7A12" w14:textId="77777777" w:rsidR="001E0B4B" w:rsidRDefault="001E0B4B" w:rsidP="008B38C1">
            <w:pPr>
              <w:pStyle w:val="TableTextLeft"/>
            </w:pPr>
            <w:r>
              <w:t xml:space="preserve">outer shelf, estuarine, </w:t>
            </w:r>
          </w:p>
          <w:p w14:paraId="25D0E220" w14:textId="77777777" w:rsidR="001E0B4B" w:rsidRDefault="001E0B4B" w:rsidP="008B38C1">
            <w:pPr>
              <w:pStyle w:val="TableTextLeft"/>
            </w:pPr>
            <w:r>
              <w:t>tidal, barrier island</w:t>
            </w:r>
          </w:p>
        </w:tc>
        <w:tc>
          <w:tcPr>
            <w:tcW w:w="400" w:type="pct"/>
          </w:tcPr>
          <w:p w14:paraId="597FBA71" w14:textId="77777777" w:rsidR="001E0B4B" w:rsidRPr="002D06D6" w:rsidRDefault="001E0B4B" w:rsidP="008B38C1">
            <w:pPr>
              <w:pStyle w:val="TableTextLeft"/>
            </w:pPr>
            <w:r w:rsidRPr="002D06D6">
              <w:t>1</w:t>
            </w:r>
            <w:r w:rsidR="004C01AB">
              <w:t>,</w:t>
            </w:r>
            <w:r w:rsidRPr="002D06D6">
              <w:t>020–2</w:t>
            </w:r>
            <w:r w:rsidR="004C01AB">
              <w:t>,</w:t>
            </w:r>
            <w:r w:rsidRPr="002D06D6">
              <w:t>100</w:t>
            </w:r>
          </w:p>
        </w:tc>
        <w:tc>
          <w:tcPr>
            <w:tcW w:w="402" w:type="pct"/>
          </w:tcPr>
          <w:p w14:paraId="14207292" w14:textId="77777777" w:rsidR="001E0B4B" w:rsidRPr="002F5992" w:rsidRDefault="001E0B4B" w:rsidP="008B38C1">
            <w:pPr>
              <w:pStyle w:val="TableTextLeft"/>
            </w:pPr>
            <w:r w:rsidRPr="00877DC8">
              <w:t>700–80</w:t>
            </w:r>
            <w:r w:rsidR="004C01AB">
              <w:t>0 m</w:t>
            </w:r>
          </w:p>
        </w:tc>
        <w:tc>
          <w:tcPr>
            <w:tcW w:w="635" w:type="pct"/>
          </w:tcPr>
          <w:p w14:paraId="3BD805A2" w14:textId="77777777" w:rsidR="001E0B4B" w:rsidRPr="002F5992" w:rsidRDefault="001E0B4B" w:rsidP="008B38C1">
            <w:pPr>
              <w:pStyle w:val="TableTextLeft"/>
            </w:pPr>
            <w:r>
              <w:t>Horn Valley Siltstone</w:t>
            </w:r>
          </w:p>
        </w:tc>
        <w:tc>
          <w:tcPr>
            <w:tcW w:w="372" w:type="pct"/>
          </w:tcPr>
          <w:p w14:paraId="695CF356" w14:textId="77777777" w:rsidR="001E0B4B" w:rsidRPr="002F5992" w:rsidRDefault="001E0B4B" w:rsidP="008B38C1">
            <w:pPr>
              <w:pStyle w:val="TableTextLeft"/>
            </w:pPr>
            <w:r>
              <w:t>as above</w:t>
            </w:r>
          </w:p>
        </w:tc>
        <w:tc>
          <w:tcPr>
            <w:tcW w:w="373" w:type="pct"/>
          </w:tcPr>
          <w:p w14:paraId="2DF02221" w14:textId="77777777" w:rsidR="001E0B4B" w:rsidRPr="002F5992" w:rsidRDefault="001E0B4B" w:rsidP="008B38C1">
            <w:pPr>
              <w:pStyle w:val="TableTextLeft"/>
            </w:pPr>
            <w:r>
              <w:t>as above</w:t>
            </w:r>
          </w:p>
        </w:tc>
        <w:tc>
          <w:tcPr>
            <w:tcW w:w="415" w:type="pct"/>
          </w:tcPr>
          <w:p w14:paraId="705A1770" w14:textId="77777777" w:rsidR="001E0B4B" w:rsidRPr="002F5992" w:rsidRDefault="001E0B4B" w:rsidP="008B38C1">
            <w:pPr>
              <w:pStyle w:val="TableTextLeft"/>
            </w:pPr>
            <w:r w:rsidRPr="002F5992">
              <w:t>Tight</w:t>
            </w:r>
            <w:r>
              <w:t xml:space="preserve"> gas</w:t>
            </w:r>
          </w:p>
        </w:tc>
        <w:tc>
          <w:tcPr>
            <w:tcW w:w="1126" w:type="pct"/>
          </w:tcPr>
          <w:p w14:paraId="4B422085" w14:textId="2F6B71EB" w:rsidR="001E0B4B" w:rsidRPr="002F5992" w:rsidRDefault="00F64E11" w:rsidP="00F64E11">
            <w:pPr>
              <w:pStyle w:val="TableTextLeft"/>
            </w:pPr>
            <w:r>
              <w:t xml:space="preserve">?Preliminary exploration </w:t>
            </w:r>
            <w:r w:rsidR="001E0B4B" w:rsidRPr="002F5992">
              <w:t>(Central Petroleum, 2017</w:t>
            </w:r>
            <w:r w:rsidR="001E0B4B">
              <w:t>)</w:t>
            </w:r>
          </w:p>
        </w:tc>
      </w:tr>
    </w:tbl>
    <w:p w14:paraId="1A03318E" w14:textId="77777777" w:rsidR="001E0B4B" w:rsidRDefault="001E0B4B" w:rsidP="001E0B4B">
      <w:pPr>
        <w:pStyle w:val="BodyText"/>
        <w:sectPr w:rsidR="001E0B4B" w:rsidSect="005E271C">
          <w:headerReference w:type="default" r:id="rId115"/>
          <w:pgSz w:w="16840" w:h="11907" w:orient="landscape" w:code="9"/>
          <w:pgMar w:top="1418" w:right="1418" w:bottom="1418" w:left="1418" w:header="510" w:footer="624" w:gutter="0"/>
          <w:cols w:space="720"/>
          <w:docGrid w:linePitch="326"/>
        </w:sectPr>
      </w:pPr>
    </w:p>
    <w:p w14:paraId="0790C9B7" w14:textId="77777777" w:rsidR="001E0B4B" w:rsidRDefault="001E0B4B" w:rsidP="001E0B4B">
      <w:pPr>
        <w:pStyle w:val="AppendixHeading3"/>
      </w:pPr>
      <w:bookmarkStart w:id="62" w:name="_Toc517161119"/>
      <w:bookmarkStart w:id="63" w:name="_Toc474231601"/>
      <w:r>
        <w:lastRenderedPageBreak/>
        <w:t>Gas market access and infrastructure</w:t>
      </w:r>
      <w:bookmarkEnd w:id="62"/>
    </w:p>
    <w:p w14:paraId="58971CA3" w14:textId="358A08CD" w:rsidR="001E0B4B" w:rsidRPr="00C8305C" w:rsidRDefault="001E0B4B" w:rsidP="001E0B4B">
      <w:pPr>
        <w:pStyle w:val="BodyText"/>
        <w:rPr>
          <w:rFonts w:eastAsia="Times New Roman"/>
        </w:rPr>
      </w:pPr>
      <w:r w:rsidRPr="00C8305C">
        <w:rPr>
          <w:rFonts w:eastAsia="Times New Roman"/>
        </w:rPr>
        <w:t xml:space="preserve">The </w:t>
      </w:r>
      <w:r>
        <w:rPr>
          <w:rFonts w:eastAsia="Times New Roman"/>
        </w:rPr>
        <w:t xml:space="preserve">Amadeus </w:t>
      </w:r>
      <w:r w:rsidRPr="00C8305C">
        <w:rPr>
          <w:rFonts w:eastAsia="Times New Roman"/>
        </w:rPr>
        <w:t xml:space="preserve">Basin </w:t>
      </w:r>
      <w:r>
        <w:rPr>
          <w:rFonts w:eastAsia="Times New Roman"/>
        </w:rPr>
        <w:t xml:space="preserve">currently supplies gas to </w:t>
      </w:r>
      <w:r w:rsidRPr="00C8305C">
        <w:rPr>
          <w:rFonts w:eastAsia="Times New Roman"/>
        </w:rPr>
        <w:t xml:space="preserve">Australia’s </w:t>
      </w:r>
      <w:r w:rsidR="006A6AF0">
        <w:rPr>
          <w:rFonts w:eastAsia="Times New Roman"/>
        </w:rPr>
        <w:t>Northern Territory Gas Market</w:t>
      </w:r>
      <w:r>
        <w:rPr>
          <w:rFonts w:eastAsia="Times New Roman"/>
        </w:rPr>
        <w:t>.</w:t>
      </w:r>
      <w:r w:rsidRPr="00C8305C">
        <w:rPr>
          <w:rFonts w:eastAsia="Times New Roman"/>
        </w:rPr>
        <w:t xml:space="preserve"> </w:t>
      </w:r>
      <w:r>
        <w:rPr>
          <w:rFonts w:eastAsia="Times New Roman"/>
        </w:rPr>
        <w:t>S</w:t>
      </w:r>
      <w:r w:rsidRPr="00C8305C">
        <w:rPr>
          <w:rFonts w:eastAsia="Times New Roman"/>
        </w:rPr>
        <w:t xml:space="preserve">ignificant existing pipeline infrastructure </w:t>
      </w:r>
      <w:r>
        <w:rPr>
          <w:rFonts w:eastAsia="Times New Roman"/>
        </w:rPr>
        <w:t>connects</w:t>
      </w:r>
      <w:r w:rsidRPr="00C8305C">
        <w:rPr>
          <w:rFonts w:eastAsia="Times New Roman"/>
        </w:rPr>
        <w:t xml:space="preserve"> the basin to </w:t>
      </w:r>
      <w:r>
        <w:rPr>
          <w:rFonts w:eastAsia="Times New Roman"/>
        </w:rPr>
        <w:t>Darwin</w:t>
      </w:r>
      <w:r w:rsidRPr="00C8305C">
        <w:rPr>
          <w:rFonts w:eastAsia="Times New Roman"/>
        </w:rPr>
        <w:t xml:space="preserve"> (AER, 2017). The basin is </w:t>
      </w:r>
      <w:r>
        <w:rPr>
          <w:rFonts w:eastAsia="Times New Roman"/>
        </w:rPr>
        <w:t xml:space="preserve">poorly to </w:t>
      </w:r>
      <w:r w:rsidRPr="00C8305C">
        <w:rPr>
          <w:rFonts w:eastAsia="Times New Roman"/>
        </w:rPr>
        <w:t>moderately well serviced i</w:t>
      </w:r>
      <w:r>
        <w:rPr>
          <w:rFonts w:eastAsia="Times New Roman"/>
        </w:rPr>
        <w:t>n terms of road and rail access, depending on location within the basin.</w:t>
      </w:r>
    </w:p>
    <w:p w14:paraId="38328B08" w14:textId="77777777" w:rsidR="003739CA" w:rsidRDefault="00611607" w:rsidP="001E0B4B">
      <w:pPr>
        <w:pStyle w:val="BodyText"/>
        <w:rPr>
          <w:rFonts w:eastAsia="Times New Roman"/>
        </w:rPr>
      </w:pPr>
      <w:r>
        <w:rPr>
          <w:rFonts w:eastAsia="Times New Roman"/>
        </w:rPr>
        <w:t>Figure C</w:t>
      </w:r>
      <w:r w:rsidR="007D5639">
        <w:rPr>
          <w:rFonts w:eastAsia="Times New Roman"/>
        </w:rPr>
        <w:t>.6</w:t>
      </w:r>
      <w:r w:rsidR="001E0B4B">
        <w:rPr>
          <w:rFonts w:eastAsia="Times New Roman"/>
        </w:rPr>
        <w:t xml:space="preserve"> shows </w:t>
      </w:r>
      <w:r w:rsidR="001E0B4B" w:rsidRPr="00C8305C">
        <w:rPr>
          <w:rFonts w:eastAsia="Times New Roman"/>
        </w:rPr>
        <w:t>the location of major oil and gas infrastructure in the basin, including oil and gas pipelines and gas processing facilities, along with the distribution of major road and rail networks. Further details are summarised in</w:t>
      </w:r>
      <w:r w:rsidR="001E0B4B">
        <w:rPr>
          <w:rFonts w:eastAsia="Times New Roman"/>
        </w:rPr>
        <w:t xml:space="preserve"> </w:t>
      </w:r>
      <w:r>
        <w:rPr>
          <w:rFonts w:eastAsia="Times New Roman"/>
        </w:rPr>
        <w:t>Table C</w:t>
      </w:r>
      <w:r w:rsidR="00873419">
        <w:rPr>
          <w:rFonts w:eastAsia="Times New Roman"/>
        </w:rPr>
        <w:t>.3</w:t>
      </w:r>
      <w:r w:rsidR="001E0B4B" w:rsidRPr="00C8305C">
        <w:rPr>
          <w:rFonts w:eastAsia="Times New Roman"/>
        </w:rPr>
        <w:t>.</w:t>
      </w:r>
    </w:p>
    <w:p w14:paraId="7ECF9607" w14:textId="77777777" w:rsidR="008B03D8" w:rsidRDefault="008B03D8" w:rsidP="001E0B4B">
      <w:pPr>
        <w:pStyle w:val="BodyText"/>
        <w:rPr>
          <w:rFonts w:eastAsia="Times New Roman"/>
        </w:rPr>
      </w:pPr>
    </w:p>
    <w:p w14:paraId="1B099A5D" w14:textId="77777777" w:rsidR="00251DCB" w:rsidRPr="00E82556" w:rsidRDefault="00251DCB" w:rsidP="00251DCB">
      <w:pPr>
        <w:pStyle w:val="Caption"/>
      </w:pPr>
      <w:bookmarkStart w:id="64" w:name="_Ref490638998"/>
      <w:bookmarkStart w:id="65" w:name="_Toc508972152"/>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3</w:t>
      </w:r>
      <w:r w:rsidR="008079F1">
        <w:rPr>
          <w:noProof/>
        </w:rPr>
        <w:fldChar w:fldCharType="end"/>
      </w:r>
      <w:r>
        <w:t xml:space="preserve"> Summary of social factors, market access and infrastructure</w:t>
      </w:r>
      <w:bookmarkEnd w:id="64"/>
      <w:r>
        <w:t>.</w:t>
      </w:r>
      <w:r w:rsidRPr="009E7E91">
        <w:t xml:space="preserve"> Pipeline information from AER (2017).</w:t>
      </w:r>
      <w:r>
        <w:t xml:space="preserve"> For further details on gas processing facilities see Central Petroleum (2017).</w:t>
      </w:r>
      <w:bookmarkEnd w:id="65"/>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466"/>
        <w:gridCol w:w="6173"/>
      </w:tblGrid>
      <w:tr w:rsidR="00251DCB" w:rsidRPr="00AD7F0C" w14:paraId="22487973" w14:textId="77777777" w:rsidTr="008B03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tcPr>
          <w:p w14:paraId="5A73A9DD" w14:textId="77777777" w:rsidR="00251DCB" w:rsidRPr="00AD7F0C" w:rsidRDefault="00251DCB" w:rsidP="006A6AF0">
            <w:pPr>
              <w:pStyle w:val="TableTextLeft"/>
            </w:pPr>
            <w:r>
              <w:t>INFRASTRUCTURE</w:t>
            </w:r>
          </w:p>
        </w:tc>
      </w:tr>
      <w:tr w:rsidR="00251DCB" w:rsidRPr="00AD7F0C" w14:paraId="2A6679DF" w14:textId="77777777" w:rsidTr="008B03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tcPr>
          <w:p w14:paraId="5167F569" w14:textId="77777777" w:rsidR="00251DCB" w:rsidRDefault="00251DCB" w:rsidP="006A6AF0">
            <w:pPr>
              <w:pStyle w:val="TableTextLeft"/>
            </w:pPr>
            <w:r>
              <w:t>Gas market</w:t>
            </w:r>
          </w:p>
        </w:tc>
        <w:tc>
          <w:tcPr>
            <w:tcW w:w="3202" w:type="pct"/>
          </w:tcPr>
          <w:p w14:paraId="1C3EA5AC" w14:textId="2A396A77" w:rsidR="00251DCB" w:rsidRDefault="00251DCB" w:rsidP="006A6AF0">
            <w:pPr>
              <w:pStyle w:val="TableTextLeft"/>
              <w:cnfStyle w:val="100000000000" w:firstRow="1" w:lastRow="0" w:firstColumn="0" w:lastColumn="0" w:oddVBand="0" w:evenVBand="0" w:oddHBand="0" w:evenHBand="0" w:firstRowFirstColumn="0" w:firstRowLastColumn="0" w:lastRowFirstColumn="0" w:lastRowLastColumn="0"/>
            </w:pPr>
            <w:r>
              <w:t xml:space="preserve">Currently supplies to the </w:t>
            </w:r>
            <w:r w:rsidR="006A6AF0">
              <w:t>Northern Territory Gas Market</w:t>
            </w:r>
          </w:p>
        </w:tc>
      </w:tr>
      <w:tr w:rsidR="00251DCB" w:rsidRPr="00AD7F0C" w14:paraId="03C205F8" w14:textId="77777777" w:rsidTr="008B03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tcPr>
          <w:p w14:paraId="385E374E" w14:textId="77777777" w:rsidR="00251DCB" w:rsidRPr="00AD7F0C" w:rsidRDefault="00251DCB" w:rsidP="006A6AF0">
            <w:pPr>
              <w:pStyle w:val="TableTextLeft"/>
            </w:pPr>
            <w:r>
              <w:t>Proximity to gas pipelines</w:t>
            </w:r>
          </w:p>
        </w:tc>
        <w:tc>
          <w:tcPr>
            <w:tcW w:w="3202" w:type="pct"/>
          </w:tcPr>
          <w:p w14:paraId="117C7644" w14:textId="77777777" w:rsidR="00251DCB" w:rsidRDefault="00251DCB" w:rsidP="006A6AF0">
            <w:pPr>
              <w:pStyle w:val="TableTextBulletL1"/>
              <w:cnfStyle w:val="100000000000" w:firstRow="1" w:lastRow="0" w:firstColumn="0" w:lastColumn="0" w:oddVBand="0" w:evenVBand="0" w:oddHBand="0" w:evenHBand="0" w:firstRowFirstColumn="0" w:firstRowLastColumn="0" w:lastRowFirstColumn="0" w:lastRowLastColumn="0"/>
            </w:pPr>
            <w:r>
              <w:t>Amadeus Gas Pipeline (Amadeus Basin to Darwin) – capacity 120 TJ/day</w:t>
            </w:r>
          </w:p>
          <w:p w14:paraId="6ED1DAC1" w14:textId="77777777" w:rsidR="00251DCB" w:rsidRPr="005D7230" w:rsidRDefault="00251DCB" w:rsidP="006A6AF0">
            <w:pPr>
              <w:pStyle w:val="TableTextBulletL1"/>
              <w:cnfStyle w:val="100000000000" w:firstRow="1" w:lastRow="0" w:firstColumn="0" w:lastColumn="0" w:oddVBand="0" w:evenVBand="0" w:oddHBand="0" w:evenHBand="0" w:firstRowFirstColumn="0" w:firstRowLastColumn="0" w:lastRowFirstColumn="0" w:lastRowLastColumn="0"/>
            </w:pPr>
            <w:r>
              <w:t>Palm Valley to Alice Springs Pipeline – capacity 27 TJ/day</w:t>
            </w:r>
          </w:p>
        </w:tc>
      </w:tr>
      <w:tr w:rsidR="00251DCB" w:rsidRPr="00AD7F0C" w14:paraId="29884949" w14:textId="77777777" w:rsidTr="008B03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tcPr>
          <w:p w14:paraId="456BA521" w14:textId="77777777" w:rsidR="00251DCB" w:rsidRDefault="00251DCB" w:rsidP="006A6AF0">
            <w:pPr>
              <w:pStyle w:val="TableTextLeft"/>
            </w:pPr>
            <w:r>
              <w:t>Gas processing facilities</w:t>
            </w:r>
          </w:p>
        </w:tc>
        <w:tc>
          <w:tcPr>
            <w:tcW w:w="3202" w:type="pct"/>
          </w:tcPr>
          <w:p w14:paraId="4DAAB901" w14:textId="77777777" w:rsidR="00251DCB" w:rsidRDefault="00251DCB" w:rsidP="006A6AF0">
            <w:pPr>
              <w:pStyle w:val="TableTextLeft"/>
              <w:cnfStyle w:val="100000000000" w:firstRow="1" w:lastRow="0" w:firstColumn="0" w:lastColumn="0" w:oddVBand="0" w:evenVBand="0" w:oddHBand="0" w:evenHBand="0" w:firstRowFirstColumn="0" w:firstRowLastColumn="0" w:lastRowFirstColumn="0" w:lastRowLastColumn="0"/>
            </w:pPr>
            <w:r>
              <w:t>Mereenie Gas Plant; Palm Valley Gas Plant</w:t>
            </w:r>
          </w:p>
        </w:tc>
      </w:tr>
      <w:tr w:rsidR="00251DCB" w:rsidRPr="00AD7F0C" w14:paraId="4D26DC08" w14:textId="77777777" w:rsidTr="008B03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tcPr>
          <w:p w14:paraId="6C703AE7" w14:textId="77777777" w:rsidR="00251DCB" w:rsidRPr="00E82556" w:rsidRDefault="00251DCB" w:rsidP="006A6AF0">
            <w:pPr>
              <w:pStyle w:val="TableTextLeft"/>
            </w:pPr>
            <w:r>
              <w:t>Approx. distance from existing pipelines to area prospective for shale and/or tight gas</w:t>
            </w:r>
          </w:p>
        </w:tc>
        <w:tc>
          <w:tcPr>
            <w:tcW w:w="3202" w:type="pct"/>
          </w:tcPr>
          <w:p w14:paraId="28909167" w14:textId="77777777" w:rsidR="00251DCB" w:rsidRDefault="00251DCB" w:rsidP="006A6AF0">
            <w:pPr>
              <w:pStyle w:val="TableTextLeft"/>
              <w:cnfStyle w:val="100000000000" w:firstRow="1" w:lastRow="0" w:firstColumn="0" w:lastColumn="0" w:oddVBand="0" w:evenVBand="0" w:oddHBand="0" w:evenHBand="0" w:firstRowFirstColumn="0" w:firstRowLastColumn="0" w:lastRowFirstColumn="0" w:lastRowLastColumn="0"/>
            </w:pPr>
            <w:r>
              <w:t>0 to &gt; 200 km</w:t>
            </w:r>
          </w:p>
        </w:tc>
      </w:tr>
      <w:tr w:rsidR="00251DCB" w:rsidRPr="00AD7F0C" w14:paraId="5663F3EB" w14:textId="77777777" w:rsidTr="008B03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tcPr>
          <w:p w14:paraId="66D400E9" w14:textId="77777777" w:rsidR="00251DCB" w:rsidRPr="00AD7F0C" w:rsidRDefault="00251DCB" w:rsidP="006A6AF0">
            <w:pPr>
              <w:pStyle w:val="TableTextLeft"/>
            </w:pPr>
            <w:r w:rsidRPr="00E82556">
              <w:t>Road and rail access</w:t>
            </w:r>
          </w:p>
        </w:tc>
        <w:tc>
          <w:tcPr>
            <w:tcW w:w="3202" w:type="pct"/>
          </w:tcPr>
          <w:p w14:paraId="6E33DAF6" w14:textId="77777777" w:rsidR="00251DCB" w:rsidRPr="005D7230" w:rsidRDefault="00251DCB" w:rsidP="006A6AF0">
            <w:pPr>
              <w:pStyle w:val="TableTextLeft"/>
              <w:cnfStyle w:val="100000000000" w:firstRow="1" w:lastRow="0" w:firstColumn="0" w:lastColumn="0" w:oddVBand="0" w:evenVBand="0" w:oddHBand="0" w:evenHBand="0" w:firstRowFirstColumn="0" w:firstRowLastColumn="0" w:lastRowFirstColumn="0" w:lastRowLastColumn="0"/>
            </w:pPr>
            <w:r w:rsidRPr="00581915">
              <w:t>Poorly to moderately well serviced</w:t>
            </w:r>
          </w:p>
        </w:tc>
      </w:tr>
      <w:tr w:rsidR="00251DCB" w:rsidRPr="00AD7F0C" w14:paraId="1EA1FEA2" w14:textId="77777777" w:rsidTr="008B03D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tcPr>
          <w:p w14:paraId="5391756E" w14:textId="77777777" w:rsidR="00251DCB" w:rsidRPr="00E82556" w:rsidRDefault="00251DCB" w:rsidP="006A6AF0">
            <w:pPr>
              <w:pStyle w:val="TableTextLeft"/>
            </w:pPr>
            <w:r w:rsidRPr="00473729">
              <w:t>Approximate development timeframe</w:t>
            </w:r>
          </w:p>
        </w:tc>
        <w:tc>
          <w:tcPr>
            <w:tcW w:w="3202" w:type="pct"/>
          </w:tcPr>
          <w:p w14:paraId="0E52EEDB" w14:textId="77777777" w:rsidR="00251DCB" w:rsidRPr="00581915" w:rsidRDefault="00251DCB" w:rsidP="006A6AF0">
            <w:pPr>
              <w:pStyle w:val="TableTextLeft"/>
              <w:cnfStyle w:val="100000000000" w:firstRow="1" w:lastRow="0" w:firstColumn="0" w:lastColumn="0" w:oddVBand="0" w:evenVBand="0" w:oddHBand="0" w:evenHBand="0" w:firstRowFirstColumn="0" w:firstRowLastColumn="0" w:lastRowFirstColumn="0" w:lastRowLastColumn="0"/>
            </w:pPr>
            <w:r>
              <w:t>8 to &gt;</w:t>
            </w:r>
            <w:r w:rsidRPr="00473729">
              <w:t>10 years</w:t>
            </w:r>
          </w:p>
        </w:tc>
      </w:tr>
    </w:tbl>
    <w:p w14:paraId="41E576C1" w14:textId="77777777" w:rsidR="00251DCB" w:rsidRDefault="00251DCB" w:rsidP="001E0B4B">
      <w:pPr>
        <w:pStyle w:val="BodyText"/>
        <w:rPr>
          <w:rFonts w:eastAsia="Times New Roman"/>
        </w:rPr>
      </w:pPr>
    </w:p>
    <w:p w14:paraId="060C8861" w14:textId="77777777" w:rsidR="001E0B4B" w:rsidRDefault="001E0B4B" w:rsidP="00FD6771">
      <w:pPr>
        <w:pStyle w:val="FiguresImagesCentred"/>
      </w:pPr>
      <w:r>
        <w:rPr>
          <w:noProof/>
        </w:rPr>
        <w:lastRenderedPageBreak/>
        <w:drawing>
          <wp:inline distT="0" distB="0" distL="0" distR="0" wp14:anchorId="2D352C56" wp14:editId="77FE7EBD">
            <wp:extent cx="6008375" cy="6115050"/>
            <wp:effectExtent l="0" t="0" r="0" b="0"/>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6" cstate="screen">
                      <a:extLst>
                        <a:ext uri="{28A0092B-C50C-407E-A947-70E740481C1C}">
                          <a14:useLocalDpi xmlns:a14="http://schemas.microsoft.com/office/drawing/2010/main"/>
                        </a:ext>
                      </a:extLst>
                    </a:blip>
                    <a:stretch>
                      <a:fillRect/>
                    </a:stretch>
                  </pic:blipFill>
                  <pic:spPr bwMode="auto">
                    <a:xfrm>
                      <a:off x="0" y="0"/>
                      <a:ext cx="6013212" cy="6119973"/>
                    </a:xfrm>
                    <a:prstGeom prst="rect">
                      <a:avLst/>
                    </a:prstGeom>
                    <a:noFill/>
                    <a:ln>
                      <a:noFill/>
                    </a:ln>
                  </pic:spPr>
                </pic:pic>
              </a:graphicData>
            </a:graphic>
          </wp:inline>
        </w:drawing>
      </w:r>
    </w:p>
    <w:p w14:paraId="29D895E1" w14:textId="36667155" w:rsidR="001E0B4B" w:rsidRPr="00873419" w:rsidRDefault="008C2054" w:rsidP="009F3E8F">
      <w:pPr>
        <w:pStyle w:val="Caption"/>
      </w:pPr>
      <w:bookmarkStart w:id="66" w:name="_Toc508972077"/>
      <w:r w:rsidRPr="00873419">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873419">
        <w:t>.</w:t>
      </w:r>
      <w:r w:rsidR="008079F1">
        <w:fldChar w:fldCharType="begin"/>
      </w:r>
      <w:r w:rsidR="008079F1">
        <w:instrText xml:space="preserve"> SEQ Apx_Figure \* ARABIC \s 9 </w:instrText>
      </w:r>
      <w:r w:rsidR="008079F1">
        <w:fldChar w:fldCharType="separate"/>
      </w:r>
      <w:r w:rsidR="00640CCB">
        <w:rPr>
          <w:noProof/>
        </w:rPr>
        <w:t>6</w:t>
      </w:r>
      <w:r w:rsidR="008079F1">
        <w:rPr>
          <w:noProof/>
        </w:rPr>
        <w:fldChar w:fldCharType="end"/>
      </w:r>
      <w:r w:rsidRPr="00873419">
        <w:t xml:space="preserve"> </w:t>
      </w:r>
      <w:r w:rsidR="001E0B4B" w:rsidRPr="00873419">
        <w:t xml:space="preserve">Infrastructure, pipelines and production facilities. </w:t>
      </w:r>
      <w:r w:rsidR="00AF7FF4">
        <w:t xml:space="preserve">Oil and gas infrastructure from GA (2015a). Processing facilities from GA (2015b). </w:t>
      </w:r>
      <w:r w:rsidR="001E0B4B" w:rsidRPr="00873419">
        <w:t>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66"/>
    </w:p>
    <w:p w14:paraId="74FAABC2" w14:textId="77777777" w:rsidR="008C2054" w:rsidRPr="008C2054" w:rsidRDefault="008C2054" w:rsidP="008C2054">
      <w:pPr>
        <w:pStyle w:val="BodyText"/>
      </w:pPr>
    </w:p>
    <w:p w14:paraId="7C43AC6C" w14:textId="77777777" w:rsidR="001E0B4B" w:rsidRDefault="001E0B4B" w:rsidP="001E0B4B">
      <w:pPr>
        <w:pStyle w:val="AppendixHeading3"/>
      </w:pPr>
      <w:bookmarkStart w:id="67" w:name="_Toc517161120"/>
      <w:r>
        <w:t>Regulatory environment impacting shale and tight gas exploration</w:t>
      </w:r>
      <w:bookmarkEnd w:id="67"/>
    </w:p>
    <w:p w14:paraId="2409626F" w14:textId="3646455B" w:rsidR="001E0B4B" w:rsidRDefault="001E0B4B" w:rsidP="001E0B4B">
      <w:pPr>
        <w:pStyle w:val="BodyText"/>
      </w:pPr>
      <w:r>
        <w:t xml:space="preserve">All Australian states and territories have regulatory frameworks in place to manage impacts of petroleum exploration and production. In all Australian jurisdictions, companies intending to carry out drilling and stimulation operations must submit several applications to the relevant </w:t>
      </w:r>
      <w:r>
        <w:lastRenderedPageBreak/>
        <w:t xml:space="preserve">departments, including a drilling application, an environment plan and a safety management plan (APPEA, 2017). </w:t>
      </w:r>
    </w:p>
    <w:p w14:paraId="507B8058" w14:textId="77777777" w:rsidR="001D0E6C" w:rsidRDefault="001E0B4B" w:rsidP="001E0B4B">
      <w:pPr>
        <w:pStyle w:val="BodyText"/>
      </w:pPr>
      <w:r>
        <w:t xml:space="preserve">Regulation is overseen by different government departments across Australia. </w:t>
      </w:r>
    </w:p>
    <w:p w14:paraId="6B9F9999" w14:textId="1C86522F" w:rsidR="00C53F5F" w:rsidRPr="00C53F5F" w:rsidRDefault="00355F5E" w:rsidP="00C53F5F">
      <w:pPr>
        <w:pStyle w:val="BodyText"/>
      </w:pPr>
      <w:r w:rsidRPr="00C53F5F">
        <w:rPr>
          <w:rFonts w:asciiTheme="minorHAnsi" w:hAnsiTheme="minorHAnsi"/>
        </w:rPr>
        <w:t xml:space="preserve">In September 2017, the Western Australian government implemented a moratorium on the use of hydraulic fracturing while an inquiry into the practice is undertaken. In 2016, the Northern Territory Government implemented a moratorium on unconventional onshore gas activities in the territory, while an inquiry was undertaken and pending the Government’s decision on the recommendations of the inquiry; the final report of the inquiry was released in March 2018 (Scientific Inquiry into Hydraulic Fracturing in the Northern Territory, 2018).  </w:t>
      </w:r>
      <w:r w:rsidR="001E0B4B" w:rsidRPr="00C53F5F">
        <w:rPr>
          <w:rFonts w:asciiTheme="minorHAnsi" w:hAnsiTheme="minorHAnsi"/>
        </w:rPr>
        <w:t>Details of the moratorium and regulatory restrictions are described below.</w:t>
      </w:r>
    </w:p>
    <w:p w14:paraId="2A8D4A94" w14:textId="77777777" w:rsidR="001E0B4B" w:rsidRPr="00761899" w:rsidRDefault="001E0B4B" w:rsidP="001E0B4B">
      <w:pPr>
        <w:pStyle w:val="AppendixHeading4"/>
        <w:rPr>
          <w:rFonts w:asciiTheme="minorHAnsi" w:hAnsiTheme="minorHAnsi"/>
        </w:rPr>
      </w:pPr>
      <w:r w:rsidRPr="00761899">
        <w:rPr>
          <w:rFonts w:asciiTheme="minorHAnsi" w:hAnsiTheme="minorHAnsi"/>
        </w:rPr>
        <w:t>Northern Territory</w:t>
      </w:r>
    </w:p>
    <w:p w14:paraId="2BC2BE98" w14:textId="15F057C1" w:rsidR="0067443F" w:rsidRDefault="00355F5E" w:rsidP="001E0B4B">
      <w:pPr>
        <w:pStyle w:val="BodyText"/>
      </w:pPr>
      <w:r w:rsidRPr="00355F5E">
        <w:t xml:space="preserve">In April 2018, the Northern Territory Government accepted all 135 recommendations of the inquiry and lifted the moratorium on hydraulic fracturing over 51% of the Territory. An implementation plan to be released in July 2018 will clearly show how the recommendations will be implemented.  </w:t>
      </w:r>
    </w:p>
    <w:p w14:paraId="4C3FE829" w14:textId="10587AF0" w:rsidR="00862CFA" w:rsidRDefault="00862CFA" w:rsidP="006555A9">
      <w:pPr>
        <w:pStyle w:val="AppendixHeading4"/>
      </w:pPr>
      <w:r>
        <w:t>Western Australia</w:t>
      </w:r>
    </w:p>
    <w:p w14:paraId="2889D19B" w14:textId="5C254D03" w:rsidR="00C53F5F" w:rsidRPr="00C53F5F" w:rsidRDefault="00C53F5F" w:rsidP="00761899">
      <w:pPr>
        <w:pStyle w:val="BodyText"/>
      </w:pPr>
      <w:r w:rsidRPr="00C53F5F">
        <w:t>The future of fracking will be decided following an independent scientific inquiry (Independent Scientific Panel Inquiry into Hydraulic Fracture Stimulation in Western Australia, 2017).</w:t>
      </w:r>
    </w:p>
    <w:p w14:paraId="343FEE25" w14:textId="77777777" w:rsidR="00842B2D" w:rsidRDefault="00842B2D" w:rsidP="00D15FEC">
      <w:pPr>
        <w:pStyle w:val="AppendixHeading3"/>
      </w:pPr>
      <w:bookmarkStart w:id="68" w:name="_Toc517161121"/>
      <w:bookmarkEnd w:id="63"/>
      <w:r>
        <w:t>Hydrogeology and groundwater</w:t>
      </w:r>
      <w:bookmarkEnd w:id="68"/>
    </w:p>
    <w:p w14:paraId="139FCC4C" w14:textId="77777777" w:rsidR="00842B2D" w:rsidRDefault="00842B2D" w:rsidP="00D15FEC">
      <w:pPr>
        <w:pStyle w:val="AppendixHeading4"/>
      </w:pPr>
      <w:r>
        <w:t>Groundwater systems</w:t>
      </w:r>
    </w:p>
    <w:p w14:paraId="166AEA8E" w14:textId="6508779F" w:rsidR="00842B2D" w:rsidRDefault="00842B2D" w:rsidP="00554585">
      <w:pPr>
        <w:pStyle w:val="BodyText"/>
      </w:pPr>
      <w:bookmarkStart w:id="69" w:name="_Toc499547566"/>
      <w:r>
        <w:t xml:space="preserve">In addition to the petroleum resources, the Amadeus Basin </w:t>
      </w:r>
      <w:r w:rsidR="00FE1F65">
        <w:t xml:space="preserve">also </w:t>
      </w:r>
      <w:r>
        <w:t xml:space="preserve">hosts groundwater. </w:t>
      </w:r>
      <w:r w:rsidRPr="00D5476A">
        <w:t>Topographically, the basin is generally flat with Cenozoic (Paleogene, Neogene and Quaternary) alluvial sediments over</w:t>
      </w:r>
      <w:r w:rsidR="006B4EAA">
        <w:t>lying synclinal structures (MacQ</w:t>
      </w:r>
      <w:r w:rsidRPr="00D5476A">
        <w:t>ueen and Knott, 1982) (</w:t>
      </w:r>
      <w:r>
        <w:t xml:space="preserve">Figure C.7). </w:t>
      </w:r>
      <w:r w:rsidRPr="00D5476A">
        <w:t>There are two broad hydrogeological zones within the Amadeus Basin</w:t>
      </w:r>
      <w:r>
        <w:t>: t</w:t>
      </w:r>
      <w:r w:rsidRPr="00D5476A">
        <w:t>he southern zone, with intensely folded and fractured rocks discharging to a string of playas</w:t>
      </w:r>
      <w:r>
        <w:t>;</w:t>
      </w:r>
      <w:r w:rsidRPr="00D5476A">
        <w:t xml:space="preserve"> and a northern zone of broad folds bounded to the north by the MacDonnell Ranges and to the south by the George Gill Range (Lau and Jacobson, 19</w:t>
      </w:r>
      <w:r>
        <w:t>91</w:t>
      </w:r>
      <w:r w:rsidRPr="00D5476A">
        <w:t>).</w:t>
      </w:r>
      <w:r>
        <w:t xml:space="preserve"> </w:t>
      </w:r>
      <w:r w:rsidRPr="00D5476A">
        <w:t>The depth to standing water level (SWL) ranges from deeper than 15</w:t>
      </w:r>
      <w:r w:rsidR="00554585">
        <w:t>0 m</w:t>
      </w:r>
      <w:r w:rsidRPr="00D5476A">
        <w:t xml:space="preserve"> in the Roe Creek Borefield (pre-development ~10</w:t>
      </w:r>
      <w:r>
        <w:t>0 </w:t>
      </w:r>
      <w:r w:rsidR="00554585">
        <w:t>m</w:t>
      </w:r>
      <w:r w:rsidRPr="00D5476A">
        <w:t>) to 4</w:t>
      </w:r>
      <w:r>
        <w:t>0</w:t>
      </w:r>
      <w:r w:rsidR="00554585">
        <w:t xml:space="preserve"> m</w:t>
      </w:r>
      <w:r w:rsidRPr="00D5476A">
        <w:t xml:space="preserve"> close to the Todd River in the Rocky Hill area.</w:t>
      </w:r>
      <w:r>
        <w:t xml:space="preserve"> There are several aquifers, including the Pacoota, Mereeni</w:t>
      </w:r>
      <w:r w:rsidR="006B4EAA">
        <w:t>e and Hermannsburg sandstones. T</w:t>
      </w:r>
      <w:r>
        <w:t>he Mereenie Sandstone is the main aquifer for the Roe Creek Borefield near Alice Springs. Most hydrogeological investigation into the Amadeus Basin has focused in the east, supporting water supply for Alice Springs and surrounding areas; additionally, groundwater resources are used further west for less populated agricultural, community and tourist purposes (Lloyd and Jacobson, 1987; NT DLRM</w:t>
      </w:r>
      <w:r w:rsidR="006B4EAA">
        <w:t>, 2016; Jolly et al., 1994</w:t>
      </w:r>
      <w:r>
        <w:t xml:space="preserve">). The following paragraphs </w:t>
      </w:r>
      <w:r w:rsidR="00096087">
        <w:t>present</w:t>
      </w:r>
      <w:r>
        <w:t xml:space="preserve"> further details about the main aquifers, particularly those of the eastern Amadeus Basin (Hostetler, 2003, 2005). </w:t>
      </w:r>
      <w:r w:rsidR="00554585">
        <w:t>The l</w:t>
      </w:r>
      <w:r w:rsidR="003C5CAE" w:rsidRPr="003C5CAE">
        <w:t>ithostratigraphy presented above (Figure C.2) indicates the relationships between formations of the Amadeus Basin, including th</w:t>
      </w:r>
      <w:r w:rsidR="00554585">
        <w:t>ose containing the</w:t>
      </w:r>
      <w:r w:rsidR="003C5CAE" w:rsidRPr="003C5CAE">
        <w:t xml:space="preserve"> major </w:t>
      </w:r>
      <w:r w:rsidR="00A821E4">
        <w:lastRenderedPageBreak/>
        <w:t xml:space="preserve">aquifers. Figure C.7 </w:t>
      </w:r>
      <w:r>
        <w:rPr>
          <w:noProof/>
        </w:rPr>
        <w:t xml:space="preserve">presents a geological cross-section </w:t>
      </w:r>
      <w:r>
        <w:t>of the basin and highlights some of these aquifers.</w:t>
      </w:r>
      <w:bookmarkEnd w:id="69"/>
      <w:r>
        <w:t xml:space="preserve"> </w:t>
      </w:r>
    </w:p>
    <w:p w14:paraId="4C52962A" w14:textId="77777777" w:rsidR="00D37990" w:rsidRDefault="00842B2D" w:rsidP="00554585">
      <w:pPr>
        <w:pStyle w:val="FiguresImagesCentred"/>
      </w:pPr>
      <w:r w:rsidRPr="00554585">
        <w:rPr>
          <w:noProof/>
        </w:rPr>
        <w:drawing>
          <wp:inline distT="0" distB="0" distL="0" distR="0" wp14:anchorId="0BEA965E" wp14:editId="419741EE">
            <wp:extent cx="5760085" cy="40722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5760085" cy="4072255"/>
                    </a:xfrm>
                    <a:prstGeom prst="rect">
                      <a:avLst/>
                    </a:prstGeom>
                  </pic:spPr>
                </pic:pic>
              </a:graphicData>
            </a:graphic>
          </wp:inline>
        </w:drawing>
      </w:r>
      <w:bookmarkStart w:id="70" w:name="_Toc499547567"/>
    </w:p>
    <w:p w14:paraId="20182397" w14:textId="17579829" w:rsidR="00842B2D" w:rsidRDefault="00842B2D" w:rsidP="00A826C9">
      <w:pPr>
        <w:pStyle w:val="Caption"/>
      </w:pPr>
      <w:bookmarkStart w:id="71" w:name="_Toc508972078"/>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7</w:t>
      </w:r>
      <w:r w:rsidR="008079F1">
        <w:rPr>
          <w:noProof/>
        </w:rPr>
        <w:fldChar w:fldCharType="end"/>
      </w:r>
      <w:r>
        <w:rPr>
          <w:noProof/>
        </w:rPr>
        <w:t xml:space="preserve"> </w:t>
      </w:r>
      <w:r>
        <w:t>North-s</w:t>
      </w:r>
      <w:r w:rsidRPr="00D5476A">
        <w:t xml:space="preserve">outh </w:t>
      </w:r>
      <w:r>
        <w:t>g</w:t>
      </w:r>
      <w:r w:rsidRPr="00D5476A">
        <w:t>eological cross section o</w:t>
      </w:r>
      <w:r>
        <w:t>f the Alice Springs Area (NT DLRM,</w:t>
      </w:r>
      <w:r w:rsidRPr="00D5476A">
        <w:t xml:space="preserve"> 2016).</w:t>
      </w:r>
      <w:bookmarkEnd w:id="70"/>
      <w:bookmarkEnd w:id="71"/>
    </w:p>
    <w:p w14:paraId="591A210F" w14:textId="77777777" w:rsidR="00842B2D" w:rsidRPr="00873419" w:rsidRDefault="00842B2D" w:rsidP="00873419">
      <w:pPr>
        <w:pStyle w:val="BodyText"/>
      </w:pPr>
    </w:p>
    <w:p w14:paraId="5A73280C" w14:textId="77777777" w:rsidR="00842B2D" w:rsidRPr="001E0B4B" w:rsidRDefault="00842B2D" w:rsidP="001E0B4B">
      <w:pPr>
        <w:pStyle w:val="BodyText"/>
      </w:pPr>
    </w:p>
    <w:p w14:paraId="0ED427E8" w14:textId="77777777" w:rsidR="00842B2D" w:rsidRPr="00D5476A" w:rsidRDefault="00842B2D" w:rsidP="001E0B4B">
      <w:pPr>
        <w:pStyle w:val="BodyText"/>
      </w:pPr>
      <w:r w:rsidRPr="00D5476A">
        <w:br w:type="page"/>
      </w:r>
    </w:p>
    <w:p w14:paraId="7C0BB70F" w14:textId="77777777" w:rsidR="00842B2D" w:rsidRPr="00EB3DD1" w:rsidRDefault="00842B2D" w:rsidP="001E0B4B">
      <w:pPr>
        <w:pStyle w:val="BodyText"/>
        <w:rPr>
          <w:rStyle w:val="Bold"/>
        </w:rPr>
      </w:pPr>
      <w:r w:rsidRPr="00EB3DD1">
        <w:rPr>
          <w:rStyle w:val="Bold"/>
        </w:rPr>
        <w:lastRenderedPageBreak/>
        <w:t>Jay Creek Limestone/Shannon Formation (Cambrian)</w:t>
      </w:r>
    </w:p>
    <w:p w14:paraId="687ABB19" w14:textId="6564E910" w:rsidR="00842B2D" w:rsidRPr="00EB3DD1" w:rsidRDefault="00842B2D" w:rsidP="001E0B4B">
      <w:pPr>
        <w:pStyle w:val="BodyText"/>
      </w:pPr>
      <w:r w:rsidRPr="00EB3DD1">
        <w:t>The Jay Creek Limestone consists of alternating beds of limestone and red brown, micaceous siltstone. Thickness ranges from 15</w:t>
      </w:r>
      <w:r>
        <w:t xml:space="preserve">0 m </w:t>
      </w:r>
      <w:r w:rsidRPr="00EB3DD1">
        <w:t>to over 1</w:t>
      </w:r>
      <w:r>
        <w:t>,</w:t>
      </w:r>
      <w:r w:rsidRPr="00EB3DD1">
        <w:t>00</w:t>
      </w:r>
      <w:r>
        <w:t>0 m</w:t>
      </w:r>
      <w:r w:rsidRPr="00EB3DD1">
        <w:t xml:space="preserve"> in the middle of the Waterhouse Anticline, which is associated </w:t>
      </w:r>
      <w:r w:rsidR="00554585">
        <w:t>with the Waterhouse Ranges (MacQ</w:t>
      </w:r>
      <w:r w:rsidRPr="00EB3DD1">
        <w:t>ueen and Knott, 1982). The Shannon Formation (35</w:t>
      </w:r>
      <w:r>
        <w:t>0 m</w:t>
      </w:r>
      <w:r w:rsidRPr="00EB3DD1">
        <w:t xml:space="preserve"> thick) has a similar lithology. </w:t>
      </w:r>
    </w:p>
    <w:p w14:paraId="4768A9A3" w14:textId="77777777" w:rsidR="00842B2D" w:rsidRPr="00EB3DD1" w:rsidRDefault="00842B2D" w:rsidP="001E0B4B">
      <w:pPr>
        <w:pStyle w:val="BodyText"/>
      </w:pPr>
      <w:r w:rsidRPr="00EB3DD1">
        <w:t>The Jay Creek Limestone/Shannon Formation is continuous through most of the northeastern Amadeus Basin with a groundwater flow that is generally from west to east.</w:t>
      </w:r>
    </w:p>
    <w:p w14:paraId="1540C036" w14:textId="77777777" w:rsidR="00842B2D" w:rsidRPr="00EB3DD1" w:rsidRDefault="00842B2D" w:rsidP="001E0B4B">
      <w:pPr>
        <w:pStyle w:val="BodyText"/>
        <w:rPr>
          <w:rStyle w:val="Bold"/>
        </w:rPr>
      </w:pPr>
      <w:r w:rsidRPr="00EB3DD1">
        <w:rPr>
          <w:rStyle w:val="Bold"/>
        </w:rPr>
        <w:t>Goyder Formation (Cambrian)</w:t>
      </w:r>
    </w:p>
    <w:p w14:paraId="701AA3F7" w14:textId="29825432" w:rsidR="00842B2D" w:rsidRPr="00136E11" w:rsidRDefault="00842B2D" w:rsidP="001E0B4B">
      <w:pPr>
        <w:pStyle w:val="BodyText"/>
      </w:pPr>
      <w:r w:rsidRPr="00EB3DD1">
        <w:t>The Goyder Formation (30</w:t>
      </w:r>
      <w:r>
        <w:t xml:space="preserve">0 m </w:t>
      </w:r>
      <w:r w:rsidRPr="00EB3DD1">
        <w:t>thick) crops out along the base of the MacDonnell Ranges. It conformably overlies the Jay Creek Limestone and consists of alternating sa</w:t>
      </w:r>
      <w:r w:rsidR="00554585">
        <w:t>ndstone and siltstone beds (MacQ</w:t>
      </w:r>
      <w:r w:rsidRPr="00EB3DD1">
        <w:t>ueen and Knott, 1982). Groundwater flow regionally is from west to east, although in the vicinity of Roe Creek it is towards the borefield, with a depth to water</w:t>
      </w:r>
      <w:r>
        <w:t xml:space="preserve"> </w:t>
      </w:r>
      <w:r w:rsidRPr="00EB3DD1">
        <w:t>table of 9</w:t>
      </w:r>
      <w:r>
        <w:t>0</w:t>
      </w:r>
      <w:r w:rsidR="00554585">
        <w:t xml:space="preserve"> m</w:t>
      </w:r>
      <w:r w:rsidRPr="00EB3DD1">
        <w:t xml:space="preserve">. The regional transmissivity of the Goyder Formation is </w:t>
      </w:r>
      <w:r w:rsidR="00554585">
        <w:t xml:space="preserve">approximately </w:t>
      </w:r>
      <w:r w:rsidRPr="00EB3DD1">
        <w:t>15</w:t>
      </w:r>
      <w:r>
        <w:t>0 m</w:t>
      </w:r>
      <w:r w:rsidRPr="005450A3">
        <w:rPr>
          <w:rStyle w:val="Superscript"/>
        </w:rPr>
        <w:t>2</w:t>
      </w:r>
      <w:r w:rsidRPr="00EB3DD1">
        <w:t>/day, although near the Roe Creek Borefield it is up to 58</w:t>
      </w:r>
      <w:r>
        <w:t>0 m</w:t>
      </w:r>
      <w:r w:rsidRPr="005450A3">
        <w:rPr>
          <w:rStyle w:val="Superscript"/>
        </w:rPr>
        <w:t>2</w:t>
      </w:r>
      <w:r w:rsidR="00554585">
        <w:t>/day (MacQ</w:t>
      </w:r>
      <w:r w:rsidRPr="00EB3DD1">
        <w:t>ueen and Knott, 1982).</w:t>
      </w:r>
    </w:p>
    <w:p w14:paraId="49113E74" w14:textId="77777777" w:rsidR="00842B2D" w:rsidRPr="001B417B" w:rsidRDefault="00842B2D" w:rsidP="001E0B4B">
      <w:pPr>
        <w:pStyle w:val="BodyText"/>
        <w:rPr>
          <w:rStyle w:val="Bold"/>
        </w:rPr>
      </w:pPr>
      <w:r w:rsidRPr="001B417B">
        <w:rPr>
          <w:rStyle w:val="Bold"/>
        </w:rPr>
        <w:t xml:space="preserve">Pacoota Sandstone </w:t>
      </w:r>
      <w:r>
        <w:rPr>
          <w:rStyle w:val="Bold"/>
        </w:rPr>
        <w:t>(Cambrian–Ordovician)</w:t>
      </w:r>
    </w:p>
    <w:p w14:paraId="3595CE6B" w14:textId="4A11BD4E" w:rsidR="00842B2D" w:rsidRDefault="00842B2D" w:rsidP="001E0B4B">
      <w:pPr>
        <w:pStyle w:val="BodyText"/>
      </w:pPr>
      <w:r w:rsidRPr="00136E11">
        <w:t>The Pacoota Sandstone</w:t>
      </w:r>
      <w:r>
        <w:t>, which</w:t>
      </w:r>
      <w:r w:rsidRPr="00136E11">
        <w:t xml:space="preserve"> conformably overlies the Goyder Formation</w:t>
      </w:r>
      <w:r>
        <w:t>,</w:t>
      </w:r>
      <w:r w:rsidRPr="00136E11">
        <w:t xml:space="preserve"> ranges in thickness from 350</w:t>
      </w:r>
      <w:r>
        <w:t>–</w:t>
      </w:r>
      <w:r w:rsidRPr="00136E11">
        <w:t>45</w:t>
      </w:r>
      <w:r>
        <w:t>0 m and is a highly productive aquifer, with typically low salinity (500-1,000 mg/L</w:t>
      </w:r>
      <w:r w:rsidR="00096087">
        <w:t xml:space="preserve"> TDS</w:t>
      </w:r>
      <w:r>
        <w:t>). It is of particular importance for water resources in the Kings Canyon area, as well as close to Alice Springs. The Pacoota Sandstone and underlying Goyder Formation have a hydraulic connection, but distinct chemistry. The Horn Valley Siltstone (which is assumed to have no aquifer potential) overlies the Pacoota Sandstone in most of the basin. In the east, the Mereenie Sandstone directly overlies the Pacoota Sandstone, but there appears to be little connection between these aquifers</w:t>
      </w:r>
      <w:r w:rsidRPr="00136E11">
        <w:t>. Regional groundwater flow in the Pacoota Sandstone is generally from west to east. However, near the Roe Creek Borefield, heavy pumping has increased the hydraulic gradie</w:t>
      </w:r>
      <w:r w:rsidR="00554585">
        <w:t>nt (MacQ</w:t>
      </w:r>
      <w:r>
        <w:t>ueen and Knott, 1982;</w:t>
      </w:r>
      <w:r w:rsidRPr="007E3FD2">
        <w:t xml:space="preserve"> </w:t>
      </w:r>
      <w:r>
        <w:t>Lloyd and Jacobson, 1987; Jacobson et al., 1989; Read</w:t>
      </w:r>
      <w:r w:rsidR="00554585">
        <w:t>,</w:t>
      </w:r>
      <w:r>
        <w:t xml:space="preserve"> 2004; Jolly et al., 1994).</w:t>
      </w:r>
    </w:p>
    <w:p w14:paraId="4F1CB663" w14:textId="77777777" w:rsidR="00842B2D" w:rsidRPr="001B417B" w:rsidRDefault="00842B2D" w:rsidP="001E0B4B">
      <w:pPr>
        <w:pStyle w:val="BodyText"/>
        <w:rPr>
          <w:rStyle w:val="Bold"/>
        </w:rPr>
      </w:pPr>
      <w:r w:rsidRPr="001B417B">
        <w:rPr>
          <w:rStyle w:val="Bold"/>
        </w:rPr>
        <w:t xml:space="preserve">Mereenie Sandstone </w:t>
      </w:r>
      <w:r>
        <w:rPr>
          <w:rStyle w:val="Bold"/>
        </w:rPr>
        <w:t>(Silurian–Devonian)</w:t>
      </w:r>
    </w:p>
    <w:p w14:paraId="1B8DD3CD" w14:textId="4BDA2F2C" w:rsidR="00842B2D" w:rsidRPr="00136E11" w:rsidRDefault="00842B2D" w:rsidP="001E0B4B">
      <w:pPr>
        <w:pStyle w:val="BodyText"/>
      </w:pPr>
      <w:r w:rsidRPr="00136E11">
        <w:t>The Mereenie Sandstone (365 m thick) is</w:t>
      </w:r>
      <w:r>
        <w:t>,</w:t>
      </w:r>
      <w:r w:rsidRPr="00136E11">
        <w:t xml:space="preserve"> by an order of magnitude</w:t>
      </w:r>
      <w:r>
        <w:t>,</w:t>
      </w:r>
      <w:r w:rsidRPr="00136E11">
        <w:t xml:space="preserve"> the most highly developed aquifer in the Amadeus Basin. It </w:t>
      </w:r>
      <w:r>
        <w:t>occupies an area of</w:t>
      </w:r>
      <w:r w:rsidRPr="00136E11">
        <w:t xml:space="preserve"> about 27,000</w:t>
      </w:r>
      <w:r>
        <w:t> km</w:t>
      </w:r>
      <w:r w:rsidRPr="005450A3">
        <w:rPr>
          <w:rStyle w:val="Superscript"/>
        </w:rPr>
        <w:t xml:space="preserve">2 </w:t>
      </w:r>
      <w:r>
        <w:t xml:space="preserve">within the extent </w:t>
      </w:r>
      <w:r w:rsidRPr="00136E11">
        <w:t>of the Amadeus Basin, although it has been eroded nort</w:t>
      </w:r>
      <w:r w:rsidR="00554585">
        <w:t>h of the Waterhouse Ranges (MacQ</w:t>
      </w:r>
      <w:r w:rsidRPr="00136E11">
        <w:t>ueen and Knott, 1982).</w:t>
      </w:r>
      <w:r>
        <w:t xml:space="preserve"> It was </w:t>
      </w:r>
      <w:r w:rsidRPr="00136E11">
        <w:t>deposited in a marginal marine to aeolian environment and is commonly divided into three sub</w:t>
      </w:r>
      <w:r>
        <w:t>-</w:t>
      </w:r>
      <w:r w:rsidRPr="00136E11">
        <w:t xml:space="preserve">units. </w:t>
      </w:r>
    </w:p>
    <w:p w14:paraId="2B031F2A" w14:textId="77777777" w:rsidR="00842B2D" w:rsidRPr="00136E11" w:rsidRDefault="00842B2D" w:rsidP="004C01AB">
      <w:pPr>
        <w:pStyle w:val="ListBullet"/>
      </w:pPr>
      <w:r w:rsidRPr="001B417B">
        <w:rPr>
          <w:rStyle w:val="Bold"/>
        </w:rPr>
        <w:t>Unit A</w:t>
      </w:r>
      <w:r w:rsidRPr="00136E11">
        <w:t xml:space="preserve"> was deposited in a marginal marine environment and consists of sand</w:t>
      </w:r>
      <w:r>
        <w:t>stone with siltstone interbeds.</w:t>
      </w:r>
      <w:r w:rsidRPr="00136E11">
        <w:t xml:space="preserve"> </w:t>
      </w:r>
    </w:p>
    <w:p w14:paraId="31CF50DF" w14:textId="77777777" w:rsidR="00842B2D" w:rsidRPr="00136E11" w:rsidRDefault="00842B2D" w:rsidP="004C01AB">
      <w:pPr>
        <w:pStyle w:val="ListBullet"/>
      </w:pPr>
      <w:r w:rsidRPr="001B417B">
        <w:rPr>
          <w:rStyle w:val="Bold"/>
        </w:rPr>
        <w:t>Unit B</w:t>
      </w:r>
      <w:r w:rsidRPr="00136E11">
        <w:t xml:space="preserve"> is about 10</w:t>
      </w:r>
      <w:r>
        <w:t>0 m</w:t>
      </w:r>
      <w:r w:rsidRPr="00136E11">
        <w:t xml:space="preserve"> thick and consists of a cross-bedded</w:t>
      </w:r>
      <w:r>
        <w:t>,</w:t>
      </w:r>
      <w:r w:rsidRPr="00136E11">
        <w:t xml:space="preserve"> pure quartz sandstone. </w:t>
      </w:r>
    </w:p>
    <w:p w14:paraId="795E40D7" w14:textId="77777777" w:rsidR="00842B2D" w:rsidRDefault="00842B2D" w:rsidP="004C01AB">
      <w:pPr>
        <w:pStyle w:val="ListBullet"/>
      </w:pPr>
      <w:r w:rsidRPr="001B417B">
        <w:rPr>
          <w:rStyle w:val="Bold"/>
        </w:rPr>
        <w:t>Unit C</w:t>
      </w:r>
      <w:r w:rsidRPr="00136E11">
        <w:t xml:space="preserve"> is about 115 m thick and consists of a well-cemented orange brown coloured sandstone</w:t>
      </w:r>
      <w:r>
        <w:t>.</w:t>
      </w:r>
    </w:p>
    <w:p w14:paraId="2FEA8366" w14:textId="77777777" w:rsidR="00842B2D" w:rsidRPr="00ED7C98" w:rsidRDefault="00842B2D" w:rsidP="001E0B4B">
      <w:pPr>
        <w:pStyle w:val="BodyText"/>
      </w:pPr>
      <w:r w:rsidRPr="002B3D4F">
        <w:lastRenderedPageBreak/>
        <w:t>Units A and C are the highest yielding sub</w:t>
      </w:r>
      <w:r>
        <w:t>-</w:t>
      </w:r>
      <w:r w:rsidRPr="002B3D4F">
        <w:t xml:space="preserve">units in the Mereenie Sandstone. Unit B is generally not used because the lack of cementation can cause bore failure (Jolly et al., 1994). Primary permeability in the Mereenie Sandstone is controlled by the percentage and type of lithic content in the sandstone. </w:t>
      </w:r>
      <w:r>
        <w:t>Permeability</w:t>
      </w:r>
      <w:r w:rsidRPr="002B3D4F">
        <w:t xml:space="preserve"> is highest in Unit B, but iron cementation in Unit C, has enabled fracture induced secondary permeability west of Roe Creek (Lau, 1989). </w:t>
      </w:r>
      <w:r>
        <w:t>There seems to be limited connection between the Mereenie Sandstone and underlying or overlying aquifers (Jolly et al., 1994).</w:t>
      </w:r>
    </w:p>
    <w:p w14:paraId="52BFAD4E" w14:textId="77777777" w:rsidR="00842B2D" w:rsidRPr="001B417B" w:rsidRDefault="00842B2D" w:rsidP="001E0B4B">
      <w:pPr>
        <w:pStyle w:val="BodyText"/>
        <w:rPr>
          <w:rStyle w:val="Bold"/>
        </w:rPr>
      </w:pPr>
      <w:r w:rsidRPr="001B417B">
        <w:rPr>
          <w:rStyle w:val="Bold"/>
        </w:rPr>
        <w:t xml:space="preserve">Hermannsburg Formation </w:t>
      </w:r>
      <w:r>
        <w:rPr>
          <w:rStyle w:val="Bold"/>
        </w:rPr>
        <w:t>(Devonian)</w:t>
      </w:r>
    </w:p>
    <w:p w14:paraId="1E686D98" w14:textId="7154A9FB" w:rsidR="00842B2D" w:rsidRPr="00ED7C98" w:rsidRDefault="00842B2D" w:rsidP="001E0B4B">
      <w:pPr>
        <w:pStyle w:val="BodyText"/>
      </w:pPr>
      <w:r w:rsidRPr="00ED7C98">
        <w:t>The Hermannsburg Sandstone (60</w:t>
      </w:r>
      <w:r>
        <w:t>0</w:t>
      </w:r>
      <w:r w:rsidR="00554585">
        <w:t xml:space="preserve"> m</w:t>
      </w:r>
      <w:r w:rsidRPr="00ED7C98">
        <w:t xml:space="preserve"> thick) unconformably overlies the Mereenie Sandstone over most of the eastern Amadeus Basin, except north of the Waterhouse Ranges where it lies directly on the Pacoota Sandstone. The Hermannsburg Sandstone consists of red-brown, poorly sorted, silty sandstone with interbeds of micaceous siltstone. In the Alice Springs region, it is often difficult to distinguish it from the Mereenie Sandstone in drillers</w:t>
      </w:r>
      <w:r>
        <w:t>’</w:t>
      </w:r>
      <w:r w:rsidRPr="00ED7C98">
        <w:t xml:space="preserve"> log</w:t>
      </w:r>
      <w:r>
        <w:t>s</w:t>
      </w:r>
      <w:r w:rsidR="00554585">
        <w:t xml:space="preserve"> (MacQ</w:t>
      </w:r>
      <w:r w:rsidRPr="00ED7C98">
        <w:t xml:space="preserve">ueen and Knott, 1982). </w:t>
      </w:r>
    </w:p>
    <w:p w14:paraId="2741150C" w14:textId="77777777" w:rsidR="00842B2D" w:rsidRDefault="00842B2D" w:rsidP="001E0B4B">
      <w:pPr>
        <w:pStyle w:val="BodyText"/>
      </w:pPr>
      <w:r>
        <w:t>It</w:t>
      </w:r>
      <w:r w:rsidRPr="002B3D4F">
        <w:t xml:space="preserve"> is generally low yielding (1 L/s) and is only used for small volume community supplies. </w:t>
      </w:r>
    </w:p>
    <w:p w14:paraId="06D12303" w14:textId="77777777" w:rsidR="00842B2D" w:rsidRPr="001B417B" w:rsidRDefault="00842B2D" w:rsidP="001E0B4B">
      <w:pPr>
        <w:pStyle w:val="BodyText"/>
        <w:rPr>
          <w:rStyle w:val="Bold"/>
        </w:rPr>
      </w:pPr>
      <w:r w:rsidRPr="001B417B">
        <w:rPr>
          <w:rStyle w:val="Bold"/>
        </w:rPr>
        <w:t xml:space="preserve">Cenozoic Sediments </w:t>
      </w:r>
    </w:p>
    <w:p w14:paraId="2038DFAA" w14:textId="06563DE5" w:rsidR="00842B2D" w:rsidRDefault="00842B2D" w:rsidP="001E0B4B">
      <w:pPr>
        <w:pStyle w:val="BodyText"/>
      </w:pPr>
      <w:r w:rsidRPr="00ED7C98">
        <w:t xml:space="preserve">Alluvial and aeolian </w:t>
      </w:r>
      <w:r>
        <w:t xml:space="preserve">Paleogene, Neogene </w:t>
      </w:r>
      <w:r w:rsidRPr="00ED7C98">
        <w:t>and Quaternary sediments overl</w:t>
      </w:r>
      <w:r>
        <w:t>ie</w:t>
      </w:r>
      <w:r w:rsidRPr="00ED7C98">
        <w:t xml:space="preserve"> most of the Amadeus Basin</w:t>
      </w:r>
      <w:r>
        <w:t>,</w:t>
      </w:r>
      <w:r w:rsidRPr="00ED7C98">
        <w:t xml:space="preserve"> obscuring the broad synclinal folds of the basin. They are generally shallow (2</w:t>
      </w:r>
      <w:r>
        <w:t>0 m</w:t>
      </w:r>
      <w:r w:rsidRPr="00ED7C98">
        <w:t xml:space="preserve">) and heterogenous, except where the Todd River/Roe Creek </w:t>
      </w:r>
      <w:r>
        <w:t>s</w:t>
      </w:r>
      <w:r w:rsidRPr="00ED7C98">
        <w:t xml:space="preserve">ystem has formed small sedimentary basins such as the Town Basin and the Inner and Outer Farms </w:t>
      </w:r>
      <w:r>
        <w:t>b</w:t>
      </w:r>
      <w:r w:rsidRPr="00ED7C98">
        <w:t>asins. These basins were the initial source of water for Alice Springs, and combined with rock</w:t>
      </w:r>
      <w:r>
        <w:t xml:space="preserve"> </w:t>
      </w:r>
      <w:r w:rsidRPr="00ED7C98">
        <w:t>pools in the river, were originally utilised by the Arunta pe</w:t>
      </w:r>
      <w:r w:rsidR="00554585">
        <w:t>ople (MacQ</w:t>
      </w:r>
      <w:r>
        <w:t>ueen and Knott, 1982)</w:t>
      </w:r>
      <w:r w:rsidRPr="00ED7C98">
        <w:t>.</w:t>
      </w:r>
      <w:r>
        <w:t xml:space="preserve"> </w:t>
      </w:r>
      <w:r w:rsidRPr="00ED7C98">
        <w:t xml:space="preserve">After the establishment of the Roe Creek Borefield, use of these aquifers shifted to maintenance of local parks and some small-scale agriculture. </w:t>
      </w:r>
    </w:p>
    <w:p w14:paraId="40E951BA" w14:textId="5D31DD06" w:rsidR="00842B2D" w:rsidRDefault="00842B2D" w:rsidP="001E0B4B">
      <w:pPr>
        <w:pStyle w:val="BodyText"/>
      </w:pPr>
      <w:r w:rsidRPr="00ED7C98">
        <w:t>Recharge in the Town Basin is from the Todd River and the over-irrigati</w:t>
      </w:r>
      <w:r>
        <w:t>o</w:t>
      </w:r>
      <w:r w:rsidRPr="00ED7C98">
        <w:t xml:space="preserve">n of lawns and gardens. </w:t>
      </w:r>
      <w:r w:rsidRPr="002B3D4F">
        <w:t>Depth to SWL is approximately 5 m in the Town Basin, and 2</w:t>
      </w:r>
      <w:r>
        <w:t>0 m</w:t>
      </w:r>
      <w:r w:rsidRPr="002B3D4F">
        <w:t xml:space="preserve"> in the Farm Basin, with a transmissivity of about 1</w:t>
      </w:r>
      <w:r>
        <w:t>,</w:t>
      </w:r>
      <w:r w:rsidRPr="002B3D4F">
        <w:t>00</w:t>
      </w:r>
      <w:r>
        <w:t>0 m</w:t>
      </w:r>
      <w:r w:rsidRPr="005450A3">
        <w:rPr>
          <w:rStyle w:val="Superscript"/>
        </w:rPr>
        <w:t>2</w:t>
      </w:r>
      <w:r w:rsidRPr="002B3D4F">
        <w:t>/day.</w:t>
      </w:r>
    </w:p>
    <w:p w14:paraId="51F125A9" w14:textId="6D7A0EC3" w:rsidR="00842B2D" w:rsidRDefault="00842B2D" w:rsidP="001E0B4B">
      <w:pPr>
        <w:pStyle w:val="BodyText"/>
      </w:pPr>
      <w:r>
        <w:t>In other parts of the Amadeus Basin region, such as communities further west and the tourist town of Yulara, groundwater is the only source of water. It is typically derived from palaeovalley sediments. For example, at Yulara and the Uluru–Kata Tjuta National Park, about 750 ML/yr is extracted from the Dune Plains Palaeovalley aquifer (English et al., 2012). Palaeovalley aquifers host groundwater ranging from modern to 7,000 years old. The palaeovalley around Uluru–Kata Tjuta is about 100 m thick, with the water table at about 12–25 m below ground surface (Parks Australia, 2015).</w:t>
      </w:r>
    </w:p>
    <w:p w14:paraId="2B3E9D1C" w14:textId="77777777" w:rsidR="00842B2D" w:rsidRDefault="00842B2D" w:rsidP="00D15FEC">
      <w:pPr>
        <w:pStyle w:val="AppendixHeading4"/>
      </w:pPr>
      <w:r>
        <w:t>Groundwater quality</w:t>
      </w:r>
    </w:p>
    <w:p w14:paraId="1C1E1769" w14:textId="63D58150" w:rsidR="00842B2D" w:rsidRPr="00783071" w:rsidRDefault="00842B2D" w:rsidP="001E0B4B">
      <w:pPr>
        <w:pStyle w:val="BodyText"/>
      </w:pPr>
      <w:r w:rsidRPr="001B417B">
        <w:t>Current</w:t>
      </w:r>
      <w:r>
        <w:t>ly</w:t>
      </w:r>
      <w:r w:rsidRPr="001B417B">
        <w:t xml:space="preserve"> </w:t>
      </w:r>
      <w:r w:rsidR="003A5453">
        <w:t xml:space="preserve">good quality </w:t>
      </w:r>
      <w:r>
        <w:t>ground</w:t>
      </w:r>
      <w:r w:rsidRPr="00783071">
        <w:t>water (between 500–1</w:t>
      </w:r>
      <w:r>
        <w:t>,</w:t>
      </w:r>
      <w:r w:rsidRPr="00783071">
        <w:t>000</w:t>
      </w:r>
      <w:r>
        <w:t xml:space="preserve"> </w:t>
      </w:r>
      <w:r w:rsidRPr="00783071">
        <w:t xml:space="preserve">mg/L </w:t>
      </w:r>
      <w:r>
        <w:t xml:space="preserve">total dissolved solids; </w:t>
      </w:r>
      <w:r w:rsidRPr="00783071">
        <w:t>TDS)</w:t>
      </w:r>
      <w:r>
        <w:t xml:space="preserve"> is extracted from the Mereenie Aquifer System for town supply; however not all groundwater in this aquifer is </w:t>
      </w:r>
      <w:r w:rsidR="003A5453">
        <w:t>good quality.</w:t>
      </w:r>
      <w:r>
        <w:t xml:space="preserve"> </w:t>
      </w:r>
      <w:r w:rsidRPr="002B3D4F">
        <w:t xml:space="preserve">Water quality deteriorates with depth in the Roe Creek </w:t>
      </w:r>
      <w:r>
        <w:t>B</w:t>
      </w:r>
      <w:r w:rsidRPr="002B3D4F">
        <w:t>orefield and ranges from 600</w:t>
      </w:r>
      <w:r>
        <w:t>–</w:t>
      </w:r>
      <w:r w:rsidRPr="002B3D4F">
        <w:t>230</w:t>
      </w:r>
      <w:r>
        <w:t>0 m</w:t>
      </w:r>
      <w:r w:rsidR="00554585">
        <w:t>g/L TDS (MacQ</w:t>
      </w:r>
      <w:r w:rsidRPr="002B3D4F">
        <w:t>ueen and Knott, 1982).</w:t>
      </w:r>
      <w:r>
        <w:t xml:space="preserve"> </w:t>
      </w:r>
      <w:r w:rsidRPr="00783071">
        <w:t xml:space="preserve">Salinity in the Pacoota Sandstone </w:t>
      </w:r>
      <w:r w:rsidRPr="00783071">
        <w:lastRenderedPageBreak/>
        <w:t>ranges from 500</w:t>
      </w:r>
      <w:r>
        <w:t>–</w:t>
      </w:r>
      <w:r w:rsidRPr="00783071">
        <w:t>1</w:t>
      </w:r>
      <w:r>
        <w:t>,</w:t>
      </w:r>
      <w:r w:rsidRPr="00783071">
        <w:t>00</w:t>
      </w:r>
      <w:r>
        <w:t>0 m</w:t>
      </w:r>
      <w:r w:rsidRPr="00783071">
        <w:t>g/L TDS, freshening where Roe Creek flows over the Pacoota Sandstone in</w:t>
      </w:r>
      <w:r w:rsidR="00554585">
        <w:t xml:space="preserve"> subcrop (MacQ</w:t>
      </w:r>
      <w:r w:rsidRPr="00783071">
        <w:t>ueen and Knott, 1982). The groundwater tends to be Ca-Mg-Na-HCO</w:t>
      </w:r>
      <w:r w:rsidRPr="005962FF">
        <w:rPr>
          <w:rStyle w:val="Subscript"/>
        </w:rPr>
        <w:t>3</w:t>
      </w:r>
      <w:r w:rsidRPr="00783071">
        <w:t>-Cl in composition, and is less enriched in Na than the Mereenie Sandstone.</w:t>
      </w:r>
      <w:r>
        <w:t xml:space="preserve"> </w:t>
      </w:r>
      <w:r w:rsidRPr="00783071">
        <w:t>Salinity in Cenozoic alluvial and aeolian sediments tends to increase from 50</w:t>
      </w:r>
      <w:r>
        <w:t>0 m</w:t>
      </w:r>
      <w:r w:rsidRPr="00783071">
        <w:t xml:space="preserve">g/L TDS </w:t>
      </w:r>
      <w:r>
        <w:t xml:space="preserve">in the north </w:t>
      </w:r>
      <w:r w:rsidRPr="00783071">
        <w:t>to 4</w:t>
      </w:r>
      <w:r>
        <w:t>,</w:t>
      </w:r>
      <w:r w:rsidRPr="00783071">
        <w:t>00</w:t>
      </w:r>
      <w:r>
        <w:t>0 m</w:t>
      </w:r>
      <w:r w:rsidRPr="00783071">
        <w:t xml:space="preserve">g/L TDS </w:t>
      </w:r>
      <w:r>
        <w:t xml:space="preserve">in the south, </w:t>
      </w:r>
      <w:r w:rsidRPr="00783071">
        <w:t>approaching Heavitree Gap (Evans, 1998).</w:t>
      </w:r>
      <w:r>
        <w:t xml:space="preserve"> Limited information on groundwater quality is available for the other aquifers.</w:t>
      </w:r>
    </w:p>
    <w:p w14:paraId="4974E19F" w14:textId="77777777" w:rsidR="00842B2D" w:rsidRPr="001B417B" w:rsidRDefault="00842B2D" w:rsidP="001E0B4B">
      <w:pPr>
        <w:pStyle w:val="BodyText"/>
      </w:pPr>
      <w:r w:rsidRPr="00783071">
        <w:t>Modern and Holocene groundwaters (0–5</w:t>
      </w:r>
      <w:r>
        <w:t>,</w:t>
      </w:r>
      <w:r w:rsidRPr="00783071">
        <w:t>000 years</w:t>
      </w:r>
      <w:r w:rsidRPr="001B417B">
        <w:t xml:space="preserve"> B.P.) are found in the unconfined calcrete and sand dune aquifers.</w:t>
      </w:r>
      <w:r>
        <w:t xml:space="preserve"> </w:t>
      </w:r>
      <w:r w:rsidRPr="001B417B">
        <w:t>Other Holocene groundwaters (3–10,000 years B.P.) have been dated</w:t>
      </w:r>
      <w:r>
        <w:t xml:space="preserve"> in areas of river bed recharge.</w:t>
      </w:r>
      <w:r w:rsidRPr="001B417B">
        <w:t xml:space="preserve"> Groundwater sampled in rocks of the basin has a low modern </w:t>
      </w:r>
      <w:r w:rsidRPr="006742CD">
        <w:rPr>
          <w:rStyle w:val="Superscript"/>
        </w:rPr>
        <w:t>14</w:t>
      </w:r>
      <w:r w:rsidRPr="001B417B">
        <w:t xml:space="preserve">C content and was recharged in the Holocene and late Pleistocene (12–32,000 years B.P.). </w:t>
      </w:r>
    </w:p>
    <w:p w14:paraId="24007FBC" w14:textId="77777777" w:rsidR="00842B2D" w:rsidRDefault="00842B2D" w:rsidP="00D15FEC">
      <w:pPr>
        <w:pStyle w:val="AppendixHeading4"/>
      </w:pPr>
      <w:r>
        <w:t>Groundwater flow</w:t>
      </w:r>
    </w:p>
    <w:p w14:paraId="42310326" w14:textId="623BCD5A" w:rsidR="00842B2D" w:rsidRPr="00B205E7" w:rsidRDefault="00842B2D" w:rsidP="001E0B4B">
      <w:pPr>
        <w:pStyle w:val="BodyText"/>
      </w:pPr>
      <w:r w:rsidRPr="00B205E7">
        <w:t xml:space="preserve">Within the Amadeus Basin, groundwater flow is generally from west to east, although in the middle of the basin a zone of stagnant water is thought to exist. In the vicinity of heavily-pumped borefields, such as the Roe Creek </w:t>
      </w:r>
      <w:r>
        <w:t>B</w:t>
      </w:r>
      <w:r w:rsidRPr="00B205E7">
        <w:t xml:space="preserve">orefield, these flowpaths are altered to be towards </w:t>
      </w:r>
      <w:r w:rsidR="006B4EAA">
        <w:t>the extractive bores (Cresswell</w:t>
      </w:r>
      <w:r w:rsidRPr="00B205E7">
        <w:t xml:space="preserve"> et al., 1999; </w:t>
      </w:r>
      <w:r w:rsidR="006B4EAA">
        <w:t>MacQ</w:t>
      </w:r>
      <w:r w:rsidRPr="00136E11">
        <w:t>ueen and Knott, 1982</w:t>
      </w:r>
      <w:r>
        <w:t>). Groundwater flow in the northern Amadeus Basin is through the extensive aquifers and mostly parallel to stratigraphy, although there is hydraulic connection between adjacent aquifers. Further south, the basin is structurally segmented and fractured to limit regional patterns and produce local aquifers instead (Lloyd and Jacobson, 1987).</w:t>
      </w:r>
    </w:p>
    <w:p w14:paraId="6D5296F4" w14:textId="77777777" w:rsidR="00842B2D" w:rsidRPr="001B417B" w:rsidRDefault="00842B2D" w:rsidP="001E0B4B">
      <w:pPr>
        <w:pStyle w:val="BodyText"/>
      </w:pPr>
      <w:r w:rsidRPr="001B417B">
        <w:t xml:space="preserve">While there is limited information, </w:t>
      </w:r>
      <w:r>
        <w:t>the basin</w:t>
      </w:r>
      <w:r w:rsidRPr="001B417B">
        <w:t xml:space="preserve"> is a hydrogeologically complex region</w:t>
      </w:r>
      <w:r>
        <w:t>.</w:t>
      </w:r>
      <w:r w:rsidRPr="001B417B">
        <w:t xml:space="preserve"> </w:t>
      </w:r>
      <w:r>
        <w:t>G</w:t>
      </w:r>
      <w:r w:rsidRPr="001B417B">
        <w:t>roundwater has been episodically recharged by three important mechanisms: direct infiltration of rainwater through sand dune cover</w:t>
      </w:r>
      <w:r>
        <w:t xml:space="preserve">, </w:t>
      </w:r>
      <w:r w:rsidRPr="001B417B">
        <w:t>fissures in calcrete</w:t>
      </w:r>
      <w:r>
        <w:t>,</w:t>
      </w:r>
      <w:r w:rsidRPr="001B417B">
        <w:t xml:space="preserve"> and joints in bedrock outcrops. </w:t>
      </w:r>
    </w:p>
    <w:p w14:paraId="1475F9CB" w14:textId="77777777" w:rsidR="00842B2D" w:rsidRPr="00B044B4" w:rsidRDefault="00842B2D" w:rsidP="00D15FEC">
      <w:pPr>
        <w:pStyle w:val="AppendixHeading4"/>
      </w:pPr>
      <w:r>
        <w:t>Groundwater planning and use</w:t>
      </w:r>
    </w:p>
    <w:p w14:paraId="0CFC8A7C" w14:textId="2637C254" w:rsidR="00842B2D" w:rsidRPr="001B417B" w:rsidRDefault="00842B2D" w:rsidP="001E0B4B">
      <w:pPr>
        <w:pStyle w:val="BodyText"/>
      </w:pPr>
      <w:r w:rsidRPr="001B417B">
        <w:t xml:space="preserve">There are six management zones under the Alice Springs Water Allocation Plan 2016–2026 (NT </w:t>
      </w:r>
      <w:r>
        <w:t>DLRM,</w:t>
      </w:r>
      <w:r w:rsidRPr="001B417B">
        <w:t xml:space="preserve"> 2016). This plan </w:t>
      </w:r>
      <w:r>
        <w:t xml:space="preserve">is focused on the </w:t>
      </w:r>
      <w:r w:rsidRPr="001B417B">
        <w:t>resources of the Alluvial Aquifers and the Amadeus Basin Aquifers</w:t>
      </w:r>
      <w:r>
        <w:t>. These aquifers are</w:t>
      </w:r>
      <w:r w:rsidRPr="001B417B">
        <w:t xml:space="preserve"> considered t</w:t>
      </w:r>
      <w:r>
        <w:t>o be a non-renewable resource.</w:t>
      </w:r>
    </w:p>
    <w:p w14:paraId="4F597131" w14:textId="221F2C12" w:rsidR="00842B2D" w:rsidRPr="001B417B" w:rsidRDefault="00842B2D" w:rsidP="001E0B4B">
      <w:pPr>
        <w:pStyle w:val="BodyText"/>
      </w:pPr>
      <w:r>
        <w:t xml:space="preserve">Most of Alice Springs’ potable water supply is from the Amadeus Basin, especially the Mereenie Sandstone; additional supply is also taken from the Cenozoic palaeovalley sediments of the Town Basin (English et al., 2012). </w:t>
      </w:r>
      <w:r w:rsidRPr="001B417B">
        <w:t xml:space="preserve">The Alice Springs </w:t>
      </w:r>
      <w:r>
        <w:t>Borefield</w:t>
      </w:r>
      <w:r w:rsidRPr="001B417B">
        <w:t xml:space="preserve"> is several hundred meters in depth </w:t>
      </w:r>
      <w:r>
        <w:t xml:space="preserve">and </w:t>
      </w:r>
      <w:r w:rsidRPr="001B417B">
        <w:t xml:space="preserve">draws from the Mereenie Sandstone, the Pacoota Sandstone and </w:t>
      </w:r>
      <w:r>
        <w:t xml:space="preserve">the </w:t>
      </w:r>
      <w:r w:rsidRPr="001B417B">
        <w:t xml:space="preserve">Shannon </w:t>
      </w:r>
      <w:r>
        <w:t>and Goyder formations.</w:t>
      </w:r>
    </w:p>
    <w:p w14:paraId="35583CD8" w14:textId="12A2E65F" w:rsidR="00842B2D" w:rsidRPr="001B417B" w:rsidRDefault="00842B2D" w:rsidP="001E0B4B">
      <w:pPr>
        <w:pStyle w:val="BodyText"/>
      </w:pPr>
      <w:r w:rsidRPr="002B3D4F">
        <w:t>Thirty years of heavy pumping in the Mereenie Sandstone has lowered the standing water level in the aquifer by over 5</w:t>
      </w:r>
      <w:r>
        <w:t>0</w:t>
      </w:r>
      <w:r w:rsidR="00554585">
        <w:t xml:space="preserve"> m</w:t>
      </w:r>
      <w:r>
        <w:t>,</w:t>
      </w:r>
      <w:r w:rsidRPr="002B3D4F">
        <w:t xml:space="preserve"> and has reversed the regional hydraulic grad</w:t>
      </w:r>
      <w:r>
        <w:t xml:space="preserve">ient as far away as Rocky Hill. </w:t>
      </w:r>
      <w:r w:rsidRPr="002B3D4F">
        <w:t>The regional hydraulic conductivity within the Mereenie Sandstone is 0.08 m/day (</w:t>
      </w:r>
      <w:r>
        <w:t>t</w:t>
      </w:r>
      <w:r w:rsidRPr="002B3D4F">
        <w:t>ransmissivity 60</w:t>
      </w:r>
      <w:r>
        <w:t>0 m</w:t>
      </w:r>
      <w:r w:rsidRPr="005450A3">
        <w:rPr>
          <w:rStyle w:val="Superscript"/>
        </w:rPr>
        <w:t>2</w:t>
      </w:r>
      <w:r w:rsidRPr="002B3D4F">
        <w:t>/day)</w:t>
      </w:r>
      <w:r>
        <w:t>,</w:t>
      </w:r>
      <w:r w:rsidRPr="002B3D4F">
        <w:t xml:space="preserve"> while west of Roe Creek, the Mereenie Sandstone is highly fractured, with a hydraulic conductivity up to 50</w:t>
      </w:r>
      <w:r>
        <w:t>0 m</w:t>
      </w:r>
      <w:r w:rsidRPr="002B3D4F">
        <w:t>/day in high yielding zones (Transmissivity 4</w:t>
      </w:r>
      <w:r>
        <w:t>,</w:t>
      </w:r>
      <w:r w:rsidRPr="002B3D4F">
        <w:t>000</w:t>
      </w:r>
      <w:r>
        <w:t>–</w:t>
      </w:r>
      <w:r w:rsidRPr="002B3D4F">
        <w:t>6</w:t>
      </w:r>
      <w:r>
        <w:t>,</w:t>
      </w:r>
      <w:r w:rsidRPr="002B3D4F">
        <w:t>00</w:t>
      </w:r>
      <w:r>
        <w:t>0 m</w:t>
      </w:r>
      <w:r w:rsidRPr="005450A3">
        <w:rPr>
          <w:rStyle w:val="Superscript"/>
        </w:rPr>
        <w:t>2</w:t>
      </w:r>
      <w:r w:rsidRPr="002B3D4F">
        <w:t>/day) (Jolly et al., 1994).</w:t>
      </w:r>
      <w:r>
        <w:t xml:space="preserve"> </w:t>
      </w:r>
      <w:r w:rsidRPr="00787EA2">
        <w:t xml:space="preserve">Modern groundwater recharge is limited, implying that projected </w:t>
      </w:r>
      <w:r w:rsidRPr="00787EA2">
        <w:lastRenderedPageBreak/>
        <w:t>large-scale groundwater development in this region will use an effectively non-renewable resource (Power and Water Corporation, 2016).</w:t>
      </w:r>
    </w:p>
    <w:p w14:paraId="1522EE5B" w14:textId="446E9FB0" w:rsidR="00842B2D" w:rsidRPr="001B417B" w:rsidRDefault="00842B2D" w:rsidP="001E0B4B">
      <w:pPr>
        <w:pStyle w:val="BodyText"/>
      </w:pPr>
      <w:r w:rsidRPr="001B417B">
        <w:t xml:space="preserve">Usage includes </w:t>
      </w:r>
      <w:r>
        <w:t xml:space="preserve">licensed </w:t>
      </w:r>
      <w:r w:rsidRPr="001B417B">
        <w:t>extraction of up to 100</w:t>
      </w:r>
      <w:r>
        <w:t>0 ML</w:t>
      </w:r>
      <w:r w:rsidRPr="001B417B">
        <w:t xml:space="preserve">/year for agriculture, and 5 ML/year for industry. Unlicensed stock </w:t>
      </w:r>
      <w:r>
        <w:t xml:space="preserve">and </w:t>
      </w:r>
      <w:r w:rsidRPr="001B417B">
        <w:t>domestic extractions are</w:t>
      </w:r>
      <w:r>
        <w:t xml:space="preserve"> estimated to total 87ML/year.</w:t>
      </w:r>
    </w:p>
    <w:p w14:paraId="781EE243" w14:textId="2D47D5CE" w:rsidR="00842B2D" w:rsidRPr="001B417B" w:rsidRDefault="00842B2D" w:rsidP="001E0B4B">
      <w:pPr>
        <w:pStyle w:val="BodyText"/>
      </w:pPr>
      <w:r w:rsidRPr="001B417B">
        <w:t>The table below presents information from the NGIS (B</w:t>
      </w:r>
      <w:r>
        <w:t>o</w:t>
      </w:r>
      <w:r w:rsidRPr="001B417B">
        <w:t>M</w:t>
      </w:r>
      <w:r>
        <w:t>,</w:t>
      </w:r>
      <w:r w:rsidRPr="001B417B">
        <w:t xml:space="preserve"> 201</w:t>
      </w:r>
      <w:r>
        <w:t>6</w:t>
      </w:r>
      <w:r w:rsidRPr="001B417B">
        <w:t>) showing summary information of registered bores in the basin (</w:t>
      </w:r>
      <w:r>
        <w:t>Table C.4</w:t>
      </w:r>
      <w:r w:rsidRPr="001B417B">
        <w:t xml:space="preserve">). </w:t>
      </w:r>
    </w:p>
    <w:p w14:paraId="53DB0FF0" w14:textId="77777777" w:rsidR="00842B2D" w:rsidRPr="001B417B" w:rsidRDefault="00842B2D" w:rsidP="00E01F8F">
      <w:pPr>
        <w:pStyle w:val="Caption"/>
      </w:pPr>
      <w:bookmarkStart w:id="72" w:name="_Toc499547474"/>
      <w:bookmarkStart w:id="73" w:name="_Toc508972153"/>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4</w:t>
      </w:r>
      <w:r w:rsidR="008079F1">
        <w:rPr>
          <w:noProof/>
        </w:rPr>
        <w:fldChar w:fldCharType="end"/>
      </w:r>
      <w:r>
        <w:t xml:space="preserve"> </w:t>
      </w:r>
      <w:r w:rsidRPr="001B417B">
        <w:t>Information on groundwater bores and water use in and above the Amadeus Basin</w:t>
      </w:r>
      <w:r>
        <w:t>.</w:t>
      </w:r>
      <w:bookmarkEnd w:id="72"/>
      <w:bookmarkEnd w:id="73"/>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0"/>
        <w:gridCol w:w="4669"/>
      </w:tblGrid>
      <w:tr w:rsidR="00842B2D" w:rsidRPr="008C1B92" w14:paraId="7BF01D13"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tcPr>
          <w:p w14:paraId="15FF3DBC" w14:textId="77777777" w:rsidR="00842B2D" w:rsidRPr="008C1B92" w:rsidRDefault="00842B2D" w:rsidP="008B38C1">
            <w:pPr>
              <w:pStyle w:val="TableTextLeft"/>
              <w:rPr>
                <w:szCs w:val="18"/>
              </w:rPr>
            </w:pPr>
            <w:r w:rsidRPr="008C1B92">
              <w:rPr>
                <w:szCs w:val="18"/>
              </w:rPr>
              <w:t>GROUNDWATER BORES AND WATER USE</w:t>
            </w:r>
          </w:p>
        </w:tc>
      </w:tr>
      <w:tr w:rsidR="00842B2D" w:rsidRPr="008C1B92" w14:paraId="49B5DE4A"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4598628E" w14:textId="77777777" w:rsidR="00842B2D" w:rsidRPr="008C1B92" w:rsidRDefault="00842B2D" w:rsidP="008B38C1">
            <w:pPr>
              <w:pStyle w:val="TableTextLeft"/>
              <w:rPr>
                <w:szCs w:val="18"/>
              </w:rPr>
            </w:pPr>
            <w:r w:rsidRPr="008C1B92">
              <w:rPr>
                <w:szCs w:val="18"/>
              </w:rPr>
              <w:t>Number of bores (Density of Registered Bores - bores/km</w:t>
            </w:r>
            <w:r w:rsidRPr="008C1B92">
              <w:rPr>
                <w:szCs w:val="18"/>
                <w:vertAlign w:val="superscript"/>
              </w:rPr>
              <w:t>2</w:t>
            </w:r>
            <w:r w:rsidRPr="008C1B92">
              <w:rPr>
                <w:szCs w:val="18"/>
              </w:rPr>
              <w:t>)</w:t>
            </w:r>
          </w:p>
        </w:tc>
        <w:tc>
          <w:tcPr>
            <w:tcW w:w="2422" w:type="pct"/>
          </w:tcPr>
          <w:p w14:paraId="0209B6C9"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8C1B92">
              <w:rPr>
                <w:szCs w:val="18"/>
              </w:rPr>
              <w:t>3,712 (0.02)</w:t>
            </w:r>
          </w:p>
        </w:tc>
      </w:tr>
      <w:tr w:rsidR="00842B2D" w:rsidRPr="008C1B92" w14:paraId="59513BE5"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611D893C" w14:textId="77777777" w:rsidR="00842B2D" w:rsidRPr="008C1B92" w:rsidRDefault="00842B2D" w:rsidP="008B38C1">
            <w:pPr>
              <w:pStyle w:val="TableTextLeft"/>
              <w:rPr>
                <w:szCs w:val="18"/>
              </w:rPr>
            </w:pPr>
            <w:r w:rsidRPr="008C1B92">
              <w:rPr>
                <w:szCs w:val="18"/>
              </w:rPr>
              <w:t>Purposes of registered bores</w:t>
            </w:r>
          </w:p>
          <w:p w14:paraId="4526B729" w14:textId="77777777" w:rsidR="00842B2D" w:rsidRPr="008C1B92" w:rsidRDefault="00842B2D" w:rsidP="008B38C1">
            <w:pPr>
              <w:pStyle w:val="TableTextLeft"/>
              <w:rPr>
                <w:szCs w:val="18"/>
              </w:rPr>
            </w:pPr>
            <w:r w:rsidRPr="008C1B92">
              <w:rPr>
                <w:szCs w:val="18"/>
              </w:rPr>
              <w:t>(Top 5, number)</w:t>
            </w:r>
          </w:p>
        </w:tc>
        <w:tc>
          <w:tcPr>
            <w:tcW w:w="2422" w:type="pct"/>
          </w:tcPr>
          <w:tbl>
            <w:tblPr>
              <w:tblW w:w="4054" w:type="dxa"/>
              <w:tblLook w:val="04A0" w:firstRow="1" w:lastRow="0" w:firstColumn="1" w:lastColumn="0" w:noHBand="0" w:noVBand="1"/>
            </w:tblPr>
            <w:tblGrid>
              <w:gridCol w:w="2120"/>
              <w:gridCol w:w="1934"/>
            </w:tblGrid>
            <w:tr w:rsidR="00842B2D" w:rsidRPr="008C1B92" w14:paraId="282D8AA4" w14:textId="77777777" w:rsidTr="00D83039">
              <w:trPr>
                <w:trHeight w:val="300"/>
              </w:trPr>
              <w:tc>
                <w:tcPr>
                  <w:tcW w:w="2120" w:type="dxa"/>
                  <w:tcBorders>
                    <w:top w:val="nil"/>
                    <w:left w:val="nil"/>
                    <w:bottom w:val="nil"/>
                    <w:right w:val="nil"/>
                  </w:tcBorders>
                  <w:shd w:val="clear" w:color="auto" w:fill="auto"/>
                  <w:noWrap/>
                  <w:vAlign w:val="bottom"/>
                  <w:hideMark/>
                </w:tcPr>
                <w:p w14:paraId="794D7D1A" w14:textId="77777777" w:rsidR="00842B2D" w:rsidRPr="008C1B92" w:rsidRDefault="00842B2D" w:rsidP="008B38C1">
                  <w:pPr>
                    <w:pStyle w:val="TableTextLeft"/>
                    <w:rPr>
                      <w:szCs w:val="18"/>
                    </w:rPr>
                  </w:pPr>
                  <w:r w:rsidRPr="008C1B92">
                    <w:rPr>
                      <w:szCs w:val="18"/>
                    </w:rPr>
                    <w:t>Stock</w:t>
                  </w:r>
                </w:p>
              </w:tc>
              <w:tc>
                <w:tcPr>
                  <w:tcW w:w="1934" w:type="dxa"/>
                  <w:tcBorders>
                    <w:top w:val="nil"/>
                    <w:left w:val="nil"/>
                    <w:bottom w:val="nil"/>
                    <w:right w:val="nil"/>
                  </w:tcBorders>
                  <w:shd w:val="clear" w:color="auto" w:fill="auto"/>
                  <w:noWrap/>
                  <w:vAlign w:val="bottom"/>
                  <w:hideMark/>
                </w:tcPr>
                <w:p w14:paraId="2CC54D27" w14:textId="77777777" w:rsidR="00842B2D" w:rsidRPr="008C1B92" w:rsidRDefault="00842B2D" w:rsidP="000350BE">
                  <w:pPr>
                    <w:pStyle w:val="TableTextRight0"/>
                  </w:pPr>
                  <w:r w:rsidRPr="008C1B92">
                    <w:t>3</w:t>
                  </w:r>
                  <w:r>
                    <w:t>,</w:t>
                  </w:r>
                  <w:r w:rsidRPr="008C1B92">
                    <w:t>545</w:t>
                  </w:r>
                </w:p>
              </w:tc>
            </w:tr>
            <w:tr w:rsidR="00842B2D" w:rsidRPr="008C1B92" w14:paraId="4689CB1E" w14:textId="77777777" w:rsidTr="00D83039">
              <w:trPr>
                <w:trHeight w:val="300"/>
              </w:trPr>
              <w:tc>
                <w:tcPr>
                  <w:tcW w:w="2120" w:type="dxa"/>
                  <w:tcBorders>
                    <w:top w:val="nil"/>
                    <w:left w:val="nil"/>
                    <w:bottom w:val="nil"/>
                    <w:right w:val="nil"/>
                  </w:tcBorders>
                  <w:shd w:val="clear" w:color="auto" w:fill="auto"/>
                  <w:noWrap/>
                  <w:vAlign w:val="bottom"/>
                  <w:hideMark/>
                </w:tcPr>
                <w:p w14:paraId="762C7544" w14:textId="77777777" w:rsidR="00842B2D" w:rsidRPr="008C1B92" w:rsidRDefault="00842B2D" w:rsidP="008B38C1">
                  <w:pPr>
                    <w:pStyle w:val="TableTextLeft"/>
                    <w:rPr>
                      <w:szCs w:val="18"/>
                    </w:rPr>
                  </w:pPr>
                  <w:r w:rsidRPr="008C1B92">
                    <w:rPr>
                      <w:szCs w:val="18"/>
                    </w:rPr>
                    <w:t>Unknown</w:t>
                  </w:r>
                </w:p>
              </w:tc>
              <w:tc>
                <w:tcPr>
                  <w:tcW w:w="1934" w:type="dxa"/>
                  <w:tcBorders>
                    <w:top w:val="nil"/>
                    <w:left w:val="nil"/>
                    <w:bottom w:val="nil"/>
                    <w:right w:val="nil"/>
                  </w:tcBorders>
                  <w:shd w:val="clear" w:color="auto" w:fill="auto"/>
                  <w:noWrap/>
                  <w:vAlign w:val="bottom"/>
                  <w:hideMark/>
                </w:tcPr>
                <w:p w14:paraId="229B9AAE" w14:textId="77777777" w:rsidR="00842B2D" w:rsidRPr="008C1B92" w:rsidRDefault="00842B2D" w:rsidP="000350BE">
                  <w:pPr>
                    <w:pStyle w:val="TableTextRight0"/>
                  </w:pPr>
                  <w:r w:rsidRPr="008C1B92">
                    <w:t>28</w:t>
                  </w:r>
                </w:p>
              </w:tc>
            </w:tr>
            <w:tr w:rsidR="00842B2D" w:rsidRPr="008C1B92" w14:paraId="738C68EA" w14:textId="77777777" w:rsidTr="00D83039">
              <w:trPr>
                <w:trHeight w:val="300"/>
              </w:trPr>
              <w:tc>
                <w:tcPr>
                  <w:tcW w:w="2120" w:type="dxa"/>
                  <w:tcBorders>
                    <w:top w:val="nil"/>
                    <w:left w:val="nil"/>
                    <w:bottom w:val="nil"/>
                    <w:right w:val="nil"/>
                  </w:tcBorders>
                  <w:shd w:val="clear" w:color="auto" w:fill="auto"/>
                  <w:noWrap/>
                  <w:vAlign w:val="bottom"/>
                  <w:hideMark/>
                </w:tcPr>
                <w:p w14:paraId="2F4229CC" w14:textId="77777777" w:rsidR="00842B2D" w:rsidRPr="008C1B92" w:rsidRDefault="00842B2D" w:rsidP="008B38C1">
                  <w:pPr>
                    <w:pStyle w:val="TableTextLeft"/>
                    <w:rPr>
                      <w:szCs w:val="18"/>
                    </w:rPr>
                  </w:pPr>
                  <w:r w:rsidRPr="008C1B92">
                    <w:rPr>
                      <w:szCs w:val="18"/>
                    </w:rPr>
                    <w:t>Agriculture</w:t>
                  </w:r>
                </w:p>
              </w:tc>
              <w:tc>
                <w:tcPr>
                  <w:tcW w:w="1934" w:type="dxa"/>
                  <w:tcBorders>
                    <w:top w:val="nil"/>
                    <w:left w:val="nil"/>
                    <w:bottom w:val="nil"/>
                    <w:right w:val="nil"/>
                  </w:tcBorders>
                  <w:shd w:val="clear" w:color="auto" w:fill="auto"/>
                  <w:noWrap/>
                  <w:vAlign w:val="bottom"/>
                  <w:hideMark/>
                </w:tcPr>
                <w:p w14:paraId="184A402B" w14:textId="77777777" w:rsidR="00842B2D" w:rsidRPr="008C1B92" w:rsidRDefault="00842B2D" w:rsidP="000350BE">
                  <w:pPr>
                    <w:pStyle w:val="TableTextRight0"/>
                  </w:pPr>
                  <w:r w:rsidRPr="008C1B92">
                    <w:t>22</w:t>
                  </w:r>
                </w:p>
              </w:tc>
            </w:tr>
            <w:tr w:rsidR="00842B2D" w:rsidRPr="008C1B92" w14:paraId="6EB8975F" w14:textId="77777777" w:rsidTr="00D83039">
              <w:trPr>
                <w:trHeight w:val="300"/>
              </w:trPr>
              <w:tc>
                <w:tcPr>
                  <w:tcW w:w="2120" w:type="dxa"/>
                  <w:tcBorders>
                    <w:top w:val="nil"/>
                    <w:left w:val="nil"/>
                    <w:bottom w:val="nil"/>
                    <w:right w:val="nil"/>
                  </w:tcBorders>
                  <w:shd w:val="clear" w:color="auto" w:fill="auto"/>
                  <w:noWrap/>
                  <w:vAlign w:val="bottom"/>
                  <w:hideMark/>
                </w:tcPr>
                <w:p w14:paraId="6CA1DB28" w14:textId="77777777" w:rsidR="00842B2D" w:rsidRPr="008C1B92" w:rsidRDefault="00842B2D" w:rsidP="008B38C1">
                  <w:pPr>
                    <w:pStyle w:val="TableTextLeft"/>
                    <w:rPr>
                      <w:szCs w:val="18"/>
                    </w:rPr>
                  </w:pPr>
                  <w:r w:rsidRPr="008C1B92">
                    <w:rPr>
                      <w:szCs w:val="18"/>
                    </w:rPr>
                    <w:t>Exploration</w:t>
                  </w:r>
                </w:p>
              </w:tc>
              <w:tc>
                <w:tcPr>
                  <w:tcW w:w="1934" w:type="dxa"/>
                  <w:tcBorders>
                    <w:top w:val="nil"/>
                    <w:left w:val="nil"/>
                    <w:bottom w:val="nil"/>
                    <w:right w:val="nil"/>
                  </w:tcBorders>
                  <w:shd w:val="clear" w:color="auto" w:fill="auto"/>
                  <w:noWrap/>
                  <w:vAlign w:val="bottom"/>
                  <w:hideMark/>
                </w:tcPr>
                <w:p w14:paraId="18617B01" w14:textId="77777777" w:rsidR="00842B2D" w:rsidRPr="008C1B92" w:rsidRDefault="00842B2D" w:rsidP="000350BE">
                  <w:pPr>
                    <w:pStyle w:val="TableTextRight0"/>
                  </w:pPr>
                  <w:r w:rsidRPr="008C1B92">
                    <w:t>20</w:t>
                  </w:r>
                </w:p>
              </w:tc>
            </w:tr>
            <w:tr w:rsidR="00842B2D" w:rsidRPr="008C1B92" w14:paraId="07B9A724" w14:textId="77777777" w:rsidTr="00D83039">
              <w:trPr>
                <w:trHeight w:val="300"/>
              </w:trPr>
              <w:tc>
                <w:tcPr>
                  <w:tcW w:w="2120" w:type="dxa"/>
                  <w:tcBorders>
                    <w:top w:val="nil"/>
                    <w:left w:val="nil"/>
                    <w:bottom w:val="nil"/>
                    <w:right w:val="nil"/>
                  </w:tcBorders>
                  <w:shd w:val="clear" w:color="auto" w:fill="auto"/>
                  <w:noWrap/>
                  <w:vAlign w:val="bottom"/>
                  <w:hideMark/>
                </w:tcPr>
                <w:p w14:paraId="3A9418B0" w14:textId="77777777" w:rsidR="00842B2D" w:rsidRPr="008C1B92" w:rsidRDefault="00842B2D" w:rsidP="008B38C1">
                  <w:pPr>
                    <w:pStyle w:val="TableTextLeft"/>
                    <w:rPr>
                      <w:szCs w:val="18"/>
                    </w:rPr>
                  </w:pPr>
                  <w:r w:rsidRPr="008C1B92">
                    <w:rPr>
                      <w:szCs w:val="18"/>
                    </w:rPr>
                    <w:t>Monitoring</w:t>
                  </w:r>
                </w:p>
              </w:tc>
              <w:tc>
                <w:tcPr>
                  <w:tcW w:w="1934" w:type="dxa"/>
                  <w:tcBorders>
                    <w:top w:val="nil"/>
                    <w:left w:val="nil"/>
                    <w:bottom w:val="nil"/>
                    <w:right w:val="nil"/>
                  </w:tcBorders>
                  <w:shd w:val="clear" w:color="auto" w:fill="auto"/>
                  <w:noWrap/>
                  <w:vAlign w:val="bottom"/>
                  <w:hideMark/>
                </w:tcPr>
                <w:p w14:paraId="5E83F778" w14:textId="77777777" w:rsidR="00842B2D" w:rsidRPr="008C1B92" w:rsidRDefault="00842B2D" w:rsidP="000350BE">
                  <w:pPr>
                    <w:pStyle w:val="TableTextRight0"/>
                  </w:pPr>
                  <w:r w:rsidRPr="008C1B92">
                    <w:t>20</w:t>
                  </w:r>
                </w:p>
              </w:tc>
            </w:tr>
          </w:tbl>
          <w:p w14:paraId="784DBCCF"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42B2D" w:rsidRPr="008C1B92" w14:paraId="15C8F337"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1C73B335" w14:textId="77777777" w:rsidR="00842B2D" w:rsidRPr="008C1B92" w:rsidRDefault="00842B2D" w:rsidP="008B38C1">
            <w:pPr>
              <w:pStyle w:val="TableTextLeft"/>
              <w:rPr>
                <w:szCs w:val="18"/>
              </w:rPr>
            </w:pPr>
            <w:r w:rsidRPr="008C1B92">
              <w:rPr>
                <w:szCs w:val="18"/>
              </w:rPr>
              <w:t>Depth (m) of registered bores below ground level (10th and 90th Percentile and median)</w:t>
            </w:r>
          </w:p>
        </w:tc>
        <w:tc>
          <w:tcPr>
            <w:tcW w:w="2422" w:type="pct"/>
          </w:tcPr>
          <w:p w14:paraId="1DAECB21" w14:textId="37E217A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8C1B92">
              <w:rPr>
                <w:szCs w:val="18"/>
              </w:rPr>
              <w:t>10th Percentile</w:t>
            </w:r>
            <w:r w:rsidRPr="000321F0">
              <w:rPr>
                <w:szCs w:val="18"/>
              </w:rPr>
              <w:t xml:space="preserve">: </w:t>
            </w:r>
            <w:r w:rsidRPr="000321F0">
              <w:rPr>
                <w:szCs w:val="18"/>
              </w:rPr>
              <w:tab/>
            </w:r>
            <w:r>
              <w:rPr>
                <w:szCs w:val="18"/>
              </w:rPr>
              <w:t xml:space="preserve"> </w:t>
            </w:r>
            <w:r w:rsidRPr="008C1B92">
              <w:rPr>
                <w:szCs w:val="18"/>
              </w:rPr>
              <w:t>13.4</w:t>
            </w:r>
          </w:p>
          <w:p w14:paraId="55B3606B" w14:textId="77B23702"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8C1B92">
              <w:rPr>
                <w:szCs w:val="18"/>
              </w:rPr>
              <w:t>Median</w:t>
            </w:r>
            <w:r w:rsidRPr="000321F0">
              <w:rPr>
                <w:szCs w:val="18"/>
              </w:rPr>
              <w:t xml:space="preserve">: </w:t>
            </w:r>
            <w:r w:rsidRPr="000321F0">
              <w:rPr>
                <w:szCs w:val="18"/>
              </w:rPr>
              <w:tab/>
              <w:t xml:space="preserve"> </w:t>
            </w:r>
            <w:r w:rsidRPr="000321F0">
              <w:rPr>
                <w:szCs w:val="18"/>
              </w:rPr>
              <w:tab/>
            </w:r>
            <w:r>
              <w:rPr>
                <w:szCs w:val="18"/>
              </w:rPr>
              <w:t xml:space="preserve">  </w:t>
            </w:r>
            <w:r w:rsidRPr="008C1B92">
              <w:rPr>
                <w:szCs w:val="18"/>
              </w:rPr>
              <w:t>61</w:t>
            </w:r>
          </w:p>
          <w:p w14:paraId="5D86C1E2" w14:textId="0AF543A9"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8C1B92">
              <w:rPr>
                <w:szCs w:val="18"/>
              </w:rPr>
              <w:t>90th Percentile</w:t>
            </w:r>
            <w:r w:rsidRPr="004059C5">
              <w:rPr>
                <w:szCs w:val="18"/>
              </w:rPr>
              <w:t xml:space="preserve">: </w:t>
            </w:r>
            <w:r w:rsidRPr="004059C5">
              <w:rPr>
                <w:szCs w:val="18"/>
              </w:rPr>
              <w:tab/>
            </w:r>
            <w:r w:rsidRPr="008C1B92">
              <w:rPr>
                <w:szCs w:val="18"/>
              </w:rPr>
              <w:t>182.8</w:t>
            </w:r>
          </w:p>
        </w:tc>
      </w:tr>
    </w:tbl>
    <w:p w14:paraId="59273EF9" w14:textId="77777777" w:rsidR="00842B2D" w:rsidRDefault="00842B2D" w:rsidP="00D15FEC">
      <w:pPr>
        <w:pStyle w:val="AppendixHeading3"/>
      </w:pPr>
      <w:bookmarkStart w:id="74" w:name="_Toc517161122"/>
      <w:r>
        <w:t>Surface water systems and hydrology</w:t>
      </w:r>
      <w:bookmarkEnd w:id="74"/>
    </w:p>
    <w:p w14:paraId="51A7C6EC" w14:textId="071FD7BA" w:rsidR="00842B2D" w:rsidRPr="001B417B" w:rsidRDefault="00842B2D" w:rsidP="001E0B4B">
      <w:pPr>
        <w:pStyle w:val="BodyText"/>
      </w:pPr>
      <w:r>
        <w:t>The Amadeus Basin is overlain by parts of various river catchments. These are the Diamantina–Georgina, De Grey, Sandy Desert, Gardiner, Nullabor and Victoria–Wiso catchments (BoM, 2014) and are presented in Figure B</w:t>
      </w:r>
      <w:r w:rsidR="003C5CAE">
        <w:t>.</w:t>
      </w:r>
      <w:r>
        <w:t>11. In this arid environment, t</w:t>
      </w:r>
      <w:r w:rsidRPr="001B417B">
        <w:t>he surface waters of the region are both ephemeral and unreliable.</w:t>
      </w:r>
      <w:r>
        <w:t xml:space="preserve"> </w:t>
      </w:r>
      <w:r w:rsidRPr="001B417B">
        <w:t xml:space="preserve">The main watercourses are the Finke and Todd </w:t>
      </w:r>
      <w:r>
        <w:t>r</w:t>
      </w:r>
      <w:r w:rsidRPr="001B417B">
        <w:t>ivers, which have multiple tributaries flowing through and past the MacDonnel</w:t>
      </w:r>
      <w:r>
        <w:t>l, James and Krichauff ranges.</w:t>
      </w:r>
    </w:p>
    <w:p w14:paraId="2C873E3A" w14:textId="03559D25" w:rsidR="00842B2D" w:rsidRPr="001B417B" w:rsidRDefault="00842B2D" w:rsidP="001E0B4B">
      <w:pPr>
        <w:pStyle w:val="BodyText"/>
      </w:pPr>
      <w:r w:rsidRPr="001B417B">
        <w:t>A string of groundwater discharge plays from a series of salt lakes</w:t>
      </w:r>
      <w:r>
        <w:t>,</w:t>
      </w:r>
      <w:r w:rsidRPr="001B417B">
        <w:t xml:space="preserve"> including</w:t>
      </w:r>
      <w:r>
        <w:t xml:space="preserve"> </w:t>
      </w:r>
      <w:r w:rsidRPr="001B417B">
        <w:t>Lake Hopkins in Western Australia and</w:t>
      </w:r>
      <w:r>
        <w:t xml:space="preserve"> </w:t>
      </w:r>
      <w:r w:rsidRPr="001B417B">
        <w:t>Lake Neale and Lake Amadeus in the Northern Territory.</w:t>
      </w:r>
      <w:r>
        <w:t xml:space="preserve"> </w:t>
      </w:r>
      <w:r w:rsidRPr="001B417B">
        <w:t>Like the other</w:t>
      </w:r>
      <w:r>
        <w:t xml:space="preserve"> lakes</w:t>
      </w:r>
      <w:r w:rsidRPr="001B417B">
        <w:t>, Lake Amadeus is usually dry</w:t>
      </w:r>
      <w:r>
        <w:t>,</w:t>
      </w:r>
      <w:r w:rsidRPr="001B417B">
        <w:t xml:space="preserve"> and captures some water from infrequent rainstorms and </w:t>
      </w:r>
      <w:r w:rsidR="003C5CAE">
        <w:t xml:space="preserve">when </w:t>
      </w:r>
      <w:r w:rsidRPr="001B417B">
        <w:t>full</w:t>
      </w:r>
      <w:r w:rsidR="003C5CAE">
        <w:t>,</w:t>
      </w:r>
      <w:r w:rsidRPr="001B417B">
        <w:t xml:space="preserve"> flows into the Finke River.</w:t>
      </w:r>
    </w:p>
    <w:p w14:paraId="5B6AFF86" w14:textId="77777777" w:rsidR="00842B2D" w:rsidRDefault="00842B2D" w:rsidP="00D15FEC">
      <w:pPr>
        <w:pStyle w:val="AppendixHeading4"/>
      </w:pPr>
      <w:r>
        <w:t>Surface water systems</w:t>
      </w:r>
    </w:p>
    <w:p w14:paraId="32D9AA52" w14:textId="71E1A99E" w:rsidR="00842B2D" w:rsidRPr="00873419" w:rsidRDefault="00842B2D" w:rsidP="00873419">
      <w:pPr>
        <w:pStyle w:val="BodyText"/>
      </w:pPr>
      <w:r w:rsidRPr="00873419">
        <w:t xml:space="preserve">Outside the Diamantina–Georgina catchment, there are very few mapped watercourses. In the Diamantina–Georgina catchment, much of the regional ephemeral surface water flows generally to the south east towards the Simpson Desert, where </w:t>
      </w:r>
      <w:r>
        <w:t xml:space="preserve">it </w:t>
      </w:r>
      <w:r w:rsidRPr="00873419">
        <w:t>dr</w:t>
      </w:r>
      <w:r>
        <w:t xml:space="preserve">ies </w:t>
      </w:r>
      <w:r w:rsidRPr="00873419">
        <w:t xml:space="preserve">up. The river water courses are dry for </w:t>
      </w:r>
      <w:r w:rsidR="003A5453">
        <w:t>most</w:t>
      </w:r>
      <w:r w:rsidRPr="00873419">
        <w:t xml:space="preserve"> of the time</w:t>
      </w:r>
      <w:r>
        <w:t>,</w:t>
      </w:r>
      <w:r w:rsidRPr="00873419">
        <w:t xml:space="preserve"> flowing on average for 15 days per year. There are a range of salt lake wetlands and semi-permanent water bodies across the region, most of them found in gaps between ranges. </w:t>
      </w:r>
    </w:p>
    <w:p w14:paraId="235CE91C" w14:textId="77777777" w:rsidR="00842B2D" w:rsidRDefault="00842B2D" w:rsidP="00D15FEC">
      <w:pPr>
        <w:pStyle w:val="AppendixHeading4"/>
      </w:pPr>
      <w:r>
        <w:t>Surface water quality</w:t>
      </w:r>
    </w:p>
    <w:p w14:paraId="3E67AE50" w14:textId="77777777" w:rsidR="00842B2D" w:rsidRPr="001B417B" w:rsidRDefault="00842B2D" w:rsidP="001E0B4B">
      <w:pPr>
        <w:pStyle w:val="BodyText"/>
      </w:pPr>
      <w:r w:rsidRPr="001B417B">
        <w:t>There is an absence of surface wat</w:t>
      </w:r>
      <w:r>
        <w:t>er quality data for the region.</w:t>
      </w:r>
    </w:p>
    <w:p w14:paraId="2A97166B" w14:textId="77777777" w:rsidR="00842B2D" w:rsidRDefault="00842B2D" w:rsidP="00D15FEC">
      <w:pPr>
        <w:pStyle w:val="AppendixHeading4"/>
      </w:pPr>
      <w:r>
        <w:lastRenderedPageBreak/>
        <w:t>Surface water flow</w:t>
      </w:r>
    </w:p>
    <w:p w14:paraId="0143DB2B" w14:textId="77777777" w:rsidR="00842B2D" w:rsidRPr="001B417B" w:rsidRDefault="00842B2D" w:rsidP="001E0B4B">
      <w:pPr>
        <w:pStyle w:val="BodyText"/>
      </w:pPr>
      <w:r w:rsidRPr="001B417B">
        <w:t xml:space="preserve">Regionally there is little consistent information </w:t>
      </w:r>
      <w:r>
        <w:t xml:space="preserve">on surface water flows </w:t>
      </w:r>
      <w:r w:rsidRPr="001B417B">
        <w:t>with the exception of the area around Alice Springs.</w:t>
      </w:r>
      <w:r>
        <w:t xml:space="preserve"> </w:t>
      </w:r>
      <w:r w:rsidRPr="001B417B">
        <w:t xml:space="preserve">Here stream records have been collected for the Todd River and a number of its tributaries since the 1960s. River height records confirm the highly episodic nature of surface water flow within the district. </w:t>
      </w:r>
    </w:p>
    <w:p w14:paraId="233BC15C" w14:textId="77777777" w:rsidR="00842B2D" w:rsidRPr="00B044B4" w:rsidRDefault="00842B2D" w:rsidP="00D15FEC">
      <w:pPr>
        <w:pStyle w:val="AppendixHeading4"/>
      </w:pPr>
      <w:r>
        <w:t>Surface water planning and use</w:t>
      </w:r>
    </w:p>
    <w:p w14:paraId="05973C94" w14:textId="4FC591D6" w:rsidR="00842B2D" w:rsidRPr="001B417B" w:rsidRDefault="00842B2D" w:rsidP="001E0B4B">
      <w:pPr>
        <w:pStyle w:val="BodyText"/>
      </w:pPr>
      <w:r>
        <w:t>There is limited surface water use in the region: a</w:t>
      </w:r>
      <w:r w:rsidRPr="00ED7C98">
        <w:t>pproximately 95% of the water supply for the local communit</w:t>
      </w:r>
      <w:r>
        <w:t>ies</w:t>
      </w:r>
      <w:r w:rsidRPr="00ED7C98">
        <w:t xml:space="preserve"> comes from grou</w:t>
      </w:r>
      <w:r>
        <w:t xml:space="preserve">ndwater. </w:t>
      </w:r>
      <w:r w:rsidRPr="0010036D">
        <w:t xml:space="preserve">Apart from a few ephemeral water holes in </w:t>
      </w:r>
      <w:r w:rsidRPr="005962FF">
        <w:t xml:space="preserve">the region, there are no surface storages in the region for water supply. The rules and trading of licences are provided by the Water Act 1992 (NT) (Northern Territory Legislation, 1992). </w:t>
      </w:r>
      <w:r w:rsidRPr="001B417B">
        <w:t>Further rules for the granting of licences and for the trading of licensed allocations (for water which has not been allocated for public water supply) are set out in det</w:t>
      </w:r>
      <w:r>
        <w:t>ail in the management plan (NT DLRM, 2016).</w:t>
      </w:r>
    </w:p>
    <w:p w14:paraId="15FB9AA9" w14:textId="77777777" w:rsidR="00842B2D" w:rsidRDefault="00842B2D" w:rsidP="00D15FEC">
      <w:pPr>
        <w:pStyle w:val="AppendixHeading3"/>
      </w:pPr>
      <w:bookmarkStart w:id="75" w:name="_Toc517161123"/>
      <w:r>
        <w:t>Groundwater–surface water interactions</w:t>
      </w:r>
      <w:bookmarkEnd w:id="75"/>
    </w:p>
    <w:p w14:paraId="70691544" w14:textId="7C281F32" w:rsidR="00842B2D" w:rsidRPr="001B417B" w:rsidRDefault="00842B2D" w:rsidP="001E0B4B">
      <w:pPr>
        <w:pStyle w:val="BodyText"/>
      </w:pPr>
      <w:r w:rsidRPr="001B417B">
        <w:t xml:space="preserve">The groundwater and surface water systems in the eastern part of the Amadeus Basin are interconnected, </w:t>
      </w:r>
      <w:r>
        <w:t xml:space="preserve">but </w:t>
      </w:r>
      <w:r w:rsidRPr="001B417B">
        <w:t>less is known of the western region. In the east</w:t>
      </w:r>
      <w:r>
        <w:t>,</w:t>
      </w:r>
      <w:r w:rsidRPr="001B417B">
        <w:t xml:space="preserve"> episodic flows of the Todd River recharge the Alice Springs Town Basin and the </w:t>
      </w:r>
      <w:r w:rsidR="007A1C03">
        <w:t>I</w:t>
      </w:r>
      <w:r w:rsidRPr="001B417B">
        <w:t xml:space="preserve">nner and </w:t>
      </w:r>
      <w:r w:rsidR="007A1C03">
        <w:t>O</w:t>
      </w:r>
      <w:r w:rsidRPr="001B417B">
        <w:t xml:space="preserve">uter Farm </w:t>
      </w:r>
      <w:r w:rsidR="007A1C03">
        <w:t>b</w:t>
      </w:r>
      <w:r w:rsidRPr="001B417B">
        <w:t>asin</w:t>
      </w:r>
      <w:r w:rsidR="007A1C03">
        <w:t>s</w:t>
      </w:r>
      <w:r w:rsidRPr="001B417B">
        <w:t xml:space="preserve"> (</w:t>
      </w:r>
      <w:r>
        <w:t>Figure C.7</w:t>
      </w:r>
      <w:r w:rsidRPr="001B417B">
        <w:t>).</w:t>
      </w:r>
      <w:r>
        <w:t xml:space="preserve"> </w:t>
      </w:r>
      <w:r w:rsidRPr="001B417B">
        <w:t>Flows in the Roe River recharge the Wanngardi Basin</w:t>
      </w:r>
      <w:r>
        <w:t>,</w:t>
      </w:r>
      <w:r w:rsidRPr="001B417B">
        <w:t xml:space="preserve"> and to a less</w:t>
      </w:r>
      <w:r>
        <w:t>er extent</w:t>
      </w:r>
      <w:r w:rsidR="00554585">
        <w:t>,</w:t>
      </w:r>
      <w:r>
        <w:t xml:space="preserve"> the Mereenie aquifer.</w:t>
      </w:r>
    </w:p>
    <w:p w14:paraId="0A61C3AC" w14:textId="77777777" w:rsidR="00842B2D" w:rsidRDefault="00842B2D" w:rsidP="00D15FEC">
      <w:pPr>
        <w:pStyle w:val="AppendixHeading3"/>
      </w:pPr>
      <w:bookmarkStart w:id="76" w:name="_Toc517161124"/>
      <w:r>
        <w:t>Other environmental factors</w:t>
      </w:r>
      <w:bookmarkEnd w:id="76"/>
    </w:p>
    <w:p w14:paraId="639C5B99" w14:textId="29F683EC" w:rsidR="00251DCB" w:rsidRDefault="00842B2D" w:rsidP="007D5639">
      <w:pPr>
        <w:pStyle w:val="BodyText"/>
      </w:pPr>
      <w:r w:rsidRPr="007D5639">
        <w:t>Within the Amadeus Basin there are 52</w:t>
      </w:r>
      <w:r>
        <w:t> km</w:t>
      </w:r>
      <w:r w:rsidRPr="008232C9">
        <w:rPr>
          <w:rStyle w:val="Superscript"/>
        </w:rPr>
        <w:t>2</w:t>
      </w:r>
      <w:r w:rsidRPr="007D5639">
        <w:t xml:space="preserve"> of Listed Nationally Important Wetlands, </w:t>
      </w:r>
      <w:r>
        <w:t>1,600 km</w:t>
      </w:r>
      <w:r w:rsidRPr="008232C9">
        <w:rPr>
          <w:rStyle w:val="Superscript"/>
        </w:rPr>
        <w:t>2</w:t>
      </w:r>
      <w:r w:rsidRPr="007D5639">
        <w:t xml:space="preserve"> of Potential Groundwater Dependant Ecosystems, and a total of 5</w:t>
      </w:r>
      <w:r>
        <w:t>,</w:t>
      </w:r>
      <w:r w:rsidRPr="007D5639">
        <w:t>111</w:t>
      </w:r>
      <w:r>
        <w:t> km</w:t>
      </w:r>
      <w:r w:rsidRPr="008232C9">
        <w:rPr>
          <w:rStyle w:val="Superscript"/>
        </w:rPr>
        <w:t xml:space="preserve">2 </w:t>
      </w:r>
      <w:r w:rsidRPr="007D5639">
        <w:t>of protected areas (such as national parks) are listed; there are no Ramsar wetlands (</w:t>
      </w:r>
      <w:r>
        <w:t>Table C</w:t>
      </w:r>
      <w:r w:rsidRPr="007D5639">
        <w:t>.5).</w:t>
      </w:r>
    </w:p>
    <w:p w14:paraId="712FC368" w14:textId="77777777" w:rsidR="00251DCB" w:rsidRDefault="00251DCB" w:rsidP="00147CAE">
      <w:pPr>
        <w:pStyle w:val="BodyText"/>
      </w:pPr>
      <w:r>
        <w:br w:type="page"/>
      </w:r>
    </w:p>
    <w:p w14:paraId="0072ECAE" w14:textId="77777777" w:rsidR="00842B2D" w:rsidRPr="001B417B" w:rsidRDefault="00842B2D" w:rsidP="00E01F8F">
      <w:pPr>
        <w:pStyle w:val="Caption"/>
      </w:pPr>
      <w:bookmarkStart w:id="77" w:name="_Toc499547475"/>
      <w:bookmarkStart w:id="78" w:name="_Toc508972154"/>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5</w:t>
      </w:r>
      <w:r w:rsidR="008079F1">
        <w:rPr>
          <w:noProof/>
        </w:rPr>
        <w:fldChar w:fldCharType="end"/>
      </w:r>
      <w:r>
        <w:t xml:space="preserve"> </w:t>
      </w:r>
      <w:r w:rsidRPr="001B417B">
        <w:t>Environmental Assets within the Amadeus Basin</w:t>
      </w:r>
      <w:bookmarkEnd w:id="77"/>
      <w:bookmarkEnd w:id="78"/>
    </w:p>
    <w:tbl>
      <w:tblPr>
        <w:tblStyle w:val="TableBAHeaderColumn"/>
        <w:tblW w:w="5000" w:type="pct"/>
        <w:tblInd w:w="0" w:type="dxa"/>
        <w:tblLook w:val="04A0" w:firstRow="1" w:lastRow="0" w:firstColumn="1" w:lastColumn="0" w:noHBand="0" w:noVBand="1"/>
      </w:tblPr>
      <w:tblGrid>
        <w:gridCol w:w="4970"/>
        <w:gridCol w:w="4669"/>
      </w:tblGrid>
      <w:tr w:rsidR="00842B2D" w:rsidRPr="008C1B92" w14:paraId="7E917D32"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tcPr>
          <w:p w14:paraId="53EE787F" w14:textId="77777777" w:rsidR="00842B2D" w:rsidRPr="008C1B92" w:rsidRDefault="00842B2D" w:rsidP="008B38C1">
            <w:pPr>
              <w:pStyle w:val="TableTextLeft"/>
              <w:rPr>
                <w:szCs w:val="18"/>
              </w:rPr>
            </w:pPr>
            <w:r w:rsidRPr="008C1B92">
              <w:rPr>
                <w:szCs w:val="18"/>
              </w:rPr>
              <w:t>Environmental Assets</w:t>
            </w:r>
          </w:p>
        </w:tc>
      </w:tr>
      <w:tr w:rsidR="00842B2D" w:rsidRPr="008C1B92" w14:paraId="2D44AF7A"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2E7CE366" w14:textId="77777777" w:rsidR="00842B2D" w:rsidRPr="008C1B92" w:rsidRDefault="00842B2D" w:rsidP="008B38C1">
            <w:pPr>
              <w:pStyle w:val="TableTextLeft"/>
              <w:rPr>
                <w:szCs w:val="18"/>
              </w:rPr>
            </w:pPr>
            <w:r w:rsidRPr="008C1B92">
              <w:rPr>
                <w:szCs w:val="18"/>
              </w:rPr>
              <w:t>Ramsar Wetlands</w:t>
            </w:r>
          </w:p>
        </w:tc>
        <w:tc>
          <w:tcPr>
            <w:tcW w:w="2422" w:type="pct"/>
          </w:tcPr>
          <w:p w14:paraId="082C79AE"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8C1B92">
              <w:rPr>
                <w:szCs w:val="18"/>
              </w:rPr>
              <w:t>None</w:t>
            </w:r>
          </w:p>
        </w:tc>
      </w:tr>
      <w:tr w:rsidR="00842B2D" w:rsidRPr="008C1B92" w14:paraId="5B13CD0E"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3F0C95B1" w14:textId="77777777" w:rsidR="00842B2D" w:rsidRPr="008C1B92" w:rsidRDefault="00842B2D" w:rsidP="008B38C1">
            <w:pPr>
              <w:pStyle w:val="TableTextLeft"/>
              <w:rPr>
                <w:szCs w:val="18"/>
              </w:rPr>
            </w:pPr>
            <w:r w:rsidRPr="008C1B92">
              <w:rPr>
                <w:szCs w:val="18"/>
              </w:rPr>
              <w:t>Nationally Important Wetlands</w:t>
            </w:r>
          </w:p>
          <w:p w14:paraId="60D76DE2" w14:textId="77777777" w:rsidR="00842B2D" w:rsidRPr="008C1B92" w:rsidRDefault="00842B2D" w:rsidP="008B38C1">
            <w:pPr>
              <w:pStyle w:val="TableTextLeft"/>
              <w:rPr>
                <w:szCs w:val="18"/>
              </w:rPr>
            </w:pPr>
            <w:r w:rsidRPr="008C1B92">
              <w:rPr>
                <w:szCs w:val="18"/>
              </w:rPr>
              <w:t>Top 5 by area</w:t>
            </w:r>
          </w:p>
          <w:p w14:paraId="439F54FD" w14:textId="77777777" w:rsidR="00842B2D" w:rsidRPr="008C1B92" w:rsidRDefault="00842B2D" w:rsidP="008B38C1">
            <w:pPr>
              <w:pStyle w:val="TableTextLeft"/>
              <w:rPr>
                <w:szCs w:val="18"/>
              </w:rPr>
            </w:pPr>
            <w:r w:rsidRPr="008C1B92">
              <w:rPr>
                <w:szCs w:val="18"/>
              </w:rPr>
              <w:t>(area</w:t>
            </w:r>
            <w:r>
              <w:rPr>
                <w:szCs w:val="18"/>
              </w:rPr>
              <w:t> km</w:t>
            </w:r>
            <w:r w:rsidRPr="008C1B92">
              <w:rPr>
                <w:szCs w:val="18"/>
                <w:vertAlign w:val="superscript"/>
              </w:rPr>
              <w:t>2</w:t>
            </w:r>
            <w:r w:rsidRPr="008C1B92">
              <w:rPr>
                <w:szCs w:val="18"/>
              </w:rPr>
              <w:t>)</w:t>
            </w:r>
          </w:p>
        </w:tc>
        <w:tc>
          <w:tcPr>
            <w:tcW w:w="2422" w:type="pct"/>
          </w:tcPr>
          <w:tbl>
            <w:tblPr>
              <w:tblW w:w="4196" w:type="dxa"/>
              <w:tblLook w:val="04A0" w:firstRow="1" w:lastRow="0" w:firstColumn="1" w:lastColumn="0" w:noHBand="0" w:noVBand="1"/>
            </w:tblPr>
            <w:tblGrid>
              <w:gridCol w:w="3629"/>
              <w:gridCol w:w="567"/>
            </w:tblGrid>
            <w:tr w:rsidR="00842B2D" w:rsidRPr="008C1B92" w14:paraId="54420341" w14:textId="77777777" w:rsidTr="00D83039">
              <w:trPr>
                <w:trHeight w:val="300"/>
              </w:trPr>
              <w:tc>
                <w:tcPr>
                  <w:tcW w:w="3629" w:type="dxa"/>
                  <w:tcBorders>
                    <w:top w:val="nil"/>
                    <w:left w:val="nil"/>
                    <w:bottom w:val="nil"/>
                    <w:right w:val="nil"/>
                  </w:tcBorders>
                  <w:shd w:val="clear" w:color="auto" w:fill="auto"/>
                  <w:vAlign w:val="center"/>
                  <w:hideMark/>
                </w:tcPr>
                <w:p w14:paraId="528C383D" w14:textId="77777777" w:rsidR="00842B2D" w:rsidRPr="008C1B92" w:rsidRDefault="00842B2D" w:rsidP="008B38C1">
                  <w:pPr>
                    <w:pStyle w:val="TableTextLeft"/>
                    <w:rPr>
                      <w:szCs w:val="18"/>
                    </w:rPr>
                  </w:pPr>
                  <w:r>
                    <w:rPr>
                      <w:szCs w:val="18"/>
                    </w:rPr>
                    <w:t>Karinga Creek Pal</w:t>
                  </w:r>
                  <w:r w:rsidRPr="008C1B92">
                    <w:rPr>
                      <w:szCs w:val="18"/>
                    </w:rPr>
                    <w:t>eodrainage System</w:t>
                  </w:r>
                </w:p>
              </w:tc>
              <w:tc>
                <w:tcPr>
                  <w:tcW w:w="567" w:type="dxa"/>
                  <w:tcBorders>
                    <w:top w:val="nil"/>
                    <w:left w:val="nil"/>
                    <w:bottom w:val="nil"/>
                    <w:right w:val="nil"/>
                  </w:tcBorders>
                  <w:shd w:val="clear" w:color="auto" w:fill="auto"/>
                  <w:noWrap/>
                  <w:vAlign w:val="center"/>
                  <w:hideMark/>
                </w:tcPr>
                <w:p w14:paraId="68565D31" w14:textId="77777777" w:rsidR="00842B2D" w:rsidRPr="008C1B92" w:rsidRDefault="00842B2D" w:rsidP="000350BE">
                  <w:pPr>
                    <w:pStyle w:val="TableTextRight0"/>
                  </w:pPr>
                  <w:r w:rsidRPr="008C1B92">
                    <w:t>49</w:t>
                  </w:r>
                </w:p>
              </w:tc>
            </w:tr>
            <w:tr w:rsidR="00842B2D" w:rsidRPr="008C1B92" w14:paraId="47BB481F" w14:textId="77777777" w:rsidTr="00D83039">
              <w:trPr>
                <w:trHeight w:val="300"/>
              </w:trPr>
              <w:tc>
                <w:tcPr>
                  <w:tcW w:w="3629" w:type="dxa"/>
                  <w:tcBorders>
                    <w:top w:val="nil"/>
                    <w:left w:val="nil"/>
                    <w:bottom w:val="nil"/>
                    <w:right w:val="nil"/>
                  </w:tcBorders>
                  <w:shd w:val="clear" w:color="auto" w:fill="auto"/>
                  <w:vAlign w:val="center"/>
                  <w:hideMark/>
                </w:tcPr>
                <w:p w14:paraId="0383C862" w14:textId="77777777" w:rsidR="00842B2D" w:rsidRPr="008C1B92" w:rsidRDefault="00842B2D" w:rsidP="008B38C1">
                  <w:pPr>
                    <w:pStyle w:val="TableTextLeft"/>
                    <w:rPr>
                      <w:szCs w:val="18"/>
                    </w:rPr>
                  </w:pPr>
                  <w:r w:rsidRPr="008C1B92">
                    <w:rPr>
                      <w:szCs w:val="18"/>
                    </w:rPr>
                    <w:t>Lake Amadeus</w:t>
                  </w:r>
                </w:p>
              </w:tc>
              <w:tc>
                <w:tcPr>
                  <w:tcW w:w="567" w:type="dxa"/>
                  <w:tcBorders>
                    <w:top w:val="nil"/>
                    <w:left w:val="nil"/>
                    <w:bottom w:val="nil"/>
                    <w:right w:val="nil"/>
                  </w:tcBorders>
                  <w:shd w:val="clear" w:color="auto" w:fill="auto"/>
                  <w:noWrap/>
                  <w:vAlign w:val="center"/>
                  <w:hideMark/>
                </w:tcPr>
                <w:p w14:paraId="71AAFD10" w14:textId="77777777" w:rsidR="00842B2D" w:rsidRPr="008C1B92" w:rsidRDefault="00842B2D" w:rsidP="000350BE">
                  <w:pPr>
                    <w:pStyle w:val="TableTextRight0"/>
                  </w:pPr>
                  <w:r w:rsidRPr="008C1B92">
                    <w:t>3</w:t>
                  </w:r>
                </w:p>
              </w:tc>
            </w:tr>
            <w:tr w:rsidR="00842B2D" w:rsidRPr="008C1B92" w14:paraId="21B67DEB" w14:textId="77777777" w:rsidTr="00D83039">
              <w:trPr>
                <w:trHeight w:val="300"/>
              </w:trPr>
              <w:tc>
                <w:tcPr>
                  <w:tcW w:w="3629" w:type="dxa"/>
                  <w:tcBorders>
                    <w:top w:val="nil"/>
                    <w:left w:val="nil"/>
                    <w:bottom w:val="nil"/>
                    <w:right w:val="nil"/>
                  </w:tcBorders>
                  <w:shd w:val="clear" w:color="auto" w:fill="auto"/>
                  <w:vAlign w:val="center"/>
                  <w:hideMark/>
                </w:tcPr>
                <w:p w14:paraId="76CAAA18" w14:textId="77777777" w:rsidR="00842B2D" w:rsidRPr="008C1B92" w:rsidRDefault="00842B2D" w:rsidP="008B38C1">
                  <w:pPr>
                    <w:pStyle w:val="TableTextLeft"/>
                    <w:rPr>
                      <w:szCs w:val="18"/>
                    </w:rPr>
                  </w:pPr>
                  <w:r w:rsidRPr="008C1B92">
                    <w:rPr>
                      <w:szCs w:val="18"/>
                    </w:rPr>
                    <w:t>Rock Pools of the Walter James Range</w:t>
                  </w:r>
                </w:p>
              </w:tc>
              <w:tc>
                <w:tcPr>
                  <w:tcW w:w="567" w:type="dxa"/>
                  <w:tcBorders>
                    <w:top w:val="nil"/>
                    <w:left w:val="nil"/>
                    <w:bottom w:val="nil"/>
                    <w:right w:val="nil"/>
                  </w:tcBorders>
                  <w:shd w:val="clear" w:color="auto" w:fill="auto"/>
                  <w:noWrap/>
                  <w:vAlign w:val="center"/>
                  <w:hideMark/>
                </w:tcPr>
                <w:p w14:paraId="57EC5CF1" w14:textId="77777777" w:rsidR="00842B2D" w:rsidRPr="008C1B92" w:rsidRDefault="00842B2D" w:rsidP="000350BE">
                  <w:pPr>
                    <w:pStyle w:val="TableTextRight0"/>
                  </w:pPr>
                  <w:r w:rsidRPr="008C1B92">
                    <w:t>&lt;</w:t>
                  </w:r>
                  <w:r>
                    <w:t xml:space="preserve"> </w:t>
                  </w:r>
                  <w:r w:rsidRPr="008C1B92">
                    <w:t>1</w:t>
                  </w:r>
                </w:p>
              </w:tc>
            </w:tr>
            <w:tr w:rsidR="00842B2D" w:rsidRPr="008C1B92" w14:paraId="27563469" w14:textId="77777777" w:rsidTr="00D83039">
              <w:trPr>
                <w:trHeight w:val="300"/>
              </w:trPr>
              <w:tc>
                <w:tcPr>
                  <w:tcW w:w="3629" w:type="dxa"/>
                  <w:tcBorders>
                    <w:top w:val="nil"/>
                    <w:left w:val="nil"/>
                    <w:bottom w:val="nil"/>
                    <w:right w:val="nil"/>
                  </w:tcBorders>
                  <w:shd w:val="clear" w:color="auto" w:fill="auto"/>
                  <w:vAlign w:val="center"/>
                  <w:hideMark/>
                </w:tcPr>
                <w:p w14:paraId="71095737" w14:textId="77777777" w:rsidR="00842B2D" w:rsidRPr="008C1B92" w:rsidRDefault="00842B2D" w:rsidP="008B38C1">
                  <w:pPr>
                    <w:pStyle w:val="TableTextLeft"/>
                    <w:rPr>
                      <w:szCs w:val="18"/>
                    </w:rPr>
                  </w:pPr>
                  <w:r w:rsidRPr="008C1B92">
                    <w:rPr>
                      <w:szCs w:val="18"/>
                    </w:rPr>
                    <w:t>Finke River Headwater Gorges System</w:t>
                  </w:r>
                </w:p>
              </w:tc>
              <w:tc>
                <w:tcPr>
                  <w:tcW w:w="567" w:type="dxa"/>
                  <w:tcBorders>
                    <w:top w:val="nil"/>
                    <w:left w:val="nil"/>
                    <w:bottom w:val="nil"/>
                    <w:right w:val="nil"/>
                  </w:tcBorders>
                  <w:shd w:val="clear" w:color="auto" w:fill="auto"/>
                  <w:noWrap/>
                  <w:vAlign w:val="center"/>
                  <w:hideMark/>
                </w:tcPr>
                <w:p w14:paraId="0E63D7B0" w14:textId="77777777" w:rsidR="00842B2D" w:rsidRPr="008C1B92" w:rsidRDefault="00842B2D" w:rsidP="000350BE">
                  <w:pPr>
                    <w:pStyle w:val="TableTextRight0"/>
                  </w:pPr>
                  <w:r w:rsidRPr="008C1B92">
                    <w:t>&lt;</w:t>
                  </w:r>
                  <w:r>
                    <w:t xml:space="preserve"> </w:t>
                  </w:r>
                  <w:r w:rsidRPr="008C1B92">
                    <w:t>1</w:t>
                  </w:r>
                </w:p>
              </w:tc>
            </w:tr>
            <w:tr w:rsidR="00842B2D" w:rsidRPr="008C1B92" w14:paraId="305603E5" w14:textId="77777777" w:rsidTr="00D83039">
              <w:trPr>
                <w:trHeight w:val="300"/>
              </w:trPr>
              <w:tc>
                <w:tcPr>
                  <w:tcW w:w="3629" w:type="dxa"/>
                  <w:tcBorders>
                    <w:top w:val="nil"/>
                    <w:left w:val="nil"/>
                    <w:bottom w:val="nil"/>
                    <w:right w:val="nil"/>
                  </w:tcBorders>
                  <w:shd w:val="clear" w:color="auto" w:fill="auto"/>
                  <w:vAlign w:val="center"/>
                </w:tcPr>
                <w:p w14:paraId="31255FD6" w14:textId="77777777" w:rsidR="00842B2D" w:rsidRPr="008C1B92" w:rsidRDefault="00842B2D" w:rsidP="008B38C1">
                  <w:pPr>
                    <w:pStyle w:val="TableTextLeft"/>
                    <w:rPr>
                      <w:szCs w:val="18"/>
                    </w:rPr>
                  </w:pPr>
                  <w:r>
                    <w:rPr>
                      <w:szCs w:val="18"/>
                    </w:rPr>
                    <w:t>—</w:t>
                  </w:r>
                </w:p>
              </w:tc>
              <w:tc>
                <w:tcPr>
                  <w:tcW w:w="567" w:type="dxa"/>
                  <w:tcBorders>
                    <w:top w:val="nil"/>
                    <w:left w:val="nil"/>
                    <w:bottom w:val="nil"/>
                    <w:right w:val="nil"/>
                  </w:tcBorders>
                  <w:shd w:val="clear" w:color="auto" w:fill="auto"/>
                  <w:noWrap/>
                  <w:vAlign w:val="center"/>
                </w:tcPr>
                <w:p w14:paraId="01DA575C" w14:textId="77777777" w:rsidR="00842B2D" w:rsidRPr="008C1B92" w:rsidRDefault="00842B2D" w:rsidP="000350BE">
                  <w:pPr>
                    <w:pStyle w:val="TableTextRight0"/>
                  </w:pPr>
                  <w:r>
                    <w:t>0</w:t>
                  </w:r>
                </w:p>
              </w:tc>
            </w:tr>
            <w:tr w:rsidR="00842B2D" w:rsidRPr="008C1B92" w14:paraId="17F43554" w14:textId="77777777" w:rsidTr="00D83039">
              <w:trPr>
                <w:trHeight w:val="300"/>
              </w:trPr>
              <w:tc>
                <w:tcPr>
                  <w:tcW w:w="3629" w:type="dxa"/>
                  <w:tcBorders>
                    <w:top w:val="nil"/>
                    <w:left w:val="nil"/>
                    <w:bottom w:val="nil"/>
                    <w:right w:val="nil"/>
                  </w:tcBorders>
                  <w:shd w:val="clear" w:color="auto" w:fill="auto"/>
                  <w:vAlign w:val="center"/>
                </w:tcPr>
                <w:p w14:paraId="6EE026C2" w14:textId="77777777" w:rsidR="00842B2D" w:rsidRPr="008C1B92" w:rsidRDefault="00842B2D" w:rsidP="008B38C1">
                  <w:pPr>
                    <w:pStyle w:val="TableTextLeft"/>
                    <w:rPr>
                      <w:szCs w:val="18"/>
                    </w:rPr>
                  </w:pPr>
                  <w:r w:rsidRPr="008C1B92">
                    <w:rPr>
                      <w:szCs w:val="18"/>
                    </w:rPr>
                    <w:t>TOTAL AREA</w:t>
                  </w:r>
                </w:p>
              </w:tc>
              <w:tc>
                <w:tcPr>
                  <w:tcW w:w="567" w:type="dxa"/>
                  <w:tcBorders>
                    <w:top w:val="nil"/>
                    <w:left w:val="nil"/>
                    <w:bottom w:val="nil"/>
                    <w:right w:val="nil"/>
                  </w:tcBorders>
                  <w:shd w:val="clear" w:color="auto" w:fill="auto"/>
                  <w:noWrap/>
                  <w:vAlign w:val="center"/>
                </w:tcPr>
                <w:p w14:paraId="283BC4A8" w14:textId="77777777" w:rsidR="00842B2D" w:rsidRPr="008C1B92" w:rsidRDefault="00842B2D" w:rsidP="000350BE">
                  <w:pPr>
                    <w:pStyle w:val="TableTextRight0"/>
                  </w:pPr>
                  <w:r w:rsidRPr="008C1B92">
                    <w:t>52</w:t>
                  </w:r>
                </w:p>
              </w:tc>
            </w:tr>
          </w:tbl>
          <w:p w14:paraId="0EAE9842"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42B2D" w:rsidRPr="008C1B92" w14:paraId="09E19D17"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21AE6AF4" w14:textId="77777777" w:rsidR="00842B2D" w:rsidRPr="008C1B92" w:rsidRDefault="00842B2D" w:rsidP="008B38C1">
            <w:pPr>
              <w:pStyle w:val="TableTextLeft"/>
              <w:rPr>
                <w:szCs w:val="18"/>
              </w:rPr>
            </w:pPr>
            <w:r w:rsidRPr="008C1B92">
              <w:rPr>
                <w:szCs w:val="18"/>
              </w:rPr>
              <w:t>Protected areas (CAPAD 2016)</w:t>
            </w:r>
          </w:p>
          <w:p w14:paraId="3B49D674" w14:textId="77777777" w:rsidR="00842B2D" w:rsidRPr="008C1B92" w:rsidRDefault="00842B2D" w:rsidP="008B38C1">
            <w:pPr>
              <w:pStyle w:val="TableTextLeft"/>
              <w:rPr>
                <w:szCs w:val="18"/>
              </w:rPr>
            </w:pPr>
            <w:r w:rsidRPr="008C1B92">
              <w:rPr>
                <w:szCs w:val="18"/>
              </w:rPr>
              <w:t>Top 5 by area (area</w:t>
            </w:r>
            <w:r>
              <w:rPr>
                <w:szCs w:val="18"/>
              </w:rPr>
              <w:t> km</w:t>
            </w:r>
            <w:r w:rsidRPr="008C1B92">
              <w:rPr>
                <w:szCs w:val="18"/>
                <w:vertAlign w:val="superscript"/>
              </w:rPr>
              <w:t>2</w:t>
            </w:r>
            <w:r w:rsidRPr="008C1B92">
              <w:rPr>
                <w:szCs w:val="18"/>
              </w:rPr>
              <w:t>)</w:t>
            </w:r>
          </w:p>
        </w:tc>
        <w:tc>
          <w:tcPr>
            <w:tcW w:w="2422" w:type="pct"/>
          </w:tcPr>
          <w:tbl>
            <w:tblPr>
              <w:tblW w:w="4196" w:type="dxa"/>
              <w:tblLook w:val="04A0" w:firstRow="1" w:lastRow="0" w:firstColumn="1" w:lastColumn="0" w:noHBand="0" w:noVBand="1"/>
            </w:tblPr>
            <w:tblGrid>
              <w:gridCol w:w="3345"/>
              <w:gridCol w:w="851"/>
            </w:tblGrid>
            <w:tr w:rsidR="00842B2D" w:rsidRPr="008C1B92" w14:paraId="231BD664" w14:textId="77777777" w:rsidTr="00D83039">
              <w:trPr>
                <w:trHeight w:val="331"/>
              </w:trPr>
              <w:tc>
                <w:tcPr>
                  <w:tcW w:w="3345" w:type="dxa"/>
                  <w:tcBorders>
                    <w:top w:val="nil"/>
                    <w:left w:val="nil"/>
                    <w:bottom w:val="nil"/>
                    <w:right w:val="nil"/>
                  </w:tcBorders>
                  <w:shd w:val="clear" w:color="auto" w:fill="auto"/>
                  <w:noWrap/>
                  <w:vAlign w:val="bottom"/>
                  <w:hideMark/>
                </w:tcPr>
                <w:p w14:paraId="1AB4E261" w14:textId="77777777" w:rsidR="00842B2D" w:rsidRPr="008C1B92" w:rsidRDefault="00842B2D" w:rsidP="008B38C1">
                  <w:pPr>
                    <w:pStyle w:val="TableTextLeft"/>
                    <w:rPr>
                      <w:szCs w:val="18"/>
                    </w:rPr>
                  </w:pPr>
                  <w:r w:rsidRPr="008C1B92">
                    <w:rPr>
                      <w:szCs w:val="18"/>
                    </w:rPr>
                    <w:t>National Park</w:t>
                  </w:r>
                </w:p>
              </w:tc>
              <w:tc>
                <w:tcPr>
                  <w:tcW w:w="851" w:type="dxa"/>
                  <w:tcBorders>
                    <w:top w:val="nil"/>
                    <w:left w:val="nil"/>
                    <w:bottom w:val="nil"/>
                    <w:right w:val="nil"/>
                  </w:tcBorders>
                  <w:shd w:val="clear" w:color="auto" w:fill="auto"/>
                  <w:noWrap/>
                  <w:vAlign w:val="bottom"/>
                  <w:hideMark/>
                </w:tcPr>
                <w:p w14:paraId="285D6C98" w14:textId="77777777" w:rsidR="00842B2D" w:rsidRPr="008C1B92" w:rsidRDefault="00842B2D" w:rsidP="000350BE">
                  <w:pPr>
                    <w:pStyle w:val="TableTextRight0"/>
                  </w:pPr>
                  <w:r w:rsidRPr="008C1B92">
                    <w:t>2</w:t>
                  </w:r>
                  <w:r>
                    <w:t>,</w:t>
                  </w:r>
                  <w:r w:rsidRPr="008C1B92">
                    <w:t>151</w:t>
                  </w:r>
                </w:p>
              </w:tc>
            </w:tr>
            <w:tr w:rsidR="00842B2D" w:rsidRPr="008C1B92" w14:paraId="0C4162DA" w14:textId="77777777" w:rsidTr="00D83039">
              <w:trPr>
                <w:trHeight w:val="331"/>
              </w:trPr>
              <w:tc>
                <w:tcPr>
                  <w:tcW w:w="3345" w:type="dxa"/>
                  <w:tcBorders>
                    <w:top w:val="nil"/>
                    <w:left w:val="nil"/>
                    <w:bottom w:val="nil"/>
                    <w:right w:val="nil"/>
                  </w:tcBorders>
                  <w:shd w:val="clear" w:color="auto" w:fill="auto"/>
                  <w:noWrap/>
                  <w:vAlign w:val="bottom"/>
                  <w:hideMark/>
                </w:tcPr>
                <w:p w14:paraId="7DFC85A1" w14:textId="77777777" w:rsidR="00842B2D" w:rsidRPr="008C1B92" w:rsidRDefault="00842B2D" w:rsidP="008B38C1">
                  <w:pPr>
                    <w:pStyle w:val="TableTextLeft"/>
                    <w:rPr>
                      <w:szCs w:val="18"/>
                    </w:rPr>
                  </w:pPr>
                  <w:r w:rsidRPr="008C1B92">
                    <w:rPr>
                      <w:szCs w:val="18"/>
                    </w:rPr>
                    <w:t>Other Conservation Area</w:t>
                  </w:r>
                </w:p>
              </w:tc>
              <w:tc>
                <w:tcPr>
                  <w:tcW w:w="851" w:type="dxa"/>
                  <w:tcBorders>
                    <w:top w:val="nil"/>
                    <w:left w:val="nil"/>
                    <w:bottom w:val="nil"/>
                    <w:right w:val="nil"/>
                  </w:tcBorders>
                  <w:shd w:val="clear" w:color="auto" w:fill="auto"/>
                  <w:noWrap/>
                  <w:vAlign w:val="bottom"/>
                  <w:hideMark/>
                </w:tcPr>
                <w:p w14:paraId="5B9F6061" w14:textId="77777777" w:rsidR="00842B2D" w:rsidRPr="008C1B92" w:rsidRDefault="00842B2D" w:rsidP="000350BE">
                  <w:pPr>
                    <w:pStyle w:val="TableTextRight0"/>
                  </w:pPr>
                  <w:r>
                    <w:t>1,</w:t>
                  </w:r>
                  <w:r w:rsidRPr="008C1B92">
                    <w:t>547</w:t>
                  </w:r>
                </w:p>
              </w:tc>
            </w:tr>
            <w:tr w:rsidR="00842B2D" w:rsidRPr="008C1B92" w14:paraId="3FBC00F7" w14:textId="77777777" w:rsidTr="00D83039">
              <w:trPr>
                <w:trHeight w:val="331"/>
              </w:trPr>
              <w:tc>
                <w:tcPr>
                  <w:tcW w:w="3345" w:type="dxa"/>
                  <w:tcBorders>
                    <w:top w:val="nil"/>
                    <w:left w:val="nil"/>
                    <w:bottom w:val="nil"/>
                    <w:right w:val="nil"/>
                  </w:tcBorders>
                  <w:shd w:val="clear" w:color="auto" w:fill="auto"/>
                  <w:noWrap/>
                  <w:vAlign w:val="bottom"/>
                  <w:hideMark/>
                </w:tcPr>
                <w:p w14:paraId="4379F11A" w14:textId="77777777" w:rsidR="00842B2D" w:rsidRPr="008C1B92" w:rsidRDefault="00842B2D" w:rsidP="008B38C1">
                  <w:pPr>
                    <w:pStyle w:val="TableTextLeft"/>
                    <w:rPr>
                      <w:szCs w:val="18"/>
                    </w:rPr>
                  </w:pPr>
                  <w:r w:rsidRPr="008C1B92">
                    <w:rPr>
                      <w:szCs w:val="18"/>
                    </w:rPr>
                    <w:t>National Park (Commonwealth)</w:t>
                  </w:r>
                </w:p>
              </w:tc>
              <w:tc>
                <w:tcPr>
                  <w:tcW w:w="851" w:type="dxa"/>
                  <w:tcBorders>
                    <w:top w:val="nil"/>
                    <w:left w:val="nil"/>
                    <w:bottom w:val="nil"/>
                    <w:right w:val="nil"/>
                  </w:tcBorders>
                  <w:shd w:val="clear" w:color="auto" w:fill="auto"/>
                  <w:noWrap/>
                  <w:vAlign w:val="bottom"/>
                  <w:hideMark/>
                </w:tcPr>
                <w:p w14:paraId="38235D38" w14:textId="77777777" w:rsidR="00842B2D" w:rsidRPr="008C1B92" w:rsidRDefault="00842B2D" w:rsidP="000350BE">
                  <w:pPr>
                    <w:pStyle w:val="TableTextRight0"/>
                  </w:pPr>
                  <w:r>
                    <w:t>1,</w:t>
                  </w:r>
                  <w:r w:rsidRPr="008C1B92">
                    <w:t>201</w:t>
                  </w:r>
                </w:p>
              </w:tc>
            </w:tr>
            <w:tr w:rsidR="00842B2D" w:rsidRPr="008C1B92" w14:paraId="087516B1" w14:textId="77777777" w:rsidTr="00D83039">
              <w:trPr>
                <w:trHeight w:val="331"/>
              </w:trPr>
              <w:tc>
                <w:tcPr>
                  <w:tcW w:w="3345" w:type="dxa"/>
                  <w:tcBorders>
                    <w:top w:val="nil"/>
                    <w:left w:val="nil"/>
                    <w:bottom w:val="nil"/>
                    <w:right w:val="nil"/>
                  </w:tcBorders>
                  <w:shd w:val="clear" w:color="auto" w:fill="auto"/>
                  <w:noWrap/>
                  <w:vAlign w:val="bottom"/>
                  <w:hideMark/>
                </w:tcPr>
                <w:p w14:paraId="2A7DD27B" w14:textId="77777777" w:rsidR="00842B2D" w:rsidRPr="008C1B92" w:rsidRDefault="00842B2D" w:rsidP="008B38C1">
                  <w:pPr>
                    <w:pStyle w:val="TableTextLeft"/>
                    <w:rPr>
                      <w:szCs w:val="18"/>
                    </w:rPr>
                  </w:pPr>
                  <w:r w:rsidRPr="008C1B92">
                    <w:rPr>
                      <w:szCs w:val="18"/>
                    </w:rPr>
                    <w:t>Nature Park</w:t>
                  </w:r>
                </w:p>
              </w:tc>
              <w:tc>
                <w:tcPr>
                  <w:tcW w:w="851" w:type="dxa"/>
                  <w:tcBorders>
                    <w:top w:val="nil"/>
                    <w:left w:val="nil"/>
                    <w:bottom w:val="nil"/>
                    <w:right w:val="nil"/>
                  </w:tcBorders>
                  <w:shd w:val="clear" w:color="auto" w:fill="auto"/>
                  <w:noWrap/>
                  <w:vAlign w:val="bottom"/>
                  <w:hideMark/>
                </w:tcPr>
                <w:p w14:paraId="38008EDA" w14:textId="77777777" w:rsidR="00842B2D" w:rsidRPr="008C1B92" w:rsidRDefault="00842B2D" w:rsidP="000350BE">
                  <w:pPr>
                    <w:pStyle w:val="TableTextRight0"/>
                  </w:pPr>
                  <w:r w:rsidRPr="008C1B92">
                    <w:t>94</w:t>
                  </w:r>
                </w:p>
              </w:tc>
            </w:tr>
            <w:tr w:rsidR="00842B2D" w:rsidRPr="008C1B92" w14:paraId="72B69F03" w14:textId="77777777" w:rsidTr="00D83039">
              <w:trPr>
                <w:trHeight w:val="331"/>
              </w:trPr>
              <w:tc>
                <w:tcPr>
                  <w:tcW w:w="3345" w:type="dxa"/>
                  <w:tcBorders>
                    <w:top w:val="nil"/>
                    <w:left w:val="nil"/>
                    <w:bottom w:val="nil"/>
                    <w:right w:val="nil"/>
                  </w:tcBorders>
                  <w:shd w:val="clear" w:color="auto" w:fill="auto"/>
                  <w:noWrap/>
                  <w:vAlign w:val="bottom"/>
                  <w:hideMark/>
                </w:tcPr>
                <w:p w14:paraId="0EF44172" w14:textId="77777777" w:rsidR="00842B2D" w:rsidRPr="008C1B92" w:rsidRDefault="00842B2D" w:rsidP="008B38C1">
                  <w:pPr>
                    <w:pStyle w:val="TableTextLeft"/>
                    <w:rPr>
                      <w:szCs w:val="18"/>
                    </w:rPr>
                  </w:pPr>
                  <w:r w:rsidRPr="008C1B92">
                    <w:rPr>
                      <w:szCs w:val="18"/>
                    </w:rPr>
                    <w:t>Conservation Reserve</w:t>
                  </w:r>
                </w:p>
              </w:tc>
              <w:tc>
                <w:tcPr>
                  <w:tcW w:w="851" w:type="dxa"/>
                  <w:tcBorders>
                    <w:top w:val="nil"/>
                    <w:left w:val="nil"/>
                    <w:bottom w:val="nil"/>
                    <w:right w:val="nil"/>
                  </w:tcBorders>
                  <w:shd w:val="clear" w:color="auto" w:fill="auto"/>
                  <w:noWrap/>
                  <w:vAlign w:val="bottom"/>
                  <w:hideMark/>
                </w:tcPr>
                <w:p w14:paraId="4B7F6E48" w14:textId="77777777" w:rsidR="00842B2D" w:rsidRPr="008C1B92" w:rsidRDefault="00842B2D" w:rsidP="000350BE">
                  <w:pPr>
                    <w:pStyle w:val="TableTextRight0"/>
                  </w:pPr>
                  <w:r w:rsidRPr="008C1B92">
                    <w:t>82</w:t>
                  </w:r>
                </w:p>
              </w:tc>
            </w:tr>
            <w:tr w:rsidR="00842B2D" w:rsidRPr="008C1B92" w14:paraId="7A365309" w14:textId="77777777" w:rsidTr="00D83039">
              <w:trPr>
                <w:trHeight w:val="331"/>
              </w:trPr>
              <w:tc>
                <w:tcPr>
                  <w:tcW w:w="3345" w:type="dxa"/>
                  <w:tcBorders>
                    <w:top w:val="nil"/>
                    <w:left w:val="nil"/>
                    <w:bottom w:val="nil"/>
                    <w:right w:val="nil"/>
                  </w:tcBorders>
                  <w:shd w:val="clear" w:color="auto" w:fill="auto"/>
                  <w:noWrap/>
                  <w:vAlign w:val="bottom"/>
                </w:tcPr>
                <w:p w14:paraId="62FF34A4" w14:textId="77777777" w:rsidR="00842B2D" w:rsidRPr="008C1B92" w:rsidRDefault="00842B2D" w:rsidP="008B38C1">
                  <w:pPr>
                    <w:pStyle w:val="TableTextLeft"/>
                    <w:rPr>
                      <w:szCs w:val="18"/>
                    </w:rPr>
                  </w:pPr>
                  <w:r w:rsidRPr="008C1B92">
                    <w:rPr>
                      <w:szCs w:val="18"/>
                    </w:rPr>
                    <w:t>TOTAL PROTECTED AREA</w:t>
                  </w:r>
                </w:p>
              </w:tc>
              <w:tc>
                <w:tcPr>
                  <w:tcW w:w="851" w:type="dxa"/>
                  <w:tcBorders>
                    <w:top w:val="nil"/>
                    <w:left w:val="nil"/>
                    <w:bottom w:val="nil"/>
                    <w:right w:val="nil"/>
                  </w:tcBorders>
                  <w:shd w:val="clear" w:color="auto" w:fill="auto"/>
                  <w:noWrap/>
                  <w:vAlign w:val="bottom"/>
                </w:tcPr>
                <w:p w14:paraId="73936FD6" w14:textId="77777777" w:rsidR="00842B2D" w:rsidRPr="008C1B92" w:rsidRDefault="00842B2D" w:rsidP="000350BE">
                  <w:pPr>
                    <w:pStyle w:val="TableTextRight0"/>
                  </w:pPr>
                  <w:r>
                    <w:t>5,</w:t>
                  </w:r>
                  <w:r w:rsidRPr="008C1B92">
                    <w:t>111</w:t>
                  </w:r>
                </w:p>
              </w:tc>
            </w:tr>
          </w:tbl>
          <w:p w14:paraId="111C687F"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42B2D" w:rsidRPr="008C1B92" w14:paraId="3522F655"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2F5443BD" w14:textId="77777777" w:rsidR="00842B2D" w:rsidRPr="008C1B92" w:rsidRDefault="00842B2D" w:rsidP="008B38C1">
            <w:pPr>
              <w:pStyle w:val="TableTextLeft"/>
              <w:rPr>
                <w:szCs w:val="18"/>
              </w:rPr>
            </w:pPr>
            <w:r w:rsidRPr="008C1B92">
              <w:rPr>
                <w:szCs w:val="18"/>
              </w:rPr>
              <w:t>Aquatic and Terrestrial Groundwater Dependant Ecosystems, of known, high potential and moderate potential (area</w:t>
            </w:r>
            <w:r>
              <w:rPr>
                <w:szCs w:val="18"/>
              </w:rPr>
              <w:t> km</w:t>
            </w:r>
            <w:r w:rsidRPr="008C1B92">
              <w:rPr>
                <w:szCs w:val="18"/>
                <w:vertAlign w:val="superscript"/>
              </w:rPr>
              <w:t>2</w:t>
            </w:r>
            <w:r w:rsidRPr="008C1B92">
              <w:rPr>
                <w:szCs w:val="18"/>
              </w:rPr>
              <w:t>).</w:t>
            </w:r>
          </w:p>
          <w:p w14:paraId="4EB76EF8" w14:textId="77777777" w:rsidR="00842B2D" w:rsidRPr="008C1B92" w:rsidRDefault="00842B2D" w:rsidP="008B38C1">
            <w:pPr>
              <w:pStyle w:val="TableTextLeft"/>
              <w:rPr>
                <w:szCs w:val="18"/>
              </w:rPr>
            </w:pPr>
          </w:p>
        </w:tc>
        <w:tc>
          <w:tcPr>
            <w:tcW w:w="2422" w:type="pct"/>
          </w:tcPr>
          <w:p w14:paraId="6E28FA9B"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1</w:t>
            </w:r>
            <w:r w:rsidRPr="008C1B92">
              <w:rPr>
                <w:szCs w:val="18"/>
              </w:rPr>
              <w:t>600</w:t>
            </w:r>
          </w:p>
        </w:tc>
      </w:tr>
    </w:tbl>
    <w:p w14:paraId="1950F59F" w14:textId="77777777" w:rsidR="00842B2D" w:rsidRPr="00B5526C" w:rsidRDefault="00842B2D" w:rsidP="00D15FEC">
      <w:pPr>
        <w:pStyle w:val="AppendixHeading3"/>
      </w:pPr>
      <w:bookmarkStart w:id="79" w:name="_Toc517161125"/>
      <w:r w:rsidRPr="00B5526C">
        <w:t>Social Considerations</w:t>
      </w:r>
      <w:bookmarkEnd w:id="79"/>
    </w:p>
    <w:p w14:paraId="51EB86F7" w14:textId="2A41AE90" w:rsidR="00842B2D" w:rsidRPr="001B417B" w:rsidRDefault="00842B2D" w:rsidP="001E0B4B">
      <w:pPr>
        <w:pStyle w:val="BodyText"/>
      </w:pPr>
      <w:r w:rsidRPr="001B417B">
        <w:t>Information on population, land use type and areas listed as either Indigenous Protected Areas (CAPAD</w:t>
      </w:r>
      <w:r>
        <w:t>,</w:t>
      </w:r>
      <w:r w:rsidRPr="001B417B">
        <w:t xml:space="preserve"> 2016) or where Native Title exists is presented in </w:t>
      </w:r>
      <w:r>
        <w:t>Table C.6</w:t>
      </w:r>
      <w:r w:rsidRPr="001B417B">
        <w:t>.</w:t>
      </w:r>
      <w:r>
        <w:t xml:space="preserve"> Although Alice Springs is located outside the basin extent, its proximity to the basin means that its water supply is derived from Amadeus Basin groundwater (NT DLRM</w:t>
      </w:r>
      <w:r w:rsidR="00554585">
        <w:t>,</w:t>
      </w:r>
      <w:r>
        <w:t xml:space="preserve"> 2016; Jolly et al., 1994).</w:t>
      </w:r>
    </w:p>
    <w:p w14:paraId="53A58008" w14:textId="77777777" w:rsidR="00842B2D" w:rsidRPr="001B417B" w:rsidRDefault="00842B2D" w:rsidP="00E01F8F">
      <w:pPr>
        <w:pStyle w:val="Caption"/>
      </w:pPr>
      <w:bookmarkStart w:id="80" w:name="_Toc499547476"/>
      <w:bookmarkStart w:id="81" w:name="_Toc508972155"/>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6</w:t>
      </w:r>
      <w:r w:rsidR="008079F1">
        <w:rPr>
          <w:noProof/>
        </w:rPr>
        <w:fldChar w:fldCharType="end"/>
      </w:r>
      <w:r>
        <w:t xml:space="preserve"> </w:t>
      </w:r>
      <w:r w:rsidRPr="001B417B">
        <w:t>Social and general characteristics of the Amadeus Basin region</w:t>
      </w:r>
      <w:r>
        <w:t>.</w:t>
      </w:r>
      <w:bookmarkEnd w:id="80"/>
      <w:bookmarkEnd w:id="81"/>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0"/>
        <w:gridCol w:w="4669"/>
      </w:tblGrid>
      <w:tr w:rsidR="00842B2D" w:rsidRPr="008C1B92" w14:paraId="606C3958"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tcPr>
          <w:p w14:paraId="0F2D85A1" w14:textId="77777777" w:rsidR="00842B2D" w:rsidRPr="008C1B92" w:rsidRDefault="00842B2D" w:rsidP="008B38C1">
            <w:pPr>
              <w:pStyle w:val="TableTextLeft"/>
              <w:rPr>
                <w:szCs w:val="18"/>
              </w:rPr>
            </w:pPr>
            <w:r w:rsidRPr="008C1B92">
              <w:rPr>
                <w:szCs w:val="18"/>
              </w:rPr>
              <w:t>GENERAL CHARACTERISTICS</w:t>
            </w:r>
          </w:p>
        </w:tc>
      </w:tr>
      <w:tr w:rsidR="00842B2D" w:rsidRPr="008C1B92" w14:paraId="28C2B1B8"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32E0C63A" w14:textId="77777777" w:rsidR="00842B2D" w:rsidRPr="008C1B92" w:rsidRDefault="00842B2D" w:rsidP="008B38C1">
            <w:pPr>
              <w:pStyle w:val="TableTextLeft"/>
              <w:rPr>
                <w:szCs w:val="18"/>
              </w:rPr>
            </w:pPr>
            <w:r w:rsidRPr="008C1B92">
              <w:rPr>
                <w:szCs w:val="18"/>
              </w:rPr>
              <w:t>Population</w:t>
            </w:r>
          </w:p>
        </w:tc>
        <w:tc>
          <w:tcPr>
            <w:tcW w:w="2422" w:type="pct"/>
          </w:tcPr>
          <w:p w14:paraId="74217011"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8C1B92">
              <w:rPr>
                <w:szCs w:val="18"/>
              </w:rPr>
              <w:t>8198</w:t>
            </w:r>
          </w:p>
          <w:p w14:paraId="41D52394"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42B2D" w:rsidRPr="008C1B92" w14:paraId="6D5F29C0"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5028A839" w14:textId="77777777" w:rsidR="00842B2D" w:rsidRPr="008C1B92" w:rsidRDefault="00842B2D" w:rsidP="008B38C1">
            <w:pPr>
              <w:pStyle w:val="TableTextLeft"/>
              <w:rPr>
                <w:szCs w:val="18"/>
              </w:rPr>
            </w:pPr>
            <w:r w:rsidRPr="008C1B92">
              <w:rPr>
                <w:szCs w:val="18"/>
              </w:rPr>
              <w:t>Major population centres (Top two)</w:t>
            </w:r>
          </w:p>
        </w:tc>
        <w:tc>
          <w:tcPr>
            <w:tcW w:w="2422" w:type="pct"/>
          </w:tcPr>
          <w:p w14:paraId="42CA7E61"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8C1B92">
              <w:rPr>
                <w:szCs w:val="18"/>
              </w:rPr>
              <w:t>Yulara, Hermannsburg</w:t>
            </w:r>
          </w:p>
        </w:tc>
      </w:tr>
      <w:tr w:rsidR="00842B2D" w:rsidRPr="008C1B92" w14:paraId="1187AF70"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76D194C5" w14:textId="77777777" w:rsidR="00842B2D" w:rsidRPr="008C1B92" w:rsidRDefault="00842B2D" w:rsidP="008B38C1">
            <w:pPr>
              <w:pStyle w:val="TableTextLeft"/>
              <w:rPr>
                <w:szCs w:val="18"/>
              </w:rPr>
            </w:pPr>
            <w:r w:rsidRPr="008C1B92">
              <w:rPr>
                <w:szCs w:val="18"/>
              </w:rPr>
              <w:t>Land use types</w:t>
            </w:r>
          </w:p>
          <w:p w14:paraId="61454AAB" w14:textId="77777777" w:rsidR="00842B2D" w:rsidRPr="008C1B92" w:rsidRDefault="00842B2D" w:rsidP="008B38C1">
            <w:pPr>
              <w:pStyle w:val="TableTextLeft"/>
              <w:rPr>
                <w:szCs w:val="18"/>
              </w:rPr>
            </w:pPr>
            <w:r w:rsidRPr="008C1B92">
              <w:rPr>
                <w:szCs w:val="18"/>
              </w:rPr>
              <w:t>Top 5 by area</w:t>
            </w:r>
          </w:p>
          <w:p w14:paraId="3A4E5AC3" w14:textId="77777777" w:rsidR="00842B2D" w:rsidRPr="008C1B92" w:rsidRDefault="00842B2D" w:rsidP="008B38C1">
            <w:pPr>
              <w:pStyle w:val="TableTextLeft"/>
              <w:rPr>
                <w:szCs w:val="18"/>
              </w:rPr>
            </w:pPr>
            <w:r w:rsidRPr="008C1B92">
              <w:rPr>
                <w:szCs w:val="18"/>
              </w:rPr>
              <w:t>(area</w:t>
            </w:r>
            <w:r>
              <w:rPr>
                <w:szCs w:val="18"/>
              </w:rPr>
              <w:t> km</w:t>
            </w:r>
            <w:r w:rsidRPr="008C1B92">
              <w:rPr>
                <w:szCs w:val="18"/>
                <w:vertAlign w:val="superscript"/>
              </w:rPr>
              <w:t>2</w:t>
            </w:r>
            <w:r w:rsidRPr="008C1B92">
              <w:rPr>
                <w:szCs w:val="18"/>
              </w:rPr>
              <w:t>)</w:t>
            </w:r>
          </w:p>
        </w:tc>
        <w:tc>
          <w:tcPr>
            <w:tcW w:w="2422" w:type="pct"/>
          </w:tcPr>
          <w:tbl>
            <w:tblPr>
              <w:tblW w:w="4196" w:type="dxa"/>
              <w:tblLook w:val="04A0" w:firstRow="1" w:lastRow="0" w:firstColumn="1" w:lastColumn="0" w:noHBand="0" w:noVBand="1"/>
            </w:tblPr>
            <w:tblGrid>
              <w:gridCol w:w="3062"/>
              <w:gridCol w:w="1134"/>
            </w:tblGrid>
            <w:tr w:rsidR="00842B2D" w:rsidRPr="008C1B92" w14:paraId="508A343C" w14:textId="77777777" w:rsidTr="00D83039">
              <w:trPr>
                <w:trHeight w:val="300"/>
              </w:trPr>
              <w:tc>
                <w:tcPr>
                  <w:tcW w:w="3062" w:type="dxa"/>
                  <w:tcBorders>
                    <w:top w:val="nil"/>
                    <w:left w:val="nil"/>
                    <w:bottom w:val="nil"/>
                    <w:right w:val="nil"/>
                  </w:tcBorders>
                  <w:shd w:val="clear" w:color="auto" w:fill="auto"/>
                  <w:noWrap/>
                  <w:vAlign w:val="center"/>
                  <w:hideMark/>
                </w:tcPr>
                <w:p w14:paraId="6AFCC01B" w14:textId="77777777" w:rsidR="00842B2D" w:rsidRPr="008C1B92" w:rsidRDefault="00842B2D" w:rsidP="008B38C1">
                  <w:pPr>
                    <w:pStyle w:val="TableTextLeft"/>
                    <w:rPr>
                      <w:szCs w:val="18"/>
                    </w:rPr>
                  </w:pPr>
                  <w:r w:rsidRPr="008C1B92">
                    <w:rPr>
                      <w:szCs w:val="18"/>
                    </w:rPr>
                    <w:t>Other Protected areas</w:t>
                  </w:r>
                </w:p>
              </w:tc>
              <w:tc>
                <w:tcPr>
                  <w:tcW w:w="1134" w:type="dxa"/>
                  <w:tcBorders>
                    <w:top w:val="nil"/>
                    <w:left w:val="nil"/>
                    <w:bottom w:val="nil"/>
                    <w:right w:val="nil"/>
                  </w:tcBorders>
                  <w:shd w:val="clear" w:color="auto" w:fill="auto"/>
                  <w:noWrap/>
                  <w:vAlign w:val="center"/>
                  <w:hideMark/>
                </w:tcPr>
                <w:p w14:paraId="7D62C0C5" w14:textId="77777777" w:rsidR="00842B2D" w:rsidRPr="008C1B92" w:rsidRDefault="00842B2D" w:rsidP="000350BE">
                  <w:pPr>
                    <w:pStyle w:val="TableTextRight0"/>
                  </w:pPr>
                  <w:r w:rsidRPr="008C1B92">
                    <w:t>107,775</w:t>
                  </w:r>
                </w:p>
              </w:tc>
            </w:tr>
            <w:tr w:rsidR="00842B2D" w:rsidRPr="008C1B92" w14:paraId="17469AE5" w14:textId="77777777" w:rsidTr="00D83039">
              <w:trPr>
                <w:trHeight w:val="300"/>
              </w:trPr>
              <w:tc>
                <w:tcPr>
                  <w:tcW w:w="3062" w:type="dxa"/>
                  <w:tcBorders>
                    <w:top w:val="nil"/>
                    <w:left w:val="nil"/>
                    <w:bottom w:val="nil"/>
                    <w:right w:val="nil"/>
                  </w:tcBorders>
                  <w:shd w:val="clear" w:color="auto" w:fill="auto"/>
                  <w:noWrap/>
                  <w:vAlign w:val="center"/>
                  <w:hideMark/>
                </w:tcPr>
                <w:p w14:paraId="6102C693" w14:textId="77777777" w:rsidR="00842B2D" w:rsidRPr="008C1B92" w:rsidRDefault="00842B2D" w:rsidP="008B38C1">
                  <w:pPr>
                    <w:pStyle w:val="TableTextLeft"/>
                    <w:rPr>
                      <w:szCs w:val="18"/>
                    </w:rPr>
                  </w:pPr>
                  <w:r w:rsidRPr="008C1B92">
                    <w:rPr>
                      <w:szCs w:val="18"/>
                    </w:rPr>
                    <w:t>Grazing native vegetation</w:t>
                  </w:r>
                </w:p>
              </w:tc>
              <w:tc>
                <w:tcPr>
                  <w:tcW w:w="1134" w:type="dxa"/>
                  <w:tcBorders>
                    <w:top w:val="nil"/>
                    <w:left w:val="nil"/>
                    <w:bottom w:val="nil"/>
                    <w:right w:val="nil"/>
                  </w:tcBorders>
                  <w:shd w:val="clear" w:color="auto" w:fill="auto"/>
                  <w:noWrap/>
                  <w:vAlign w:val="center"/>
                  <w:hideMark/>
                </w:tcPr>
                <w:p w14:paraId="4288DB01" w14:textId="77777777" w:rsidR="00842B2D" w:rsidRPr="008C1B92" w:rsidRDefault="00842B2D" w:rsidP="000350BE">
                  <w:pPr>
                    <w:pStyle w:val="TableTextRight0"/>
                  </w:pPr>
                  <w:r w:rsidRPr="008C1B92">
                    <w:t>69,024</w:t>
                  </w:r>
                </w:p>
              </w:tc>
            </w:tr>
            <w:tr w:rsidR="00842B2D" w:rsidRPr="008C1B92" w14:paraId="64CB873F" w14:textId="77777777" w:rsidTr="00D83039">
              <w:trPr>
                <w:trHeight w:val="300"/>
              </w:trPr>
              <w:tc>
                <w:tcPr>
                  <w:tcW w:w="3062" w:type="dxa"/>
                  <w:tcBorders>
                    <w:top w:val="nil"/>
                    <w:left w:val="nil"/>
                    <w:bottom w:val="nil"/>
                    <w:right w:val="nil"/>
                  </w:tcBorders>
                  <w:shd w:val="clear" w:color="auto" w:fill="auto"/>
                  <w:noWrap/>
                  <w:vAlign w:val="center"/>
                  <w:hideMark/>
                </w:tcPr>
                <w:p w14:paraId="0AB0FB64" w14:textId="77777777" w:rsidR="00842B2D" w:rsidRPr="008C1B92" w:rsidRDefault="00842B2D" w:rsidP="008B38C1">
                  <w:pPr>
                    <w:pStyle w:val="TableTextLeft"/>
                    <w:rPr>
                      <w:szCs w:val="18"/>
                    </w:rPr>
                  </w:pPr>
                  <w:r w:rsidRPr="008C1B92">
                    <w:rPr>
                      <w:szCs w:val="18"/>
                    </w:rPr>
                    <w:t>Nature Conservation</w:t>
                  </w:r>
                </w:p>
              </w:tc>
              <w:tc>
                <w:tcPr>
                  <w:tcW w:w="1134" w:type="dxa"/>
                  <w:tcBorders>
                    <w:top w:val="nil"/>
                    <w:left w:val="nil"/>
                    <w:bottom w:val="nil"/>
                    <w:right w:val="nil"/>
                  </w:tcBorders>
                  <w:shd w:val="clear" w:color="auto" w:fill="auto"/>
                  <w:noWrap/>
                  <w:vAlign w:val="center"/>
                  <w:hideMark/>
                </w:tcPr>
                <w:p w14:paraId="42A8E7A5" w14:textId="77777777" w:rsidR="00842B2D" w:rsidRPr="008C1B92" w:rsidRDefault="00842B2D" w:rsidP="000350BE">
                  <w:pPr>
                    <w:pStyle w:val="TableTextRight0"/>
                  </w:pPr>
                  <w:r w:rsidRPr="008C1B92">
                    <w:t>3</w:t>
                  </w:r>
                  <w:r>
                    <w:t>,</w:t>
                  </w:r>
                  <w:r w:rsidRPr="008C1B92">
                    <w:t>160</w:t>
                  </w:r>
                </w:p>
              </w:tc>
            </w:tr>
            <w:tr w:rsidR="00842B2D" w:rsidRPr="008C1B92" w14:paraId="1CBA5C6C" w14:textId="77777777" w:rsidTr="00D83039">
              <w:trPr>
                <w:trHeight w:val="300"/>
              </w:trPr>
              <w:tc>
                <w:tcPr>
                  <w:tcW w:w="3062" w:type="dxa"/>
                  <w:tcBorders>
                    <w:top w:val="nil"/>
                    <w:left w:val="nil"/>
                    <w:bottom w:val="nil"/>
                    <w:right w:val="nil"/>
                  </w:tcBorders>
                  <w:shd w:val="clear" w:color="auto" w:fill="auto"/>
                  <w:noWrap/>
                  <w:vAlign w:val="center"/>
                  <w:hideMark/>
                </w:tcPr>
                <w:p w14:paraId="6F1061B6" w14:textId="77777777" w:rsidR="00842B2D" w:rsidRPr="008C1B92" w:rsidRDefault="00842B2D" w:rsidP="008B38C1">
                  <w:pPr>
                    <w:pStyle w:val="TableTextLeft"/>
                    <w:rPr>
                      <w:szCs w:val="18"/>
                    </w:rPr>
                  </w:pPr>
                  <w:r w:rsidRPr="008C1B92">
                    <w:rPr>
                      <w:szCs w:val="18"/>
                    </w:rPr>
                    <w:t>Minimal use</w:t>
                  </w:r>
                </w:p>
              </w:tc>
              <w:tc>
                <w:tcPr>
                  <w:tcW w:w="1134" w:type="dxa"/>
                  <w:tcBorders>
                    <w:top w:val="nil"/>
                    <w:left w:val="nil"/>
                    <w:bottom w:val="nil"/>
                    <w:right w:val="nil"/>
                  </w:tcBorders>
                  <w:shd w:val="clear" w:color="auto" w:fill="auto"/>
                  <w:noWrap/>
                  <w:vAlign w:val="center"/>
                  <w:hideMark/>
                </w:tcPr>
                <w:p w14:paraId="62817D8C" w14:textId="77777777" w:rsidR="00842B2D" w:rsidRPr="008C1B92" w:rsidRDefault="00842B2D" w:rsidP="000350BE">
                  <w:pPr>
                    <w:pStyle w:val="TableTextRight0"/>
                  </w:pPr>
                  <w:r>
                    <w:t>1,</w:t>
                  </w:r>
                  <w:r w:rsidRPr="008C1B92">
                    <w:t>031</w:t>
                  </w:r>
                </w:p>
              </w:tc>
            </w:tr>
            <w:tr w:rsidR="00842B2D" w:rsidRPr="008C1B92" w14:paraId="6CC5BB3A" w14:textId="77777777" w:rsidTr="00D83039">
              <w:trPr>
                <w:trHeight w:val="300"/>
              </w:trPr>
              <w:tc>
                <w:tcPr>
                  <w:tcW w:w="3062" w:type="dxa"/>
                  <w:tcBorders>
                    <w:top w:val="nil"/>
                    <w:left w:val="nil"/>
                    <w:bottom w:val="nil"/>
                    <w:right w:val="nil"/>
                  </w:tcBorders>
                  <w:shd w:val="clear" w:color="auto" w:fill="auto"/>
                  <w:noWrap/>
                  <w:vAlign w:val="center"/>
                  <w:hideMark/>
                </w:tcPr>
                <w:p w14:paraId="347858AD" w14:textId="77777777" w:rsidR="00842B2D" w:rsidRPr="008C1B92" w:rsidRDefault="00842B2D" w:rsidP="008B38C1">
                  <w:pPr>
                    <w:pStyle w:val="TableTextLeft"/>
                    <w:rPr>
                      <w:szCs w:val="18"/>
                    </w:rPr>
                  </w:pPr>
                  <w:r w:rsidRPr="008C1B92">
                    <w:rPr>
                      <w:szCs w:val="18"/>
                    </w:rPr>
                    <w:t>Urban intensive uses</w:t>
                  </w:r>
                </w:p>
              </w:tc>
              <w:tc>
                <w:tcPr>
                  <w:tcW w:w="1134" w:type="dxa"/>
                  <w:tcBorders>
                    <w:top w:val="nil"/>
                    <w:left w:val="nil"/>
                    <w:bottom w:val="nil"/>
                    <w:right w:val="nil"/>
                  </w:tcBorders>
                  <w:shd w:val="clear" w:color="auto" w:fill="auto"/>
                  <w:noWrap/>
                  <w:vAlign w:val="center"/>
                  <w:hideMark/>
                </w:tcPr>
                <w:p w14:paraId="07EEBC98" w14:textId="77777777" w:rsidR="00842B2D" w:rsidRPr="008C1B92" w:rsidRDefault="00842B2D" w:rsidP="000350BE">
                  <w:pPr>
                    <w:pStyle w:val="TableTextRight0"/>
                  </w:pPr>
                  <w:r w:rsidRPr="008C1B92">
                    <w:t>387</w:t>
                  </w:r>
                </w:p>
              </w:tc>
            </w:tr>
          </w:tbl>
          <w:p w14:paraId="78ACA01F"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42B2D" w:rsidRPr="008C1B92" w14:paraId="09945F92"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1D621E00" w14:textId="77777777" w:rsidR="00842B2D" w:rsidRPr="008C1B92" w:rsidRDefault="00842B2D" w:rsidP="008B38C1">
            <w:pPr>
              <w:pStyle w:val="TableTextLeft"/>
              <w:rPr>
                <w:szCs w:val="18"/>
              </w:rPr>
            </w:pPr>
            <w:r w:rsidRPr="008C1B92">
              <w:rPr>
                <w:szCs w:val="18"/>
              </w:rPr>
              <w:t>Aboriginal Protected Area (CAPAD 2016) and Native title (area</w:t>
            </w:r>
            <w:r>
              <w:rPr>
                <w:szCs w:val="18"/>
              </w:rPr>
              <w:t> km</w:t>
            </w:r>
            <w:r w:rsidRPr="008C1B92">
              <w:rPr>
                <w:szCs w:val="18"/>
                <w:vertAlign w:val="superscript"/>
              </w:rPr>
              <w:t>2</w:t>
            </w:r>
            <w:r w:rsidRPr="008C1B92">
              <w:rPr>
                <w:szCs w:val="18"/>
              </w:rPr>
              <w:t>)</w:t>
            </w:r>
          </w:p>
        </w:tc>
        <w:tc>
          <w:tcPr>
            <w:tcW w:w="2422" w:type="pct"/>
          </w:tcPr>
          <w:p w14:paraId="5825B652"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8C1B92">
              <w:rPr>
                <w:szCs w:val="18"/>
              </w:rPr>
              <w:t>53,776</w:t>
            </w:r>
          </w:p>
          <w:p w14:paraId="39D05D34" w14:textId="77777777" w:rsidR="00842B2D" w:rsidRPr="008C1B92"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bl>
    <w:p w14:paraId="1C23290D" w14:textId="77777777" w:rsidR="00842B2D" w:rsidRDefault="00842B2D"/>
    <w:p w14:paraId="080736E7" w14:textId="77777777" w:rsidR="001E0B4B" w:rsidRPr="00AD7F0C" w:rsidRDefault="001E0B4B" w:rsidP="001E0B4B">
      <w:pPr>
        <w:pStyle w:val="Heading3notnumbered"/>
      </w:pPr>
      <w:bookmarkStart w:id="82" w:name="_Toc517161126"/>
      <w:r>
        <w:lastRenderedPageBreak/>
        <w:t>Key references</w:t>
      </w:r>
      <w:bookmarkEnd w:id="82"/>
    </w:p>
    <w:p w14:paraId="576BE1AC" w14:textId="77777777" w:rsidR="00A3160F" w:rsidRDefault="00A3160F" w:rsidP="00A3160F">
      <w:pPr>
        <w:pStyle w:val="References"/>
      </w:pPr>
      <w:r>
        <w:t>AER (Australian Energy Regulator) (2017) State of the energy market, May 2017. Viewed 16/01/2018, &lt;</w:t>
      </w:r>
      <w:hyperlink r:id="rId118" w:history="1">
        <w:r w:rsidRPr="00165029">
          <w:rPr>
            <w:rStyle w:val="Hyperlink"/>
          </w:rPr>
          <w:t>https://www.aer.gov.au/publications/state-of-the-energy-market-reports/state-of-the-energy-market-may-2017</w:t>
        </w:r>
      </w:hyperlink>
      <w:r>
        <w:t>&gt;.</w:t>
      </w:r>
    </w:p>
    <w:p w14:paraId="60BD5B4C" w14:textId="7B0DF899" w:rsidR="00A3160F" w:rsidRDefault="00A3160F" w:rsidP="00A3160F">
      <w:pPr>
        <w:pStyle w:val="References"/>
      </w:pPr>
      <w:r>
        <w:t>AERA (Australian Energy Resources Assessment)</w:t>
      </w:r>
      <w:r w:rsidR="003319AC">
        <w:t xml:space="preserve"> (20</w:t>
      </w:r>
      <w:r>
        <w:t>18</w:t>
      </w:r>
      <w:r w:rsidR="003319AC">
        <w:t xml:space="preserve">) </w:t>
      </w:r>
      <w:r>
        <w:t>Australian Energy Resources Assessment interim report, Geoscience Australia, Canberra. Viewed 16/01/2018, &lt;</w:t>
      </w:r>
      <w:hyperlink r:id="rId119" w:history="1">
        <w:r w:rsidRPr="00C40D71">
          <w:rPr>
            <w:rStyle w:val="Hyperlink"/>
          </w:rPr>
          <w:t>http://www.ga.gov.au/aera</w:t>
        </w:r>
      </w:hyperlink>
      <w:r w:rsidRPr="00727542">
        <w:t xml:space="preserve">&gt;. </w:t>
      </w:r>
      <w:r>
        <w:t xml:space="preserve">  </w:t>
      </w:r>
    </w:p>
    <w:p w14:paraId="5BCEA224" w14:textId="0DA09D5F" w:rsidR="001E0B4B" w:rsidRDefault="001E0B4B" w:rsidP="001E0B4B">
      <w:pPr>
        <w:pStyle w:val="References"/>
      </w:pPr>
      <w:r w:rsidRPr="00AA00C4">
        <w:t>Ahmad</w:t>
      </w:r>
      <w:r>
        <w:t xml:space="preserve"> M </w:t>
      </w:r>
      <w:r w:rsidRPr="00AA00C4">
        <w:t xml:space="preserve">and Scrimgeour </w:t>
      </w:r>
      <w:r>
        <w:t xml:space="preserve">IR </w:t>
      </w:r>
      <w:r w:rsidR="00A3160F">
        <w:t>(</w:t>
      </w:r>
      <w:r>
        <w:t>2013</w:t>
      </w:r>
      <w:r w:rsidR="00A3160F">
        <w:t>)</w:t>
      </w:r>
      <w:r>
        <w:t xml:space="preserve"> Geological framework: </w:t>
      </w:r>
      <w:r w:rsidRPr="00AA00C4">
        <w:t>in Ahmad M and Munson TJ (compilers) ‘Geology and</w:t>
      </w:r>
      <w:r>
        <w:t xml:space="preserve"> </w:t>
      </w:r>
      <w:r w:rsidRPr="00AA00C4">
        <w:t>mineral resources of the Northern Territory.’ Northern</w:t>
      </w:r>
      <w:r>
        <w:t xml:space="preserve"> </w:t>
      </w:r>
      <w:r w:rsidRPr="00AA00C4">
        <w:t>Territory Geological Survey, Special Publication 5.</w:t>
      </w:r>
    </w:p>
    <w:p w14:paraId="212F2D00" w14:textId="7C36E67A" w:rsidR="001E0B4B" w:rsidRPr="00AA00C4" w:rsidRDefault="001E0B4B" w:rsidP="001E0B4B">
      <w:pPr>
        <w:pStyle w:val="References"/>
      </w:pPr>
      <w:r w:rsidRPr="00FB6834">
        <w:t xml:space="preserve">Ambrose GJ </w:t>
      </w:r>
      <w:r w:rsidR="00A3160F">
        <w:t>(</w:t>
      </w:r>
      <w:r w:rsidRPr="00FB6834">
        <w:t>2006</w:t>
      </w:r>
      <w:r w:rsidR="00A3160F">
        <w:t>)</w:t>
      </w:r>
      <w:r w:rsidRPr="00FB6834">
        <w:t xml:space="preserve"> The Amadeus Basin 2006. In: Northern Territory of Australia, onshore hydrocarbon potential 2006. Northern Territory Geological Survey, Record, 2006</w:t>
      </w:r>
      <w:r w:rsidR="000E4EFC">
        <w:t>–</w:t>
      </w:r>
      <w:r w:rsidRPr="00FB6834">
        <w:t>003, 19 pp.</w:t>
      </w:r>
    </w:p>
    <w:p w14:paraId="29DE1E63" w14:textId="6D57CAAD" w:rsidR="001E0B4B" w:rsidRDefault="001E0B4B" w:rsidP="001E0B4B">
      <w:pPr>
        <w:pStyle w:val="References"/>
      </w:pPr>
      <w:r>
        <w:t xml:space="preserve">APPEA </w:t>
      </w:r>
      <w:r w:rsidR="00A3160F">
        <w:t>(</w:t>
      </w:r>
      <w:r>
        <w:t>2017</w:t>
      </w:r>
      <w:r w:rsidR="00A3160F">
        <w:t>)</w:t>
      </w:r>
      <w:r>
        <w:t xml:space="preserve"> Shale g</w:t>
      </w:r>
      <w:r w:rsidRPr="00985702">
        <w:t>as in Australia</w:t>
      </w:r>
      <w:r w:rsidR="000E4EFC">
        <w:t>.</w:t>
      </w:r>
      <w:r w:rsidR="00A3160F">
        <w:t xml:space="preserve"> Viewed 15/01/2018,</w:t>
      </w:r>
      <w:r w:rsidRPr="00985702">
        <w:t xml:space="preserve"> </w:t>
      </w:r>
      <w:r w:rsidR="00A3160F">
        <w:t>&lt;</w:t>
      </w:r>
      <w:hyperlink r:id="rId120" w:history="1">
        <w:r w:rsidRPr="000E4EFC">
          <w:rPr>
            <w:rStyle w:val="Hyperlink"/>
          </w:rPr>
          <w:t>https://www.shale-gas.com.au/environment/regulation-and-licensing/</w:t>
        </w:r>
      </w:hyperlink>
      <w:r w:rsidR="00A3160F">
        <w:t>&gt;.</w:t>
      </w:r>
    </w:p>
    <w:p w14:paraId="7ACB22CE" w14:textId="77777777" w:rsidR="00A3160F" w:rsidRPr="00150F31" w:rsidRDefault="00A3160F" w:rsidP="00A3160F">
      <w:pPr>
        <w:pStyle w:val="References"/>
      </w:pPr>
      <w:r w:rsidRPr="00150F31">
        <w:t>AWT International</w:t>
      </w:r>
      <w:r>
        <w:t xml:space="preserve"> (</w:t>
      </w:r>
      <w:r w:rsidRPr="00150F31">
        <w:t>2013</w:t>
      </w:r>
      <w:r>
        <w:t xml:space="preserve">) </w:t>
      </w:r>
      <w:r w:rsidRPr="00150F31">
        <w:t>Shale Gas Prospectivity Potential Report prepared for the Australian Council of Learned Academies (ACOLA</w:t>
      </w:r>
      <w:r>
        <w:t xml:space="preserve">) </w:t>
      </w:r>
      <w:r w:rsidRPr="00150F31">
        <w:t>54 p.</w:t>
      </w:r>
    </w:p>
    <w:p w14:paraId="7E75F560" w14:textId="77777777" w:rsidR="00A3160F" w:rsidRDefault="00A3160F" w:rsidP="00A3160F">
      <w:pPr>
        <w:pStyle w:val="References"/>
      </w:pPr>
      <w:r>
        <w:t>BoM (Bureau of Meteorology) (2014) Australian Hydrological Geospatial Fabric (“Geofabric”), version 2.1.1. Viewed 02/08/2017, &lt;</w:t>
      </w:r>
      <w:hyperlink r:id="rId121" w:history="1">
        <w:r w:rsidRPr="00DA1EAB">
          <w:rPr>
            <w:rStyle w:val="Hyperlink"/>
          </w:rPr>
          <w:t>http://www.bom.gov.au/water/geofabric/download.shtml</w:t>
        </w:r>
      </w:hyperlink>
      <w:r>
        <w:t>&gt;.</w:t>
      </w:r>
    </w:p>
    <w:p w14:paraId="30EB1CBD" w14:textId="32EF2122" w:rsidR="00A3160F" w:rsidRDefault="00A3160F" w:rsidP="00A3160F">
      <w:pPr>
        <w:pStyle w:val="References"/>
      </w:pPr>
      <w:r>
        <w:t>BoM</w:t>
      </w:r>
      <w:r w:rsidR="00474C6D">
        <w:t xml:space="preserve"> (Bureau of Meteorology) (2016)</w:t>
      </w:r>
      <w:r>
        <w:t xml:space="preserve"> National Groundwater Information System, v.1.3. Viewed 07/07/2017, &lt;</w:t>
      </w:r>
      <w:hyperlink r:id="rId122" w:history="1">
        <w:r w:rsidRPr="00DA1EAB">
          <w:rPr>
            <w:rStyle w:val="Hyperlink"/>
          </w:rPr>
          <w:t>http://www.bom.gov.au/water/groundwater/ngis/</w:t>
        </w:r>
      </w:hyperlink>
      <w:r>
        <w:t>&gt;.</w:t>
      </w:r>
    </w:p>
    <w:p w14:paraId="3D7B9097" w14:textId="409A7676" w:rsidR="001E0B4B" w:rsidRDefault="001E0B4B" w:rsidP="001E0B4B">
      <w:pPr>
        <w:pStyle w:val="References"/>
        <w:rPr>
          <w:rFonts w:eastAsia="Times"/>
        </w:rPr>
      </w:pPr>
      <w:r>
        <w:rPr>
          <w:rFonts w:eastAsia="Times"/>
        </w:rPr>
        <w:t xml:space="preserve">CAPAD </w:t>
      </w:r>
      <w:r w:rsidR="00A3160F">
        <w:rPr>
          <w:rFonts w:eastAsia="Times"/>
        </w:rPr>
        <w:t>(</w:t>
      </w:r>
      <w:r>
        <w:rPr>
          <w:rFonts w:eastAsia="Times"/>
        </w:rPr>
        <w:t>2016</w:t>
      </w:r>
      <w:r w:rsidR="00A3160F">
        <w:rPr>
          <w:rFonts w:eastAsia="Times"/>
        </w:rPr>
        <w:t>)</w:t>
      </w:r>
      <w:r>
        <w:rPr>
          <w:rFonts w:eastAsia="Times"/>
        </w:rPr>
        <w:t xml:space="preserve"> Collaborative Australian Protected Area database. Department of Environment and Energy. </w:t>
      </w:r>
      <w:r w:rsidR="00A3160F">
        <w:t>Viewed 07/07/2017, &lt;</w:t>
      </w:r>
      <w:hyperlink r:id="rId123" w:history="1">
        <w:r w:rsidRPr="000E4EFC">
          <w:rPr>
            <w:rStyle w:val="Hyperlink"/>
          </w:rPr>
          <w:t>http://www.environment.gov.au/land/nrs/science/capad/2016</w:t>
        </w:r>
      </w:hyperlink>
      <w:r w:rsidR="00A3160F">
        <w:rPr>
          <w:rStyle w:val="Hyperlink"/>
        </w:rPr>
        <w:t>&gt;.</w:t>
      </w:r>
    </w:p>
    <w:p w14:paraId="4866C513" w14:textId="4EFF1AEA" w:rsidR="001E0B4B" w:rsidRPr="009E7E91" w:rsidRDefault="001E0B4B" w:rsidP="001E0B4B">
      <w:pPr>
        <w:pStyle w:val="References"/>
        <w:rPr>
          <w:rStyle w:val="Hyperlink"/>
          <w:rFonts w:eastAsia="Times"/>
        </w:rPr>
      </w:pPr>
      <w:r w:rsidRPr="00AA00C4">
        <w:rPr>
          <w:rFonts w:eastAsia="Times"/>
        </w:rPr>
        <w:t>Carr LK</w:t>
      </w:r>
      <w:r w:rsidR="001901EA">
        <w:rPr>
          <w:rFonts w:eastAsia="Times"/>
        </w:rPr>
        <w:t>,</w:t>
      </w:r>
      <w:r w:rsidRPr="00AA00C4">
        <w:rPr>
          <w:rFonts w:eastAsia="Times"/>
        </w:rPr>
        <w:t xml:space="preserve"> Korsch RJ, Palu </w:t>
      </w:r>
      <w:r w:rsidR="001901EA">
        <w:rPr>
          <w:rFonts w:eastAsia="Times"/>
        </w:rPr>
        <w:t>T</w:t>
      </w:r>
      <w:r w:rsidRPr="00AA00C4">
        <w:rPr>
          <w:rFonts w:eastAsia="Times"/>
        </w:rPr>
        <w:t xml:space="preserve">J and Reese B </w:t>
      </w:r>
      <w:r w:rsidR="001901EA">
        <w:rPr>
          <w:rFonts w:eastAsia="Times"/>
        </w:rPr>
        <w:t>(</w:t>
      </w:r>
      <w:r w:rsidRPr="00AA00C4">
        <w:rPr>
          <w:rFonts w:eastAsia="Times"/>
        </w:rPr>
        <w:t>2016</w:t>
      </w:r>
      <w:r w:rsidR="001901EA">
        <w:rPr>
          <w:rFonts w:eastAsia="Times"/>
        </w:rPr>
        <w:t>)</w:t>
      </w:r>
      <w:r w:rsidRPr="00AA00C4">
        <w:rPr>
          <w:rFonts w:eastAsia="Times"/>
        </w:rPr>
        <w:t xml:space="preserve"> Onshore Basin Inventory: the McArthur, South Nicholson, Georgina, Wiso, Amadeus, Warburton, Cooper and Galilee basins, central Australia. Record 2016/04. Geoscience Australia, Canberra. </w:t>
      </w:r>
      <w:r w:rsidR="001901EA">
        <w:t>Viewed 22/01/2018, &lt;</w:t>
      </w:r>
      <w:hyperlink r:id="rId124" w:history="1">
        <w:r w:rsidRPr="000E4EFC">
          <w:rPr>
            <w:rStyle w:val="Hyperlink"/>
          </w:rPr>
          <w:t>http://dx.doi.org/10.11636/Record.2016.004</w:t>
        </w:r>
      </w:hyperlink>
      <w:r w:rsidR="001901EA">
        <w:rPr>
          <w:rStyle w:val="Hyperlink"/>
        </w:rPr>
        <w:t>&gt;.</w:t>
      </w:r>
    </w:p>
    <w:p w14:paraId="20E767A9" w14:textId="77777777" w:rsidR="001901EA" w:rsidRPr="00AA00C4" w:rsidRDefault="001901EA" w:rsidP="001901EA">
      <w:pPr>
        <w:pStyle w:val="References"/>
      </w:pPr>
      <w:r>
        <w:t>Central Petroleum (</w:t>
      </w:r>
      <w:r w:rsidRPr="00AA00C4">
        <w:t>2017</w:t>
      </w:r>
      <w:r>
        <w:t xml:space="preserve">) </w:t>
      </w:r>
      <w:r w:rsidRPr="00AA00C4">
        <w:t>Amadeus Basin</w:t>
      </w:r>
      <w:r>
        <w:t>. Viewed 16/01/2018, &lt;</w:t>
      </w:r>
      <w:hyperlink r:id="rId125" w:history="1">
        <w:r w:rsidRPr="000E4EFC">
          <w:rPr>
            <w:rStyle w:val="Hyperlink"/>
          </w:rPr>
          <w:t>http://centralpetroleum.com.au/our-business/our-licence-areas/amadeus/mereenie-oil-and-gas-field-ol4-ol5/</w:t>
        </w:r>
      </w:hyperlink>
      <w:r>
        <w:rPr>
          <w:rStyle w:val="Hyperlink"/>
        </w:rPr>
        <w:t>&gt;</w:t>
      </w:r>
      <w:r>
        <w:t>.</w:t>
      </w:r>
    </w:p>
    <w:p w14:paraId="785C16D4" w14:textId="0FA10246" w:rsidR="001E0B4B" w:rsidRPr="00AC0B98" w:rsidRDefault="001E0B4B" w:rsidP="001E0B4B">
      <w:pPr>
        <w:pStyle w:val="References"/>
      </w:pPr>
      <w:r w:rsidRPr="00AC0B98">
        <w:t xml:space="preserve">Cresswell RG, Jacobson G, Wischusen J, and Fifield LK </w:t>
      </w:r>
      <w:r w:rsidR="001901EA">
        <w:t>(</w:t>
      </w:r>
      <w:r w:rsidRPr="00AC0B98">
        <w:t>1999</w:t>
      </w:r>
      <w:r w:rsidR="001901EA">
        <w:t>)</w:t>
      </w:r>
      <w:r w:rsidRPr="00AC0B98">
        <w:t xml:space="preserve"> Ancient groundwaters in the Amadeus Basin, Central Australia: evidence from the radio-isotope 36Cl., Journal of Hydrology, v 223 (1999), pp. 212-220 </w:t>
      </w:r>
    </w:p>
    <w:p w14:paraId="49EAA0FB" w14:textId="5179A496" w:rsidR="001901EA" w:rsidRPr="00AA00C4" w:rsidRDefault="001901EA" w:rsidP="001901EA">
      <w:pPr>
        <w:pStyle w:val="References"/>
      </w:pPr>
      <w:r w:rsidRPr="00AA00C4">
        <w:t>DSWPET</w:t>
      </w:r>
      <w:r>
        <w:t xml:space="preserve"> (2</w:t>
      </w:r>
      <w:r w:rsidRPr="00AA00C4">
        <w:t>011</w:t>
      </w:r>
      <w:r>
        <w:t xml:space="preserve">) </w:t>
      </w:r>
      <w:r w:rsidRPr="00AA00C4">
        <w:t>Unconventional reservoir resource assessment for the lower Larapinta Group Amadeus Basin. Central Petroleum Ltd, ASX Announcement, 7 February 2011.</w:t>
      </w:r>
    </w:p>
    <w:p w14:paraId="785D386E" w14:textId="3F3D7F24" w:rsidR="006D28CD" w:rsidRDefault="006D28CD" w:rsidP="006D28CD">
      <w:pPr>
        <w:pStyle w:val="References"/>
      </w:pPr>
      <w:r>
        <w:lastRenderedPageBreak/>
        <w:t>Edgoose CJ (2</w:t>
      </w:r>
      <w:r w:rsidRPr="00F47FB1">
        <w:t>013</w:t>
      </w:r>
      <w:r>
        <w:t xml:space="preserve">) </w:t>
      </w:r>
      <w:r w:rsidRPr="00F47FB1">
        <w:t>Chapter 23: Amadeus Basin. In: Ahmad, M and Munson, TJ (Compilers), Geology and mineral resources of the Northern Territory. Northern Territory Geological Survey, Special Publication, 5, 23:1-23:70.</w:t>
      </w:r>
    </w:p>
    <w:p w14:paraId="226999C2" w14:textId="210E1A32" w:rsidR="001E0B4B" w:rsidRDefault="001E0B4B" w:rsidP="001E0B4B">
      <w:pPr>
        <w:pStyle w:val="References"/>
      </w:pPr>
      <w:r w:rsidRPr="0002218A">
        <w:t xml:space="preserve">Edgoose CJ, Scrimgeour IR </w:t>
      </w:r>
      <w:r>
        <w:t>and</w:t>
      </w:r>
      <w:r w:rsidRPr="0002218A">
        <w:t xml:space="preserve"> Close DF </w:t>
      </w:r>
      <w:r w:rsidR="006D28CD">
        <w:t>(</w:t>
      </w:r>
      <w:r w:rsidRPr="0002218A">
        <w:t>2004</w:t>
      </w:r>
      <w:r w:rsidR="006D28CD">
        <w:t>)</w:t>
      </w:r>
      <w:r w:rsidRPr="0002218A">
        <w:t xml:space="preserve"> Geology of the Musgrave Block, Northern Territory. Northern Territory Geological Survey, Report, 15, 44 pp.</w:t>
      </w:r>
    </w:p>
    <w:p w14:paraId="483C71CE" w14:textId="4E2BA628" w:rsidR="001E0B4B" w:rsidRDefault="001E0B4B" w:rsidP="001E0B4B">
      <w:pPr>
        <w:pStyle w:val="References"/>
      </w:pPr>
      <w:r>
        <w:t>English P, Lewis S, Bell J</w:t>
      </w:r>
      <w:r w:rsidR="006D28CD">
        <w:t>,</w:t>
      </w:r>
      <w:r>
        <w:t xml:space="preserve"> Wischusen J, Woodgate J, Bastrakov E, Macphail M and Kilgour P </w:t>
      </w:r>
      <w:r w:rsidR="006D28CD">
        <w:t>(</w:t>
      </w:r>
      <w:r>
        <w:t>2012</w:t>
      </w:r>
      <w:r w:rsidR="006D28CD">
        <w:t>)</w:t>
      </w:r>
      <w:r>
        <w:t xml:space="preserve"> </w:t>
      </w:r>
      <w:r w:rsidRPr="00A46432">
        <w:t>Water for Australia’s arid zone – identifying and assessing Australia’s palaeovalley groundwater resources:</w:t>
      </w:r>
      <w:r w:rsidR="00CE36BF">
        <w:t xml:space="preserve"> summary report. </w:t>
      </w:r>
      <w:r w:rsidR="00CE36BF" w:rsidRPr="00A74493">
        <w:t>Waterlines Report Series No 86, August 2012</w:t>
      </w:r>
      <w:r w:rsidR="00CE36BF">
        <w:t xml:space="preserve">. </w:t>
      </w:r>
      <w:r w:rsidR="00CE36BF" w:rsidRPr="00A74493">
        <w:t>National Water Commission, Canberra.</w:t>
      </w:r>
    </w:p>
    <w:p w14:paraId="51E6CCDE" w14:textId="7CB74165" w:rsidR="001E0B4B" w:rsidRPr="00AC0B98" w:rsidRDefault="001E0B4B" w:rsidP="001E0B4B">
      <w:pPr>
        <w:pStyle w:val="References"/>
      </w:pPr>
      <w:r w:rsidRPr="00AC0B98">
        <w:t xml:space="preserve">Evans D </w:t>
      </w:r>
      <w:r w:rsidR="006D28CD">
        <w:t>(</w:t>
      </w:r>
      <w:r w:rsidRPr="00AC0B98">
        <w:t>1998</w:t>
      </w:r>
      <w:r w:rsidR="006D28CD">
        <w:t>)</w:t>
      </w:r>
      <w:r w:rsidR="000E4EFC" w:rsidRPr="00AC0B98">
        <w:t xml:space="preserve"> </w:t>
      </w:r>
      <w:r w:rsidRPr="00AC0B98">
        <w:t>Alice Springs Town Basin Monitoring Review 1996-1997</w:t>
      </w:r>
      <w:r w:rsidR="006D28CD">
        <w:t>,</w:t>
      </w:r>
      <w:r w:rsidRPr="00AC0B98">
        <w:t xml:space="preserve"> Northern Territory Department of Lands, Planning, and Environment Report No. 43/1997A </w:t>
      </w:r>
    </w:p>
    <w:p w14:paraId="1E4E431B" w14:textId="368082A0" w:rsidR="001E0B4B" w:rsidRPr="00F52403" w:rsidRDefault="001E0B4B" w:rsidP="00F52403">
      <w:pPr>
        <w:pStyle w:val="References"/>
      </w:pPr>
      <w:r w:rsidRPr="00F52403">
        <w:t xml:space="preserve">Flöttmann T and Hand M </w:t>
      </w:r>
      <w:r w:rsidR="006D28CD">
        <w:t>(</w:t>
      </w:r>
      <w:r w:rsidRPr="00F52403">
        <w:t>1999</w:t>
      </w:r>
      <w:r w:rsidR="006D28CD">
        <w:t>)</w:t>
      </w:r>
      <w:r w:rsidRPr="00F52403">
        <w:t xml:space="preserve"> </w:t>
      </w:r>
      <w:r w:rsidRPr="00147CAE">
        <w:t>Folded basement cored tectonic wedges along the northern edge of the Amadeus Basin, central Australia: evaluation of orogenic shortening</w:t>
      </w:r>
      <w:r w:rsidRPr="00F52403">
        <w:t>. Journal of Structural Geology, 21, 399–412.</w:t>
      </w:r>
    </w:p>
    <w:p w14:paraId="3B713036" w14:textId="32BB1D9A" w:rsidR="001E0B4B" w:rsidRPr="000E4EFC" w:rsidRDefault="001E0B4B" w:rsidP="00F52403">
      <w:pPr>
        <w:pStyle w:val="References"/>
      </w:pPr>
      <w:r w:rsidRPr="00F52403">
        <w:t>Flöttmann T</w:t>
      </w:r>
      <w:r w:rsidR="006D28CD">
        <w:t>,</w:t>
      </w:r>
      <w:r w:rsidRPr="00F52403">
        <w:t xml:space="preserve"> Hand M</w:t>
      </w:r>
      <w:r w:rsidR="006D28CD">
        <w:t>,</w:t>
      </w:r>
      <w:r w:rsidRPr="00F52403">
        <w:t xml:space="preserve"> Close DF</w:t>
      </w:r>
      <w:r w:rsidR="006D28CD">
        <w:t>,</w:t>
      </w:r>
      <w:r w:rsidRPr="00F52403">
        <w:t xml:space="preserve"> Edgoose CJ and </w:t>
      </w:r>
      <w:r w:rsidRPr="000E4EFC">
        <w:t xml:space="preserve">Scrimgeour IR </w:t>
      </w:r>
      <w:r w:rsidR="006D28CD">
        <w:t>(</w:t>
      </w:r>
      <w:r w:rsidRPr="000E4EFC">
        <w:t>2004</w:t>
      </w:r>
      <w:r w:rsidR="006D28CD">
        <w:t>)</w:t>
      </w:r>
      <w:r w:rsidRPr="000E4EFC">
        <w:t xml:space="preserve"> </w:t>
      </w:r>
      <w:r w:rsidRPr="00147CAE">
        <w:t>Thrust tectonic styles of the intracratonic Alice Springs and Petermann orogenies, central Australia</w:t>
      </w:r>
      <w:r w:rsidRPr="00F52403">
        <w:t>. In: McCl</w:t>
      </w:r>
      <w:r w:rsidR="00596C20">
        <w:t>ay K</w:t>
      </w:r>
      <w:r w:rsidRPr="00F52403">
        <w:t>R (</w:t>
      </w:r>
      <w:r w:rsidR="00F63931">
        <w:t>ed.</w:t>
      </w:r>
      <w:r w:rsidRPr="00F52403">
        <w:t>), Thrust tectonics and hydrocarbon</w:t>
      </w:r>
      <w:r w:rsidRPr="000E4EFC">
        <w:t xml:space="preserve"> systems. American Association of Petroleum Geologists, Memoir, 82, pp. 538–557.</w:t>
      </w:r>
    </w:p>
    <w:p w14:paraId="00535373" w14:textId="3FC5798C" w:rsidR="001E0B4B" w:rsidRPr="000E4EFC" w:rsidRDefault="001E0B4B" w:rsidP="00F52403">
      <w:pPr>
        <w:pStyle w:val="References"/>
      </w:pPr>
      <w:r w:rsidRPr="000E4EFC">
        <w:t>Forman D</w:t>
      </w:r>
      <w:r w:rsidR="006D28CD">
        <w:t>J</w:t>
      </w:r>
      <w:r w:rsidRPr="000E4EFC">
        <w:t xml:space="preserve"> </w:t>
      </w:r>
      <w:r w:rsidR="006D28CD">
        <w:t>(</w:t>
      </w:r>
      <w:r w:rsidRPr="000E4EFC">
        <w:t>1966</w:t>
      </w:r>
      <w:r w:rsidR="006D28CD">
        <w:t>)</w:t>
      </w:r>
      <w:r w:rsidRPr="000E4EFC">
        <w:t xml:space="preserve"> The geology of the south-western margin of the Amadeus Basin, central Australia. Bureau of Mineral Resources, Report 87, 54 pp.</w:t>
      </w:r>
    </w:p>
    <w:p w14:paraId="17B50F5D" w14:textId="3306D881" w:rsidR="001E0B4B" w:rsidRPr="000E4EFC" w:rsidRDefault="006D28CD" w:rsidP="00F52403">
      <w:pPr>
        <w:pStyle w:val="References"/>
      </w:pPr>
      <w:r w:rsidRPr="000E4EFC">
        <w:t>Forman D</w:t>
      </w:r>
      <w:r>
        <w:t>J</w:t>
      </w:r>
      <w:r w:rsidRPr="000E4EFC">
        <w:t xml:space="preserve"> </w:t>
      </w:r>
      <w:r>
        <w:t>(</w:t>
      </w:r>
      <w:r w:rsidR="001E0B4B" w:rsidRPr="000E4EFC">
        <w:t>1971</w:t>
      </w:r>
      <w:r>
        <w:t>)</w:t>
      </w:r>
      <w:r w:rsidR="001E0B4B" w:rsidRPr="000E4EFC">
        <w:t xml:space="preserve"> </w:t>
      </w:r>
      <w:r w:rsidR="001E0B4B" w:rsidRPr="00147CAE">
        <w:t>The Arltunga Nappe Complex, MacDonnell Ranges, Northern Territory</w:t>
      </w:r>
      <w:r w:rsidR="001E0B4B" w:rsidRPr="00F52403">
        <w:t>, Australia.</w:t>
      </w:r>
      <w:r w:rsidR="001E0B4B" w:rsidRPr="000E4EFC">
        <w:t xml:space="preserve"> Journal of the Geological Society of Australia, 18(2), 173–182.</w:t>
      </w:r>
    </w:p>
    <w:p w14:paraId="333482C7" w14:textId="77777777" w:rsidR="003F76B2" w:rsidRDefault="003F76B2" w:rsidP="003F76B2">
      <w:pPr>
        <w:pStyle w:val="References"/>
      </w:pPr>
      <w:r>
        <w:t xml:space="preserve">GA (Geoscience Australia) (2015a) </w:t>
      </w:r>
      <w:r w:rsidRPr="00093164">
        <w:t>Oil and Gas Infrastructure</w:t>
      </w:r>
      <w:r>
        <w:t>. Viewed 16/01/2018, &lt;</w:t>
      </w:r>
      <w:hyperlink r:id="rId126" w:history="1">
        <w:r w:rsidRPr="0065740D">
          <w:rPr>
            <w:rStyle w:val="Hyperlink"/>
          </w:rPr>
          <w:t>http://services.ga.gov.au/site_9/rest/services/Oil_Gas_Infrastructure/MapServer</w:t>
        </w:r>
      </w:hyperlink>
      <w:r>
        <w:rPr>
          <w:rStyle w:val="Hyperlink"/>
        </w:rPr>
        <w:t>&gt;.</w:t>
      </w:r>
    </w:p>
    <w:p w14:paraId="0089E144" w14:textId="458849BD" w:rsidR="003F76B2" w:rsidRDefault="003F76B2" w:rsidP="003F76B2">
      <w:pPr>
        <w:pStyle w:val="References"/>
      </w:pPr>
      <w:r>
        <w:t xml:space="preserve">GA (Geoscience Australia) (2015b) </w:t>
      </w:r>
      <w:r w:rsidRPr="00093164">
        <w:t xml:space="preserve">Oil and Gas </w:t>
      </w:r>
      <w:r>
        <w:t xml:space="preserve">platforms. </w:t>
      </w:r>
      <w:r w:rsidRPr="000C32BC">
        <w:t>Viewed 16/01/2018</w:t>
      </w:r>
      <w:r w:rsidR="00CA4B5E">
        <w:t>,</w:t>
      </w:r>
      <w:r>
        <w:t xml:space="preserve"> &lt;</w:t>
      </w:r>
      <w:hyperlink r:id="rId127" w:anchor="!0a4a79dc-978a-0e89-e054-00144fdd4fa6" w:history="1">
        <w:r w:rsidRPr="00743C84">
          <w:rPr>
            <w:rStyle w:val="Hyperlink"/>
          </w:rPr>
          <w:t>https://ecat.ga.gov.au/geonetwork/srv/eng/search#!0a4a79dc-978a-0e89-e054-00144fdd4fa6</w:t>
        </w:r>
      </w:hyperlink>
      <w:r>
        <w:rPr>
          <w:rStyle w:val="Hyperlink"/>
        </w:rPr>
        <w:t>&gt;.</w:t>
      </w:r>
      <w:r>
        <w:t xml:space="preserve"> </w:t>
      </w:r>
    </w:p>
    <w:p w14:paraId="62A20355" w14:textId="42951923" w:rsidR="001E0B4B" w:rsidRPr="000E4EFC" w:rsidRDefault="001E0B4B" w:rsidP="000E4EFC">
      <w:pPr>
        <w:pStyle w:val="References"/>
      </w:pPr>
      <w:r w:rsidRPr="000E4EFC">
        <w:t xml:space="preserve">Haines PW and Allen HJ </w:t>
      </w:r>
      <w:r w:rsidR="00320127">
        <w:t>(</w:t>
      </w:r>
      <w:r w:rsidRPr="000E4EFC">
        <w:t>2014</w:t>
      </w:r>
      <w:r w:rsidR="00320127">
        <w:t>)</w:t>
      </w:r>
      <w:r w:rsidRPr="000E4EFC">
        <w:t xml:space="preserve"> </w:t>
      </w:r>
      <w:r w:rsidRPr="00147CAE">
        <w:t>Geology of the Boord Ridges and Gordon Hills: key stratigraphic section in the western Amadeus Basin, Western Australia</w:t>
      </w:r>
      <w:r w:rsidRPr="000E4EFC">
        <w:t>: Geological Survey of Western Australia, Record, 2014/11, 21 pp.</w:t>
      </w:r>
    </w:p>
    <w:p w14:paraId="7C66CF6A" w14:textId="5FF3ABB6" w:rsidR="001E0B4B" w:rsidRPr="000E4EFC" w:rsidRDefault="001E0B4B" w:rsidP="000E4EFC">
      <w:pPr>
        <w:pStyle w:val="References"/>
      </w:pPr>
      <w:r w:rsidRPr="000E4EFC">
        <w:t>Haines PW, Hand M and Sandiford M</w:t>
      </w:r>
      <w:r w:rsidR="003319AC">
        <w:t xml:space="preserve"> (20</w:t>
      </w:r>
      <w:r w:rsidRPr="000E4EFC">
        <w:t>01</w:t>
      </w:r>
      <w:r w:rsidR="00320127">
        <w:t>)</w:t>
      </w:r>
      <w:r w:rsidRPr="000E4EFC">
        <w:t xml:space="preserve"> </w:t>
      </w:r>
      <w:r w:rsidRPr="00147CAE">
        <w:t>Palaeozoic synorogenic sedimentation in central and northern Australia: A review of distribution and timing with implications for the evolution of intracontinental orogens</w:t>
      </w:r>
      <w:r w:rsidRPr="000E4EFC">
        <w:t xml:space="preserve">. Australian Journal of Earth Sciences, 48(6), 911–928, DOI: </w:t>
      </w:r>
      <w:hyperlink r:id="rId128" w:tooltip="link to paper" w:history="1">
        <w:r w:rsidRPr="000E4EFC">
          <w:rPr>
            <w:rStyle w:val="Hyperlink"/>
            <w:color w:val="000000"/>
          </w:rPr>
          <w:t>10.1046/j.1440-0952.2001.00909</w:t>
        </w:r>
      </w:hyperlink>
      <w:r w:rsidRPr="000E4EFC">
        <w:t>.</w:t>
      </w:r>
    </w:p>
    <w:p w14:paraId="0F300B60" w14:textId="1A57927C" w:rsidR="001E0B4B" w:rsidRPr="000E4EFC" w:rsidRDefault="001E0B4B" w:rsidP="008D623C">
      <w:pPr>
        <w:pStyle w:val="References"/>
        <w:keepLines/>
      </w:pPr>
      <w:r w:rsidRPr="000E4EFC">
        <w:lastRenderedPageBreak/>
        <w:t xml:space="preserve">Hostetler S </w:t>
      </w:r>
      <w:r w:rsidR="00320127">
        <w:t>(</w:t>
      </w:r>
      <w:r w:rsidRPr="000E4EFC">
        <w:t>2003</w:t>
      </w:r>
      <w:r w:rsidR="00320127">
        <w:t>)</w:t>
      </w:r>
      <w:r w:rsidRPr="000E4EFC">
        <w:t xml:space="preserve"> Radioisotope concentrations of stratified Amadeus Basin aquifers at Alice Springs, Central Australia. Extended Abstract in the proceedings of “Isotopic Assessment of Long Term Groundwater Exploitation”, research coordination meeting, Vienna, 12-16 May 2003. International Atomic Energy Agency. Published October 2006, IAEA-TECDOC-1507.</w:t>
      </w:r>
    </w:p>
    <w:p w14:paraId="41310AB6" w14:textId="747798AA" w:rsidR="001E0B4B" w:rsidRPr="000E4EFC" w:rsidRDefault="001E0B4B" w:rsidP="000E4EFC">
      <w:pPr>
        <w:pStyle w:val="References"/>
      </w:pPr>
      <w:r w:rsidRPr="000E4EFC">
        <w:t xml:space="preserve">Hostetler S </w:t>
      </w:r>
      <w:r w:rsidR="00320127">
        <w:t>(</w:t>
      </w:r>
      <w:r w:rsidRPr="000E4EFC">
        <w:t>2005</w:t>
      </w:r>
      <w:r w:rsidR="00320127">
        <w:t>)</w:t>
      </w:r>
      <w:r w:rsidRPr="000E4EFC">
        <w:t xml:space="preserve"> Radioisotope Concentrations of Stratified Amadeus Basin Aquifers at Alice Springs, Central Australia. Final Report for the CRP on Response of Hydrological Systems to Long-Term Exploitation. Bureau of Rural Sciences, Agriculture, Fisheries and Forestry Australia. Unpublished report.</w:t>
      </w:r>
    </w:p>
    <w:p w14:paraId="2E85186D" w14:textId="0B7B7A76" w:rsidR="003319AC" w:rsidRPr="00551FA4" w:rsidRDefault="003319AC" w:rsidP="003319AC">
      <w:pPr>
        <w:pStyle w:val="References"/>
      </w:pPr>
      <w:r w:rsidRPr="000E4EFC">
        <w:t>Independent Scientific Panel Inquiry into Hydraulic Fracture Stimulation in Western Australia</w:t>
      </w:r>
      <w:r>
        <w:t xml:space="preserve"> (2</w:t>
      </w:r>
      <w:r w:rsidRPr="000E4EFC">
        <w:t>017</w:t>
      </w:r>
      <w:r>
        <w:t>) Viewed 18/01/2017, &lt;</w:t>
      </w:r>
      <w:hyperlink r:id="rId129" w:history="1">
        <w:r w:rsidRPr="000E4EFC">
          <w:rPr>
            <w:rStyle w:val="Hyperlink"/>
          </w:rPr>
          <w:t>https://frackinginquiry.wa.gov.au/</w:t>
        </w:r>
      </w:hyperlink>
      <w:r>
        <w:rPr>
          <w:rStyle w:val="Hyperlink"/>
        </w:rPr>
        <w:t>&gt;.</w:t>
      </w:r>
    </w:p>
    <w:p w14:paraId="1174C1BC" w14:textId="1B55D2CA" w:rsidR="001E0B4B" w:rsidRPr="00147CAE" w:rsidRDefault="001E0B4B" w:rsidP="00147CAE">
      <w:pPr>
        <w:pStyle w:val="References"/>
      </w:pPr>
      <w:r w:rsidRPr="00147CAE">
        <w:t>Jacobson G, Lau</w:t>
      </w:r>
      <w:r w:rsidR="00320127">
        <w:t xml:space="preserve"> GC, McDonald PS, </w:t>
      </w:r>
      <w:r w:rsidRPr="00147CAE">
        <w:t>Jankowski J</w:t>
      </w:r>
      <w:r w:rsidR="003319AC">
        <w:t xml:space="preserve"> (19</w:t>
      </w:r>
      <w:r w:rsidRPr="00147CAE">
        <w:t>89</w:t>
      </w:r>
      <w:r w:rsidR="00320127">
        <w:t>)</w:t>
      </w:r>
      <w:r w:rsidRPr="00147CAE">
        <w:t xml:space="preserve"> Hydrogeology and groundwater resources of the Lake Amadeus and Ayers Rock region, Northern Territory. Bureau of Mineral Resources, Geology and Geophysics, Bulletin 230, 89 pp.</w:t>
      </w:r>
    </w:p>
    <w:p w14:paraId="47390610" w14:textId="4E9A95E3" w:rsidR="001E0B4B" w:rsidRPr="00147CAE" w:rsidRDefault="001E0B4B" w:rsidP="00147CAE">
      <w:pPr>
        <w:pStyle w:val="References"/>
      </w:pPr>
      <w:r w:rsidRPr="00147CAE">
        <w:t>Jolly P, Chin D, Prowse G and Jamieson M</w:t>
      </w:r>
      <w:r w:rsidR="003319AC">
        <w:t xml:space="preserve"> (19</w:t>
      </w:r>
      <w:r w:rsidRPr="00147CAE">
        <w:t>94</w:t>
      </w:r>
      <w:r w:rsidR="00320127">
        <w:t>)</w:t>
      </w:r>
      <w:r w:rsidRPr="00147CAE">
        <w:t xml:space="preserve"> Hydrogeol</w:t>
      </w:r>
      <w:r w:rsidR="00320127">
        <w:t>ogy of the Roe Creek Borefield.</w:t>
      </w:r>
      <w:r w:rsidRPr="00147CAE">
        <w:t xml:space="preserve"> Northern Territory Power and water Authority Report No. 10/1994A, 29 pp. </w:t>
      </w:r>
    </w:p>
    <w:p w14:paraId="71AA7990" w14:textId="542C47FD" w:rsidR="001E0B4B" w:rsidRPr="00147CAE" w:rsidRDefault="001E0B4B" w:rsidP="00147CAE">
      <w:pPr>
        <w:pStyle w:val="References"/>
      </w:pPr>
      <w:r w:rsidRPr="00147CAE">
        <w:t>Korsch RJ and Kennard JM (</w:t>
      </w:r>
      <w:r w:rsidR="003319AC">
        <w:t>eds</w:t>
      </w:r>
      <w:r w:rsidRPr="00147CAE">
        <w:t>)</w:t>
      </w:r>
      <w:r w:rsidR="003319AC">
        <w:t xml:space="preserve"> (19</w:t>
      </w:r>
      <w:r w:rsidRPr="00147CAE">
        <w:t>91</w:t>
      </w:r>
      <w:r w:rsidR="00320127">
        <w:t>)</w:t>
      </w:r>
      <w:r w:rsidRPr="00147CAE">
        <w:t xml:space="preserve"> Geological and geophysical studies in the Amadeus Basin, central Australia. Bureau of Mineral Resources, Bulletin, 236, 594 pp.</w:t>
      </w:r>
    </w:p>
    <w:p w14:paraId="143C56A1" w14:textId="3441EADB" w:rsidR="00842B2D" w:rsidRPr="00147CAE" w:rsidRDefault="00842B2D" w:rsidP="00147CAE">
      <w:pPr>
        <w:pStyle w:val="References"/>
      </w:pPr>
      <w:r w:rsidRPr="00147CAE">
        <w:t>Lau JE</w:t>
      </w:r>
      <w:r w:rsidR="003319AC">
        <w:t xml:space="preserve"> (19</w:t>
      </w:r>
      <w:r w:rsidRPr="00147CAE">
        <w:t>89</w:t>
      </w:r>
      <w:r w:rsidR="00320127">
        <w:t>)</w:t>
      </w:r>
      <w:r w:rsidRPr="00147CAE">
        <w:t xml:space="preserve"> Logging of diamond drill core from Roe Creek Borefield, Alice Springs., NT Power and Water Authority, December 1989 </w:t>
      </w:r>
    </w:p>
    <w:p w14:paraId="0FE0346D" w14:textId="77777777" w:rsidR="003319AC" w:rsidRDefault="003319AC" w:rsidP="003319AC">
      <w:pPr>
        <w:pStyle w:val="References"/>
      </w:pPr>
      <w:r>
        <w:t>Lau JE and Jacobson G (</w:t>
      </w:r>
      <w:r w:rsidRPr="00A36561">
        <w:t>1991</w:t>
      </w:r>
      <w:r>
        <w:t xml:space="preserve">) </w:t>
      </w:r>
      <w:r w:rsidRPr="00A36561">
        <w:t>Aquifer characteristics and groundwater resources o</w:t>
      </w:r>
      <w:r>
        <w:t>f the Amadeus Basin. In: Korsch RJ and Kennard JM</w:t>
      </w:r>
      <w:r w:rsidRPr="00A36561">
        <w:t xml:space="preserve"> (</w:t>
      </w:r>
      <w:r>
        <w:t>e</w:t>
      </w:r>
      <w:r w:rsidRPr="00A36561">
        <w:t>ds</w:t>
      </w:r>
      <w:r>
        <w:t xml:space="preserve">) </w:t>
      </w:r>
      <w:r w:rsidRPr="00A36561">
        <w:t>Geological and geophysical studies of the Amadeus Basin. Bureau of Mineral Resources, Australia, Bulletin</w:t>
      </w:r>
      <w:r>
        <w:t xml:space="preserve"> 2</w:t>
      </w:r>
      <w:r w:rsidRPr="00A36561">
        <w:t>36, pp. 563-580</w:t>
      </w:r>
      <w:r>
        <w:t>.</w:t>
      </w:r>
    </w:p>
    <w:p w14:paraId="753987F8" w14:textId="23A63901" w:rsidR="001E0B4B" w:rsidRPr="00147CAE" w:rsidRDefault="001E0B4B" w:rsidP="00147CAE">
      <w:pPr>
        <w:pStyle w:val="References"/>
      </w:pPr>
      <w:r w:rsidRPr="00147CAE">
        <w:t>Lindsay JF and Korsch RJ</w:t>
      </w:r>
      <w:r w:rsidR="003319AC">
        <w:t xml:space="preserve"> (19</w:t>
      </w:r>
      <w:r w:rsidRPr="00147CAE">
        <w:t>89</w:t>
      </w:r>
      <w:r w:rsidR="00320127">
        <w:t>)</w:t>
      </w:r>
      <w:r w:rsidRPr="00147CAE">
        <w:t xml:space="preserve"> Interplay of tectonics and sea-level changes in basin evolution: an example from the intracratonic Amadeus Basin, central Australia. Basin Research, 2, 3–25.</w:t>
      </w:r>
    </w:p>
    <w:p w14:paraId="3B223299" w14:textId="39FF6744" w:rsidR="001E0B4B" w:rsidRPr="00147CAE" w:rsidRDefault="001E0B4B" w:rsidP="00147CAE">
      <w:pPr>
        <w:pStyle w:val="References"/>
      </w:pPr>
      <w:r w:rsidRPr="00147CAE">
        <w:t>Lindsay JF and Korsch RJ</w:t>
      </w:r>
      <w:r w:rsidR="003319AC">
        <w:t xml:space="preserve"> (19</w:t>
      </w:r>
      <w:r w:rsidRPr="00147CAE">
        <w:t>91</w:t>
      </w:r>
      <w:r w:rsidR="00320127">
        <w:t>)</w:t>
      </w:r>
      <w:r w:rsidRPr="00147CAE">
        <w:t xml:space="preserve"> The evolution of the Amadeus Basin, central Australia. In: Korsch RJ and Kennard JM (</w:t>
      </w:r>
      <w:r w:rsidR="003319AC">
        <w:t>eds</w:t>
      </w:r>
      <w:r w:rsidRPr="00147CAE">
        <w:t>), Geological and geophysical studies in the Amadeus Basin, central Australia. Bureau of Mineral Resources, Bulletin, 236, 7–32.</w:t>
      </w:r>
    </w:p>
    <w:p w14:paraId="29FBFB03" w14:textId="338F666F" w:rsidR="001E0B4B" w:rsidRPr="00147CAE" w:rsidRDefault="001E0B4B" w:rsidP="00147CAE">
      <w:pPr>
        <w:pStyle w:val="References"/>
      </w:pPr>
      <w:r w:rsidRPr="00147CAE">
        <w:t>Lloyd JW</w:t>
      </w:r>
      <w:r w:rsidR="008F3875">
        <w:t xml:space="preserve"> and</w:t>
      </w:r>
      <w:r w:rsidRPr="00147CAE">
        <w:t xml:space="preserve"> Jacobson G</w:t>
      </w:r>
      <w:r w:rsidR="003319AC">
        <w:t xml:space="preserve"> (19</w:t>
      </w:r>
      <w:r w:rsidRPr="00147CAE">
        <w:t>87</w:t>
      </w:r>
      <w:r w:rsidR="008F3875">
        <w:t>)</w:t>
      </w:r>
      <w:r w:rsidRPr="00147CAE">
        <w:t xml:space="preserve"> The hydrogeology of the Amadeus Basin, Central Australia. Journal of Hydrology, 93 (1987), 1–24.</w:t>
      </w:r>
    </w:p>
    <w:p w14:paraId="143D0AE3" w14:textId="0E21EC2B" w:rsidR="00842B2D" w:rsidRPr="00147CAE" w:rsidRDefault="006B4EAA" w:rsidP="00147CAE">
      <w:pPr>
        <w:pStyle w:val="References"/>
      </w:pPr>
      <w:r>
        <w:t>MacQ</w:t>
      </w:r>
      <w:r w:rsidR="00842B2D" w:rsidRPr="00147CAE">
        <w:t>ueen AD and Knott GG</w:t>
      </w:r>
      <w:r w:rsidR="003319AC">
        <w:t xml:space="preserve"> (19</w:t>
      </w:r>
      <w:r w:rsidR="00842B2D" w:rsidRPr="00147CAE">
        <w:t>82</w:t>
      </w:r>
      <w:r w:rsidR="008F3875">
        <w:t>)</w:t>
      </w:r>
      <w:r w:rsidR="00842B2D" w:rsidRPr="00147CAE">
        <w:t xml:space="preserve"> Groundwater in the north eastern part of the Amadeus Basin. Northern Territory Department of Transport and W</w:t>
      </w:r>
      <w:r w:rsidR="008F3875">
        <w:t>orks Water Division, Project 32.</w:t>
      </w:r>
    </w:p>
    <w:p w14:paraId="317203C5" w14:textId="2E47EB67" w:rsidR="003319AC" w:rsidRPr="000E4EFC" w:rsidRDefault="003319AC" w:rsidP="003319AC">
      <w:pPr>
        <w:pStyle w:val="References"/>
      </w:pPr>
      <w:r>
        <w:t>Munson TJ (2</w:t>
      </w:r>
      <w:r w:rsidRPr="000E4EFC">
        <w:t>014</w:t>
      </w:r>
      <w:r>
        <w:t xml:space="preserve">) </w:t>
      </w:r>
      <w:r w:rsidRPr="00147CAE">
        <w:t xml:space="preserve">Petroleum geology and potential of the onshore Northern Territory </w:t>
      </w:r>
      <w:r w:rsidR="00596C20">
        <w:t>(</w:t>
      </w:r>
      <w:r w:rsidRPr="00147CAE">
        <w:t>2014</w:t>
      </w:r>
      <w:r w:rsidR="00596C20">
        <w:t>)</w:t>
      </w:r>
      <w:r w:rsidRPr="000E4EFC">
        <w:t xml:space="preserve"> Northern Territory Geological Survey, Report 22, 242 pp.</w:t>
      </w:r>
    </w:p>
    <w:p w14:paraId="54C4C2AB" w14:textId="34C9B8B4" w:rsidR="00842B2D" w:rsidRPr="00A80595" w:rsidRDefault="00842B2D" w:rsidP="005962FF">
      <w:pPr>
        <w:pStyle w:val="References"/>
      </w:pPr>
      <w:r w:rsidRPr="005962FF">
        <w:t>Northern Territory Legislation</w:t>
      </w:r>
      <w:r w:rsidR="003319AC">
        <w:t xml:space="preserve"> (19</w:t>
      </w:r>
      <w:r w:rsidRPr="005962FF">
        <w:t>92</w:t>
      </w:r>
      <w:r w:rsidR="008F3875">
        <w:t>)</w:t>
      </w:r>
      <w:r w:rsidRPr="005962FF">
        <w:t xml:space="preserve"> "Water Act 1992", Act of the Parliament of the Northern Territory, as in force at 1 July 2016. </w:t>
      </w:r>
      <w:r w:rsidR="008F3875">
        <w:t>Viewed 29/09/2017, &lt;</w:t>
      </w:r>
      <w:hyperlink r:id="rId130" w:history="1">
        <w:r w:rsidRPr="00495DBB">
          <w:rPr>
            <w:rStyle w:val="Hyperlink"/>
            <w:rFonts w:asciiTheme="minorHAnsi" w:hAnsiTheme="minorHAnsi"/>
          </w:rPr>
          <w:t>https://legislation.nt.gov.au/en/Legislation/WATER-ACT</w:t>
        </w:r>
      </w:hyperlink>
      <w:r w:rsidR="008F3875">
        <w:t>&gt;.</w:t>
      </w:r>
    </w:p>
    <w:p w14:paraId="19128B1B" w14:textId="39BFAAEE" w:rsidR="001E0B4B" w:rsidRPr="000E4EFC" w:rsidRDefault="001E0B4B" w:rsidP="000E4EFC">
      <w:pPr>
        <w:pStyle w:val="References"/>
      </w:pPr>
      <w:r w:rsidRPr="000E4EFC">
        <w:lastRenderedPageBreak/>
        <w:t>NT DLRM (Northern Territory Department of Land Resource Management)</w:t>
      </w:r>
      <w:r w:rsidR="003319AC">
        <w:t xml:space="preserve"> (20</w:t>
      </w:r>
      <w:r w:rsidRPr="000E4EFC">
        <w:t>16</w:t>
      </w:r>
      <w:r w:rsidR="008F3875">
        <w:t>)</w:t>
      </w:r>
      <w:r w:rsidRPr="000E4EFC">
        <w:t xml:space="preserve"> Alice Springs Water Allocation Plan: 2016–2026. Report No. 01/2016A. Northern Territory Government.</w:t>
      </w:r>
    </w:p>
    <w:p w14:paraId="07DF46C1" w14:textId="77777777" w:rsidR="003319AC" w:rsidRDefault="003319AC" w:rsidP="003319AC">
      <w:pPr>
        <w:pStyle w:val="References"/>
      </w:pPr>
      <w:r w:rsidRPr="000E4EFC">
        <w:t>NTGS (Northern Territory Geological Survey)</w:t>
      </w:r>
      <w:r>
        <w:t xml:space="preserve"> (20</w:t>
      </w:r>
      <w:r w:rsidRPr="000E4EFC">
        <w:t>17</w:t>
      </w:r>
      <w:r>
        <w:t xml:space="preserve">a) </w:t>
      </w:r>
      <w:r w:rsidRPr="000E4EFC">
        <w:t>Geoscience exploration and mining information system (GEMIS) – Petroleum wells</w:t>
      </w:r>
      <w:r>
        <w:t>. Viewed</w:t>
      </w:r>
      <w:r w:rsidRPr="00AA00C4">
        <w:t xml:space="preserve"> </w:t>
      </w:r>
      <w:r>
        <w:t>11/08/2017, &lt;</w:t>
      </w:r>
      <w:hyperlink r:id="rId131" w:history="1">
        <w:r w:rsidRPr="000E4EFC">
          <w:rPr>
            <w:rStyle w:val="Hyperlink"/>
          </w:rPr>
          <w:t>http://www.geoscience.nt.gov.au/gemis/ntgsjspui/handle/1/79187</w:t>
        </w:r>
      </w:hyperlink>
      <w:r>
        <w:rPr>
          <w:rStyle w:val="Hyperlink"/>
        </w:rPr>
        <w:t>&gt;.</w:t>
      </w:r>
      <w:r>
        <w:t xml:space="preserve"> </w:t>
      </w:r>
    </w:p>
    <w:p w14:paraId="1BAA1FB9" w14:textId="77777777" w:rsidR="003319AC" w:rsidRPr="005C209B" w:rsidRDefault="003319AC" w:rsidP="003319AC">
      <w:pPr>
        <w:pStyle w:val="References"/>
      </w:pPr>
      <w:r w:rsidRPr="000E4EFC">
        <w:t>NTGS (Northern Territory Geological Survey)</w:t>
      </w:r>
      <w:r>
        <w:t xml:space="preserve"> (20</w:t>
      </w:r>
      <w:r w:rsidRPr="000E4EFC">
        <w:t>17</w:t>
      </w:r>
      <w:r>
        <w:t>b) Northern Territory Statewide Geophysics – Seismic Lines. Viewed 11/08/2017, &lt;</w:t>
      </w:r>
      <w:hyperlink r:id="rId132" w:history="1">
        <w:r w:rsidRPr="002C6079">
          <w:rPr>
            <w:rStyle w:val="Hyperlink"/>
          </w:rPr>
          <w:t>http://www.ntlis.nt.gov.au/metadata/export_data?type=html&amp;metadata_id=FB25348A02CB16B2E040CD9B2144584B</w:t>
        </w:r>
      </w:hyperlink>
      <w:r>
        <w:rPr>
          <w:rStyle w:val="Hyperlink"/>
        </w:rPr>
        <w:t>&gt;.</w:t>
      </w:r>
      <w:r>
        <w:t xml:space="preserve"> </w:t>
      </w:r>
    </w:p>
    <w:p w14:paraId="01116F91" w14:textId="69768627" w:rsidR="001E0B4B" w:rsidRPr="00147CAE" w:rsidRDefault="001E0B4B" w:rsidP="00147CAE">
      <w:pPr>
        <w:pStyle w:val="References"/>
      </w:pPr>
      <w:r w:rsidRPr="00147CAE">
        <w:t>Oaks RQ Jr, Deckelman JA, Conrad KT, Hamp LP, Phillips JO and Stewart AJ</w:t>
      </w:r>
      <w:r w:rsidR="003319AC">
        <w:t xml:space="preserve"> (19</w:t>
      </w:r>
      <w:r w:rsidRPr="00147CAE">
        <w:t>91</w:t>
      </w:r>
      <w:r w:rsidR="008F3875">
        <w:t>)</w:t>
      </w:r>
      <w:r w:rsidRPr="00147CAE">
        <w:t xml:space="preserve"> Sedimentation and tectonics in the northeastern and central Amadeus Basin, central Australia. In: Korsch RJ and Kennard JM</w:t>
      </w:r>
      <w:r w:rsidR="003319AC">
        <w:t xml:space="preserve"> (eds</w:t>
      </w:r>
      <w:r w:rsidRPr="00147CAE">
        <w:t xml:space="preserve">), Geological and geophysical studies in the Amadeus Basin, central Australia. Bureau of Mineral Resources, Bulletin, 236, 73–90. </w:t>
      </w:r>
    </w:p>
    <w:p w14:paraId="03CC7B9D" w14:textId="3A9106CE" w:rsidR="00842B2D" w:rsidRDefault="00842B2D" w:rsidP="000E4EFC">
      <w:pPr>
        <w:pStyle w:val="References"/>
      </w:pPr>
      <w:r w:rsidRPr="000E4EFC">
        <w:t>Parks Australia</w:t>
      </w:r>
      <w:r w:rsidR="003319AC">
        <w:t xml:space="preserve"> (20</w:t>
      </w:r>
      <w:r w:rsidRPr="000E4EFC">
        <w:t>15</w:t>
      </w:r>
      <w:r w:rsidR="008F3875">
        <w:t>)</w:t>
      </w:r>
      <w:r w:rsidRPr="000E4EFC">
        <w:t xml:space="preserve"> Fact Sheet, Geology, Uluru–Kata Tjuta National Park. </w:t>
      </w:r>
      <w:r w:rsidR="008F3875">
        <w:t>Viewed 15/12/2017, &lt;</w:t>
      </w:r>
      <w:hyperlink r:id="rId133" w:history="1">
        <w:r w:rsidRPr="000E4EFC">
          <w:rPr>
            <w:rStyle w:val="Hyperlink"/>
          </w:rPr>
          <w:t>http://www.environment.gov.au/resource/geology-uluru-kata-tjuta-national-park</w:t>
        </w:r>
      </w:hyperlink>
      <w:r w:rsidR="008F3875">
        <w:t>&gt;.</w:t>
      </w:r>
    </w:p>
    <w:p w14:paraId="56AEF5F3" w14:textId="3B69E8FD" w:rsidR="00842B2D" w:rsidRPr="00EA43F5" w:rsidRDefault="00842B2D">
      <w:pPr>
        <w:pStyle w:val="References"/>
      </w:pPr>
      <w:r>
        <w:t>Power and Water Corporation</w:t>
      </w:r>
      <w:r w:rsidR="003319AC">
        <w:t xml:space="preserve"> (20</w:t>
      </w:r>
      <w:r>
        <w:t>16</w:t>
      </w:r>
      <w:r w:rsidR="008F3875">
        <w:t>)</w:t>
      </w:r>
      <w:r>
        <w:t xml:space="preserve"> Mereenie Aquifer Alice Springs: Frequently Asked Questions, Community and education. </w:t>
      </w:r>
      <w:r w:rsidR="008F3875">
        <w:t>Viewed 15/12/2017, &lt;</w:t>
      </w:r>
      <w:hyperlink r:id="rId134" w:history="1">
        <w:r w:rsidRPr="00B37660">
          <w:rPr>
            <w:rStyle w:val="Hyperlink"/>
          </w:rPr>
          <w:t>https://www.powerwater.com.au/community_and_education/mereenie_aquifer_alice_springs</w:t>
        </w:r>
      </w:hyperlink>
      <w:r w:rsidR="008F3875">
        <w:t>&gt;.</w:t>
      </w:r>
      <w:r>
        <w:t xml:space="preserve"> </w:t>
      </w:r>
    </w:p>
    <w:p w14:paraId="037A4D12" w14:textId="77777777" w:rsidR="003319AC" w:rsidRPr="00AA00C4" w:rsidRDefault="003319AC" w:rsidP="003319AC">
      <w:pPr>
        <w:pStyle w:val="References"/>
      </w:pPr>
      <w:r w:rsidRPr="00AA00C4">
        <w:t>Ra</w:t>
      </w:r>
      <w:r>
        <w:t>ymond</w:t>
      </w:r>
      <w:r w:rsidRPr="009A5D99">
        <w:t xml:space="preserve"> O</w:t>
      </w:r>
      <w:r>
        <w:t>L</w:t>
      </w:r>
      <w:r w:rsidRPr="009A5D99">
        <w:t xml:space="preserve"> (Coordinator)</w:t>
      </w:r>
      <w:r>
        <w:t xml:space="preserve"> (20</w:t>
      </w:r>
      <w:r w:rsidRPr="009A5D99">
        <w:t>09</w:t>
      </w:r>
      <w:r>
        <w:t xml:space="preserve">) </w:t>
      </w:r>
      <w:r w:rsidRPr="009A5D99">
        <w:t>Surface geology of Australia 1:1 million scale digital geology data: Geoscience</w:t>
      </w:r>
      <w:r>
        <w:t xml:space="preserve"> Australia, Digital Geology Map. Viewed 16/01/2018, &lt;</w:t>
      </w:r>
      <w:hyperlink r:id="rId135" w:tooltip="Link to Geoscience Australia website" w:history="1">
        <w:r w:rsidRPr="00AA00C4">
          <w:rPr>
            <w:rStyle w:val="Hyperlink"/>
          </w:rPr>
          <w:t>https://www.ga.gov.au/products/servlet/controller?event=GEOCAT_DETAILS&amp;catno=69455</w:t>
        </w:r>
      </w:hyperlink>
      <w:r>
        <w:rPr>
          <w:rStyle w:val="Hyperlink"/>
        </w:rPr>
        <w:t>&gt;.</w:t>
      </w:r>
      <w:r>
        <w:t xml:space="preserve">   </w:t>
      </w:r>
      <w:r w:rsidRPr="009E7E91">
        <w:rPr>
          <w:rStyle w:val="Hyperlink"/>
        </w:rPr>
        <w:t xml:space="preserve"> </w:t>
      </w:r>
    </w:p>
    <w:p w14:paraId="1E4C08A8" w14:textId="0EDC207E" w:rsidR="001E0B4B" w:rsidRDefault="001E0B4B" w:rsidP="001E0B4B">
      <w:pPr>
        <w:pStyle w:val="References"/>
      </w:pPr>
      <w:r>
        <w:t>Read RE</w:t>
      </w:r>
      <w:r w:rsidR="003319AC">
        <w:t xml:space="preserve"> (20</w:t>
      </w:r>
      <w:r>
        <w:t>04</w:t>
      </w:r>
      <w:r w:rsidR="008F3875">
        <w:t>)</w:t>
      </w:r>
      <w:r>
        <w:t xml:space="preserve"> Investigation of Groundwater Resources at Oak Valley (Mpwelarre Aboriginal Land Trust). Department of Natural Resources, Environment and the Arts, Report No. 38/2004A. October 2004, Alice Springs, 60pp. Northern Territory Government.</w:t>
      </w:r>
    </w:p>
    <w:p w14:paraId="48DCF063" w14:textId="639E8C91" w:rsidR="0067443F" w:rsidRDefault="0067443F" w:rsidP="00147CAE">
      <w:pPr>
        <w:pStyle w:val="References"/>
      </w:pPr>
      <w:r w:rsidRPr="0067443F">
        <w:t xml:space="preserve">Scientific Inquiry into Hydraulic Fracturing in the Northern Territory (2018) Scientific Inquiry into Hydraulic Fracturing in the Northern Territory: </w:t>
      </w:r>
      <w:r>
        <w:t xml:space="preserve">Final Report, </w:t>
      </w:r>
      <w:r w:rsidRPr="0067443F">
        <w:t xml:space="preserve">March 2018. Viewed </w:t>
      </w:r>
      <w:r>
        <w:t>23/</w:t>
      </w:r>
      <w:r w:rsidRPr="0067443F">
        <w:t>04/2018, &lt;https://frackinginquiry.nt.gov.au/inq</w:t>
      </w:r>
      <w:r>
        <w:t>uiry-reports?a=494286</w:t>
      </w:r>
      <w:r w:rsidRPr="0067443F">
        <w:t xml:space="preserve">&gt;. </w:t>
      </w:r>
    </w:p>
    <w:p w14:paraId="7E72FA27" w14:textId="686D0C3B" w:rsidR="001E0B4B" w:rsidRPr="00147CAE" w:rsidRDefault="001E0B4B" w:rsidP="00147CAE">
      <w:pPr>
        <w:pStyle w:val="References"/>
      </w:pPr>
      <w:r w:rsidRPr="00147CAE">
        <w:t>Shaw RD, Etheridge MA and Lambeck K</w:t>
      </w:r>
      <w:r w:rsidR="003319AC">
        <w:t xml:space="preserve"> (19</w:t>
      </w:r>
      <w:r w:rsidRPr="00147CAE">
        <w:t>91</w:t>
      </w:r>
      <w:r w:rsidR="008F3875">
        <w:t>)</w:t>
      </w:r>
      <w:r w:rsidRPr="00147CAE">
        <w:t xml:space="preserve"> Development of the Late Proterozoic to Mid-Paleozoic, intracratonic Amadeus Basin in central Australia: a key to understanding tectonic forces in plate. Tectonics, 10, 688–721. </w:t>
      </w:r>
    </w:p>
    <w:p w14:paraId="1BF3A9D9" w14:textId="5A7A3C22" w:rsidR="001E0B4B" w:rsidRPr="00147CAE" w:rsidRDefault="001E0B4B" w:rsidP="00147CAE">
      <w:pPr>
        <w:pStyle w:val="References"/>
      </w:pPr>
      <w:r w:rsidRPr="00147CAE">
        <w:t>Shaw RD, Zeitler PK, McDougall I and Tingate PR</w:t>
      </w:r>
      <w:r w:rsidR="003319AC">
        <w:t xml:space="preserve"> (19</w:t>
      </w:r>
      <w:r w:rsidRPr="00147CAE">
        <w:t>92</w:t>
      </w:r>
      <w:r w:rsidR="008F3875">
        <w:t>)</w:t>
      </w:r>
      <w:r w:rsidRPr="00147CAE">
        <w:t xml:space="preserve"> The Palaeozoic history of an unusual thrust belt in central Australia based on Ar–Ar, K–Ar and fission track dating. Journal of the Geological Society of London, 149, 937–954.</w:t>
      </w:r>
    </w:p>
    <w:p w14:paraId="6DC7B116" w14:textId="2939F369" w:rsidR="001E0B4B" w:rsidRPr="00147CAE" w:rsidRDefault="001E0B4B" w:rsidP="00147CAE">
      <w:pPr>
        <w:pStyle w:val="References"/>
      </w:pPr>
      <w:r w:rsidRPr="00147CAE">
        <w:t>Stewart AJ</w:t>
      </w:r>
      <w:r w:rsidR="003319AC">
        <w:t xml:space="preserve"> (19</w:t>
      </w:r>
      <w:r w:rsidRPr="00147CAE">
        <w:t>67</w:t>
      </w:r>
      <w:r w:rsidR="008F3875">
        <w:t>)</w:t>
      </w:r>
      <w:r w:rsidRPr="00147CAE">
        <w:t xml:space="preserve"> An interpretation of the structure of the Blatherskite Nappe, Alice Springs, Northern Territory. Journal of the Geological Society of Australia, 14(2), 175–184.</w:t>
      </w:r>
    </w:p>
    <w:p w14:paraId="20E18F3B" w14:textId="056B42EA" w:rsidR="001E0B4B" w:rsidRPr="00147CAE" w:rsidRDefault="001E0B4B" w:rsidP="00147CAE">
      <w:pPr>
        <w:pStyle w:val="References"/>
      </w:pPr>
      <w:r w:rsidRPr="00147CAE">
        <w:lastRenderedPageBreak/>
        <w:t>Stewart AJ, Oaks RQ Jr, Deckelman JA and Shaw RD</w:t>
      </w:r>
      <w:r w:rsidR="003319AC">
        <w:t xml:space="preserve"> (19</w:t>
      </w:r>
      <w:r w:rsidRPr="00147CAE">
        <w:t>91</w:t>
      </w:r>
      <w:r w:rsidR="008F3875">
        <w:t>)</w:t>
      </w:r>
      <w:r w:rsidRPr="00147CAE">
        <w:t xml:space="preserve"> 'Mesothrust' versus 'megathrust' interpretations of the structure of the northeastern Amadeus Basin, central Australia. In: Korsch RJ and Kennard JM (</w:t>
      </w:r>
      <w:r w:rsidR="003319AC">
        <w:t>eds</w:t>
      </w:r>
      <w:r w:rsidRPr="00147CAE">
        <w:t>), Geological and geophysical studies in the Amadeus Basin, central Australia. Bureau of Mineral Resources, Bulletin, 236, 361–383.</w:t>
      </w:r>
    </w:p>
    <w:p w14:paraId="6EB6760F" w14:textId="77777777" w:rsidR="003319AC" w:rsidRPr="00E70BDF" w:rsidRDefault="003319AC" w:rsidP="003319AC">
      <w:pPr>
        <w:pStyle w:val="References"/>
        <w:rPr>
          <w:rStyle w:val="Hyperlink"/>
        </w:rPr>
      </w:pPr>
      <w:r>
        <w:t>Stewart AJ, Raymond OL, Totterdell JM, Zhang W and Gallagher R (2013) Australian Geological Provinces, 2013.01 edition, scale 1:2 500 000. Geoscience Australia, Canberra. Viewed 16/01/2018, &lt;</w:t>
      </w:r>
      <w:hyperlink r:id="rId136" w:anchor="!2680f4bb-8494-14fc-e053-10a3070a4107" w:history="1">
        <w:r w:rsidRPr="0065740D">
          <w:rPr>
            <w:rStyle w:val="Hyperlink"/>
          </w:rPr>
          <w:t>https://ecat.ga.gov.au/geonetwork/srv/eng/search#!2680f4bb-8494-14fc-e053-10a3070a4107</w:t>
        </w:r>
      </w:hyperlink>
      <w:r>
        <w:rPr>
          <w:rStyle w:val="Hyperlink"/>
        </w:rPr>
        <w:t>&gt;.</w:t>
      </w:r>
      <w:r>
        <w:t xml:space="preserve"> </w:t>
      </w:r>
    </w:p>
    <w:p w14:paraId="5E7BCC13" w14:textId="77777777" w:rsidR="003319AC" w:rsidRPr="00767274" w:rsidRDefault="003319AC" w:rsidP="003319AC">
      <w:pPr>
        <w:pStyle w:val="References"/>
      </w:pPr>
      <w:r w:rsidRPr="00767274">
        <w:t xml:space="preserve">Vu TAT, Horsfield B </w:t>
      </w:r>
      <w:r>
        <w:t xml:space="preserve">and </w:t>
      </w:r>
      <w:r w:rsidRPr="00767274">
        <w:t xml:space="preserve">di Primio R </w:t>
      </w:r>
      <w:r>
        <w:t>(</w:t>
      </w:r>
      <w:r w:rsidRPr="00767274">
        <w:t>2011</w:t>
      </w:r>
      <w:r>
        <w:t>)</w:t>
      </w:r>
      <w:r w:rsidRPr="00767274">
        <w:t xml:space="preserve"> </w:t>
      </w:r>
      <w:r w:rsidRPr="00C30F1D">
        <w:t xml:space="preserve">Gas shale potential of the Amadeus and Georgina basins, Australia: preliminary insights. </w:t>
      </w:r>
      <w:r w:rsidRPr="00116B50">
        <w:t>Geoscience Australia Record</w:t>
      </w:r>
      <w:r w:rsidRPr="00767274">
        <w:t>, 2011/10, 39 pp.</w:t>
      </w:r>
      <w:r>
        <w:t xml:space="preserve"> Viewed 16/01/2018, &lt;</w:t>
      </w:r>
      <w:hyperlink r:id="rId137" w:anchor="!a05f7893-007c-7506-e044-00144fdd4fa6" w:history="1">
        <w:r w:rsidRPr="00C03A7D">
          <w:rPr>
            <w:rStyle w:val="Hyperlink"/>
          </w:rPr>
          <w:t>https://ecat.ga.gov.au/geonetwork/srv/eng/search#!a05f7893-007c-7506-e044-00144fdd4fa6</w:t>
        </w:r>
      </w:hyperlink>
      <w:r>
        <w:rPr>
          <w:rStyle w:val="Hyperlink"/>
        </w:rPr>
        <w:t>&gt;.</w:t>
      </w:r>
    </w:p>
    <w:p w14:paraId="3CD46C7A" w14:textId="04B81149" w:rsidR="001E0B4B" w:rsidRPr="00147CAE" w:rsidRDefault="001E0B4B" w:rsidP="00147CAE">
      <w:pPr>
        <w:pStyle w:val="References"/>
      </w:pPr>
      <w:r w:rsidRPr="00147CAE">
        <w:t>Walter MR, Veevers JJ, Calver CR and Grey K</w:t>
      </w:r>
      <w:r w:rsidR="003319AC">
        <w:t xml:space="preserve"> (19</w:t>
      </w:r>
      <w:r w:rsidRPr="00147CAE">
        <w:t>95</w:t>
      </w:r>
      <w:r w:rsidR="008F3875">
        <w:t>)</w:t>
      </w:r>
      <w:r w:rsidRPr="00147CAE">
        <w:t xml:space="preserve"> Neoproterozoic stratigraphy of the Centralian Superbasin, Australia. Precambrian Research, 73, 173–195.</w:t>
      </w:r>
    </w:p>
    <w:p w14:paraId="3C524F66" w14:textId="4A12F5E8" w:rsidR="001E0B4B" w:rsidRPr="00147CAE" w:rsidRDefault="001E0B4B" w:rsidP="00147CAE">
      <w:pPr>
        <w:pStyle w:val="References"/>
      </w:pPr>
      <w:r w:rsidRPr="00147CAE">
        <w:t>Warburton J, Murray T and Marshall T</w:t>
      </w:r>
      <w:r w:rsidR="003319AC">
        <w:t xml:space="preserve"> (20</w:t>
      </w:r>
      <w:r w:rsidRPr="00147CAE">
        <w:t>05</w:t>
      </w:r>
      <w:r w:rsidR="008F3875">
        <w:t>)</w:t>
      </w:r>
      <w:r w:rsidRPr="00147CAE">
        <w:t xml:space="preserve"> Importance of fault seal and strategic assessment of future petroleum exploration potential of the Amadeus Basin. Northern Territory Geological Survey, Record, 2005-004, 99 pp.</w:t>
      </w:r>
    </w:p>
    <w:p w14:paraId="0C8B4709" w14:textId="77777777" w:rsidR="003319AC" w:rsidRPr="00147CAE" w:rsidRDefault="003319AC" w:rsidP="003319AC">
      <w:pPr>
        <w:pStyle w:val="References"/>
      </w:pPr>
      <w:r>
        <w:t>Warner D, Ambrose G</w:t>
      </w:r>
      <w:r w:rsidRPr="00147CAE">
        <w:t xml:space="preserve"> a</w:t>
      </w:r>
      <w:r>
        <w:t>nd Heugh J (20</w:t>
      </w:r>
      <w:r w:rsidRPr="00147CAE">
        <w:t>12</w:t>
      </w:r>
      <w:r>
        <w:t xml:space="preserve">) </w:t>
      </w:r>
      <w:r w:rsidRPr="00147CAE">
        <w:t>Potential for unconventional plays in the Lower Larapinta Petroleum System of</w:t>
      </w:r>
      <w:r>
        <w:t xml:space="preserve"> the Amadeus Basin. In: Ambrose GJ and Scott J</w:t>
      </w:r>
      <w:r w:rsidRPr="00147CAE">
        <w:t xml:space="preserve"> (</w:t>
      </w:r>
      <w:r>
        <w:t>eds</w:t>
      </w:r>
      <w:r w:rsidRPr="00147CAE">
        <w:t>), Central Australian Basins Symposium III. Petroleum Exploration Society of Australia, Special Publication, 7 pp.</w:t>
      </w:r>
    </w:p>
    <w:p w14:paraId="336C439B" w14:textId="3F0FDFE9" w:rsidR="001E0B4B" w:rsidRPr="00147CAE" w:rsidRDefault="001E0B4B" w:rsidP="00147CAE">
      <w:pPr>
        <w:pStyle w:val="References"/>
      </w:pPr>
      <w:r w:rsidRPr="00147CAE">
        <w:t>Wellman P</w:t>
      </w:r>
      <w:r w:rsidR="003319AC">
        <w:t xml:space="preserve"> (19</w:t>
      </w:r>
      <w:r w:rsidRPr="00147CAE">
        <w:t>91</w:t>
      </w:r>
      <w:r w:rsidR="008F3875">
        <w:t>)</w:t>
      </w:r>
      <w:r w:rsidRPr="00147CAE">
        <w:t xml:space="preserve"> Amadeus Basin, Northern Territory: Structure from gravity and magnetic anomalies. In: Korsch RJ and Kennard JM (</w:t>
      </w:r>
      <w:r w:rsidR="003319AC">
        <w:t>eds</w:t>
      </w:r>
      <w:r w:rsidRPr="00147CAE">
        <w:t>), Geological and geophysical studies in the Amadeus Basin, central Australia. Bureau of Mineral Resources, Bulletin, 236, 7–32.</w:t>
      </w:r>
    </w:p>
    <w:p w14:paraId="1B4FF17B" w14:textId="6069A00F" w:rsidR="00246E96" w:rsidRDefault="001E0B4B" w:rsidP="00147CAE">
      <w:pPr>
        <w:pStyle w:val="References"/>
      </w:pPr>
      <w:r w:rsidRPr="00147CAE">
        <w:t>Wells AT, Forman DJ, Ranford LC and Cook PJ</w:t>
      </w:r>
      <w:r w:rsidR="003319AC">
        <w:t xml:space="preserve"> (19</w:t>
      </w:r>
      <w:r w:rsidRPr="00147CAE">
        <w:t>70</w:t>
      </w:r>
      <w:r w:rsidR="008F3875">
        <w:t>)</w:t>
      </w:r>
      <w:r w:rsidRPr="00147CAE">
        <w:t xml:space="preserve"> Geology of the Amadeus Basin, central Australia. Bureau of Mineral Resources, Bulletin, 100, 222 pp.</w:t>
      </w:r>
    </w:p>
    <w:p w14:paraId="4B5F9781" w14:textId="413BCA8F" w:rsidR="007225BD" w:rsidRDefault="007225BD" w:rsidP="007225BD">
      <w:pPr>
        <w:pStyle w:val="BodyText"/>
      </w:pPr>
    </w:p>
    <w:p w14:paraId="2DD6B22F" w14:textId="77777777" w:rsidR="007225BD" w:rsidRDefault="007225BD">
      <w:pPr>
        <w:spacing w:after="180"/>
      </w:pPr>
      <w:r>
        <w:br w:type="page"/>
      </w:r>
    </w:p>
    <w:p w14:paraId="25A83667" w14:textId="77777777" w:rsidR="007225BD" w:rsidRPr="007225BD" w:rsidRDefault="007225BD" w:rsidP="007225BD">
      <w:pPr>
        <w:pStyle w:val="BodyText"/>
      </w:pPr>
    </w:p>
    <w:p w14:paraId="4F2E4786" w14:textId="77777777" w:rsidR="00246E96" w:rsidRDefault="00246E96">
      <w:pPr>
        <w:spacing w:after="180"/>
      </w:pPr>
      <w:r>
        <w:br w:type="page"/>
      </w:r>
    </w:p>
    <w:p w14:paraId="5CB4ABD2" w14:textId="79511F14" w:rsidR="00A43B22" w:rsidRDefault="00A43B22" w:rsidP="00C8192D">
      <w:pPr>
        <w:pStyle w:val="AppendixHeading2"/>
        <w:keepNext/>
      </w:pPr>
      <w:bookmarkStart w:id="83" w:name="_Toc517161127"/>
      <w:r>
        <w:lastRenderedPageBreak/>
        <w:t>Bowen Basin</w:t>
      </w:r>
      <w:bookmarkEnd w:id="83"/>
    </w:p>
    <w:p w14:paraId="1A307BEC" w14:textId="77777777" w:rsidR="00A43B22" w:rsidRDefault="0094665C" w:rsidP="009F3E8F">
      <w:pPr>
        <w:pStyle w:val="Caption"/>
      </w:pPr>
      <w:bookmarkStart w:id="84" w:name="_Toc508972156"/>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7</w:t>
      </w:r>
      <w:r w:rsidR="008079F1">
        <w:rPr>
          <w:noProof/>
        </w:rPr>
        <w:fldChar w:fldCharType="end"/>
      </w:r>
      <w:r>
        <w:rPr>
          <w:noProof/>
        </w:rPr>
        <w:t xml:space="preserve"> </w:t>
      </w:r>
      <w:r w:rsidR="00A43B22">
        <w:t>Geology and petroleum prospectivity summary</w:t>
      </w:r>
      <w:bookmarkEnd w:id="84"/>
    </w:p>
    <w:tbl>
      <w:tblPr>
        <w:tblStyle w:val="TableGrid"/>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28" w:type="dxa"/>
          <w:right w:w="57" w:type="dxa"/>
        </w:tblCellMar>
        <w:tblLook w:val="04A0" w:firstRow="1" w:lastRow="0" w:firstColumn="1" w:lastColumn="0" w:noHBand="0" w:noVBand="1"/>
      </w:tblPr>
      <w:tblGrid>
        <w:gridCol w:w="3961"/>
        <w:gridCol w:w="5658"/>
      </w:tblGrid>
      <w:tr w:rsidR="007F74B1" w14:paraId="75501F01" w14:textId="77777777" w:rsidTr="00CA7302">
        <w:tc>
          <w:tcPr>
            <w:tcW w:w="9639" w:type="dxa"/>
            <w:gridSpan w:val="2"/>
            <w:shd w:val="clear" w:color="auto" w:fill="146692"/>
          </w:tcPr>
          <w:p w14:paraId="1A6023F5" w14:textId="4DFF70A3" w:rsidR="007F74B1" w:rsidRPr="007F74B1" w:rsidRDefault="007F74B1" w:rsidP="007F74B1">
            <w:pPr>
              <w:pStyle w:val="BodyText"/>
              <w:spacing w:before="20" w:after="20" w:line="120" w:lineRule="atLeast"/>
              <w:rPr>
                <w:b/>
                <w:color w:val="FFFFFF" w:themeColor="background1"/>
              </w:rPr>
            </w:pPr>
            <w:r w:rsidRPr="007F74B1">
              <w:rPr>
                <w:b/>
                <w:color w:val="FFFFFF" w:themeColor="background1"/>
              </w:rPr>
              <w:t>GENERAL</w:t>
            </w:r>
          </w:p>
        </w:tc>
      </w:tr>
      <w:tr w:rsidR="00C82BCA" w14:paraId="2A73842F" w14:textId="77777777" w:rsidTr="00CA7302">
        <w:tc>
          <w:tcPr>
            <w:tcW w:w="3969" w:type="dxa"/>
            <w:shd w:val="clear" w:color="auto" w:fill="146692"/>
          </w:tcPr>
          <w:p w14:paraId="1DC261A0" w14:textId="3498D33D" w:rsidR="00C82BCA" w:rsidRPr="007F74B1" w:rsidRDefault="00C82BCA" w:rsidP="007F74B1">
            <w:pPr>
              <w:pStyle w:val="BodyText"/>
              <w:spacing w:before="20" w:after="20" w:line="120" w:lineRule="atLeast"/>
              <w:rPr>
                <w:b/>
                <w:color w:val="FFFFFF" w:themeColor="background1"/>
              </w:rPr>
            </w:pPr>
            <w:r w:rsidRPr="007F74B1">
              <w:rPr>
                <w:b/>
                <w:color w:val="FFFFFF" w:themeColor="background1"/>
              </w:rPr>
              <w:t>Jurisdiction</w:t>
            </w:r>
          </w:p>
        </w:tc>
        <w:tc>
          <w:tcPr>
            <w:tcW w:w="5670" w:type="dxa"/>
            <w:shd w:val="clear" w:color="auto" w:fill="E1F2FB"/>
          </w:tcPr>
          <w:p w14:paraId="4527FF22" w14:textId="65EC8A79" w:rsidR="00C82BCA" w:rsidRDefault="00C82BCA" w:rsidP="007F74B1">
            <w:pPr>
              <w:pStyle w:val="BodyText"/>
              <w:spacing w:before="20" w:after="20" w:line="120" w:lineRule="atLeast"/>
            </w:pPr>
            <w:r w:rsidRPr="007F2DC7">
              <w:t>New South Wales, Queensland</w:t>
            </w:r>
          </w:p>
        </w:tc>
      </w:tr>
      <w:tr w:rsidR="00C82BCA" w14:paraId="4DB54F87" w14:textId="77777777" w:rsidTr="00CA7302">
        <w:tc>
          <w:tcPr>
            <w:tcW w:w="3969" w:type="dxa"/>
            <w:shd w:val="clear" w:color="auto" w:fill="146692"/>
          </w:tcPr>
          <w:p w14:paraId="2CA2C7D5" w14:textId="3E893074" w:rsidR="00C82BCA" w:rsidRPr="007F74B1" w:rsidRDefault="00C82BCA" w:rsidP="007F74B1">
            <w:pPr>
              <w:pStyle w:val="BodyText"/>
              <w:spacing w:before="20" w:after="20" w:line="120" w:lineRule="atLeast"/>
              <w:rPr>
                <w:b/>
                <w:color w:val="FFFFFF" w:themeColor="background1"/>
              </w:rPr>
            </w:pPr>
            <w:r w:rsidRPr="007F74B1">
              <w:rPr>
                <w:b/>
                <w:color w:val="FFFFFF" w:themeColor="background1"/>
              </w:rPr>
              <w:t>Area</w:t>
            </w:r>
          </w:p>
        </w:tc>
        <w:tc>
          <w:tcPr>
            <w:tcW w:w="5670" w:type="dxa"/>
            <w:shd w:val="clear" w:color="auto" w:fill="E1F2FB"/>
          </w:tcPr>
          <w:p w14:paraId="7BD8F82A" w14:textId="3014AC95" w:rsidR="00C82BCA" w:rsidRDefault="00C82BCA" w:rsidP="007F74B1">
            <w:pPr>
              <w:pStyle w:val="BodyText"/>
              <w:spacing w:before="20" w:after="20" w:line="120" w:lineRule="atLeast"/>
            </w:pPr>
            <w:r w:rsidRPr="007F2DC7">
              <w:t>153,690 km2</w:t>
            </w:r>
          </w:p>
        </w:tc>
      </w:tr>
      <w:tr w:rsidR="00C82BCA" w14:paraId="13A970DD" w14:textId="77777777" w:rsidTr="00CA7302">
        <w:tc>
          <w:tcPr>
            <w:tcW w:w="3969" w:type="dxa"/>
            <w:shd w:val="clear" w:color="auto" w:fill="146692"/>
          </w:tcPr>
          <w:p w14:paraId="3FB8DA04" w14:textId="242D8CD3" w:rsidR="00C82BCA" w:rsidRPr="007F74B1" w:rsidRDefault="00C82BCA" w:rsidP="007F74B1">
            <w:pPr>
              <w:pStyle w:val="BodyText"/>
              <w:spacing w:before="20" w:after="20" w:line="120" w:lineRule="atLeast"/>
              <w:rPr>
                <w:b/>
                <w:color w:val="FFFFFF" w:themeColor="background1"/>
              </w:rPr>
            </w:pPr>
            <w:r w:rsidRPr="007F74B1">
              <w:rPr>
                <w:b/>
                <w:color w:val="FFFFFF" w:themeColor="background1"/>
              </w:rPr>
              <w:t>Maximum basin depth</w:t>
            </w:r>
          </w:p>
        </w:tc>
        <w:tc>
          <w:tcPr>
            <w:tcW w:w="5670" w:type="dxa"/>
            <w:shd w:val="clear" w:color="auto" w:fill="E1F2FB"/>
          </w:tcPr>
          <w:p w14:paraId="31909B7A" w14:textId="02803314" w:rsidR="00C82BCA" w:rsidRDefault="00C82BCA" w:rsidP="007F74B1">
            <w:pPr>
              <w:pStyle w:val="BodyText"/>
              <w:spacing w:before="20" w:after="20" w:line="120" w:lineRule="atLeast"/>
            </w:pPr>
            <w:r w:rsidRPr="007F2DC7">
              <w:t>~12,000 m</w:t>
            </w:r>
          </w:p>
        </w:tc>
      </w:tr>
      <w:tr w:rsidR="00C82BCA" w14:paraId="3C7E3897" w14:textId="77777777" w:rsidTr="00CA7302">
        <w:tc>
          <w:tcPr>
            <w:tcW w:w="3969" w:type="dxa"/>
            <w:shd w:val="clear" w:color="auto" w:fill="146692"/>
          </w:tcPr>
          <w:p w14:paraId="665B8415" w14:textId="0B343121" w:rsidR="00C82BCA" w:rsidRPr="007F74B1" w:rsidRDefault="00C82BCA" w:rsidP="007F74B1">
            <w:pPr>
              <w:pStyle w:val="BodyText"/>
              <w:spacing w:before="20" w:after="20" w:line="120" w:lineRule="atLeast"/>
              <w:rPr>
                <w:b/>
                <w:color w:val="FFFFFF" w:themeColor="background1"/>
              </w:rPr>
            </w:pPr>
            <w:r w:rsidRPr="007F74B1">
              <w:rPr>
                <w:b/>
                <w:color w:val="FFFFFF" w:themeColor="background1"/>
              </w:rPr>
              <w:t>Maximum sediment thickness</w:t>
            </w:r>
          </w:p>
        </w:tc>
        <w:tc>
          <w:tcPr>
            <w:tcW w:w="5670" w:type="dxa"/>
            <w:shd w:val="clear" w:color="auto" w:fill="E1F2FB"/>
          </w:tcPr>
          <w:p w14:paraId="5FE70380" w14:textId="6C4D6E91" w:rsidR="00C82BCA" w:rsidRDefault="00C82BCA" w:rsidP="007F74B1">
            <w:pPr>
              <w:pStyle w:val="BodyText"/>
              <w:spacing w:before="20" w:after="20" w:line="120" w:lineRule="atLeast"/>
            </w:pPr>
            <w:r w:rsidRPr="007F2DC7">
              <w:t>~10,000 m</w:t>
            </w:r>
          </w:p>
        </w:tc>
      </w:tr>
      <w:tr w:rsidR="00C82BCA" w14:paraId="4D4A64A2" w14:textId="77777777" w:rsidTr="00CA7302">
        <w:tc>
          <w:tcPr>
            <w:tcW w:w="3969" w:type="dxa"/>
            <w:shd w:val="clear" w:color="auto" w:fill="146692"/>
          </w:tcPr>
          <w:p w14:paraId="514DD2B2" w14:textId="7197AE9E" w:rsidR="00C82BCA" w:rsidRPr="007F74B1" w:rsidRDefault="00C82BCA" w:rsidP="007F74B1">
            <w:pPr>
              <w:pStyle w:val="BodyText"/>
              <w:spacing w:before="20" w:after="20" w:line="120" w:lineRule="atLeast"/>
              <w:rPr>
                <w:b/>
                <w:color w:val="FFFFFF" w:themeColor="background1"/>
              </w:rPr>
            </w:pPr>
            <w:r w:rsidRPr="007F74B1">
              <w:rPr>
                <w:b/>
                <w:color w:val="FFFFFF" w:themeColor="background1"/>
              </w:rPr>
              <w:t>Age range</w:t>
            </w:r>
          </w:p>
        </w:tc>
        <w:tc>
          <w:tcPr>
            <w:tcW w:w="5670" w:type="dxa"/>
            <w:shd w:val="clear" w:color="auto" w:fill="E1F2FB"/>
          </w:tcPr>
          <w:p w14:paraId="3198C856" w14:textId="6312E15A" w:rsidR="00C82BCA" w:rsidRDefault="00C82BCA" w:rsidP="007F74B1">
            <w:pPr>
              <w:pStyle w:val="BodyText"/>
              <w:spacing w:before="20" w:after="20" w:line="120" w:lineRule="atLeast"/>
            </w:pPr>
            <w:r w:rsidRPr="007F2DC7">
              <w:t>Permian–Triassic</w:t>
            </w:r>
          </w:p>
        </w:tc>
      </w:tr>
      <w:tr w:rsidR="00C82BCA" w14:paraId="301EBBCC" w14:textId="77777777" w:rsidTr="00CA7302">
        <w:tc>
          <w:tcPr>
            <w:tcW w:w="3969" w:type="dxa"/>
            <w:shd w:val="clear" w:color="auto" w:fill="146692"/>
          </w:tcPr>
          <w:p w14:paraId="3A036914" w14:textId="665C2092" w:rsidR="00C82BCA" w:rsidRPr="007F74B1" w:rsidRDefault="00C82BCA" w:rsidP="007F74B1">
            <w:pPr>
              <w:pStyle w:val="BodyText"/>
              <w:spacing w:before="20" w:after="20" w:line="120" w:lineRule="atLeast"/>
              <w:rPr>
                <w:b/>
                <w:color w:val="FFFFFF" w:themeColor="background1"/>
              </w:rPr>
            </w:pPr>
            <w:r w:rsidRPr="007F74B1">
              <w:rPr>
                <w:b/>
                <w:color w:val="FFFFFF" w:themeColor="background1"/>
              </w:rPr>
              <w:t>Depositional setting</w:t>
            </w:r>
          </w:p>
        </w:tc>
        <w:tc>
          <w:tcPr>
            <w:tcW w:w="5670" w:type="dxa"/>
            <w:shd w:val="clear" w:color="auto" w:fill="E1F2FB"/>
          </w:tcPr>
          <w:p w14:paraId="2FE2F005" w14:textId="775A69F0" w:rsidR="00C82BCA" w:rsidRDefault="00C82BCA" w:rsidP="007F74B1">
            <w:pPr>
              <w:pStyle w:val="BodyText"/>
              <w:spacing w:before="20" w:after="20" w:line="120" w:lineRule="atLeast"/>
            </w:pPr>
            <w:r w:rsidRPr="007F2DC7">
              <w:t>Marine, deltaic and fluvial</w:t>
            </w:r>
          </w:p>
        </w:tc>
      </w:tr>
      <w:tr w:rsidR="00C82BCA" w14:paraId="07A47660" w14:textId="77777777" w:rsidTr="00CA7302">
        <w:tc>
          <w:tcPr>
            <w:tcW w:w="3969" w:type="dxa"/>
            <w:shd w:val="clear" w:color="auto" w:fill="146692"/>
          </w:tcPr>
          <w:p w14:paraId="26173BA1" w14:textId="629F016A" w:rsidR="00C82BCA" w:rsidRPr="007F74B1" w:rsidRDefault="00C82BCA" w:rsidP="007F74B1">
            <w:pPr>
              <w:pStyle w:val="BodyText"/>
              <w:spacing w:before="20" w:after="20" w:line="120" w:lineRule="atLeast"/>
              <w:rPr>
                <w:b/>
                <w:color w:val="FFFFFF" w:themeColor="background1"/>
              </w:rPr>
            </w:pPr>
            <w:r w:rsidRPr="007F74B1">
              <w:rPr>
                <w:b/>
                <w:color w:val="FFFFFF" w:themeColor="background1"/>
              </w:rPr>
              <w:t>Regional structure</w:t>
            </w:r>
          </w:p>
        </w:tc>
        <w:tc>
          <w:tcPr>
            <w:tcW w:w="5670" w:type="dxa"/>
            <w:shd w:val="clear" w:color="auto" w:fill="E1F2FB"/>
          </w:tcPr>
          <w:p w14:paraId="64576401" w14:textId="090628A3" w:rsidR="00C82BCA" w:rsidRDefault="00C82BCA" w:rsidP="007F74B1">
            <w:pPr>
              <w:pStyle w:val="BodyText"/>
              <w:spacing w:before="20" w:after="20" w:line="120" w:lineRule="atLeast"/>
            </w:pPr>
            <w:r w:rsidRPr="007F2DC7">
              <w:t>Extensional–foreland basin; large synclinal structure (Taroom Trough) flanked to the west by series of half graben (Denison Trough)</w:t>
            </w:r>
          </w:p>
        </w:tc>
      </w:tr>
      <w:tr w:rsidR="00C82BCA" w14:paraId="680885B6" w14:textId="77777777" w:rsidTr="00CA7302">
        <w:tc>
          <w:tcPr>
            <w:tcW w:w="3969" w:type="dxa"/>
            <w:shd w:val="clear" w:color="auto" w:fill="146692"/>
          </w:tcPr>
          <w:p w14:paraId="1B6951D9" w14:textId="4C51A29F" w:rsidR="00C82BCA" w:rsidRPr="007F74B1" w:rsidRDefault="00C82BCA" w:rsidP="007F74B1">
            <w:pPr>
              <w:pStyle w:val="BodyText"/>
              <w:spacing w:before="20" w:after="20" w:line="120" w:lineRule="atLeast"/>
              <w:rPr>
                <w:b/>
                <w:color w:val="FFFFFF" w:themeColor="background1"/>
              </w:rPr>
            </w:pPr>
            <w:r w:rsidRPr="007F74B1">
              <w:rPr>
                <w:b/>
                <w:color w:val="FFFFFF" w:themeColor="background1"/>
              </w:rPr>
              <w:t>Overlying basin(s)</w:t>
            </w:r>
          </w:p>
        </w:tc>
        <w:tc>
          <w:tcPr>
            <w:tcW w:w="5670" w:type="dxa"/>
            <w:shd w:val="clear" w:color="auto" w:fill="E1F2FB"/>
          </w:tcPr>
          <w:p w14:paraId="3275B0B3" w14:textId="72D88A72" w:rsidR="00C82BCA" w:rsidRDefault="00C82BCA" w:rsidP="007F74B1">
            <w:pPr>
              <w:pStyle w:val="BodyText"/>
              <w:spacing w:before="20" w:after="20" w:line="120" w:lineRule="atLeast"/>
            </w:pPr>
            <w:r w:rsidRPr="007F2DC7">
              <w:t>Surat Basin</w:t>
            </w:r>
          </w:p>
        </w:tc>
      </w:tr>
      <w:tr w:rsidR="007F74B1" w14:paraId="7CFD0366" w14:textId="77777777" w:rsidTr="00CA7302">
        <w:tc>
          <w:tcPr>
            <w:tcW w:w="9639" w:type="dxa"/>
            <w:gridSpan w:val="2"/>
            <w:shd w:val="clear" w:color="auto" w:fill="146692"/>
          </w:tcPr>
          <w:p w14:paraId="7D107F9F" w14:textId="79E93A9C" w:rsidR="007F74B1" w:rsidRPr="007F74B1" w:rsidRDefault="007F74B1" w:rsidP="007F74B1">
            <w:pPr>
              <w:pStyle w:val="BodyText"/>
              <w:spacing w:before="20" w:after="20" w:line="120" w:lineRule="atLeast"/>
              <w:rPr>
                <w:color w:val="FFFFFF" w:themeColor="background1"/>
              </w:rPr>
            </w:pPr>
            <w:r w:rsidRPr="007F74B1">
              <w:rPr>
                <w:b/>
                <w:color w:val="FFFFFF" w:themeColor="background1"/>
              </w:rPr>
              <w:t>EXPLORATION STATUS</w:t>
            </w:r>
          </w:p>
        </w:tc>
      </w:tr>
      <w:tr w:rsidR="00C82BCA" w14:paraId="22F89EDE" w14:textId="77777777" w:rsidTr="00CA7302">
        <w:tc>
          <w:tcPr>
            <w:tcW w:w="3969" w:type="dxa"/>
            <w:shd w:val="clear" w:color="auto" w:fill="146692"/>
          </w:tcPr>
          <w:p w14:paraId="49FD8324" w14:textId="6A4D6EA1"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Seismic lines</w:t>
            </w:r>
          </w:p>
        </w:tc>
        <w:tc>
          <w:tcPr>
            <w:tcW w:w="5670" w:type="dxa"/>
            <w:shd w:val="clear" w:color="auto" w:fill="E1F2FB"/>
          </w:tcPr>
          <w:p w14:paraId="1D9CC9DB" w14:textId="379A1964" w:rsidR="00C82BCA" w:rsidRPr="00122671" w:rsidRDefault="00C82BCA" w:rsidP="007F74B1">
            <w:pPr>
              <w:pStyle w:val="BodyText"/>
              <w:spacing w:before="20" w:after="20" w:line="120" w:lineRule="atLeast"/>
            </w:pPr>
            <w:r w:rsidRPr="00122671">
              <w:t>57,035 km of 2D seismic</w:t>
            </w:r>
          </w:p>
        </w:tc>
      </w:tr>
      <w:tr w:rsidR="00C82BCA" w14:paraId="3EB66963" w14:textId="77777777" w:rsidTr="00CA7302">
        <w:tc>
          <w:tcPr>
            <w:tcW w:w="3969" w:type="dxa"/>
            <w:shd w:val="clear" w:color="auto" w:fill="146692"/>
          </w:tcPr>
          <w:p w14:paraId="2882CF5D" w14:textId="2DCCD151"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Number of petroleum wells</w:t>
            </w:r>
          </w:p>
        </w:tc>
        <w:tc>
          <w:tcPr>
            <w:tcW w:w="5670" w:type="dxa"/>
            <w:shd w:val="clear" w:color="auto" w:fill="E1F2FB"/>
          </w:tcPr>
          <w:p w14:paraId="3D59F26F" w14:textId="2586EEEA" w:rsidR="00C82BCA" w:rsidRPr="00122671" w:rsidRDefault="00C82BCA" w:rsidP="007F74B1">
            <w:pPr>
              <w:pStyle w:val="BodyText"/>
              <w:spacing w:before="20" w:after="20" w:line="120" w:lineRule="atLeast"/>
            </w:pPr>
            <w:r w:rsidRPr="00122671">
              <w:t>&gt;300</w:t>
            </w:r>
          </w:p>
        </w:tc>
      </w:tr>
      <w:tr w:rsidR="00C82BCA" w14:paraId="24AE0B5F" w14:textId="77777777" w:rsidTr="00CA7302">
        <w:tc>
          <w:tcPr>
            <w:tcW w:w="3969" w:type="dxa"/>
            <w:shd w:val="clear" w:color="auto" w:fill="146692"/>
          </w:tcPr>
          <w:p w14:paraId="2D16CFE4" w14:textId="44883C5B"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Exploration status – conventional</w:t>
            </w:r>
          </w:p>
        </w:tc>
        <w:tc>
          <w:tcPr>
            <w:tcW w:w="5670" w:type="dxa"/>
            <w:shd w:val="clear" w:color="auto" w:fill="E1F2FB"/>
          </w:tcPr>
          <w:p w14:paraId="5F32387D" w14:textId="3980557C" w:rsidR="00C82BCA" w:rsidRPr="00122671" w:rsidRDefault="00C82BCA" w:rsidP="007F74B1">
            <w:pPr>
              <w:pStyle w:val="BodyText"/>
              <w:spacing w:before="20" w:after="20" w:line="120" w:lineRule="atLeast"/>
            </w:pPr>
            <w:r w:rsidRPr="00122671">
              <w:t>Producing/mature</w:t>
            </w:r>
          </w:p>
        </w:tc>
      </w:tr>
      <w:tr w:rsidR="00C82BCA" w14:paraId="1179F740" w14:textId="77777777" w:rsidTr="00CA7302">
        <w:tc>
          <w:tcPr>
            <w:tcW w:w="3969" w:type="dxa"/>
            <w:shd w:val="clear" w:color="auto" w:fill="146692"/>
          </w:tcPr>
          <w:p w14:paraId="46B9056A" w14:textId="0B5C5B81"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Exploration status – coal seam gas</w:t>
            </w:r>
          </w:p>
        </w:tc>
        <w:tc>
          <w:tcPr>
            <w:tcW w:w="5670" w:type="dxa"/>
            <w:shd w:val="clear" w:color="auto" w:fill="E1F2FB"/>
          </w:tcPr>
          <w:p w14:paraId="43118076" w14:textId="712F1517" w:rsidR="00C82BCA" w:rsidRPr="00122671" w:rsidRDefault="00C82BCA" w:rsidP="007F74B1">
            <w:pPr>
              <w:pStyle w:val="BodyText"/>
              <w:spacing w:before="20" w:after="20" w:line="120" w:lineRule="atLeast"/>
            </w:pPr>
            <w:r w:rsidRPr="00122671">
              <w:t>Producing/mature</w:t>
            </w:r>
          </w:p>
        </w:tc>
      </w:tr>
      <w:tr w:rsidR="00C82BCA" w14:paraId="0749A7F2" w14:textId="77777777" w:rsidTr="00CA7302">
        <w:tc>
          <w:tcPr>
            <w:tcW w:w="3969" w:type="dxa"/>
            <w:shd w:val="clear" w:color="auto" w:fill="146692"/>
          </w:tcPr>
          <w:p w14:paraId="36782F75" w14:textId="3648FA28"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Exploration status – shale/ tight gas</w:t>
            </w:r>
          </w:p>
        </w:tc>
        <w:tc>
          <w:tcPr>
            <w:tcW w:w="5670" w:type="dxa"/>
            <w:shd w:val="clear" w:color="auto" w:fill="E1F2FB"/>
          </w:tcPr>
          <w:p w14:paraId="3BC17245" w14:textId="28B1B277" w:rsidR="00C82BCA" w:rsidRPr="00122671" w:rsidRDefault="00C82BCA" w:rsidP="007F74B1">
            <w:pPr>
              <w:pStyle w:val="BodyText"/>
              <w:spacing w:before="20" w:after="20" w:line="120" w:lineRule="atLeast"/>
            </w:pPr>
            <w:r w:rsidRPr="00122671">
              <w:t>Preliminary exploration</w:t>
            </w:r>
          </w:p>
        </w:tc>
      </w:tr>
      <w:tr w:rsidR="0075027D" w14:paraId="3C49B973" w14:textId="77777777" w:rsidTr="00CA7302">
        <w:tc>
          <w:tcPr>
            <w:tcW w:w="9639" w:type="dxa"/>
            <w:gridSpan w:val="2"/>
            <w:shd w:val="clear" w:color="auto" w:fill="146692"/>
          </w:tcPr>
          <w:p w14:paraId="07AE1434" w14:textId="6725550B" w:rsidR="0075027D" w:rsidRPr="0075027D" w:rsidRDefault="0075027D" w:rsidP="007F74B1">
            <w:pPr>
              <w:pStyle w:val="BodyText"/>
              <w:spacing w:before="20" w:after="20" w:line="120" w:lineRule="atLeast"/>
              <w:rPr>
                <w:b/>
                <w:color w:val="FFFFFF" w:themeColor="background1"/>
              </w:rPr>
            </w:pPr>
            <w:r w:rsidRPr="0075027D">
              <w:rPr>
                <w:b/>
                <w:color w:val="FFFFFF" w:themeColor="background1"/>
              </w:rPr>
              <w:t>PETROLEUM PROSPECTIVITY -  GENERAL</w:t>
            </w:r>
          </w:p>
        </w:tc>
      </w:tr>
      <w:tr w:rsidR="00C82BCA" w14:paraId="794DBAF6" w14:textId="77777777" w:rsidTr="00CA7302">
        <w:tc>
          <w:tcPr>
            <w:tcW w:w="3969" w:type="dxa"/>
            <w:shd w:val="clear" w:color="auto" w:fill="146692"/>
          </w:tcPr>
          <w:p w14:paraId="5AFCECF0" w14:textId="71B120A7"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Petroleum systems</w:t>
            </w:r>
          </w:p>
        </w:tc>
        <w:tc>
          <w:tcPr>
            <w:tcW w:w="5670" w:type="dxa"/>
            <w:shd w:val="clear" w:color="auto" w:fill="E1F2FB"/>
          </w:tcPr>
          <w:p w14:paraId="341A8ADB" w14:textId="333E9D5B" w:rsidR="00C82BCA" w:rsidRDefault="00C82BCA" w:rsidP="007F74B1">
            <w:pPr>
              <w:pStyle w:val="BodyText"/>
              <w:spacing w:before="20" w:after="20" w:line="120" w:lineRule="atLeast"/>
            </w:pPr>
            <w:r w:rsidRPr="007F2DC7">
              <w:t>Proven (Gondwanan)</w:t>
            </w:r>
          </w:p>
        </w:tc>
      </w:tr>
      <w:tr w:rsidR="00C82BCA" w14:paraId="03D3467C" w14:textId="77777777" w:rsidTr="00CA7302">
        <w:tc>
          <w:tcPr>
            <w:tcW w:w="3969" w:type="dxa"/>
            <w:shd w:val="clear" w:color="auto" w:fill="146692"/>
          </w:tcPr>
          <w:p w14:paraId="14F65D15" w14:textId="04277B1D"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Prospectivity</w:t>
            </w:r>
          </w:p>
        </w:tc>
        <w:tc>
          <w:tcPr>
            <w:tcW w:w="5670" w:type="dxa"/>
            <w:shd w:val="clear" w:color="auto" w:fill="E1F2FB"/>
          </w:tcPr>
          <w:p w14:paraId="4A5D996A" w14:textId="79AAACD9" w:rsidR="00C82BCA" w:rsidRDefault="00C82BCA" w:rsidP="007F74B1">
            <w:pPr>
              <w:pStyle w:val="BodyText"/>
              <w:spacing w:before="20" w:after="20" w:line="120" w:lineRule="atLeast"/>
            </w:pPr>
            <w:r w:rsidRPr="007F2DC7">
              <w:t>High</w:t>
            </w:r>
          </w:p>
        </w:tc>
      </w:tr>
      <w:tr w:rsidR="00C82BCA" w14:paraId="648C46CB" w14:textId="77777777" w:rsidTr="00CA7302">
        <w:tc>
          <w:tcPr>
            <w:tcW w:w="3969" w:type="dxa"/>
            <w:shd w:val="clear" w:color="auto" w:fill="146692"/>
          </w:tcPr>
          <w:p w14:paraId="09EE00B5" w14:textId="23B5EC35"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 xml:space="preserve">Conventional discoveries </w:t>
            </w:r>
          </w:p>
        </w:tc>
        <w:tc>
          <w:tcPr>
            <w:tcW w:w="5670" w:type="dxa"/>
            <w:shd w:val="clear" w:color="auto" w:fill="E1F2FB"/>
          </w:tcPr>
          <w:p w14:paraId="0A9DD8A1" w14:textId="15336BF9" w:rsidR="00C82BCA" w:rsidRDefault="00C82BCA" w:rsidP="007F74B1">
            <w:pPr>
              <w:pStyle w:val="BodyText"/>
              <w:spacing w:before="20" w:after="20" w:line="120" w:lineRule="atLeast"/>
            </w:pPr>
            <w:r w:rsidRPr="007F2DC7">
              <w:t>&gt;100; Moonie oil, Roma Shelf gas,  Denison Trough gas,  western Bowen gas/oil, Comet Ridge CSG</w:t>
            </w:r>
          </w:p>
        </w:tc>
      </w:tr>
      <w:tr w:rsidR="00C82BCA" w14:paraId="51B923C2" w14:textId="77777777" w:rsidTr="00CA7302">
        <w:tc>
          <w:tcPr>
            <w:tcW w:w="3969" w:type="dxa"/>
            <w:shd w:val="clear" w:color="auto" w:fill="146692"/>
          </w:tcPr>
          <w:p w14:paraId="2133D016" w14:textId="70C1E434"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Hydrocarbon production – total to date</w:t>
            </w:r>
          </w:p>
        </w:tc>
        <w:tc>
          <w:tcPr>
            <w:tcW w:w="5670" w:type="dxa"/>
            <w:shd w:val="clear" w:color="auto" w:fill="E1F2FB"/>
          </w:tcPr>
          <w:p w14:paraId="5BC28D72" w14:textId="595C9A4C" w:rsidR="00C82BCA" w:rsidRDefault="00C82BCA" w:rsidP="007F74B1">
            <w:pPr>
              <w:pStyle w:val="BodyText"/>
              <w:spacing w:before="20" w:after="20" w:line="120" w:lineRule="atLeast"/>
            </w:pPr>
            <w:r w:rsidRPr="007F2DC7">
              <w:t>0.94 Tcf cumulative conventional gas production; 1.9 Tcf CSG (includes the overlying Surat Basin; current to 2014; AERA, 2018)</w:t>
            </w:r>
          </w:p>
        </w:tc>
      </w:tr>
      <w:tr w:rsidR="00C82BCA" w14:paraId="37F0C0E1" w14:textId="77777777" w:rsidTr="00CA7302">
        <w:tc>
          <w:tcPr>
            <w:tcW w:w="3969" w:type="dxa"/>
            <w:shd w:val="clear" w:color="auto" w:fill="146692"/>
          </w:tcPr>
          <w:p w14:paraId="33A5C741" w14:textId="509835BE"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 xml:space="preserve">2P Reserves </w:t>
            </w:r>
          </w:p>
        </w:tc>
        <w:tc>
          <w:tcPr>
            <w:tcW w:w="5670" w:type="dxa"/>
            <w:shd w:val="clear" w:color="auto" w:fill="E1F2FB"/>
          </w:tcPr>
          <w:p w14:paraId="79D9E9F1" w14:textId="7A529595" w:rsidR="00C82BCA" w:rsidRDefault="00C82BCA" w:rsidP="007F74B1">
            <w:pPr>
              <w:pStyle w:val="BodyText"/>
              <w:spacing w:before="20" w:after="20" w:line="120" w:lineRule="atLeast"/>
            </w:pPr>
            <w:r w:rsidRPr="007F2DC7">
              <w:t>0.1 Tcf conventional; 40.03 Tcf CSG (includes the overlying Surat Basin; current to 2014; AERA, 2018)</w:t>
            </w:r>
          </w:p>
        </w:tc>
      </w:tr>
      <w:tr w:rsidR="00C82BCA" w14:paraId="47401F0B" w14:textId="77777777" w:rsidTr="00CA7302">
        <w:tc>
          <w:tcPr>
            <w:tcW w:w="3969" w:type="dxa"/>
            <w:shd w:val="clear" w:color="auto" w:fill="146692"/>
          </w:tcPr>
          <w:p w14:paraId="0C4AEFBA" w14:textId="4D4173FB"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Remaining resources (reserves + contingent resources)</w:t>
            </w:r>
          </w:p>
        </w:tc>
        <w:tc>
          <w:tcPr>
            <w:tcW w:w="5670" w:type="dxa"/>
            <w:shd w:val="clear" w:color="auto" w:fill="E1F2FB"/>
          </w:tcPr>
          <w:p w14:paraId="31DB5B08" w14:textId="630B51F4" w:rsidR="00C82BCA" w:rsidRDefault="00C82BCA" w:rsidP="007F74B1">
            <w:pPr>
              <w:pStyle w:val="BodyText"/>
              <w:spacing w:before="20" w:after="20" w:line="120" w:lineRule="atLeast"/>
            </w:pPr>
            <w:r w:rsidRPr="007F2DC7">
              <w:t>0.1 Tcf conventional; 59.2 Tcf CSG (includes the overlying Surat Basin; current to 2014; AERA, 2018)</w:t>
            </w:r>
          </w:p>
        </w:tc>
      </w:tr>
      <w:tr w:rsidR="00C82BCA" w14:paraId="1EB33D16" w14:textId="77777777" w:rsidTr="00CA7302">
        <w:tc>
          <w:tcPr>
            <w:tcW w:w="3969" w:type="dxa"/>
            <w:shd w:val="clear" w:color="auto" w:fill="146692"/>
          </w:tcPr>
          <w:p w14:paraId="500528BF" w14:textId="4453DB73"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 xml:space="preserve">Undiscovered resource estimates </w:t>
            </w:r>
          </w:p>
        </w:tc>
        <w:tc>
          <w:tcPr>
            <w:tcW w:w="5670" w:type="dxa"/>
            <w:shd w:val="clear" w:color="auto" w:fill="E1F2FB"/>
          </w:tcPr>
          <w:p w14:paraId="70F9154E" w14:textId="6016B480" w:rsidR="00C82BCA" w:rsidRDefault="00C82BCA" w:rsidP="007F74B1">
            <w:pPr>
              <w:pStyle w:val="BodyText"/>
              <w:spacing w:before="20" w:after="20" w:line="120" w:lineRule="atLeast"/>
            </w:pPr>
            <w:r w:rsidRPr="007F2DC7">
              <w:t>Conventional and CSG unknown; see below for shale gas</w:t>
            </w:r>
          </w:p>
        </w:tc>
      </w:tr>
      <w:tr w:rsidR="0075027D" w14:paraId="3608CDE8" w14:textId="77777777" w:rsidTr="00CA7302">
        <w:tc>
          <w:tcPr>
            <w:tcW w:w="9639" w:type="dxa"/>
            <w:gridSpan w:val="2"/>
            <w:shd w:val="clear" w:color="auto" w:fill="146692"/>
          </w:tcPr>
          <w:p w14:paraId="2F60F7A2" w14:textId="62B59203" w:rsidR="0075027D" w:rsidRPr="0075027D" w:rsidRDefault="0075027D" w:rsidP="007F74B1">
            <w:pPr>
              <w:pStyle w:val="BodyText"/>
              <w:spacing w:before="20" w:after="20" w:line="120" w:lineRule="atLeast"/>
              <w:rPr>
                <w:b/>
                <w:color w:val="FFFFFF" w:themeColor="background1"/>
              </w:rPr>
            </w:pPr>
            <w:r w:rsidRPr="0075027D">
              <w:rPr>
                <w:b/>
                <w:color w:val="FFFFFF" w:themeColor="background1"/>
              </w:rPr>
              <w:t>PETROLEUM PROSPECTIVITY – SHALE/ TIGHT GAS</w:t>
            </w:r>
          </w:p>
        </w:tc>
      </w:tr>
      <w:tr w:rsidR="00C82BCA" w14:paraId="20C9E8F2" w14:textId="77777777" w:rsidTr="00CA7302">
        <w:tc>
          <w:tcPr>
            <w:tcW w:w="3969" w:type="dxa"/>
            <w:shd w:val="clear" w:color="auto" w:fill="146692"/>
          </w:tcPr>
          <w:p w14:paraId="75D95753" w14:textId="395623C0"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Unconventional play types</w:t>
            </w:r>
          </w:p>
        </w:tc>
        <w:tc>
          <w:tcPr>
            <w:tcW w:w="5670" w:type="dxa"/>
            <w:shd w:val="clear" w:color="auto" w:fill="E1F2FB"/>
          </w:tcPr>
          <w:p w14:paraId="2DF811A6" w14:textId="38A64DAC" w:rsidR="00C82BCA" w:rsidRDefault="00C82BCA" w:rsidP="007F74B1">
            <w:pPr>
              <w:pStyle w:val="BodyText"/>
              <w:spacing w:before="20" w:after="20" w:line="120" w:lineRule="atLeast"/>
            </w:pPr>
            <w:r w:rsidRPr="007F2DC7">
              <w:t>Shale gas, tight gas</w:t>
            </w:r>
          </w:p>
        </w:tc>
      </w:tr>
      <w:tr w:rsidR="00C82BCA" w14:paraId="51498C7F" w14:textId="77777777" w:rsidTr="00CA7302">
        <w:tc>
          <w:tcPr>
            <w:tcW w:w="3969" w:type="dxa"/>
            <w:shd w:val="clear" w:color="auto" w:fill="146692"/>
          </w:tcPr>
          <w:p w14:paraId="71285A4B" w14:textId="5EFE9FEA"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No. of wells targeting shale/ tight gas plays</w:t>
            </w:r>
          </w:p>
        </w:tc>
        <w:tc>
          <w:tcPr>
            <w:tcW w:w="5670" w:type="dxa"/>
            <w:shd w:val="clear" w:color="auto" w:fill="E1F2FB"/>
          </w:tcPr>
          <w:p w14:paraId="341CD5F9" w14:textId="6949CB71" w:rsidR="00C82BCA" w:rsidRDefault="00C82BCA" w:rsidP="007F74B1">
            <w:pPr>
              <w:pStyle w:val="BodyText"/>
              <w:spacing w:before="20" w:after="20" w:line="120" w:lineRule="atLeast"/>
            </w:pPr>
            <w:r w:rsidRPr="007F2DC7">
              <w:t>Approx. 6</w:t>
            </w:r>
          </w:p>
        </w:tc>
      </w:tr>
      <w:tr w:rsidR="00C82BCA" w14:paraId="353E25C2" w14:textId="77777777" w:rsidTr="00CA7302">
        <w:tc>
          <w:tcPr>
            <w:tcW w:w="3969" w:type="dxa"/>
            <w:shd w:val="clear" w:color="auto" w:fill="146692"/>
          </w:tcPr>
          <w:p w14:paraId="63DBC9D2" w14:textId="4F0E9C6B"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Production – shale/ tight gas</w:t>
            </w:r>
          </w:p>
        </w:tc>
        <w:tc>
          <w:tcPr>
            <w:tcW w:w="5670" w:type="dxa"/>
            <w:shd w:val="clear" w:color="auto" w:fill="E1F2FB"/>
          </w:tcPr>
          <w:p w14:paraId="01DA781A" w14:textId="7E93A410" w:rsidR="00C82BCA" w:rsidRDefault="00C82BCA" w:rsidP="007F74B1">
            <w:pPr>
              <w:pStyle w:val="BodyText"/>
              <w:spacing w:before="20" w:after="20" w:line="120" w:lineRule="atLeast"/>
            </w:pPr>
            <w:r w:rsidRPr="007F2DC7">
              <w:t>None</w:t>
            </w:r>
          </w:p>
        </w:tc>
      </w:tr>
      <w:tr w:rsidR="00C82BCA" w14:paraId="02A8C972" w14:textId="77777777" w:rsidTr="00CA7302">
        <w:tc>
          <w:tcPr>
            <w:tcW w:w="3969" w:type="dxa"/>
            <w:shd w:val="clear" w:color="auto" w:fill="146692"/>
          </w:tcPr>
          <w:p w14:paraId="029A2121" w14:textId="0109E8EF"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2P Reserves – shale/ tight gas</w:t>
            </w:r>
          </w:p>
        </w:tc>
        <w:tc>
          <w:tcPr>
            <w:tcW w:w="5670" w:type="dxa"/>
            <w:shd w:val="clear" w:color="auto" w:fill="E1F2FB"/>
          </w:tcPr>
          <w:p w14:paraId="6DF59D84" w14:textId="7439DAAF" w:rsidR="00C82BCA" w:rsidRDefault="00C82BCA" w:rsidP="007F74B1">
            <w:pPr>
              <w:pStyle w:val="BodyText"/>
              <w:spacing w:before="20" w:after="20" w:line="120" w:lineRule="atLeast"/>
            </w:pPr>
            <w:r w:rsidRPr="007F2DC7">
              <w:t>None reported</w:t>
            </w:r>
          </w:p>
        </w:tc>
      </w:tr>
      <w:tr w:rsidR="00C82BCA" w14:paraId="65701032" w14:textId="77777777" w:rsidTr="00CA7302">
        <w:tc>
          <w:tcPr>
            <w:tcW w:w="3969" w:type="dxa"/>
            <w:shd w:val="clear" w:color="auto" w:fill="146692"/>
          </w:tcPr>
          <w:p w14:paraId="0C8DE774" w14:textId="6A875ED0"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lastRenderedPageBreak/>
              <w:t>Remaining resources (reserves + contingent resources) – shale/ tight gas</w:t>
            </w:r>
          </w:p>
        </w:tc>
        <w:tc>
          <w:tcPr>
            <w:tcW w:w="5670" w:type="dxa"/>
            <w:shd w:val="clear" w:color="auto" w:fill="E1F2FB"/>
          </w:tcPr>
          <w:p w14:paraId="3AF5093C" w14:textId="664D44E0" w:rsidR="00C82BCA" w:rsidRDefault="00C82BCA" w:rsidP="007F74B1">
            <w:pPr>
              <w:pStyle w:val="BodyText"/>
              <w:spacing w:before="20" w:after="20" w:line="120" w:lineRule="atLeast"/>
            </w:pPr>
            <w:r w:rsidRPr="007F2DC7">
              <w:t>None reported</w:t>
            </w:r>
          </w:p>
        </w:tc>
      </w:tr>
      <w:tr w:rsidR="00C82BCA" w14:paraId="39EDACBC" w14:textId="77777777" w:rsidTr="00CA7302">
        <w:tc>
          <w:tcPr>
            <w:tcW w:w="3969" w:type="dxa"/>
            <w:shd w:val="clear" w:color="auto" w:fill="146692"/>
          </w:tcPr>
          <w:p w14:paraId="22DD5C84" w14:textId="3D58341F"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Undiscovered resource estimates – shale/ tight gas</w:t>
            </w:r>
          </w:p>
        </w:tc>
        <w:tc>
          <w:tcPr>
            <w:tcW w:w="5670" w:type="dxa"/>
            <w:shd w:val="clear" w:color="auto" w:fill="E1F2FB"/>
          </w:tcPr>
          <w:p w14:paraId="2132EE53" w14:textId="7BD44E91" w:rsidR="00C82BCA" w:rsidRDefault="00C82BCA" w:rsidP="007F74B1">
            <w:pPr>
              <w:pStyle w:val="BodyText"/>
              <w:spacing w:before="20" w:after="20" w:line="120" w:lineRule="atLeast"/>
            </w:pPr>
            <w:r w:rsidRPr="007F2DC7">
              <w:t>Shale gas: 97 Tcf (best estimated recoverable resource over a prospective area of 51,252 km2; Table A.3; AWT International, 2013; AERA, 2018); tight gas unknown</w:t>
            </w:r>
          </w:p>
        </w:tc>
      </w:tr>
      <w:tr w:rsidR="00C82BCA" w14:paraId="19FD7471" w14:textId="77777777" w:rsidTr="00CA7302">
        <w:tc>
          <w:tcPr>
            <w:tcW w:w="3969" w:type="dxa"/>
            <w:shd w:val="clear" w:color="auto" w:fill="146692"/>
          </w:tcPr>
          <w:p w14:paraId="50C2ED48" w14:textId="1AD7118E" w:rsidR="00C82BCA" w:rsidRPr="0075027D" w:rsidRDefault="00C82BCA" w:rsidP="007F74B1">
            <w:pPr>
              <w:pStyle w:val="BodyText"/>
              <w:spacing w:before="20" w:after="20" w:line="120" w:lineRule="atLeast"/>
              <w:rPr>
                <w:b/>
                <w:color w:val="FFFFFF" w:themeColor="background1"/>
              </w:rPr>
            </w:pPr>
            <w:r w:rsidRPr="0075027D">
              <w:rPr>
                <w:b/>
                <w:color w:val="FFFFFF" w:themeColor="background1"/>
              </w:rPr>
              <w:t>Hydrocarbon shows, tests – shale/ tight gas</w:t>
            </w:r>
          </w:p>
        </w:tc>
        <w:tc>
          <w:tcPr>
            <w:tcW w:w="5670" w:type="dxa"/>
            <w:shd w:val="clear" w:color="auto" w:fill="E1F2FB"/>
          </w:tcPr>
          <w:p w14:paraId="6115BCEB" w14:textId="47C9383F" w:rsidR="00C82BCA" w:rsidRDefault="00C82BCA" w:rsidP="007F74B1">
            <w:pPr>
              <w:pStyle w:val="BodyText"/>
              <w:spacing w:before="20" w:after="20" w:line="120" w:lineRule="atLeast"/>
            </w:pPr>
            <w:r w:rsidRPr="007F2DC7">
              <w:t>Daydream-1, Fantome-1, Tasmania-1 (Nicholls et al., 2015; Hayes et al., 2016)</w:t>
            </w:r>
          </w:p>
        </w:tc>
      </w:tr>
    </w:tbl>
    <w:p w14:paraId="4FC61E3A" w14:textId="77777777" w:rsidR="00A43B22" w:rsidRDefault="00A43B22" w:rsidP="00A43B22">
      <w:pPr>
        <w:pStyle w:val="AppendixHeading3"/>
      </w:pPr>
      <w:bookmarkStart w:id="85" w:name="_Toc517161128"/>
      <w:r>
        <w:t>Basin geology</w:t>
      </w:r>
      <w:bookmarkEnd w:id="85"/>
    </w:p>
    <w:p w14:paraId="7E828489" w14:textId="77777777" w:rsidR="00A43B22" w:rsidRPr="003739CA" w:rsidRDefault="00A43B22" w:rsidP="003739CA">
      <w:pPr>
        <w:pStyle w:val="BodyText"/>
      </w:pPr>
      <w:r w:rsidRPr="003739CA">
        <w:t>The Bowen Basin, located in southeastern Queensland and northern New South Wales (</w:t>
      </w:r>
      <w:r w:rsidR="00611607">
        <w:t>Figure C</w:t>
      </w:r>
      <w:r w:rsidR="007D5639">
        <w:t>.8</w:t>
      </w:r>
      <w:r w:rsidRPr="003739CA">
        <w:t>), forms the northern part of the Permian–Triassic Bowen-Gunnedah-Sydney basin system in eastern Australia. The basin contains up to 10</w:t>
      </w:r>
      <w:r w:rsidR="008232C9">
        <w:t> km</w:t>
      </w:r>
      <w:r w:rsidRPr="003739CA">
        <w:t xml:space="preserve"> of shallow marine to terrestrial clastic sediments including important coal and petroleum resources. In southern Queensland the Bowen Basin is covered by the Jurassic–Cretaceous Surat Basin, which is up to 2.5</w:t>
      </w:r>
      <w:r w:rsidR="008232C9">
        <w:t> km</w:t>
      </w:r>
      <w:r w:rsidRPr="003739CA">
        <w:t xml:space="preserve"> thick. The main depocentres in the Bowen Basin are the thick, north–south elongate Taroom Trough in the east and the Denison Trough in the west. The basin evolved in a back-arc tectonic setting associated with a convergent plate margin (Korsch and Totterdell, 2009; Draper, 2013). </w:t>
      </w:r>
    </w:p>
    <w:p w14:paraId="70238A6E" w14:textId="77777777" w:rsidR="00A43B22" w:rsidRPr="003739CA" w:rsidRDefault="00A43B22" w:rsidP="003739CA">
      <w:pPr>
        <w:pStyle w:val="BodyText"/>
      </w:pPr>
      <w:r w:rsidRPr="003739CA">
        <w:t>The Bowen Basin was initiated in the early Permian during a phase of intra-continental rifting that resulted in the development of a series of half graben, particularly in the western part of the basin (Denison Trough), and volcanism in the east. The subsequent period of post-rift thermal subsidence was interrupted in the Late Permian by the onset of rapid subsidence in the Taroom Trough caused by foreland loading related to thrusting and crustal thickening in the New England Orogen to the east. This contractional deformation led to the characteristic asymmetr</w:t>
      </w:r>
      <w:r w:rsidR="007D5639">
        <w:t>y of the Taroom Trough (</w:t>
      </w:r>
      <w:r w:rsidR="00611607">
        <w:t>Figure C</w:t>
      </w:r>
      <w:r w:rsidR="007D5639">
        <w:t>.9</w:t>
      </w:r>
      <w:r w:rsidRPr="003739CA">
        <w:t>).</w:t>
      </w:r>
    </w:p>
    <w:p w14:paraId="1E82982C" w14:textId="77777777" w:rsidR="00A43B22" w:rsidRDefault="00A43B22" w:rsidP="003739CA">
      <w:pPr>
        <w:pStyle w:val="BodyText"/>
      </w:pPr>
      <w:r w:rsidRPr="003739CA">
        <w:t>The complex tectonic history of the basin is reflected in th</w:t>
      </w:r>
      <w:r w:rsidR="007D5639">
        <w:t>e depositional history (</w:t>
      </w:r>
      <w:r w:rsidR="00611607">
        <w:t>Figure C</w:t>
      </w:r>
      <w:r w:rsidR="007D5639">
        <w:t>.10</w:t>
      </w:r>
      <w:r w:rsidRPr="003739CA">
        <w:t>). Detailed descriptions of the evolution and stratigraphy of the basin can be found in Green (1997), Korsch and Totterdell (2009) and Draper (2013). Initial deposition in the extensional depocentres in the west was non-marine and the section is characterised by clastic sediments and coal (Reids Dome Beds); a thick igneous section accumulated in the east at this time. The early post-rift succession in the Denison Trough includes the first marine sediments deposited in the basin (Cattle Creek Formation). An unconformity within the overlying Aldebaran Sandstone marks the onset of foreland loading. The thick succession deposited during the Late Permian foreland loading phase comprises dominantly siliciclastic, fluvial, marginal marine, deltaic and marine sediments and coal measures of the Back Creek and Blackwater groups. By the end of the Permian, much of the basin was covered by peat swamps and the coal seams of the Bandanna Formation, Baralaba Coal Measures and correlatives can be mapped seismically across the Taroom Trough. The Triassic part of the foreland loading phase is represented by the fluvial and lacustrine sediments</w:t>
      </w:r>
      <w:r>
        <w:t xml:space="preserve"> of the Rewan and Clematis groups, and Moolayember Formation.</w:t>
      </w:r>
    </w:p>
    <w:p w14:paraId="13148D5B" w14:textId="77777777" w:rsidR="00A43B22" w:rsidRDefault="00A43B22" w:rsidP="00A43B22">
      <w:pPr>
        <w:pStyle w:val="BodyText"/>
      </w:pPr>
    </w:p>
    <w:p w14:paraId="167F8679" w14:textId="77777777" w:rsidR="00A43B22" w:rsidRDefault="00A43B22" w:rsidP="003739CA">
      <w:pPr>
        <w:pStyle w:val="FiguresImagesCentred"/>
      </w:pPr>
      <w:r>
        <w:rPr>
          <w:noProof/>
        </w:rPr>
        <w:lastRenderedPageBreak/>
        <mc:AlternateContent>
          <mc:Choice Requires="wps">
            <w:drawing>
              <wp:anchor distT="0" distB="0" distL="114300" distR="114300" simplePos="0" relativeHeight="251658241" behindDoc="0" locked="0" layoutInCell="1" allowOverlap="1" wp14:anchorId="0C9188CB" wp14:editId="46397DC8">
                <wp:simplePos x="0" y="0"/>
                <wp:positionH relativeFrom="column">
                  <wp:posOffset>3426706</wp:posOffset>
                </wp:positionH>
                <wp:positionV relativeFrom="paragraph">
                  <wp:posOffset>2926715</wp:posOffset>
                </wp:positionV>
                <wp:extent cx="265430" cy="1403985"/>
                <wp:effectExtent l="0" t="0" r="0" b="0"/>
                <wp:wrapNone/>
                <wp:docPr id="7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1403985"/>
                        </a:xfrm>
                        <a:prstGeom prst="rect">
                          <a:avLst/>
                        </a:prstGeom>
                        <a:noFill/>
                        <a:ln w="9525">
                          <a:noFill/>
                          <a:miter lim="800000"/>
                          <a:headEnd/>
                          <a:tailEnd/>
                        </a:ln>
                      </wps:spPr>
                      <wps:txbx>
                        <w:txbxContent>
                          <w:p w14:paraId="00BA6984" w14:textId="77777777" w:rsidR="00640CCB" w:rsidRPr="00390B5D" w:rsidRDefault="00640CCB" w:rsidP="00A43B22">
                            <w:pPr>
                              <w:spacing w:before="0" w:after="0" w:line="160" w:lineRule="atLeast"/>
                              <w:rPr>
                                <w:b/>
                                <w:color w:val="auto"/>
                                <w:sz w:val="16"/>
                                <w:szCs w:val="1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C9188CB" id="_x0000_t202" coordsize="21600,21600" o:spt="202" path="m,l,21600r21600,l21600,xe">
                <v:stroke joinstyle="miter"/>
                <v:path gradientshapeok="t" o:connecttype="rect"/>
              </v:shapetype>
              <v:shape id="Text Box 2" o:spid="_x0000_s1026" type="#_x0000_t202" style="position:absolute;left:0;text-align:left;margin-left:269.8pt;margin-top:230.45pt;width:20.9pt;height:110.55pt;z-index:25165824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" filled="f" stroked="f">
                <v:textbox style="mso-fit-shape-to-text:t">
                  <w:txbxContent>
                    <w:p w14:paraId="00BA6984" w14:textId="77777777" w:rsidR="00640CCB" w:rsidRPr="00390B5D" w:rsidRDefault="00640CCB" w:rsidP="00A43B22">
                      <w:pPr>
                        <w:spacing w:before="0" w:after="0" w:line="160" w:lineRule="atLeast"/>
                        <w:rPr>
                          <w:b/>
                          <w:color w:val="auto"/>
                          <w:sz w:val="16"/>
                          <w:szCs w:val="16"/>
                        </w:rPr>
                      </w:pPr>
                    </w:p>
                  </w:txbxContent>
                </v:textbox>
              </v:shape>
            </w:pict>
          </mc:Fallback>
        </mc:AlternateContent>
      </w:r>
      <w:r>
        <w:rPr>
          <w:noProof/>
        </w:rPr>
        <w:drawing>
          <wp:inline distT="0" distB="0" distL="0" distR="0" wp14:anchorId="269B37AD" wp14:editId="2316C3A5">
            <wp:extent cx="5882049" cy="5648325"/>
            <wp:effectExtent l="0" t="0" r="4445" b="0"/>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5882049" cy="5648325"/>
                    </a:xfrm>
                    <a:prstGeom prst="rect">
                      <a:avLst/>
                    </a:prstGeom>
                    <a:noFill/>
                    <a:ln>
                      <a:noFill/>
                    </a:ln>
                  </pic:spPr>
                </pic:pic>
              </a:graphicData>
            </a:graphic>
          </wp:inline>
        </w:drawing>
      </w:r>
    </w:p>
    <w:p w14:paraId="35567C17" w14:textId="77777777" w:rsidR="00A43B22" w:rsidRDefault="00E34CDE" w:rsidP="009F3E8F">
      <w:pPr>
        <w:pStyle w:val="Caption"/>
        <w:rPr>
          <w:lang w:eastAsia="ja-JP"/>
        </w:rPr>
      </w:pPr>
      <w:bookmarkStart w:id="86" w:name="_Toc508972079"/>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8</w:t>
      </w:r>
      <w:r w:rsidR="008079F1">
        <w:rPr>
          <w:noProof/>
        </w:rPr>
        <w:fldChar w:fldCharType="end"/>
      </w:r>
      <w:r>
        <w:rPr>
          <w:noProof/>
        </w:rPr>
        <w:t xml:space="preserve"> </w:t>
      </w:r>
      <w:r w:rsidR="00A43B22">
        <w:t xml:space="preserve">Location of the Bowen Basin </w:t>
      </w:r>
      <w:r w:rsidR="00A43B22">
        <w:rPr>
          <w:lang w:eastAsia="ja-JP"/>
        </w:rPr>
        <w:t xml:space="preserve">on a base map of 1:2,500,000 scale surface geology (Raymond et al., 2012). Basin outlines from Stewart et al. (2013). Black line shows location of cross-section in </w:t>
      </w:r>
      <w:r w:rsidR="00611607">
        <w:rPr>
          <w:lang w:eastAsia="ja-JP"/>
        </w:rPr>
        <w:t>Figure C</w:t>
      </w:r>
      <w:r w:rsidR="007D5639">
        <w:rPr>
          <w:lang w:eastAsia="ja-JP"/>
        </w:rPr>
        <w:t>.9.</w:t>
      </w:r>
      <w:bookmarkEnd w:id="86"/>
    </w:p>
    <w:p w14:paraId="51E357AB" w14:textId="77777777" w:rsidR="00E01F8F" w:rsidRPr="00E01F8F" w:rsidRDefault="00E01F8F" w:rsidP="00E01F8F">
      <w:pPr>
        <w:pStyle w:val="BodyText"/>
        <w:rPr>
          <w:lang w:eastAsia="ja-JP"/>
        </w:rPr>
      </w:pPr>
    </w:p>
    <w:p w14:paraId="19A728BE" w14:textId="77777777" w:rsidR="00A43B22" w:rsidRDefault="00A43B22" w:rsidP="003739CA">
      <w:pPr>
        <w:pStyle w:val="FiguresImagesCentred"/>
      </w:pPr>
      <w:r w:rsidRPr="00CC076C">
        <w:rPr>
          <w:noProof/>
        </w:rPr>
        <w:lastRenderedPageBreak/>
        <mc:AlternateContent>
          <mc:Choice Requires="wps">
            <w:drawing>
              <wp:anchor distT="0" distB="0" distL="114300" distR="114300" simplePos="0" relativeHeight="251658246" behindDoc="0" locked="0" layoutInCell="1" allowOverlap="1" wp14:anchorId="275CEE2B" wp14:editId="3329A2BE">
                <wp:simplePos x="0" y="0"/>
                <wp:positionH relativeFrom="column">
                  <wp:posOffset>5524500</wp:posOffset>
                </wp:positionH>
                <wp:positionV relativeFrom="paragraph">
                  <wp:posOffset>-33655</wp:posOffset>
                </wp:positionV>
                <wp:extent cx="265430" cy="1403985"/>
                <wp:effectExtent l="0" t="0" r="1270" b="0"/>
                <wp:wrapNone/>
                <wp:docPr id="7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1403985"/>
                        </a:xfrm>
                        <a:prstGeom prst="rect">
                          <a:avLst/>
                        </a:prstGeom>
                        <a:solidFill>
                          <a:srgbClr val="FFFFFF"/>
                        </a:solidFill>
                        <a:ln w="9525">
                          <a:noFill/>
                          <a:miter lim="800000"/>
                          <a:headEnd/>
                          <a:tailEnd/>
                        </a:ln>
                      </wps:spPr>
                      <wps:txbx>
                        <w:txbxContent>
                          <w:p w14:paraId="51A0070A" w14:textId="77777777" w:rsidR="00640CCB" w:rsidRPr="00390B5D" w:rsidRDefault="00640CCB" w:rsidP="00A43B22">
                            <w:pPr>
                              <w:spacing w:before="0" w:after="0" w:line="160" w:lineRule="atLeast"/>
                              <w:rPr>
                                <w:b/>
                                <w:color w:val="auto"/>
                                <w:sz w:val="16"/>
                                <w:szCs w:val="16"/>
                              </w:rPr>
                            </w:pPr>
                            <w:r>
                              <w:rPr>
                                <w:b/>
                                <w:color w:val="auto"/>
                                <w:sz w:val="16"/>
                                <w:szCs w:val="16"/>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5CEE2B" id="_x0000_s1027" type="#_x0000_t202" style="position:absolute;left:0;text-align:left;margin-left:435pt;margin-top:-2.65pt;width:20.9pt;height:110.55pt;z-index:25165824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1d9JAIAACU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" stroked="f">
                <v:textbox style="mso-fit-shape-to-text:t">
                  <w:txbxContent>
                    <w:p w14:paraId="51A0070A" w14:textId="77777777" w:rsidR="00640CCB" w:rsidRPr="00390B5D" w:rsidRDefault="00640CCB" w:rsidP="00A43B22">
                      <w:pPr>
                        <w:spacing w:before="0" w:after="0" w:line="160" w:lineRule="atLeast"/>
                        <w:rPr>
                          <w:b/>
                          <w:color w:val="auto"/>
                          <w:sz w:val="16"/>
                          <w:szCs w:val="16"/>
                        </w:rPr>
                      </w:pPr>
                      <w:r>
                        <w:rPr>
                          <w:b/>
                          <w:color w:val="auto"/>
                          <w:sz w:val="16"/>
                          <w:szCs w:val="16"/>
                        </w:rPr>
                        <w:t>B</w:t>
                      </w:r>
                    </w:p>
                  </w:txbxContent>
                </v:textbox>
              </v:shape>
            </w:pict>
          </mc:Fallback>
        </mc:AlternateContent>
      </w:r>
      <w:r w:rsidRPr="00CC076C">
        <w:rPr>
          <w:noProof/>
        </w:rPr>
        <mc:AlternateContent>
          <mc:Choice Requires="wps">
            <w:drawing>
              <wp:anchor distT="0" distB="0" distL="114300" distR="114300" simplePos="0" relativeHeight="251658244" behindDoc="0" locked="0" layoutInCell="1" allowOverlap="1" wp14:anchorId="5F551290" wp14:editId="5DB5F959">
                <wp:simplePos x="0" y="0"/>
                <wp:positionH relativeFrom="column">
                  <wp:posOffset>254635</wp:posOffset>
                </wp:positionH>
                <wp:positionV relativeFrom="paragraph">
                  <wp:posOffset>-36830</wp:posOffset>
                </wp:positionV>
                <wp:extent cx="265430" cy="1403985"/>
                <wp:effectExtent l="0" t="0" r="1270" b="0"/>
                <wp:wrapNone/>
                <wp:docPr id="7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1403985"/>
                        </a:xfrm>
                        <a:prstGeom prst="rect">
                          <a:avLst/>
                        </a:prstGeom>
                        <a:solidFill>
                          <a:srgbClr val="FFFFFF"/>
                        </a:solidFill>
                        <a:ln w="9525">
                          <a:noFill/>
                          <a:miter lim="800000"/>
                          <a:headEnd/>
                          <a:tailEnd/>
                        </a:ln>
                      </wps:spPr>
                      <wps:txbx>
                        <w:txbxContent>
                          <w:p w14:paraId="04438434" w14:textId="77777777" w:rsidR="00640CCB" w:rsidRPr="00390B5D" w:rsidRDefault="00640CCB" w:rsidP="00A43B22">
                            <w:pPr>
                              <w:spacing w:before="0" w:after="0" w:line="160" w:lineRule="atLeast"/>
                              <w:rPr>
                                <w:b/>
                                <w:color w:val="auto"/>
                                <w:sz w:val="16"/>
                                <w:szCs w:val="16"/>
                              </w:rPr>
                            </w:pPr>
                            <w:r w:rsidRPr="00390B5D">
                              <w:rPr>
                                <w:b/>
                                <w:color w:val="auto"/>
                                <w:sz w:val="16"/>
                                <w:szCs w:val="16"/>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551290" id="_x0000_s1028" type="#_x0000_t202" style="position:absolute;left:0;text-align:left;margin-left:20.05pt;margin-top:-2.9pt;width:20.9pt;height:110.55pt;z-index:2516582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" stroked="f">
                <v:textbox style="mso-fit-shape-to-text:t">
                  <w:txbxContent>
                    <w:p w14:paraId="04438434" w14:textId="77777777" w:rsidR="00640CCB" w:rsidRPr="00390B5D" w:rsidRDefault="00640CCB" w:rsidP="00A43B22">
                      <w:pPr>
                        <w:spacing w:before="0" w:after="0" w:line="160" w:lineRule="atLeast"/>
                        <w:rPr>
                          <w:b/>
                          <w:color w:val="auto"/>
                          <w:sz w:val="16"/>
                          <w:szCs w:val="16"/>
                        </w:rPr>
                      </w:pPr>
                      <w:r w:rsidRPr="00390B5D">
                        <w:rPr>
                          <w:b/>
                          <w:color w:val="auto"/>
                          <w:sz w:val="16"/>
                          <w:szCs w:val="16"/>
                        </w:rPr>
                        <w:t>A</w:t>
                      </w:r>
                    </w:p>
                  </w:txbxContent>
                </v:textbox>
              </v:shape>
            </w:pict>
          </mc:Fallback>
        </mc:AlternateContent>
      </w:r>
      <w:r>
        <w:rPr>
          <w:noProof/>
        </w:rPr>
        <w:drawing>
          <wp:inline distT="0" distB="0" distL="0" distR="0" wp14:anchorId="292BBFC6" wp14:editId="0E68CCC0">
            <wp:extent cx="5580803" cy="2421925"/>
            <wp:effectExtent l="0" t="0" r="1270" b="0"/>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5589255" cy="2425593"/>
                    </a:xfrm>
                    <a:prstGeom prst="rect">
                      <a:avLst/>
                    </a:prstGeom>
                  </pic:spPr>
                </pic:pic>
              </a:graphicData>
            </a:graphic>
          </wp:inline>
        </w:drawing>
      </w:r>
    </w:p>
    <w:p w14:paraId="3CD2D0E6" w14:textId="77777777" w:rsidR="00A43B22" w:rsidRDefault="00193CD1" w:rsidP="009F3E8F">
      <w:pPr>
        <w:pStyle w:val="Caption"/>
      </w:pPr>
      <w:bookmarkStart w:id="87" w:name="_Toc508972080"/>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9</w:t>
      </w:r>
      <w:r w:rsidR="008079F1">
        <w:rPr>
          <w:noProof/>
        </w:rPr>
        <w:fldChar w:fldCharType="end"/>
      </w:r>
      <w:r>
        <w:rPr>
          <w:noProof/>
        </w:rPr>
        <w:t xml:space="preserve"> </w:t>
      </w:r>
      <w:r w:rsidR="00A43B22">
        <w:t xml:space="preserve">Schematic cross-section across the central Taroom Trough showing overall synclinal architecture of the trough (Draper, 2013). Location of cross-section shown in </w:t>
      </w:r>
      <w:r w:rsidR="00611607">
        <w:t>Figure C</w:t>
      </w:r>
      <w:r w:rsidR="007D5639">
        <w:t>.8.</w:t>
      </w:r>
      <w:bookmarkEnd w:id="87"/>
    </w:p>
    <w:p w14:paraId="7EA4D327" w14:textId="77777777" w:rsidR="00A43B22" w:rsidRDefault="00A43B22" w:rsidP="005450A3">
      <w:pPr>
        <w:pStyle w:val="FiguresImagesCentred"/>
      </w:pPr>
    </w:p>
    <w:p w14:paraId="144589F0" w14:textId="77777777" w:rsidR="00A43B22" w:rsidRDefault="00A43B22" w:rsidP="003739CA">
      <w:pPr>
        <w:pStyle w:val="FiguresImagesCentred"/>
      </w:pPr>
      <w:r>
        <w:rPr>
          <w:noProof/>
        </w:rPr>
        <w:lastRenderedPageBreak/>
        <w:drawing>
          <wp:inline distT="0" distB="0" distL="0" distR="0" wp14:anchorId="65838F9B" wp14:editId="03290D72">
            <wp:extent cx="5760085" cy="7328220"/>
            <wp:effectExtent l="0" t="0" r="0" b="635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60085" cy="7328220"/>
                    </a:xfrm>
                    <a:prstGeom prst="rect">
                      <a:avLst/>
                    </a:prstGeom>
                  </pic:spPr>
                </pic:pic>
              </a:graphicData>
            </a:graphic>
          </wp:inline>
        </w:drawing>
      </w:r>
    </w:p>
    <w:p w14:paraId="4AC97EF3" w14:textId="77777777" w:rsidR="00A43B22" w:rsidRPr="002E4EB5" w:rsidRDefault="00193CD1" w:rsidP="009F3E8F">
      <w:pPr>
        <w:pStyle w:val="Caption"/>
      </w:pPr>
      <w:bookmarkStart w:id="88" w:name="_Toc508972081"/>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10</w:t>
      </w:r>
      <w:r w:rsidR="008079F1">
        <w:rPr>
          <w:noProof/>
        </w:rPr>
        <w:fldChar w:fldCharType="end"/>
      </w:r>
      <w:r w:rsidR="00E34CDE">
        <w:rPr>
          <w:noProof/>
        </w:rPr>
        <w:t xml:space="preserve"> </w:t>
      </w:r>
      <w:r w:rsidR="00A43B22">
        <w:t>Bowen Basin stratigraphy (Draper, 2013)</w:t>
      </w:r>
      <w:bookmarkEnd w:id="88"/>
    </w:p>
    <w:p w14:paraId="2F18040C" w14:textId="77777777" w:rsidR="00A43B22" w:rsidRDefault="00A43B22" w:rsidP="000350BE">
      <w:pPr>
        <w:pStyle w:val="BodyText"/>
      </w:pPr>
      <w:r>
        <w:br w:type="page"/>
      </w:r>
    </w:p>
    <w:p w14:paraId="47601D0C" w14:textId="77777777" w:rsidR="00A43B22" w:rsidRDefault="00A43B22" w:rsidP="00A43B22">
      <w:pPr>
        <w:pStyle w:val="AppendixHeading3"/>
      </w:pPr>
      <w:bookmarkStart w:id="89" w:name="_Toc517161129"/>
      <w:r>
        <w:lastRenderedPageBreak/>
        <w:t>Petroleum data coverage</w:t>
      </w:r>
      <w:bookmarkEnd w:id="89"/>
    </w:p>
    <w:p w14:paraId="4D472349" w14:textId="571DC17C" w:rsidR="00A43B22" w:rsidRPr="00813CEB" w:rsidRDefault="00A43B22" w:rsidP="00A43B22">
      <w:pPr>
        <w:pStyle w:val="BodyText"/>
      </w:pPr>
      <w:r w:rsidRPr="00813CEB">
        <w:t>The Bowen Basin is an established hydrocarbon province</w:t>
      </w:r>
      <w:r>
        <w:t>. Over 300 wells have been drilled in the basin (</w:t>
      </w:r>
      <w:r w:rsidR="00611607">
        <w:t>Figure C</w:t>
      </w:r>
      <w:r w:rsidR="00B647DE">
        <w:t>.11</w:t>
      </w:r>
      <w:r w:rsidR="008B4050">
        <w:t>; DNRME, 2017a</w:t>
      </w:r>
      <w:r>
        <w:t>)</w:t>
      </w:r>
      <w:r w:rsidRPr="00813CEB">
        <w:t xml:space="preserve">, </w:t>
      </w:r>
      <w:r>
        <w:t>resulting in</w:t>
      </w:r>
      <w:r w:rsidRPr="00813CEB">
        <w:t xml:space="preserve"> more than 100 conventional oil and gas discoveries on the flanks of the basin in structural and stratigraphic accumulations (Hayes et al</w:t>
      </w:r>
      <w:r w:rsidR="00045970">
        <w:t>.</w:t>
      </w:r>
      <w:r w:rsidRPr="00813CEB">
        <w:t>, 2016). The Moonie oil field on the eastern side of the trough is the largest oil discovery in the basin, while gas has been or is currently produced from numerous fields on the western flank of the Taroom Tr</w:t>
      </w:r>
      <w:r>
        <w:t xml:space="preserve">ough and in the Denison Trough. </w:t>
      </w:r>
      <w:r w:rsidRPr="00813CEB">
        <w:t xml:space="preserve">The basin </w:t>
      </w:r>
      <w:r>
        <w:t>has a poor–very good coverage of</w:t>
      </w:r>
      <w:r w:rsidRPr="00813CEB">
        <w:t xml:space="preserve"> 2D seismic data of varying vintage</w:t>
      </w:r>
      <w:r>
        <w:t xml:space="preserve"> and limited 3D seismic data sets (</w:t>
      </w:r>
      <w:r w:rsidR="00611607">
        <w:t>Figure C</w:t>
      </w:r>
      <w:r w:rsidR="00B647DE">
        <w:t>.11</w:t>
      </w:r>
      <w:r w:rsidR="008B4050">
        <w:t>; DNRME, 2017b-d</w:t>
      </w:r>
      <w:r>
        <w:t>).</w:t>
      </w:r>
    </w:p>
    <w:p w14:paraId="3D217DC3" w14:textId="77777777" w:rsidR="00A43B22" w:rsidRPr="00AD7F0C" w:rsidRDefault="00A43B22" w:rsidP="003739CA">
      <w:pPr>
        <w:pStyle w:val="FiguresImagesCentred"/>
      </w:pPr>
      <w:r>
        <w:rPr>
          <w:noProof/>
        </w:rPr>
        <w:drawing>
          <wp:inline distT="0" distB="0" distL="0" distR="0" wp14:anchorId="58F5839D" wp14:editId="6E2148C4">
            <wp:extent cx="5858982" cy="5229225"/>
            <wp:effectExtent l="0" t="0" r="8890" b="0"/>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1" cstate="screen">
                      <a:extLst>
                        <a:ext uri="{28A0092B-C50C-407E-A947-70E740481C1C}">
                          <a14:useLocalDpi xmlns:a14="http://schemas.microsoft.com/office/drawing/2010/main"/>
                        </a:ext>
                      </a:extLst>
                    </a:blip>
                    <a:stretch>
                      <a:fillRect/>
                    </a:stretch>
                  </pic:blipFill>
                  <pic:spPr bwMode="auto">
                    <a:xfrm>
                      <a:off x="0" y="0"/>
                      <a:ext cx="5849967" cy="5221179"/>
                    </a:xfrm>
                    <a:prstGeom prst="rect">
                      <a:avLst/>
                    </a:prstGeom>
                    <a:noFill/>
                    <a:ln>
                      <a:noFill/>
                    </a:ln>
                  </pic:spPr>
                </pic:pic>
              </a:graphicData>
            </a:graphic>
          </wp:inline>
        </w:drawing>
      </w:r>
    </w:p>
    <w:p w14:paraId="48E27E4D" w14:textId="7340151D" w:rsidR="00A43B22" w:rsidRPr="00AD7F0C" w:rsidRDefault="00193CD1" w:rsidP="004C5332">
      <w:pPr>
        <w:pStyle w:val="Caption"/>
      </w:pPr>
      <w:bookmarkStart w:id="90" w:name="_Toc508972082"/>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11</w:t>
      </w:r>
      <w:r w:rsidR="008079F1">
        <w:rPr>
          <w:noProof/>
        </w:rPr>
        <w:fldChar w:fldCharType="end"/>
      </w:r>
      <w:r w:rsidR="00E34CDE">
        <w:rPr>
          <w:noProof/>
        </w:rPr>
        <w:t xml:space="preserve"> </w:t>
      </w:r>
      <w:r w:rsidR="00A43B22">
        <w:t>Location of wells and seismic data, Bowen Basin</w:t>
      </w:r>
      <w:r w:rsidR="0085437E">
        <w:t xml:space="preserve">. </w:t>
      </w:r>
      <w:r w:rsidR="005F1D49">
        <w:t>Bowen Basin outline from Stewart et al. (2013). Petroleum well data from DNRM</w:t>
      </w:r>
      <w:r w:rsidR="00A51CEF">
        <w:t>E</w:t>
      </w:r>
      <w:r w:rsidR="005F1D49">
        <w:t xml:space="preserve"> </w:t>
      </w:r>
      <w:r w:rsidR="00A51CEF">
        <w:t>(</w:t>
      </w:r>
      <w:r w:rsidR="005F1D49">
        <w:t xml:space="preserve">2017a). Seismic data coverage </w:t>
      </w:r>
      <w:r w:rsidR="00A51CEF">
        <w:t>DNRME (2017b-d).</w:t>
      </w:r>
      <w:bookmarkEnd w:id="90"/>
    </w:p>
    <w:p w14:paraId="34142F5C" w14:textId="77777777" w:rsidR="00A43B22" w:rsidRDefault="00A43B22" w:rsidP="000350BE">
      <w:pPr>
        <w:pStyle w:val="BodyText"/>
      </w:pPr>
      <w:r>
        <w:br w:type="page"/>
      </w:r>
    </w:p>
    <w:p w14:paraId="056998AB" w14:textId="77777777" w:rsidR="00A43B22" w:rsidRDefault="00A43B22" w:rsidP="00A43B22">
      <w:pPr>
        <w:pStyle w:val="AppendixHeading3"/>
      </w:pPr>
      <w:bookmarkStart w:id="91" w:name="_Toc517161130"/>
      <w:r>
        <w:lastRenderedPageBreak/>
        <w:t>Shale and tight gas prospectivity</w:t>
      </w:r>
      <w:bookmarkEnd w:id="91"/>
    </w:p>
    <w:p w14:paraId="3F128D19" w14:textId="77777777" w:rsidR="00A43B22" w:rsidRPr="0083382B" w:rsidRDefault="00A43B22" w:rsidP="0083382B">
      <w:pPr>
        <w:pStyle w:val="BodyText"/>
      </w:pPr>
      <w:r w:rsidRPr="0083382B">
        <w:t>The hydrocarbon prospectivity of the Bowe</w:t>
      </w:r>
      <w:r w:rsidR="00B92BE0">
        <w:t xml:space="preserve">n Basin is summarised in </w:t>
      </w:r>
      <w:r w:rsidR="00611607">
        <w:t>Table C</w:t>
      </w:r>
      <w:r w:rsidR="00B92BE0">
        <w:t>.7</w:t>
      </w:r>
      <w:r w:rsidRPr="0083382B">
        <w:t>.</w:t>
      </w:r>
    </w:p>
    <w:p w14:paraId="45BBBBAB" w14:textId="77777777" w:rsidR="00A43B22" w:rsidRPr="0083382B" w:rsidRDefault="00A43B22" w:rsidP="0083382B">
      <w:pPr>
        <w:pStyle w:val="BodyText"/>
      </w:pPr>
      <w:r w:rsidRPr="0083382B">
        <w:t>The Bowen Basin succession contains multiple proven and potential source rocks. Geochemical studies have linked oil and gas accumulations in the southern Taroom Trough to coal and associated organic-rich sediments of the uppermost Permian coal measures (including the Bandanna Formation, Baralaba Coal Measures and Kianga Formation), and lacustrine sediments of the Triassic Snake Creek Mudstone (Boreham, 1995; Al Arouri et al., 1998). Both units contain oil and gas-prone Type II/III to Type III kerogens (Al Arouri et al., 1998). Potential source rocks of relevance to shale and tight gas exploration are likely to be present within both coal-rich and marine Late Permian units, particularly the Black Alley Shale (DNRM, 2017b).</w:t>
      </w:r>
    </w:p>
    <w:p w14:paraId="4E1B62D1" w14:textId="2B94890A" w:rsidR="00A43B22" w:rsidRPr="0083382B" w:rsidRDefault="00A43B22" w:rsidP="0083382B">
      <w:pPr>
        <w:pStyle w:val="BodyText"/>
      </w:pPr>
      <w:r w:rsidRPr="0083382B">
        <w:t>Between 2010 and 2015, QGC undertook a tight gas exploration program in the southern Taroom Trough, drilling 6 wells (DNRM, 2017b). The results of the QGC drilling campaign demonstrated that the basin has the necessary ingredients for large basin-centred gas/ liquids resources—thick, low permeability reservoirs, abundant mature source rocks, and anomalous pressures, which commence at depths of 2</w:t>
      </w:r>
      <w:r w:rsidR="001F09C8">
        <w:t>,</w:t>
      </w:r>
      <w:r w:rsidRPr="0083382B">
        <w:t>50</w:t>
      </w:r>
      <w:r w:rsidR="004C01AB">
        <w:t>0 m</w:t>
      </w:r>
      <w:r w:rsidRPr="0083382B">
        <w:t xml:space="preserve"> (Nicholls et al., 2015; Hayes et al</w:t>
      </w:r>
      <w:r w:rsidR="00045970">
        <w:t>.</w:t>
      </w:r>
      <w:r w:rsidRPr="0083382B">
        <w:t xml:space="preserve">, 2016). However, Hayes et al. (2016) noted that the current well control is inadequate to map prospective fairways with confidence. </w:t>
      </w:r>
    </w:p>
    <w:p w14:paraId="0BAAC1A6" w14:textId="77777777" w:rsidR="00A43B22" w:rsidRPr="0083382B" w:rsidRDefault="00A43B22" w:rsidP="0083382B">
      <w:pPr>
        <w:pStyle w:val="BodyText"/>
      </w:pPr>
      <w:r w:rsidRPr="0083382B">
        <w:t>Tight gas exploration in the southern Taroom Trough has focused on sandstone units in the Rewan Group, Bandanna Formation and Tinowon Formation. Successful conventional exploration undertaken by Mosaic on the western side of the Taroom Trough (Myall Creek-Churchie area), demonstrated the prospectivity of sands in the Tinowon Formation. The Taroom Trough thickens and deepens to the north (</w:t>
      </w:r>
      <w:r w:rsidR="00611607">
        <w:t>Figure C</w:t>
      </w:r>
      <w:r w:rsidR="00B647DE">
        <w:t>.12</w:t>
      </w:r>
      <w:r w:rsidRPr="0083382B">
        <w:t xml:space="preserve">). As a result, basal Rewan sands have been the main target of QGC’s northern wells, while towards the south, older formations were the main drilling objectives. </w:t>
      </w:r>
    </w:p>
    <w:p w14:paraId="30D3A8FD" w14:textId="78A77C6B" w:rsidR="00A43B22" w:rsidRPr="0083382B" w:rsidRDefault="00A43B22" w:rsidP="0083382B">
      <w:pPr>
        <w:pStyle w:val="BodyText"/>
      </w:pPr>
      <w:r w:rsidRPr="0083382B">
        <w:t xml:space="preserve">The key shale gas target in the southern Taroom Trough is the Black Alley Shale. Prospective shale gas resources from the Black Alley Shale have been estimated at 97 Tcf </w:t>
      </w:r>
      <w:r w:rsidR="00BB24C1">
        <w:t>over a prospective</w:t>
      </w:r>
      <w:r w:rsidR="007211AC">
        <w:t xml:space="preserve"> area of 51,252 km</w:t>
      </w:r>
      <w:r w:rsidR="007211AC" w:rsidRPr="00D07F07">
        <w:rPr>
          <w:rStyle w:val="Superscript"/>
        </w:rPr>
        <w:t>2</w:t>
      </w:r>
      <w:r w:rsidR="007211AC">
        <w:t xml:space="preserve"> </w:t>
      </w:r>
      <w:r w:rsidRPr="0083382B">
        <w:t>(</w:t>
      </w:r>
      <w:r w:rsidR="001063A0">
        <w:t xml:space="preserve">Table </w:t>
      </w:r>
      <w:r w:rsidR="00CA0BF9">
        <w:t>A.3</w:t>
      </w:r>
      <w:r w:rsidR="001063A0">
        <w:t xml:space="preserve">; Table C.7; </w:t>
      </w:r>
      <w:r w:rsidRPr="0083382B">
        <w:t>AWT</w:t>
      </w:r>
      <w:r w:rsidR="001F09C8">
        <w:t xml:space="preserve"> International</w:t>
      </w:r>
      <w:r w:rsidRPr="0083382B">
        <w:t>, 2013</w:t>
      </w:r>
      <w:r w:rsidR="001063A0">
        <w:t>; AERA, 2018</w:t>
      </w:r>
      <w:r w:rsidRPr="0083382B">
        <w:t xml:space="preserve">). </w:t>
      </w:r>
    </w:p>
    <w:p w14:paraId="4306C7C7" w14:textId="77777777" w:rsidR="00A43B22" w:rsidRPr="0083382B" w:rsidRDefault="00A43B22" w:rsidP="0083382B">
      <w:pPr>
        <w:pStyle w:val="BodyText"/>
      </w:pPr>
      <w:r w:rsidRPr="0083382B">
        <w:t>Data for the key unconventional hydrocarbon t</w:t>
      </w:r>
      <w:r w:rsidR="00B92BE0">
        <w:t xml:space="preserve">argets are summarised in </w:t>
      </w:r>
      <w:r w:rsidR="00611607">
        <w:t>Table C</w:t>
      </w:r>
      <w:r w:rsidR="00B92BE0">
        <w:t>.8</w:t>
      </w:r>
      <w:r w:rsidRPr="0083382B">
        <w:t xml:space="preserve">. The approximate extent of the tight/shale gas play in the Bowen Basin is shown in </w:t>
      </w:r>
      <w:r w:rsidR="00611607">
        <w:t>Figure C</w:t>
      </w:r>
      <w:r w:rsidR="00B647DE">
        <w:t>.12</w:t>
      </w:r>
      <w:r w:rsidRPr="0083382B">
        <w:t>.</w:t>
      </w:r>
    </w:p>
    <w:p w14:paraId="762AFD46" w14:textId="77777777" w:rsidR="00A43B22" w:rsidRPr="0083382B" w:rsidRDefault="00A43B22" w:rsidP="0083382B">
      <w:pPr>
        <w:pStyle w:val="BodyText"/>
      </w:pPr>
      <w:r w:rsidRPr="0083382B">
        <w:t>Although the Bowen Basin is still in an early phase of exploration, initial industry activity for shale and tight gas has been encouraging and the prospectivity of the basin is evident. However, due to the limited amount of drilling, the full extent of the shale and tight gas resources in the basin is not yet well understood and quantified. As a result, any estimates of potential resources have a high degree of uncertainty. Further seismic data acquisition, drilling and testing are required to improve our understanding of the shale and tight gas resource potential of this basin.</w:t>
      </w:r>
    </w:p>
    <w:p w14:paraId="6A435A6B" w14:textId="77777777" w:rsidR="00A43B22" w:rsidRPr="0083382B" w:rsidRDefault="00A43B22" w:rsidP="0083382B">
      <w:pPr>
        <w:pStyle w:val="BodyText"/>
      </w:pPr>
    </w:p>
    <w:p w14:paraId="34F09B9B" w14:textId="77777777" w:rsidR="00A43B22" w:rsidRDefault="00A43B22" w:rsidP="00A43B22">
      <w:pPr>
        <w:pStyle w:val="BodyText"/>
        <w:sectPr w:rsidR="00A43B22" w:rsidSect="005E271C">
          <w:headerReference w:type="default" r:id="rId142"/>
          <w:pgSz w:w="11907" w:h="16840" w:code="9"/>
          <w:pgMar w:top="1418" w:right="1134" w:bottom="1418" w:left="1134" w:header="510" w:footer="624" w:gutter="0"/>
          <w:cols w:space="720"/>
          <w:docGrid w:linePitch="326"/>
        </w:sectPr>
      </w:pPr>
    </w:p>
    <w:p w14:paraId="0D8E4FE5" w14:textId="77777777" w:rsidR="00A43B22" w:rsidRDefault="00A43B22" w:rsidP="003739CA">
      <w:pPr>
        <w:pStyle w:val="FiguresImagesCentred"/>
      </w:pPr>
      <w:r w:rsidRPr="003739CA">
        <w:rPr>
          <w:noProof/>
        </w:rPr>
        <w:lastRenderedPageBreak/>
        <w:drawing>
          <wp:inline distT="0" distB="0" distL="0" distR="0" wp14:anchorId="34EC7761" wp14:editId="069C6A41">
            <wp:extent cx="5964619" cy="5924550"/>
            <wp:effectExtent l="0" t="0" r="0" b="0"/>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3" cstate="screen">
                      <a:extLst>
                        <a:ext uri="{28A0092B-C50C-407E-A947-70E740481C1C}">
                          <a14:useLocalDpi xmlns:a14="http://schemas.microsoft.com/office/drawing/2010/main"/>
                        </a:ext>
                      </a:extLst>
                    </a:blip>
                    <a:stretch>
                      <a:fillRect/>
                    </a:stretch>
                  </pic:blipFill>
                  <pic:spPr bwMode="auto">
                    <a:xfrm>
                      <a:off x="0" y="0"/>
                      <a:ext cx="5964792" cy="5924722"/>
                    </a:xfrm>
                    <a:prstGeom prst="rect">
                      <a:avLst/>
                    </a:prstGeom>
                    <a:noFill/>
                    <a:ln>
                      <a:noFill/>
                    </a:ln>
                  </pic:spPr>
                </pic:pic>
              </a:graphicData>
            </a:graphic>
          </wp:inline>
        </w:drawing>
      </w:r>
    </w:p>
    <w:p w14:paraId="279BBBB7" w14:textId="504E8514" w:rsidR="00A43B22" w:rsidRDefault="00E34CDE" w:rsidP="009F3E8F">
      <w:pPr>
        <w:pStyle w:val="Caption"/>
      </w:pPr>
      <w:bookmarkStart w:id="92" w:name="_Toc508972083"/>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12</w:t>
      </w:r>
      <w:r w:rsidR="008079F1">
        <w:rPr>
          <w:noProof/>
        </w:rPr>
        <w:fldChar w:fldCharType="end"/>
      </w:r>
      <w:r>
        <w:rPr>
          <w:noProof/>
        </w:rPr>
        <w:t xml:space="preserve"> </w:t>
      </w:r>
      <w:r w:rsidR="00A43B22">
        <w:t>Wells targeting shale/tight gas plays shown on the depth grid for the base of the Rewan Group/top Bandanna Formation. Approximate tight/shale gas play is indicated by the 4</w:t>
      </w:r>
      <w:r w:rsidR="001F09C8">
        <w:t>,</w:t>
      </w:r>
      <w:r w:rsidR="00A43B22">
        <w:t>00</w:t>
      </w:r>
      <w:r w:rsidR="004C01AB">
        <w:t>0 m</w:t>
      </w:r>
      <w:r w:rsidR="00A43B22">
        <w:t xml:space="preserve"> contour.</w:t>
      </w:r>
      <w:bookmarkEnd w:id="92"/>
    </w:p>
    <w:p w14:paraId="1C7D25D0" w14:textId="77777777" w:rsidR="00A43B22" w:rsidRPr="00352C69" w:rsidRDefault="00A43B22" w:rsidP="00A43B22">
      <w:pPr>
        <w:pStyle w:val="BodyText"/>
      </w:pPr>
    </w:p>
    <w:p w14:paraId="0820573C" w14:textId="77777777" w:rsidR="00A43B22" w:rsidRDefault="00A43B22" w:rsidP="00A43B22">
      <w:pPr>
        <w:pStyle w:val="BodyText"/>
        <w:sectPr w:rsidR="00A43B22" w:rsidSect="005E271C">
          <w:footerReference w:type="even" r:id="rId144"/>
          <w:pgSz w:w="11907" w:h="16840" w:code="9"/>
          <w:pgMar w:top="1418" w:right="1418" w:bottom="1418" w:left="1418" w:header="510" w:footer="624" w:gutter="0"/>
          <w:cols w:space="720"/>
          <w:docGrid w:linePitch="326"/>
        </w:sectPr>
      </w:pPr>
    </w:p>
    <w:p w14:paraId="5BBF54E3" w14:textId="77777777" w:rsidR="00A43B22" w:rsidRPr="005243E4" w:rsidRDefault="00B92BE0" w:rsidP="009F3E8F">
      <w:pPr>
        <w:pStyle w:val="Caption"/>
      </w:pPr>
      <w:bookmarkStart w:id="93" w:name="_Toc508972157"/>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8</w:t>
      </w:r>
      <w:r w:rsidR="008079F1">
        <w:rPr>
          <w:noProof/>
        </w:rPr>
        <w:fldChar w:fldCharType="end"/>
      </w:r>
      <w:r>
        <w:t xml:space="preserve"> </w:t>
      </w:r>
      <w:r w:rsidR="00A43B22" w:rsidRPr="005243E4">
        <w:t>Summa</w:t>
      </w:r>
      <w:r w:rsidR="00A43B22">
        <w:t xml:space="preserve">ry of shale and tight gas plays </w:t>
      </w:r>
      <w:r w:rsidR="00A43B22" w:rsidRPr="005243E4">
        <w:t xml:space="preserve">compiled from </w:t>
      </w:r>
      <w:r w:rsidR="00A43B22">
        <w:t>literature and well completion reports.</w:t>
      </w:r>
      <w:bookmarkEnd w:id="93"/>
    </w:p>
    <w:tbl>
      <w:tblPr>
        <w:tblStyle w:val="TableBAHeaderRow"/>
        <w:tblW w:w="5000" w:type="pct"/>
        <w:tblLook w:val="04A0" w:firstRow="1" w:lastRow="0" w:firstColumn="1" w:lastColumn="0" w:noHBand="0" w:noVBand="1"/>
      </w:tblPr>
      <w:tblGrid>
        <w:gridCol w:w="1403"/>
        <w:gridCol w:w="877"/>
        <w:gridCol w:w="1215"/>
        <w:gridCol w:w="939"/>
        <w:gridCol w:w="995"/>
        <w:gridCol w:w="2124"/>
        <w:gridCol w:w="1054"/>
        <w:gridCol w:w="1438"/>
        <w:gridCol w:w="1264"/>
        <w:gridCol w:w="2695"/>
      </w:tblGrid>
      <w:tr w:rsidR="00A43B22" w14:paraId="00C9A69C" w14:textId="77777777" w:rsidTr="00E01F8F">
        <w:trPr>
          <w:cnfStyle w:val="100000000000" w:firstRow="1" w:lastRow="0" w:firstColumn="0" w:lastColumn="0" w:oddVBand="0" w:evenVBand="0" w:oddHBand="0" w:evenHBand="0" w:firstRowFirstColumn="0" w:firstRowLastColumn="0" w:lastRowFirstColumn="0" w:lastRowLastColumn="0"/>
        </w:trPr>
        <w:tc>
          <w:tcPr>
            <w:tcW w:w="502" w:type="pct"/>
          </w:tcPr>
          <w:p w14:paraId="56287C3A" w14:textId="77777777" w:rsidR="00A43B22" w:rsidRDefault="00A43B22" w:rsidP="008B38C1">
            <w:pPr>
              <w:pStyle w:val="TableTextLeft"/>
            </w:pPr>
            <w:r>
              <w:t>Formation</w:t>
            </w:r>
          </w:p>
        </w:tc>
        <w:tc>
          <w:tcPr>
            <w:tcW w:w="314" w:type="pct"/>
          </w:tcPr>
          <w:p w14:paraId="6A32AF42" w14:textId="77777777" w:rsidR="00A43B22" w:rsidRDefault="00A43B22" w:rsidP="008B38C1">
            <w:pPr>
              <w:pStyle w:val="TableTextLeft"/>
            </w:pPr>
            <w:r>
              <w:t>Age</w:t>
            </w:r>
          </w:p>
        </w:tc>
        <w:tc>
          <w:tcPr>
            <w:tcW w:w="430" w:type="pct"/>
          </w:tcPr>
          <w:p w14:paraId="357A7049" w14:textId="77777777" w:rsidR="00A43B22" w:rsidRDefault="00A43B22" w:rsidP="008B38C1">
            <w:pPr>
              <w:pStyle w:val="TableTextLeft"/>
            </w:pPr>
            <w:r>
              <w:t>Environment</w:t>
            </w:r>
          </w:p>
        </w:tc>
        <w:tc>
          <w:tcPr>
            <w:tcW w:w="336" w:type="pct"/>
          </w:tcPr>
          <w:p w14:paraId="35327D48" w14:textId="77777777" w:rsidR="00A43B22" w:rsidRDefault="00A43B22" w:rsidP="008B38C1">
            <w:pPr>
              <w:pStyle w:val="TableTextLeft"/>
            </w:pPr>
            <w:r>
              <w:t>Top depth (m)</w:t>
            </w:r>
          </w:p>
        </w:tc>
        <w:tc>
          <w:tcPr>
            <w:tcW w:w="352" w:type="pct"/>
          </w:tcPr>
          <w:p w14:paraId="6CFD080C" w14:textId="77777777" w:rsidR="00A43B22" w:rsidRDefault="00A43B22" w:rsidP="008B38C1">
            <w:pPr>
              <w:pStyle w:val="TableTextLeft"/>
            </w:pPr>
            <w:r>
              <w:t>Thickness (m)</w:t>
            </w:r>
          </w:p>
        </w:tc>
        <w:tc>
          <w:tcPr>
            <w:tcW w:w="759" w:type="pct"/>
          </w:tcPr>
          <w:p w14:paraId="422AACD8" w14:textId="77777777" w:rsidR="00A43B22" w:rsidRDefault="00A43B22" w:rsidP="008B38C1">
            <w:pPr>
              <w:pStyle w:val="TableTextLeft"/>
            </w:pPr>
            <w:r>
              <w:t>Source rock(s)</w:t>
            </w:r>
          </w:p>
        </w:tc>
        <w:tc>
          <w:tcPr>
            <w:tcW w:w="377" w:type="pct"/>
          </w:tcPr>
          <w:p w14:paraId="7A35B74D" w14:textId="77777777" w:rsidR="00A43B22" w:rsidRDefault="00A43B22" w:rsidP="008B38C1">
            <w:pPr>
              <w:pStyle w:val="TableTextLeft"/>
            </w:pPr>
            <w:r>
              <w:t>Source rock TOC (%)</w:t>
            </w:r>
          </w:p>
        </w:tc>
        <w:tc>
          <w:tcPr>
            <w:tcW w:w="514" w:type="pct"/>
          </w:tcPr>
          <w:p w14:paraId="79C60732" w14:textId="77777777" w:rsidR="00A43B22" w:rsidRDefault="00A43B22" w:rsidP="008B38C1">
            <w:pPr>
              <w:pStyle w:val="TableTextLeft"/>
            </w:pPr>
            <w:r>
              <w:t>Source rock maturity (Ro)</w:t>
            </w:r>
          </w:p>
        </w:tc>
        <w:tc>
          <w:tcPr>
            <w:tcW w:w="452" w:type="pct"/>
          </w:tcPr>
          <w:p w14:paraId="3D0EFDAE" w14:textId="77777777" w:rsidR="00A43B22" w:rsidRDefault="00A43B22" w:rsidP="008B38C1">
            <w:pPr>
              <w:pStyle w:val="TableTextLeft"/>
            </w:pPr>
            <w:r>
              <w:t>Play type</w:t>
            </w:r>
          </w:p>
        </w:tc>
        <w:tc>
          <w:tcPr>
            <w:tcW w:w="963" w:type="pct"/>
          </w:tcPr>
          <w:p w14:paraId="0326C113" w14:textId="77777777" w:rsidR="00A43B22" w:rsidRDefault="00A43B22" w:rsidP="008B38C1">
            <w:pPr>
              <w:pStyle w:val="TableTextLeft"/>
            </w:pPr>
            <w:r>
              <w:t>Exploration status</w:t>
            </w:r>
          </w:p>
        </w:tc>
      </w:tr>
      <w:tr w:rsidR="00A43B22" w:rsidRPr="00813CEB" w14:paraId="6D787E47" w14:textId="77777777" w:rsidTr="00E01F8F">
        <w:trPr>
          <w:cnfStyle w:val="000000100000" w:firstRow="0" w:lastRow="0" w:firstColumn="0" w:lastColumn="0" w:oddVBand="0" w:evenVBand="0" w:oddHBand="1" w:evenHBand="0" w:firstRowFirstColumn="0" w:firstRowLastColumn="0" w:lastRowFirstColumn="0" w:lastRowLastColumn="0"/>
        </w:trPr>
        <w:tc>
          <w:tcPr>
            <w:tcW w:w="502" w:type="pct"/>
          </w:tcPr>
          <w:p w14:paraId="530964B2" w14:textId="77777777" w:rsidR="00A43B22" w:rsidRPr="00EF28E7" w:rsidRDefault="00A43B22" w:rsidP="000350BE">
            <w:pPr>
              <w:pStyle w:val="TableTextLeft"/>
            </w:pPr>
            <w:r w:rsidRPr="00EF28E7">
              <w:t>Showgrounds Sandstone</w:t>
            </w:r>
          </w:p>
        </w:tc>
        <w:tc>
          <w:tcPr>
            <w:tcW w:w="314" w:type="pct"/>
          </w:tcPr>
          <w:p w14:paraId="2A68F014" w14:textId="77777777" w:rsidR="00A43B22" w:rsidRPr="00EF28E7" w:rsidRDefault="00A43B22" w:rsidP="000350BE">
            <w:pPr>
              <w:pStyle w:val="TableTextLeft"/>
            </w:pPr>
            <w:r w:rsidRPr="00EF28E7">
              <w:t>Middle Triassic</w:t>
            </w:r>
          </w:p>
        </w:tc>
        <w:tc>
          <w:tcPr>
            <w:tcW w:w="430" w:type="pct"/>
          </w:tcPr>
          <w:p w14:paraId="16CEF9D2" w14:textId="77777777" w:rsidR="00A43B22" w:rsidRPr="00EF28E7" w:rsidRDefault="00A43B22" w:rsidP="000350BE">
            <w:pPr>
              <w:pStyle w:val="TableTextLeft"/>
            </w:pPr>
            <w:r>
              <w:t>f</w:t>
            </w:r>
            <w:r w:rsidRPr="00EF28E7">
              <w:t>luvial-lacustrine</w:t>
            </w:r>
          </w:p>
        </w:tc>
        <w:tc>
          <w:tcPr>
            <w:tcW w:w="336" w:type="pct"/>
          </w:tcPr>
          <w:p w14:paraId="1D52BCDE" w14:textId="77777777" w:rsidR="00A43B22" w:rsidRPr="00EF28E7" w:rsidRDefault="00A43B22" w:rsidP="000350BE">
            <w:pPr>
              <w:pStyle w:val="TableTextLeft"/>
            </w:pPr>
            <w:r>
              <w:t>2</w:t>
            </w:r>
            <w:r w:rsidR="004C01AB">
              <w:t>,</w:t>
            </w:r>
            <w:r>
              <w:t>000</w:t>
            </w:r>
            <w:r w:rsidRPr="00EF28E7">
              <w:t>-3</w:t>
            </w:r>
            <w:r w:rsidR="004C01AB">
              <w:t>,</w:t>
            </w:r>
            <w:r>
              <w:t>0</w:t>
            </w:r>
            <w:r w:rsidRPr="00EF28E7">
              <w:t>00</w:t>
            </w:r>
          </w:p>
        </w:tc>
        <w:tc>
          <w:tcPr>
            <w:tcW w:w="352" w:type="pct"/>
          </w:tcPr>
          <w:p w14:paraId="0A244062" w14:textId="77777777" w:rsidR="00A43B22" w:rsidRPr="00EF28E7" w:rsidRDefault="00A43B22" w:rsidP="000350BE">
            <w:pPr>
              <w:pStyle w:val="TableTextLeft"/>
            </w:pPr>
            <w:r>
              <w:t>&lt;5</w:t>
            </w:r>
            <w:r w:rsidRPr="00EF28E7">
              <w:t>0</w:t>
            </w:r>
          </w:p>
        </w:tc>
        <w:tc>
          <w:tcPr>
            <w:tcW w:w="759" w:type="pct"/>
          </w:tcPr>
          <w:p w14:paraId="2BC697C4" w14:textId="77777777" w:rsidR="00A43B22" w:rsidRPr="00EF28E7" w:rsidRDefault="00A43B22" w:rsidP="000350BE">
            <w:pPr>
              <w:pStyle w:val="TableTextLeft"/>
            </w:pPr>
            <w:r>
              <w:t>Bandanna Fm and equiv. coals and carbonaceous shales (</w:t>
            </w:r>
            <w:r w:rsidRPr="00EF28E7">
              <w:t>Type II/III</w:t>
            </w:r>
            <w:r>
              <w:t>)</w:t>
            </w:r>
          </w:p>
        </w:tc>
        <w:tc>
          <w:tcPr>
            <w:tcW w:w="377" w:type="pct"/>
          </w:tcPr>
          <w:p w14:paraId="7CB8FB76" w14:textId="77777777" w:rsidR="00A43B22" w:rsidRPr="00EF28E7" w:rsidRDefault="00473729" w:rsidP="000350BE">
            <w:pPr>
              <w:pStyle w:val="TableTextLeft"/>
            </w:pPr>
            <w:r>
              <w:t>N/A</w:t>
            </w:r>
          </w:p>
        </w:tc>
        <w:tc>
          <w:tcPr>
            <w:tcW w:w="514" w:type="pct"/>
          </w:tcPr>
          <w:p w14:paraId="5F93E616" w14:textId="77777777" w:rsidR="00A43B22" w:rsidRDefault="00A43B22" w:rsidP="000350BE">
            <w:pPr>
              <w:pStyle w:val="TableTextLeft"/>
            </w:pPr>
            <w:r>
              <w:t xml:space="preserve">main oil to wet gas; </w:t>
            </w:r>
            <w:r w:rsidRPr="00EF28E7">
              <w:t>0.</w:t>
            </w:r>
            <w:r>
              <w:t>95</w:t>
            </w:r>
            <w:r w:rsidRPr="00EF28E7">
              <w:t>-</w:t>
            </w:r>
            <w:r>
              <w:t>1.15</w:t>
            </w:r>
            <w:r w:rsidRPr="00EF28E7">
              <w:t>%</w:t>
            </w:r>
          </w:p>
          <w:p w14:paraId="47EEBC86" w14:textId="77777777" w:rsidR="00A43B22" w:rsidRPr="00EF28E7" w:rsidRDefault="00A43B22" w:rsidP="000350BE">
            <w:pPr>
              <w:pStyle w:val="TableTextLeft"/>
            </w:pPr>
          </w:p>
        </w:tc>
        <w:tc>
          <w:tcPr>
            <w:tcW w:w="452" w:type="pct"/>
          </w:tcPr>
          <w:p w14:paraId="2CC3350D" w14:textId="77777777" w:rsidR="00A43B22" w:rsidRPr="00EF28E7" w:rsidRDefault="00A43B22" w:rsidP="000350BE">
            <w:pPr>
              <w:pStyle w:val="TableTextLeft"/>
            </w:pPr>
            <w:r w:rsidRPr="00EF28E7">
              <w:t>Tight gas</w:t>
            </w:r>
          </w:p>
        </w:tc>
        <w:tc>
          <w:tcPr>
            <w:tcW w:w="963" w:type="pct"/>
          </w:tcPr>
          <w:p w14:paraId="57D6FB6E" w14:textId="77777777" w:rsidR="00A43B22" w:rsidRPr="00EF28E7" w:rsidRDefault="00A43B22" w:rsidP="000350BE">
            <w:pPr>
              <w:pStyle w:val="TableTextLeft"/>
            </w:pPr>
            <w:r w:rsidRPr="00EF28E7">
              <w:t>preliminary exploration</w:t>
            </w:r>
          </w:p>
        </w:tc>
      </w:tr>
      <w:tr w:rsidR="00A43B22" w:rsidRPr="00813CEB" w14:paraId="28B83395" w14:textId="77777777" w:rsidTr="00E01F8F">
        <w:trPr>
          <w:cnfStyle w:val="000000010000" w:firstRow="0" w:lastRow="0" w:firstColumn="0" w:lastColumn="0" w:oddVBand="0" w:evenVBand="0" w:oddHBand="0" w:evenHBand="1" w:firstRowFirstColumn="0" w:firstRowLastColumn="0" w:lastRowFirstColumn="0" w:lastRowLastColumn="0"/>
        </w:trPr>
        <w:tc>
          <w:tcPr>
            <w:tcW w:w="502" w:type="pct"/>
          </w:tcPr>
          <w:p w14:paraId="42916965" w14:textId="77777777" w:rsidR="00A43B22" w:rsidRPr="00EF28E7" w:rsidRDefault="00A43B22" w:rsidP="000350BE">
            <w:pPr>
              <w:pStyle w:val="TableTextLeft"/>
            </w:pPr>
            <w:r w:rsidRPr="00EF28E7">
              <w:t>Rewan Formation (lower)</w:t>
            </w:r>
          </w:p>
        </w:tc>
        <w:tc>
          <w:tcPr>
            <w:tcW w:w="314" w:type="pct"/>
          </w:tcPr>
          <w:p w14:paraId="5F852E6B" w14:textId="48863FB2" w:rsidR="00A43B22" w:rsidRPr="00EF28E7" w:rsidRDefault="00A43B22" w:rsidP="000350BE">
            <w:pPr>
              <w:pStyle w:val="TableTextLeft"/>
            </w:pPr>
            <w:r w:rsidRPr="00EF28E7">
              <w:t>Early Triassic</w:t>
            </w:r>
          </w:p>
        </w:tc>
        <w:tc>
          <w:tcPr>
            <w:tcW w:w="430" w:type="pct"/>
          </w:tcPr>
          <w:p w14:paraId="135299D6" w14:textId="77777777" w:rsidR="00A43B22" w:rsidRPr="00EF28E7" w:rsidRDefault="00A43B22" w:rsidP="000350BE">
            <w:pPr>
              <w:pStyle w:val="TableTextLeft"/>
            </w:pPr>
            <w:r>
              <w:t>f</w:t>
            </w:r>
            <w:r w:rsidRPr="00EF28E7">
              <w:t>luvial-deltaic</w:t>
            </w:r>
          </w:p>
        </w:tc>
        <w:tc>
          <w:tcPr>
            <w:tcW w:w="336" w:type="pct"/>
          </w:tcPr>
          <w:p w14:paraId="62E46DD9" w14:textId="77777777" w:rsidR="00A43B22" w:rsidRPr="00EF28E7" w:rsidRDefault="00A43B22" w:rsidP="000350BE">
            <w:pPr>
              <w:pStyle w:val="TableTextLeft"/>
            </w:pPr>
            <w:r>
              <w:t>2</w:t>
            </w:r>
            <w:r w:rsidR="004C01AB">
              <w:t>,</w:t>
            </w:r>
            <w:r>
              <w:t>500-3</w:t>
            </w:r>
            <w:r w:rsidR="004C01AB">
              <w:t>,</w:t>
            </w:r>
            <w:r>
              <w:t>500</w:t>
            </w:r>
          </w:p>
        </w:tc>
        <w:tc>
          <w:tcPr>
            <w:tcW w:w="352" w:type="pct"/>
          </w:tcPr>
          <w:p w14:paraId="70570621" w14:textId="77777777" w:rsidR="00A43B22" w:rsidRPr="00EF28E7" w:rsidRDefault="00A43B22" w:rsidP="000350BE">
            <w:pPr>
              <w:pStyle w:val="TableTextLeft"/>
            </w:pPr>
            <w:r>
              <w:t>&lt;400</w:t>
            </w:r>
          </w:p>
        </w:tc>
        <w:tc>
          <w:tcPr>
            <w:tcW w:w="759" w:type="pct"/>
          </w:tcPr>
          <w:p w14:paraId="55931A32" w14:textId="77777777" w:rsidR="00A43B22" w:rsidRPr="00EF28E7" w:rsidRDefault="00A43B22" w:rsidP="000350BE">
            <w:pPr>
              <w:pStyle w:val="TableTextLeft"/>
            </w:pPr>
            <w:r>
              <w:t xml:space="preserve">Bandanna Fm and equiv. </w:t>
            </w:r>
            <w:r w:rsidRPr="00EF28E7">
              <w:t xml:space="preserve">coals and carbonaceous shales </w:t>
            </w:r>
            <w:r>
              <w:t>(</w:t>
            </w:r>
            <w:r w:rsidRPr="00EF28E7">
              <w:t>Type II/III</w:t>
            </w:r>
            <w:r>
              <w:t>)</w:t>
            </w:r>
          </w:p>
        </w:tc>
        <w:tc>
          <w:tcPr>
            <w:tcW w:w="377" w:type="pct"/>
          </w:tcPr>
          <w:p w14:paraId="0760D3E6" w14:textId="77777777" w:rsidR="00A43B22" w:rsidRPr="00EF28E7" w:rsidRDefault="00A43B22" w:rsidP="000350BE">
            <w:pPr>
              <w:pStyle w:val="TableTextLeft"/>
            </w:pPr>
          </w:p>
        </w:tc>
        <w:tc>
          <w:tcPr>
            <w:tcW w:w="514" w:type="pct"/>
          </w:tcPr>
          <w:p w14:paraId="28ADC8F7" w14:textId="77777777" w:rsidR="00A43B22" w:rsidRDefault="00A43B22" w:rsidP="000350BE">
            <w:pPr>
              <w:pStyle w:val="TableTextLeft"/>
            </w:pPr>
            <w:r>
              <w:t xml:space="preserve">main oil to wet gas; </w:t>
            </w:r>
            <w:r w:rsidRPr="00EF28E7">
              <w:t>0.</w:t>
            </w:r>
            <w:r>
              <w:t>95</w:t>
            </w:r>
            <w:r w:rsidRPr="00EF28E7">
              <w:t>-</w:t>
            </w:r>
            <w:r>
              <w:t>1.15</w:t>
            </w:r>
            <w:r w:rsidRPr="00EF28E7">
              <w:t>%</w:t>
            </w:r>
          </w:p>
          <w:p w14:paraId="2E037E3A" w14:textId="77777777" w:rsidR="00A43B22" w:rsidRPr="00EF28E7" w:rsidRDefault="00A43B22" w:rsidP="000350BE">
            <w:pPr>
              <w:pStyle w:val="TableTextLeft"/>
            </w:pPr>
          </w:p>
        </w:tc>
        <w:tc>
          <w:tcPr>
            <w:tcW w:w="452" w:type="pct"/>
          </w:tcPr>
          <w:p w14:paraId="570E5062" w14:textId="77777777" w:rsidR="00A43B22" w:rsidRPr="00EF28E7" w:rsidRDefault="00A43B22" w:rsidP="000350BE">
            <w:pPr>
              <w:pStyle w:val="TableTextLeft"/>
            </w:pPr>
            <w:r w:rsidRPr="00EF28E7">
              <w:t>Tight gas</w:t>
            </w:r>
          </w:p>
        </w:tc>
        <w:tc>
          <w:tcPr>
            <w:tcW w:w="963" w:type="pct"/>
          </w:tcPr>
          <w:p w14:paraId="5B2EAD38" w14:textId="77777777" w:rsidR="00A43B22" w:rsidRPr="00EF28E7" w:rsidRDefault="00A43B22" w:rsidP="000350BE">
            <w:pPr>
              <w:pStyle w:val="TableTextLeft"/>
            </w:pPr>
            <w:r w:rsidRPr="00EF28E7">
              <w:t>preliminary exploration</w:t>
            </w:r>
          </w:p>
        </w:tc>
      </w:tr>
      <w:tr w:rsidR="00A43B22" w:rsidRPr="00813CEB" w14:paraId="054DE049" w14:textId="77777777" w:rsidTr="00E01F8F">
        <w:trPr>
          <w:cnfStyle w:val="000000100000" w:firstRow="0" w:lastRow="0" w:firstColumn="0" w:lastColumn="0" w:oddVBand="0" w:evenVBand="0" w:oddHBand="1" w:evenHBand="0" w:firstRowFirstColumn="0" w:firstRowLastColumn="0" w:lastRowFirstColumn="0" w:lastRowLastColumn="0"/>
        </w:trPr>
        <w:tc>
          <w:tcPr>
            <w:tcW w:w="502" w:type="pct"/>
          </w:tcPr>
          <w:p w14:paraId="3D9FA6BB" w14:textId="77777777" w:rsidR="00A43B22" w:rsidRPr="00EF28E7" w:rsidRDefault="00A43B22" w:rsidP="000350BE">
            <w:pPr>
              <w:pStyle w:val="TableTextLeft"/>
            </w:pPr>
            <w:r w:rsidRPr="00EF28E7">
              <w:t>Bandanna Formation</w:t>
            </w:r>
          </w:p>
        </w:tc>
        <w:tc>
          <w:tcPr>
            <w:tcW w:w="314" w:type="pct"/>
          </w:tcPr>
          <w:p w14:paraId="30CC3857" w14:textId="0B7BD906" w:rsidR="00A43B22" w:rsidRPr="00EF28E7" w:rsidRDefault="00253C65" w:rsidP="000350BE">
            <w:pPr>
              <w:pStyle w:val="TableTextLeft"/>
            </w:pPr>
            <w:r>
              <w:t>l</w:t>
            </w:r>
            <w:r w:rsidRPr="00EF28E7">
              <w:t xml:space="preserve">ate </w:t>
            </w:r>
            <w:r w:rsidR="00A43B22" w:rsidRPr="00EF28E7">
              <w:t>Permian</w:t>
            </w:r>
          </w:p>
        </w:tc>
        <w:tc>
          <w:tcPr>
            <w:tcW w:w="430" w:type="pct"/>
          </w:tcPr>
          <w:p w14:paraId="259A245E" w14:textId="77777777" w:rsidR="00A43B22" w:rsidRPr="00EF28E7" w:rsidRDefault="00A43B22" w:rsidP="000350BE">
            <w:pPr>
              <w:pStyle w:val="TableTextLeft"/>
            </w:pPr>
            <w:r w:rsidRPr="00EF28E7">
              <w:t>deltaic</w:t>
            </w:r>
          </w:p>
        </w:tc>
        <w:tc>
          <w:tcPr>
            <w:tcW w:w="336" w:type="pct"/>
          </w:tcPr>
          <w:p w14:paraId="2571FDEC" w14:textId="77777777" w:rsidR="00A43B22" w:rsidRPr="00EF28E7" w:rsidRDefault="00A43B22" w:rsidP="000350BE">
            <w:pPr>
              <w:pStyle w:val="TableTextLeft"/>
            </w:pPr>
            <w:r>
              <w:t>2</w:t>
            </w:r>
            <w:r w:rsidR="004C01AB">
              <w:t>,</w:t>
            </w:r>
            <w:r>
              <w:t>500-4</w:t>
            </w:r>
            <w:r w:rsidR="004C01AB">
              <w:t>,</w:t>
            </w:r>
            <w:r>
              <w:t>200</w:t>
            </w:r>
          </w:p>
        </w:tc>
        <w:tc>
          <w:tcPr>
            <w:tcW w:w="352" w:type="pct"/>
          </w:tcPr>
          <w:p w14:paraId="2126FD0F" w14:textId="77777777" w:rsidR="00A43B22" w:rsidRPr="00EF28E7" w:rsidRDefault="00A43B22" w:rsidP="000350BE">
            <w:pPr>
              <w:pStyle w:val="TableTextLeft"/>
            </w:pPr>
            <w:r>
              <w:t>&lt;180</w:t>
            </w:r>
          </w:p>
        </w:tc>
        <w:tc>
          <w:tcPr>
            <w:tcW w:w="759" w:type="pct"/>
          </w:tcPr>
          <w:p w14:paraId="6FC6F65F" w14:textId="77777777" w:rsidR="00A43B22" w:rsidRPr="00EF28E7" w:rsidRDefault="00A43B22" w:rsidP="000350BE">
            <w:pPr>
              <w:pStyle w:val="TableTextLeft"/>
            </w:pPr>
            <w:r w:rsidRPr="00EF28E7">
              <w:t>Type II/III to Type III; coal, DOM</w:t>
            </w:r>
          </w:p>
        </w:tc>
        <w:tc>
          <w:tcPr>
            <w:tcW w:w="377" w:type="pct"/>
          </w:tcPr>
          <w:p w14:paraId="3EE6971E" w14:textId="77777777" w:rsidR="00A43B22" w:rsidRPr="00EF28E7" w:rsidRDefault="00A43B22" w:rsidP="000350BE">
            <w:pPr>
              <w:pStyle w:val="TableTextLeft"/>
            </w:pPr>
            <w:r w:rsidRPr="00EF28E7">
              <w:t>coal</w:t>
            </w:r>
          </w:p>
        </w:tc>
        <w:tc>
          <w:tcPr>
            <w:tcW w:w="514" w:type="pct"/>
          </w:tcPr>
          <w:p w14:paraId="2F403670" w14:textId="77777777" w:rsidR="00A43B22" w:rsidRDefault="00A43B22" w:rsidP="000350BE">
            <w:pPr>
              <w:pStyle w:val="TableTextLeft"/>
            </w:pPr>
            <w:r>
              <w:t xml:space="preserve">main oil to wet gas; </w:t>
            </w:r>
            <w:r w:rsidRPr="00EF28E7">
              <w:t>0.</w:t>
            </w:r>
            <w:r>
              <w:t>95</w:t>
            </w:r>
            <w:r w:rsidRPr="00EF28E7">
              <w:t>-</w:t>
            </w:r>
            <w:r>
              <w:t>1.15</w:t>
            </w:r>
            <w:r w:rsidRPr="00EF28E7">
              <w:t>%</w:t>
            </w:r>
          </w:p>
          <w:p w14:paraId="4D7526AD" w14:textId="77777777" w:rsidR="00A43B22" w:rsidRPr="00EF28E7" w:rsidRDefault="00A43B22" w:rsidP="000350BE">
            <w:pPr>
              <w:pStyle w:val="TableTextLeft"/>
            </w:pPr>
          </w:p>
        </w:tc>
        <w:tc>
          <w:tcPr>
            <w:tcW w:w="452" w:type="pct"/>
          </w:tcPr>
          <w:p w14:paraId="22599956" w14:textId="77777777" w:rsidR="00A43B22" w:rsidRPr="00EF28E7" w:rsidRDefault="00A43B22" w:rsidP="000350BE">
            <w:pPr>
              <w:pStyle w:val="TableTextLeft"/>
            </w:pPr>
            <w:r w:rsidRPr="00EF28E7">
              <w:t>Shale/tight gas</w:t>
            </w:r>
          </w:p>
        </w:tc>
        <w:tc>
          <w:tcPr>
            <w:tcW w:w="963" w:type="pct"/>
          </w:tcPr>
          <w:p w14:paraId="625C2D97" w14:textId="77777777" w:rsidR="00A43B22" w:rsidRPr="00EF28E7" w:rsidRDefault="00A43B22" w:rsidP="000350BE">
            <w:pPr>
              <w:pStyle w:val="TableTextLeft"/>
            </w:pPr>
            <w:r w:rsidRPr="00EF28E7">
              <w:t>preliminary exploration</w:t>
            </w:r>
          </w:p>
        </w:tc>
      </w:tr>
      <w:tr w:rsidR="00A43B22" w:rsidRPr="00813CEB" w14:paraId="2AA74946" w14:textId="77777777" w:rsidTr="00E01F8F">
        <w:trPr>
          <w:cnfStyle w:val="000000010000" w:firstRow="0" w:lastRow="0" w:firstColumn="0" w:lastColumn="0" w:oddVBand="0" w:evenVBand="0" w:oddHBand="0" w:evenHBand="1" w:firstRowFirstColumn="0" w:firstRowLastColumn="0" w:lastRowFirstColumn="0" w:lastRowLastColumn="0"/>
        </w:trPr>
        <w:tc>
          <w:tcPr>
            <w:tcW w:w="502" w:type="pct"/>
          </w:tcPr>
          <w:p w14:paraId="17A20F9D" w14:textId="77777777" w:rsidR="00A43B22" w:rsidRPr="00EF28E7" w:rsidRDefault="00A43B22" w:rsidP="000350BE">
            <w:pPr>
              <w:pStyle w:val="TableTextLeft"/>
            </w:pPr>
            <w:r w:rsidRPr="00EF28E7">
              <w:t>Black Alley Shale</w:t>
            </w:r>
          </w:p>
        </w:tc>
        <w:tc>
          <w:tcPr>
            <w:tcW w:w="314" w:type="pct"/>
          </w:tcPr>
          <w:p w14:paraId="3F3DAB43" w14:textId="29418223" w:rsidR="00A43B22" w:rsidRPr="00EF28E7" w:rsidRDefault="00253C65" w:rsidP="000350BE">
            <w:pPr>
              <w:pStyle w:val="TableTextLeft"/>
            </w:pPr>
            <w:r>
              <w:t>l</w:t>
            </w:r>
            <w:r w:rsidRPr="00EF28E7">
              <w:t xml:space="preserve">ate </w:t>
            </w:r>
            <w:r w:rsidR="00A43B22" w:rsidRPr="00EF28E7">
              <w:t>Permian</w:t>
            </w:r>
          </w:p>
        </w:tc>
        <w:tc>
          <w:tcPr>
            <w:tcW w:w="430" w:type="pct"/>
          </w:tcPr>
          <w:p w14:paraId="3BE01024" w14:textId="77777777" w:rsidR="00A43B22" w:rsidRPr="00EF28E7" w:rsidRDefault="00A43B22" w:rsidP="000350BE">
            <w:pPr>
              <w:pStyle w:val="TableTextLeft"/>
            </w:pPr>
            <w:r w:rsidRPr="00EF28E7">
              <w:t>marine-lacustrine</w:t>
            </w:r>
          </w:p>
        </w:tc>
        <w:tc>
          <w:tcPr>
            <w:tcW w:w="336" w:type="pct"/>
          </w:tcPr>
          <w:p w14:paraId="1DD81703" w14:textId="77777777" w:rsidR="00A43B22" w:rsidRPr="00EF28E7" w:rsidRDefault="00A43B22" w:rsidP="000350BE">
            <w:pPr>
              <w:pStyle w:val="TableTextLeft"/>
            </w:pPr>
            <w:r>
              <w:t>2</w:t>
            </w:r>
            <w:r w:rsidR="004C01AB">
              <w:t>,</w:t>
            </w:r>
            <w:r>
              <w:t>800-4</w:t>
            </w:r>
            <w:r w:rsidR="004C01AB">
              <w:t>,</w:t>
            </w:r>
            <w:r>
              <w:t>500</w:t>
            </w:r>
          </w:p>
        </w:tc>
        <w:tc>
          <w:tcPr>
            <w:tcW w:w="352" w:type="pct"/>
          </w:tcPr>
          <w:p w14:paraId="05F79114" w14:textId="77777777" w:rsidR="00A43B22" w:rsidRPr="00EF28E7" w:rsidRDefault="00A43B22" w:rsidP="000350BE">
            <w:pPr>
              <w:pStyle w:val="TableTextLeft"/>
            </w:pPr>
            <w:r w:rsidRPr="00EF28E7">
              <w:t>&lt;</w:t>
            </w:r>
            <w:r>
              <w:t>60</w:t>
            </w:r>
          </w:p>
        </w:tc>
        <w:tc>
          <w:tcPr>
            <w:tcW w:w="759" w:type="pct"/>
          </w:tcPr>
          <w:p w14:paraId="05856E95" w14:textId="77777777" w:rsidR="00A43B22" w:rsidRPr="00EF28E7" w:rsidRDefault="00A43B22" w:rsidP="000350BE">
            <w:pPr>
              <w:pStyle w:val="TableTextLeft"/>
            </w:pPr>
            <w:r w:rsidRPr="00EF28E7">
              <w:t>Type II/III OM; marine shale</w:t>
            </w:r>
          </w:p>
        </w:tc>
        <w:tc>
          <w:tcPr>
            <w:tcW w:w="377" w:type="pct"/>
          </w:tcPr>
          <w:p w14:paraId="6AEFF416" w14:textId="77777777" w:rsidR="00A43B22" w:rsidRPr="00EF28E7" w:rsidRDefault="00A43B22" w:rsidP="000350BE">
            <w:pPr>
              <w:pStyle w:val="TableTextLeft"/>
            </w:pPr>
            <w:r w:rsidRPr="00EF28E7">
              <w:t>0.29-10.18%</w:t>
            </w:r>
          </w:p>
        </w:tc>
        <w:tc>
          <w:tcPr>
            <w:tcW w:w="514" w:type="pct"/>
          </w:tcPr>
          <w:p w14:paraId="1273E568" w14:textId="77777777" w:rsidR="00A43B22" w:rsidRPr="00EF28E7" w:rsidRDefault="00A43B22" w:rsidP="000350BE">
            <w:pPr>
              <w:pStyle w:val="TableTextLeft"/>
            </w:pPr>
            <w:r>
              <w:t>main oil to wet gas; 0.85</w:t>
            </w:r>
            <w:r w:rsidRPr="00EF28E7">
              <w:t>-</w:t>
            </w:r>
            <w:r>
              <w:t>~1.6</w:t>
            </w:r>
            <w:r w:rsidRPr="00EF28E7">
              <w:t>%</w:t>
            </w:r>
          </w:p>
        </w:tc>
        <w:tc>
          <w:tcPr>
            <w:tcW w:w="452" w:type="pct"/>
          </w:tcPr>
          <w:p w14:paraId="0334928A" w14:textId="77777777" w:rsidR="00A43B22" w:rsidRPr="00EF28E7" w:rsidRDefault="00A43B22" w:rsidP="000350BE">
            <w:pPr>
              <w:pStyle w:val="TableTextLeft"/>
            </w:pPr>
            <w:r w:rsidRPr="00EF28E7">
              <w:t>Shale gas</w:t>
            </w:r>
          </w:p>
        </w:tc>
        <w:tc>
          <w:tcPr>
            <w:tcW w:w="963" w:type="pct"/>
          </w:tcPr>
          <w:p w14:paraId="12E65DC0" w14:textId="77777777" w:rsidR="00A43B22" w:rsidRPr="00EF28E7" w:rsidRDefault="00A43B22" w:rsidP="000350BE">
            <w:pPr>
              <w:pStyle w:val="TableTextLeft"/>
            </w:pPr>
            <w:r w:rsidRPr="00EF28E7">
              <w:t>preliminary exploration</w:t>
            </w:r>
          </w:p>
        </w:tc>
      </w:tr>
      <w:tr w:rsidR="00A43B22" w:rsidRPr="00813CEB" w14:paraId="2172EED8" w14:textId="77777777" w:rsidTr="00E01F8F">
        <w:trPr>
          <w:cnfStyle w:val="000000100000" w:firstRow="0" w:lastRow="0" w:firstColumn="0" w:lastColumn="0" w:oddVBand="0" w:evenVBand="0" w:oddHBand="1" w:evenHBand="0" w:firstRowFirstColumn="0" w:firstRowLastColumn="0" w:lastRowFirstColumn="0" w:lastRowLastColumn="0"/>
        </w:trPr>
        <w:tc>
          <w:tcPr>
            <w:tcW w:w="502" w:type="pct"/>
          </w:tcPr>
          <w:p w14:paraId="6EB2C796" w14:textId="77777777" w:rsidR="00A43B22" w:rsidRPr="00EF28E7" w:rsidRDefault="00A43B22" w:rsidP="000350BE">
            <w:pPr>
              <w:pStyle w:val="TableTextLeft"/>
            </w:pPr>
            <w:r w:rsidRPr="00EF28E7">
              <w:t>Tinowon Formation</w:t>
            </w:r>
          </w:p>
        </w:tc>
        <w:tc>
          <w:tcPr>
            <w:tcW w:w="314" w:type="pct"/>
          </w:tcPr>
          <w:p w14:paraId="5B9FB86E" w14:textId="512A5314" w:rsidR="00A43B22" w:rsidRPr="00EF28E7" w:rsidRDefault="00253C65" w:rsidP="000350BE">
            <w:pPr>
              <w:pStyle w:val="TableTextLeft"/>
            </w:pPr>
            <w:r>
              <w:t>l</w:t>
            </w:r>
            <w:r w:rsidRPr="00EF28E7">
              <w:t xml:space="preserve">ate </w:t>
            </w:r>
            <w:r w:rsidR="00A43B22" w:rsidRPr="00EF28E7">
              <w:t>Permian</w:t>
            </w:r>
          </w:p>
        </w:tc>
        <w:tc>
          <w:tcPr>
            <w:tcW w:w="430" w:type="pct"/>
          </w:tcPr>
          <w:p w14:paraId="19734661" w14:textId="77777777" w:rsidR="00A43B22" w:rsidRPr="00EF28E7" w:rsidRDefault="00A43B22" w:rsidP="000350BE">
            <w:pPr>
              <w:pStyle w:val="TableTextLeft"/>
            </w:pPr>
            <w:r w:rsidRPr="00EF28E7">
              <w:t>shallow marine-deltaic</w:t>
            </w:r>
          </w:p>
        </w:tc>
        <w:tc>
          <w:tcPr>
            <w:tcW w:w="336" w:type="pct"/>
          </w:tcPr>
          <w:p w14:paraId="765FB8B9" w14:textId="77777777" w:rsidR="00A43B22" w:rsidRPr="00EF28E7" w:rsidRDefault="00A43B22" w:rsidP="000350BE">
            <w:pPr>
              <w:pStyle w:val="TableTextLeft"/>
            </w:pPr>
            <w:r>
              <w:t>3</w:t>
            </w:r>
            <w:r w:rsidR="004C01AB">
              <w:t>,</w:t>
            </w:r>
            <w:r>
              <w:t>000-5</w:t>
            </w:r>
            <w:r w:rsidR="004C01AB">
              <w:t>,</w:t>
            </w:r>
            <w:r>
              <w:t>200</w:t>
            </w:r>
          </w:p>
        </w:tc>
        <w:tc>
          <w:tcPr>
            <w:tcW w:w="352" w:type="pct"/>
          </w:tcPr>
          <w:p w14:paraId="513E87F8" w14:textId="77777777" w:rsidR="00A43B22" w:rsidRPr="00EF28E7" w:rsidRDefault="00A43B22" w:rsidP="000350BE">
            <w:pPr>
              <w:pStyle w:val="TableTextLeft"/>
            </w:pPr>
            <w:r w:rsidRPr="00EF28E7">
              <w:t>50-</w:t>
            </w:r>
            <w:r>
              <w:t>10</w:t>
            </w:r>
            <w:r w:rsidRPr="00EF28E7">
              <w:t>0</w:t>
            </w:r>
          </w:p>
        </w:tc>
        <w:tc>
          <w:tcPr>
            <w:tcW w:w="759" w:type="pct"/>
          </w:tcPr>
          <w:p w14:paraId="66F30B2F" w14:textId="77777777" w:rsidR="00A43B22" w:rsidRPr="00EF28E7" w:rsidRDefault="00A43B22" w:rsidP="000350BE">
            <w:pPr>
              <w:pStyle w:val="TableTextLeft"/>
            </w:pPr>
            <w:r>
              <w:t xml:space="preserve">Wallabella Coal Mb; Bandanna Fm and equiv. </w:t>
            </w:r>
            <w:r w:rsidRPr="00EF28E7">
              <w:t xml:space="preserve">coals and carbonaceous shales; </w:t>
            </w:r>
            <w:r>
              <w:t>early-late Permian</w:t>
            </w:r>
            <w:r w:rsidRPr="00EF28E7">
              <w:t xml:space="preserve"> marine shales</w:t>
            </w:r>
          </w:p>
        </w:tc>
        <w:tc>
          <w:tcPr>
            <w:tcW w:w="377" w:type="pct"/>
          </w:tcPr>
          <w:p w14:paraId="1500FEF7" w14:textId="77777777" w:rsidR="00A43B22" w:rsidRPr="00EF28E7" w:rsidRDefault="00A43B22" w:rsidP="000350BE">
            <w:pPr>
              <w:pStyle w:val="TableTextLeft"/>
            </w:pPr>
          </w:p>
        </w:tc>
        <w:tc>
          <w:tcPr>
            <w:tcW w:w="514" w:type="pct"/>
          </w:tcPr>
          <w:p w14:paraId="62420AFE" w14:textId="77777777" w:rsidR="00A43B22" w:rsidRPr="00150771" w:rsidRDefault="00A43B22" w:rsidP="000350BE">
            <w:pPr>
              <w:pStyle w:val="TableTextLeft"/>
            </w:pPr>
            <w:r w:rsidRPr="00150771">
              <w:t>Main oil to dry gas;</w:t>
            </w:r>
          </w:p>
          <w:p w14:paraId="1AAC9422" w14:textId="77777777" w:rsidR="00A43B22" w:rsidRDefault="00A43B22" w:rsidP="000350BE">
            <w:pPr>
              <w:pStyle w:val="TableTextLeft"/>
            </w:pPr>
            <w:r w:rsidRPr="00EF28E7">
              <w:t>0.</w:t>
            </w:r>
            <w:r>
              <w:t>95</w:t>
            </w:r>
            <w:r w:rsidRPr="00EF28E7">
              <w:t>-</w:t>
            </w:r>
            <w:r>
              <w:t>1.15</w:t>
            </w:r>
            <w:r w:rsidRPr="00EF28E7">
              <w:t>%</w:t>
            </w:r>
          </w:p>
          <w:p w14:paraId="69BB985E" w14:textId="77777777" w:rsidR="00A43B22" w:rsidRDefault="00A43B22" w:rsidP="000350BE">
            <w:pPr>
              <w:pStyle w:val="TableTextLeft"/>
            </w:pPr>
            <w:r>
              <w:t>1.05-~2.0%;</w:t>
            </w:r>
          </w:p>
          <w:p w14:paraId="5CD13AF1" w14:textId="77777777" w:rsidR="00A43B22" w:rsidRPr="00283B10" w:rsidRDefault="00A43B22" w:rsidP="000350BE">
            <w:pPr>
              <w:pStyle w:val="TableTextLeft"/>
            </w:pPr>
          </w:p>
        </w:tc>
        <w:tc>
          <w:tcPr>
            <w:tcW w:w="452" w:type="pct"/>
          </w:tcPr>
          <w:p w14:paraId="61CF25DC" w14:textId="77777777" w:rsidR="00A43B22" w:rsidRPr="00EF28E7" w:rsidRDefault="00A43B22" w:rsidP="000350BE">
            <w:pPr>
              <w:pStyle w:val="TableTextLeft"/>
            </w:pPr>
            <w:r w:rsidRPr="00EF28E7">
              <w:t>Tight gas</w:t>
            </w:r>
          </w:p>
        </w:tc>
        <w:tc>
          <w:tcPr>
            <w:tcW w:w="963" w:type="pct"/>
          </w:tcPr>
          <w:p w14:paraId="62EC61DB" w14:textId="77777777" w:rsidR="00A43B22" w:rsidRPr="00EF28E7" w:rsidRDefault="00A43B22" w:rsidP="000350BE">
            <w:pPr>
              <w:pStyle w:val="TableTextLeft"/>
            </w:pPr>
            <w:r w:rsidRPr="00EF28E7">
              <w:t>preliminary exploration</w:t>
            </w:r>
          </w:p>
        </w:tc>
      </w:tr>
    </w:tbl>
    <w:p w14:paraId="5141979B" w14:textId="77777777" w:rsidR="00A43B22" w:rsidRDefault="00A43B22" w:rsidP="00A43B22">
      <w:pPr>
        <w:pStyle w:val="BodyText"/>
        <w:sectPr w:rsidR="00A43B22" w:rsidSect="005E271C">
          <w:headerReference w:type="default" r:id="rId145"/>
          <w:footerReference w:type="even" r:id="rId146"/>
          <w:pgSz w:w="16840" w:h="11907" w:orient="landscape" w:code="9"/>
          <w:pgMar w:top="1418" w:right="1418" w:bottom="1418" w:left="1418" w:header="510" w:footer="624" w:gutter="0"/>
          <w:cols w:space="720"/>
          <w:docGrid w:linePitch="326"/>
        </w:sectPr>
      </w:pPr>
    </w:p>
    <w:p w14:paraId="5C61E58E" w14:textId="77777777" w:rsidR="00A43B22" w:rsidRDefault="00A43B22" w:rsidP="00A43B22">
      <w:pPr>
        <w:pStyle w:val="AppendixHeading3"/>
      </w:pPr>
      <w:bookmarkStart w:id="94" w:name="_Toc517161131"/>
      <w:r>
        <w:lastRenderedPageBreak/>
        <w:t>Gas market access and infrastructure</w:t>
      </w:r>
      <w:bookmarkEnd w:id="94"/>
    </w:p>
    <w:p w14:paraId="32B06708" w14:textId="74668214" w:rsidR="00A43B22" w:rsidRPr="00D156BF" w:rsidRDefault="00A43B22" w:rsidP="00A43B22">
      <w:pPr>
        <w:pStyle w:val="BodyText"/>
      </w:pPr>
      <w:r>
        <w:t xml:space="preserve">The Bowen Basin is a major supplier of gas to Australia’s </w:t>
      </w:r>
      <w:r w:rsidR="006A6AF0">
        <w:t>East Coast Gas Market</w:t>
      </w:r>
      <w:r>
        <w:t>, with significant existing pipeline infrastructure connecting the basin to Brisbane</w:t>
      </w:r>
      <w:r w:rsidRPr="00D156BF">
        <w:t xml:space="preserve"> (AER, 2017).</w:t>
      </w:r>
      <w:r>
        <w:t xml:space="preserve"> The basin is moderately well serviced in terms of road and rail access.</w:t>
      </w:r>
    </w:p>
    <w:p w14:paraId="346D6DB5" w14:textId="77777777" w:rsidR="003739CA" w:rsidRDefault="00611607" w:rsidP="00A43B22">
      <w:pPr>
        <w:pStyle w:val="BodyText"/>
      </w:pPr>
      <w:r>
        <w:t>Figure C</w:t>
      </w:r>
      <w:r w:rsidR="00B647DE">
        <w:t>.13</w:t>
      </w:r>
      <w:r w:rsidR="00A43B22">
        <w:t xml:space="preserve"> shows the location of major oil and gas infrastructure in the basin, including oil and gas pipelines and gas processing facilities, along with the distribution of major road and rail networks. Further d</w:t>
      </w:r>
      <w:r w:rsidR="00B92BE0">
        <w:t xml:space="preserve">etails are summarised in </w:t>
      </w:r>
      <w:r>
        <w:t>Table C</w:t>
      </w:r>
      <w:r w:rsidR="00B92BE0">
        <w:t>.9</w:t>
      </w:r>
      <w:r w:rsidR="00A43B22">
        <w:t>.</w:t>
      </w:r>
    </w:p>
    <w:p w14:paraId="65167D63" w14:textId="590A9C4C" w:rsidR="00DC345C" w:rsidRPr="00E82556" w:rsidRDefault="00DC345C" w:rsidP="009F3E8F">
      <w:pPr>
        <w:pStyle w:val="Caption"/>
      </w:pPr>
      <w:bookmarkStart w:id="95" w:name="_Toc508972158"/>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9</w:t>
      </w:r>
      <w:r w:rsidR="008079F1">
        <w:rPr>
          <w:noProof/>
        </w:rPr>
        <w:fldChar w:fldCharType="end"/>
      </w:r>
      <w:r>
        <w:t xml:space="preserve"> Summary of market access and infrastructure. Pipeline information from AER (2017).</w:t>
      </w:r>
      <w:r w:rsidRPr="005D51D5">
        <w:t xml:space="preserve"> </w:t>
      </w:r>
      <w:r>
        <w:t>Oil and gas infrastructure from GA (2015</w:t>
      </w:r>
      <w:r w:rsidR="009825ED">
        <w:t>a</w:t>
      </w:r>
      <w:r>
        <w:t>).</w:t>
      </w:r>
      <w:bookmarkEnd w:id="95"/>
    </w:p>
    <w:tbl>
      <w:tblPr>
        <w:tblStyle w:val="TableBAHeaderColumn"/>
        <w:tblW w:w="0" w:type="auto"/>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428"/>
        <w:gridCol w:w="6154"/>
      </w:tblGrid>
      <w:tr w:rsidR="00DC345C" w:rsidRPr="00AD7F0C" w14:paraId="4E58CF29"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gridSpan w:val="2"/>
          </w:tcPr>
          <w:p w14:paraId="2AD5277E" w14:textId="77777777" w:rsidR="00DC345C" w:rsidRPr="00AD7F0C" w:rsidRDefault="00DC345C" w:rsidP="00A24BC9">
            <w:pPr>
              <w:pStyle w:val="TableTextLeft"/>
            </w:pPr>
            <w:r>
              <w:t>INFRASTRUCTURE</w:t>
            </w:r>
          </w:p>
        </w:tc>
      </w:tr>
      <w:tr w:rsidR="00DC345C" w:rsidRPr="00AD7F0C" w14:paraId="392D5534"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40102F30" w14:textId="77777777" w:rsidR="00DC345C" w:rsidRDefault="00DC345C" w:rsidP="00A24BC9">
            <w:pPr>
              <w:pStyle w:val="TableTextLeft"/>
            </w:pPr>
            <w:r>
              <w:t>Gas market</w:t>
            </w:r>
          </w:p>
        </w:tc>
        <w:tc>
          <w:tcPr>
            <w:tcW w:w="0" w:type="auto"/>
          </w:tcPr>
          <w:p w14:paraId="47EF0F5E" w14:textId="6A36C775" w:rsidR="00DC345C" w:rsidRPr="00E769BB" w:rsidRDefault="00DC345C" w:rsidP="00BE3EDF">
            <w:pPr>
              <w:pStyle w:val="TableTextLeft"/>
              <w:cnfStyle w:val="100000000000" w:firstRow="1" w:lastRow="0" w:firstColumn="0" w:lastColumn="0" w:oddVBand="0" w:evenVBand="0" w:oddHBand="0" w:evenHBand="0" w:firstRowFirstColumn="0" w:firstRowLastColumn="0" w:lastRowFirstColumn="0" w:lastRowLastColumn="0"/>
            </w:pPr>
            <w:r>
              <w:t>Currently supplies to the east</w:t>
            </w:r>
            <w:r w:rsidR="00BE3EDF">
              <w:t xml:space="preserve"> coast </w:t>
            </w:r>
            <w:r>
              <w:t xml:space="preserve"> gas market</w:t>
            </w:r>
          </w:p>
        </w:tc>
      </w:tr>
      <w:tr w:rsidR="00DC345C" w:rsidRPr="00AD7F0C" w14:paraId="7D132D3B"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1B2A6D61" w14:textId="77777777" w:rsidR="00DC345C" w:rsidRPr="00AD7F0C" w:rsidRDefault="00DC345C" w:rsidP="00A24BC9">
            <w:pPr>
              <w:pStyle w:val="TableTextLeft"/>
            </w:pPr>
            <w:r>
              <w:t>Gas pipelines</w:t>
            </w:r>
          </w:p>
        </w:tc>
        <w:tc>
          <w:tcPr>
            <w:tcW w:w="0" w:type="auto"/>
          </w:tcPr>
          <w:p w14:paraId="45B2F2A3" w14:textId="77777777" w:rsidR="00DC345C" w:rsidRPr="00E769BB" w:rsidRDefault="00DC345C" w:rsidP="00A24BC9">
            <w:pPr>
              <w:pStyle w:val="TableTextLeft"/>
              <w:cnfStyle w:val="100000000000" w:firstRow="1" w:lastRow="0" w:firstColumn="0" w:lastColumn="0" w:oddVBand="0" w:evenVBand="0" w:oddHBand="0" w:evenHBand="0" w:firstRowFirstColumn="0" w:firstRowLastColumn="0" w:lastRowFirstColumn="0" w:lastRowLastColumn="0"/>
            </w:pPr>
            <w:r>
              <w:t>E</w:t>
            </w:r>
            <w:r w:rsidRPr="00E769BB">
              <w:t>xisting gas pipelines within the basin</w:t>
            </w:r>
            <w:r>
              <w:t xml:space="preserve">, </w:t>
            </w:r>
            <w:r w:rsidRPr="00E769BB">
              <w:t>to Brisbane, Gladstone</w:t>
            </w:r>
            <w:r>
              <w:t xml:space="preserve"> and from Cooper Basin: Wallumbilla–Brisbane; Wallumbilla–Gladstone; Fairview to Gladstone; APLNG Gladstone; Ballera–Roma</w:t>
            </w:r>
          </w:p>
        </w:tc>
      </w:tr>
      <w:tr w:rsidR="00DC345C" w:rsidRPr="00AD7F0C" w14:paraId="34390667"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63BB1E5A" w14:textId="77777777" w:rsidR="00DC345C" w:rsidRDefault="00DC345C" w:rsidP="00A24BC9">
            <w:pPr>
              <w:pStyle w:val="TableTextLeft"/>
            </w:pPr>
            <w:r>
              <w:t>Gas processing facilities</w:t>
            </w:r>
          </w:p>
        </w:tc>
        <w:tc>
          <w:tcPr>
            <w:tcW w:w="0" w:type="auto"/>
          </w:tcPr>
          <w:p w14:paraId="1C884E85" w14:textId="77777777" w:rsidR="00DC345C" w:rsidRPr="00E769BB" w:rsidRDefault="00DC345C" w:rsidP="00A24BC9">
            <w:pPr>
              <w:pStyle w:val="TableTextLeft"/>
              <w:cnfStyle w:val="100000000000" w:firstRow="1" w:lastRow="0" w:firstColumn="0" w:lastColumn="0" w:oddVBand="0" w:evenVBand="0" w:oddHBand="0" w:evenHBand="0" w:firstRowFirstColumn="0" w:firstRowLastColumn="0" w:lastRowFirstColumn="0" w:lastRowLastColumn="0"/>
            </w:pPr>
            <w:r>
              <w:t>Rolleston; Central; Wallumbilla; Kincora; Silver Springs</w:t>
            </w:r>
          </w:p>
        </w:tc>
      </w:tr>
      <w:tr w:rsidR="00DC345C" w:rsidRPr="00AD7F0C" w14:paraId="2052C21B"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0AB77F34" w14:textId="77777777" w:rsidR="00DC345C" w:rsidRPr="00E82556" w:rsidRDefault="00DC345C" w:rsidP="00A24BC9">
            <w:pPr>
              <w:pStyle w:val="TableTextLeft"/>
            </w:pPr>
            <w:r>
              <w:t>Approx. distance from existing pipelines to area prospective for shale and/or tight gas</w:t>
            </w:r>
          </w:p>
        </w:tc>
        <w:tc>
          <w:tcPr>
            <w:tcW w:w="0" w:type="auto"/>
          </w:tcPr>
          <w:p w14:paraId="3C97A2F1" w14:textId="77777777" w:rsidR="00DC345C" w:rsidRPr="00E769BB" w:rsidRDefault="00DC345C" w:rsidP="00A24BC9">
            <w:pPr>
              <w:pStyle w:val="TableTextLeft"/>
              <w:cnfStyle w:val="100000000000" w:firstRow="1" w:lastRow="0" w:firstColumn="0" w:lastColumn="0" w:oddVBand="0" w:evenVBand="0" w:oddHBand="0" w:evenHBand="0" w:firstRowFirstColumn="0" w:firstRowLastColumn="0" w:lastRowFirstColumn="0" w:lastRowLastColumn="0"/>
            </w:pPr>
            <w:r>
              <w:t>&lt;100</w:t>
            </w:r>
            <w:r w:rsidR="008232C9">
              <w:t> km</w:t>
            </w:r>
          </w:p>
        </w:tc>
      </w:tr>
      <w:tr w:rsidR="00DC345C" w:rsidRPr="00AD7F0C" w14:paraId="4FFD8930"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21ED5562" w14:textId="77777777" w:rsidR="00DC345C" w:rsidRPr="00AD7F0C" w:rsidRDefault="00DC345C" w:rsidP="00A24BC9">
            <w:pPr>
              <w:pStyle w:val="TableTextLeft"/>
            </w:pPr>
            <w:r w:rsidRPr="00E82556">
              <w:t>Road and rail access</w:t>
            </w:r>
          </w:p>
        </w:tc>
        <w:tc>
          <w:tcPr>
            <w:tcW w:w="0" w:type="auto"/>
          </w:tcPr>
          <w:p w14:paraId="28F166B2" w14:textId="77777777" w:rsidR="00DC345C" w:rsidRPr="00E769BB" w:rsidRDefault="00DC345C" w:rsidP="00A24BC9">
            <w:pPr>
              <w:pStyle w:val="TableTextLeft"/>
              <w:cnfStyle w:val="100000000000" w:firstRow="1" w:lastRow="0" w:firstColumn="0" w:lastColumn="0" w:oddVBand="0" w:evenVBand="0" w:oddHBand="0" w:evenHBand="0" w:firstRowFirstColumn="0" w:firstRowLastColumn="0" w:lastRowFirstColumn="0" w:lastRowLastColumn="0"/>
            </w:pPr>
            <w:r>
              <w:t xml:space="preserve">Moderately </w:t>
            </w:r>
            <w:r w:rsidRPr="00E769BB">
              <w:t>well serviced</w:t>
            </w:r>
          </w:p>
        </w:tc>
      </w:tr>
      <w:tr w:rsidR="00DC345C" w:rsidRPr="00AD7F0C" w14:paraId="02759B82"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4C84DE10" w14:textId="77777777" w:rsidR="00DC345C" w:rsidRPr="00AD7F0C" w:rsidRDefault="00DC345C" w:rsidP="00A24BC9">
            <w:pPr>
              <w:pStyle w:val="TableTextLeft"/>
            </w:pPr>
            <w:r>
              <w:t>Approximate development timeframe</w:t>
            </w:r>
          </w:p>
        </w:tc>
        <w:tc>
          <w:tcPr>
            <w:tcW w:w="0" w:type="auto"/>
          </w:tcPr>
          <w:p w14:paraId="2047EDAC" w14:textId="77777777" w:rsidR="00DC345C" w:rsidRPr="005D7230" w:rsidRDefault="00DC345C" w:rsidP="00A24BC9">
            <w:pPr>
              <w:pStyle w:val="TableTextLeft"/>
              <w:cnfStyle w:val="100000000000" w:firstRow="1" w:lastRow="0" w:firstColumn="0" w:lastColumn="0" w:oddVBand="0" w:evenVBand="0" w:oddHBand="0" w:evenHBand="0" w:firstRowFirstColumn="0" w:firstRowLastColumn="0" w:lastRowFirstColumn="0" w:lastRowLastColumn="0"/>
            </w:pPr>
            <w:r w:rsidRPr="005D7230">
              <w:t>5</w:t>
            </w:r>
            <w:r>
              <w:t>–</w:t>
            </w:r>
            <w:r w:rsidRPr="005D7230">
              <w:t>10 years</w:t>
            </w:r>
          </w:p>
        </w:tc>
      </w:tr>
    </w:tbl>
    <w:p w14:paraId="74DB6A4B" w14:textId="77777777" w:rsidR="00DC345C" w:rsidRDefault="00DC345C" w:rsidP="00A43B22">
      <w:pPr>
        <w:pStyle w:val="BodyText"/>
      </w:pPr>
    </w:p>
    <w:p w14:paraId="2089B590" w14:textId="79FCA3C2" w:rsidR="00A43B22" w:rsidRDefault="00352C34" w:rsidP="003739CA">
      <w:pPr>
        <w:pStyle w:val="FiguresImagesCentred"/>
      </w:pPr>
      <w:r>
        <w:rPr>
          <w:noProof/>
        </w:rPr>
        <w:lastRenderedPageBreak/>
        <w:drawing>
          <wp:inline distT="0" distB="0" distL="0" distR="0" wp14:anchorId="288DA1B3" wp14:editId="1B1E71B3">
            <wp:extent cx="5756910" cy="62814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5756910" cy="6281420"/>
                    </a:xfrm>
                    <a:prstGeom prst="rect">
                      <a:avLst/>
                    </a:prstGeom>
                    <a:noFill/>
                    <a:ln>
                      <a:noFill/>
                    </a:ln>
                  </pic:spPr>
                </pic:pic>
              </a:graphicData>
            </a:graphic>
          </wp:inline>
        </w:drawing>
      </w:r>
    </w:p>
    <w:p w14:paraId="5E071886" w14:textId="0E023134" w:rsidR="00EC1E50" w:rsidRDefault="00E34CDE" w:rsidP="009F3E8F">
      <w:pPr>
        <w:pStyle w:val="Caption"/>
      </w:pPr>
      <w:bookmarkStart w:id="96" w:name="_Toc508972084"/>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13</w:t>
      </w:r>
      <w:r w:rsidR="008079F1">
        <w:rPr>
          <w:noProof/>
        </w:rPr>
        <w:fldChar w:fldCharType="end"/>
      </w:r>
      <w:r>
        <w:rPr>
          <w:noProof/>
        </w:rPr>
        <w:t xml:space="preserve"> </w:t>
      </w:r>
      <w:r w:rsidR="00A43B22">
        <w:t>Bowen Basin infrastructure, pipelines and production facilities.</w:t>
      </w:r>
      <w:r w:rsidR="00A43B22" w:rsidRPr="00B8117F">
        <w:t xml:space="preserve"> </w:t>
      </w:r>
      <w:r w:rsidR="00AF7FF4">
        <w:t xml:space="preserve">Oil and gas infrastructure from GA (2015a). Processing facilities from GA (2015b). </w:t>
      </w:r>
      <w:r w:rsidR="00A43B22" w:rsidRPr="00B8117F">
        <w:t>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r w:rsidR="00A43B22">
        <w:t>.</w:t>
      </w:r>
      <w:bookmarkEnd w:id="96"/>
    </w:p>
    <w:p w14:paraId="05264FA4" w14:textId="77777777" w:rsidR="00EC1E50" w:rsidRDefault="00EC1E50" w:rsidP="00147CAE">
      <w:pPr>
        <w:pStyle w:val="BodyText"/>
      </w:pPr>
      <w:r>
        <w:br w:type="page"/>
      </w:r>
    </w:p>
    <w:p w14:paraId="51507284" w14:textId="77777777" w:rsidR="00A43B22" w:rsidRDefault="00A43B22" w:rsidP="00A43B22">
      <w:pPr>
        <w:pStyle w:val="AppendixHeading3"/>
      </w:pPr>
      <w:bookmarkStart w:id="97" w:name="_Toc517161132"/>
      <w:r>
        <w:lastRenderedPageBreak/>
        <w:t>Regulatory environment impacting shale and tight gas exploration</w:t>
      </w:r>
      <w:bookmarkEnd w:id="97"/>
    </w:p>
    <w:p w14:paraId="16CC6D1B" w14:textId="4C81F6BE" w:rsidR="00A43B22" w:rsidRDefault="00A43B22" w:rsidP="00A43B22">
      <w:pPr>
        <w:pStyle w:val="BodyText"/>
      </w:pPr>
      <w:r>
        <w:t xml:space="preserve">All Australian states and territories have regulatory frameworks in place to manage impacts of petroleum exploration and production. In all Australian jurisdictions, companies intending to carry out drilling and stimulation operations must submit several applications to the relevant departments, including a drilling application, an environment plan and a safety management plan (APPEA, 2017). </w:t>
      </w:r>
    </w:p>
    <w:p w14:paraId="0E1615D5" w14:textId="71565ECA" w:rsidR="00A43B22" w:rsidRDefault="00A43B22" w:rsidP="00A576A0">
      <w:pPr>
        <w:pStyle w:val="BodyText"/>
      </w:pPr>
      <w:r w:rsidRPr="00B8117F">
        <w:t>Regulation is overseen by different government departments across Australia.</w:t>
      </w:r>
      <w:r>
        <w:t xml:space="preserve"> There are no regulatory restrictions affecting the development of shale and or tight gas resources in Queensland. </w:t>
      </w:r>
      <w:bookmarkStart w:id="98" w:name="OLE_LINK1"/>
      <w:r>
        <w:t xml:space="preserve">All planned hydraulic </w:t>
      </w:r>
      <w:r w:rsidR="00456161">
        <w:t xml:space="preserve">fracture </w:t>
      </w:r>
      <w:r>
        <w:t xml:space="preserve">stimulation activities must be reported to the </w:t>
      </w:r>
      <w:r w:rsidR="00456161">
        <w:t xml:space="preserve">Queensland </w:t>
      </w:r>
      <w:r>
        <w:t>Department of</w:t>
      </w:r>
      <w:r w:rsidRPr="00FB734C">
        <w:t xml:space="preserve"> Natural Resources and Mines</w:t>
      </w:r>
      <w:r w:rsidR="00456161">
        <w:t xml:space="preserve"> (Queensland Government, 2017). </w:t>
      </w:r>
    </w:p>
    <w:p w14:paraId="5F3794E3" w14:textId="77777777" w:rsidR="00842B2D" w:rsidRDefault="00842B2D" w:rsidP="00D15FEC">
      <w:pPr>
        <w:pStyle w:val="AppendixHeading3"/>
      </w:pPr>
      <w:bookmarkStart w:id="99" w:name="_Toc517161133"/>
      <w:bookmarkEnd w:id="98"/>
      <w:r>
        <w:t>Hydrogeology and groundwater</w:t>
      </w:r>
      <w:bookmarkEnd w:id="99"/>
    </w:p>
    <w:p w14:paraId="7257BB7A" w14:textId="77777777" w:rsidR="00842B2D" w:rsidRDefault="00842B2D" w:rsidP="00D15FEC">
      <w:pPr>
        <w:pStyle w:val="AppendixHeading4"/>
      </w:pPr>
      <w:r w:rsidRPr="005A5807">
        <w:t>Groundwater systems</w:t>
      </w:r>
    </w:p>
    <w:p w14:paraId="2AC0308E" w14:textId="147532DF" w:rsidR="00842B2D" w:rsidRPr="00150609" w:rsidRDefault="00842B2D" w:rsidP="00A43B22">
      <w:pPr>
        <w:pStyle w:val="BodyText"/>
      </w:pPr>
      <w:r w:rsidRPr="00150609">
        <w:t xml:space="preserve">Groundwater systems of the Bowen Basin </w:t>
      </w:r>
      <w:r>
        <w:t xml:space="preserve">region </w:t>
      </w:r>
      <w:r w:rsidRPr="00150609">
        <w:t xml:space="preserve">include aquifers in the northern Bowen Basin sequence, a range of aquifers in the Surat </w:t>
      </w:r>
      <w:r>
        <w:t>B</w:t>
      </w:r>
      <w:r w:rsidRPr="00150609">
        <w:t>asin (southern area)</w:t>
      </w:r>
      <w:r>
        <w:t>,</w:t>
      </w:r>
      <w:r w:rsidRPr="00150609">
        <w:t xml:space="preserve"> and alluvial and volcanic aquifers overly</w:t>
      </w:r>
      <w:r>
        <w:t>ing the Surat Basin sediments.</w:t>
      </w:r>
      <w:r w:rsidRPr="00E644A9">
        <w:t xml:space="preserve"> </w:t>
      </w:r>
      <w:r w:rsidRPr="00150609">
        <w:t>The northern half of the Bowen Basin is exposed</w:t>
      </w:r>
      <w:r>
        <w:t>,</w:t>
      </w:r>
      <w:r w:rsidRPr="00150609">
        <w:t xml:space="preserve"> while the southern half, which connects with the </w:t>
      </w:r>
      <w:r>
        <w:t>Gunnedah</w:t>
      </w:r>
      <w:r w:rsidRPr="00150609">
        <w:t xml:space="preserve"> Basin to the south, is </w:t>
      </w:r>
      <w:r>
        <w:t>overlain</w:t>
      </w:r>
      <w:r w:rsidRPr="00150609">
        <w:t xml:space="preserve"> by the Surat Basin (</w:t>
      </w:r>
      <w:r>
        <w:t>Figure C.14</w:t>
      </w:r>
      <w:r w:rsidRPr="00150609">
        <w:t>).</w:t>
      </w:r>
    </w:p>
    <w:p w14:paraId="2A138D61" w14:textId="77777777" w:rsidR="00842B2D" w:rsidRPr="00150609" w:rsidRDefault="00842B2D" w:rsidP="00A43B22">
      <w:pPr>
        <w:pStyle w:val="BodyText"/>
      </w:pPr>
      <w:r w:rsidRPr="00150609">
        <w:t>Main aquifers in the north:</w:t>
      </w:r>
    </w:p>
    <w:p w14:paraId="4B239B41" w14:textId="77777777" w:rsidR="00842B2D" w:rsidRPr="0083382B" w:rsidRDefault="00842B2D" w:rsidP="003739CA">
      <w:pPr>
        <w:pStyle w:val="ListNumber"/>
      </w:pPr>
      <w:r w:rsidRPr="0083382B">
        <w:t>Alluvium (Quaternary), Basalts (Cenozoic) and Clematis Group sandstones (Triassic) where present</w:t>
      </w:r>
    </w:p>
    <w:p w14:paraId="3007DE5D" w14:textId="77777777" w:rsidR="00842B2D" w:rsidRPr="0083382B" w:rsidRDefault="00842B2D" w:rsidP="003739CA">
      <w:pPr>
        <w:pStyle w:val="ListNumber"/>
      </w:pPr>
      <w:r w:rsidRPr="0083382B">
        <w:t>Rangal Coal Measures and equivalents (Permian)</w:t>
      </w:r>
    </w:p>
    <w:p w14:paraId="38EA4FC8" w14:textId="77777777" w:rsidR="00842B2D" w:rsidRPr="0083382B" w:rsidRDefault="00842B2D" w:rsidP="003739CA">
      <w:pPr>
        <w:pStyle w:val="ListNumber"/>
      </w:pPr>
      <w:r w:rsidRPr="0083382B">
        <w:t>Fort Cooper Coal Measures and equivalents (Permian)</w:t>
      </w:r>
    </w:p>
    <w:p w14:paraId="100375C3" w14:textId="77777777" w:rsidR="00842B2D" w:rsidRPr="0083382B" w:rsidRDefault="00842B2D" w:rsidP="003739CA">
      <w:pPr>
        <w:pStyle w:val="ListNumber"/>
      </w:pPr>
      <w:r w:rsidRPr="0083382B">
        <w:t>Moranbah Coal Measures (Permian)</w:t>
      </w:r>
    </w:p>
    <w:p w14:paraId="6FC985F7" w14:textId="77777777" w:rsidR="00842B2D" w:rsidRPr="00150609" w:rsidRDefault="00842B2D" w:rsidP="00A43B22">
      <w:pPr>
        <w:pStyle w:val="BodyText"/>
      </w:pPr>
      <w:r w:rsidRPr="00150609">
        <w:t>Main aquifers in the south:</w:t>
      </w:r>
    </w:p>
    <w:p w14:paraId="2125438D" w14:textId="77777777" w:rsidR="00842B2D" w:rsidRPr="00150609" w:rsidRDefault="00842B2D" w:rsidP="00B01B06">
      <w:pPr>
        <w:pStyle w:val="ListNumber"/>
        <w:numPr>
          <w:ilvl w:val="0"/>
          <w:numId w:val="27"/>
        </w:numPr>
      </w:pPr>
      <w:r w:rsidRPr="00150609">
        <w:t>Alluvial aquifers</w:t>
      </w:r>
      <w:r>
        <w:t xml:space="preserve"> (Quaternary)</w:t>
      </w:r>
      <w:r w:rsidRPr="00150609">
        <w:t xml:space="preserve"> associated with major rivers (i.e. the Condamine, Balonne, Dumaresq and Macintyre rivers) and antecedent systems that form pal</w:t>
      </w:r>
      <w:r>
        <w:t>a</w:t>
      </w:r>
      <w:r w:rsidRPr="00150609">
        <w:t xml:space="preserve">eochannel infill and a broad </w:t>
      </w:r>
      <w:r>
        <w:t xml:space="preserve">and extensive </w:t>
      </w:r>
      <w:r w:rsidRPr="00150609">
        <w:t xml:space="preserve">alluvial cover </w:t>
      </w:r>
      <w:r>
        <w:t>(Paleogene–Quaternary)</w:t>
      </w:r>
      <w:r w:rsidRPr="00150609">
        <w:t>.</w:t>
      </w:r>
    </w:p>
    <w:p w14:paraId="2D9D4493" w14:textId="77777777" w:rsidR="00842B2D" w:rsidRPr="00150609" w:rsidRDefault="00842B2D" w:rsidP="003739CA">
      <w:pPr>
        <w:pStyle w:val="ListNumber"/>
      </w:pPr>
      <w:r w:rsidRPr="00150609">
        <w:t xml:space="preserve">Fractured rock aquifers </w:t>
      </w:r>
      <w:r>
        <w:t>of</w:t>
      </w:r>
      <w:r w:rsidRPr="00150609">
        <w:t xml:space="preserve"> the Main Range Volcanics Formation (Oligocene</w:t>
      </w:r>
      <w:r>
        <w:t>–</w:t>
      </w:r>
      <w:r w:rsidRPr="00150609">
        <w:t>Miocene)</w:t>
      </w:r>
    </w:p>
    <w:p w14:paraId="055C98C4" w14:textId="77777777" w:rsidR="00842B2D" w:rsidRPr="00150609" w:rsidRDefault="00842B2D" w:rsidP="003739CA">
      <w:pPr>
        <w:pStyle w:val="ListNumber"/>
      </w:pPr>
      <w:r w:rsidRPr="00150609">
        <w:t>Sedimentary rocks of the Surat Basin (Jurassic</w:t>
      </w:r>
      <w:r>
        <w:t>–</w:t>
      </w:r>
      <w:r w:rsidRPr="00150609">
        <w:t>Cretaceous) that comprise aquifers of the Great Artesian Basin (GAB).</w:t>
      </w:r>
    </w:p>
    <w:p w14:paraId="4C5D571E" w14:textId="77777777" w:rsidR="00842B2D" w:rsidRPr="00150609" w:rsidRDefault="00842B2D" w:rsidP="003739CA">
      <w:pPr>
        <w:pStyle w:val="ListNumber"/>
      </w:pPr>
      <w:r w:rsidRPr="00150609">
        <w:t xml:space="preserve">The Clematis </w:t>
      </w:r>
      <w:r>
        <w:t>Group sandstones</w:t>
      </w:r>
      <w:r w:rsidRPr="00150609">
        <w:t xml:space="preserve"> (Triassic) and </w:t>
      </w:r>
      <w:r>
        <w:t>upper Permian</w:t>
      </w:r>
      <w:r w:rsidRPr="00150609">
        <w:t xml:space="preserve"> coals </w:t>
      </w:r>
      <w:r>
        <w:t xml:space="preserve">(e.g. Baralaba Coal Measures, Bandanna, Muggleton and Burunga formations) </w:t>
      </w:r>
      <w:r w:rsidRPr="00150609">
        <w:t xml:space="preserve">are deeper aquifers that </w:t>
      </w:r>
      <w:r>
        <w:t>generally are not</w:t>
      </w:r>
      <w:r w:rsidRPr="00150609">
        <w:t xml:space="preserve"> exploited where shallower options are available</w:t>
      </w:r>
      <w:r>
        <w:t>.</w:t>
      </w:r>
    </w:p>
    <w:p w14:paraId="33E3F16A" w14:textId="0E9F20BA" w:rsidR="00842B2D" w:rsidRDefault="00842B2D" w:rsidP="00A43B22">
      <w:pPr>
        <w:pStyle w:val="BodyText"/>
      </w:pPr>
      <w:r w:rsidRPr="00150609">
        <w:t xml:space="preserve">The Bowen Basin sequence is </w:t>
      </w:r>
      <w:r>
        <w:t>described in the Basin Geology section and shown in Figure C.10. Formations in t</w:t>
      </w:r>
      <w:r w:rsidRPr="00150609">
        <w:t xml:space="preserve">he </w:t>
      </w:r>
      <w:r>
        <w:t>Permian succession beneath the coal measures (</w:t>
      </w:r>
      <w:r w:rsidRPr="00150609">
        <w:t>Back Creek Group</w:t>
      </w:r>
      <w:r>
        <w:t>)</w:t>
      </w:r>
      <w:r w:rsidRPr="00150609">
        <w:t xml:space="preserve"> are generally considered aquitards</w:t>
      </w:r>
      <w:r>
        <w:t xml:space="preserve"> (Figure C.1</w:t>
      </w:r>
      <w:r w:rsidR="00E446CB">
        <w:t>5</w:t>
      </w:r>
      <w:r>
        <w:t>). T</w:t>
      </w:r>
      <w:r w:rsidRPr="00150609">
        <w:t xml:space="preserve">he </w:t>
      </w:r>
      <w:r>
        <w:t xml:space="preserve">overlying Permian succession </w:t>
      </w:r>
      <w:r w:rsidRPr="00150609">
        <w:t xml:space="preserve">is treated as a </w:t>
      </w:r>
      <w:r w:rsidRPr="00150609">
        <w:lastRenderedPageBreak/>
        <w:t>combination of confined aquifers (generally coal beds) and aquitards (Arrow Energy</w:t>
      </w:r>
      <w:r>
        <w:t>,</w:t>
      </w:r>
      <w:r w:rsidRPr="00150609">
        <w:t xml:space="preserve"> 2012). The main aquifers of </w:t>
      </w:r>
      <w:r>
        <w:t>this succession</w:t>
      </w:r>
      <w:r w:rsidRPr="00150609">
        <w:t xml:space="preserve"> are </w:t>
      </w:r>
      <w:r>
        <w:t xml:space="preserve">in </w:t>
      </w:r>
      <w:r w:rsidRPr="00150609">
        <w:t>the Rangal Coal Measures and equivalents, Fort Cooper Coal Measures and equivalents, and the Moranbah Coal Measures</w:t>
      </w:r>
      <w:r>
        <w:t>. In these formations</w:t>
      </w:r>
      <w:r w:rsidRPr="00150609">
        <w:t>, groundwater flow is concentrated in the coals rather than the interburden (Arrow Energy</w:t>
      </w:r>
      <w:r>
        <w:t>,</w:t>
      </w:r>
      <w:r w:rsidRPr="00150609">
        <w:t xml:space="preserve"> 2012) (Figure </w:t>
      </w:r>
      <w:r>
        <w:t>C.1</w:t>
      </w:r>
      <w:r w:rsidR="00E446CB">
        <w:t>5</w:t>
      </w:r>
      <w:r w:rsidRPr="00150609">
        <w:t xml:space="preserve">). </w:t>
      </w:r>
      <w:r>
        <w:t xml:space="preserve">The overlying Rewan Group (Triassic) is </w:t>
      </w:r>
      <w:r w:rsidRPr="00150609">
        <w:t xml:space="preserve">generally considered </w:t>
      </w:r>
      <w:r>
        <w:t xml:space="preserve">to be an </w:t>
      </w:r>
      <w:r w:rsidRPr="00150609">
        <w:t>aquitard</w:t>
      </w:r>
      <w:r>
        <w:t xml:space="preserve">. </w:t>
      </w:r>
      <w:r w:rsidRPr="00150609">
        <w:t>In the south</w:t>
      </w:r>
      <w:r>
        <w:t>,</w:t>
      </w:r>
      <w:r w:rsidRPr="00150609">
        <w:t xml:space="preserve"> the Bowen Basin is covered by the Surat basin </w:t>
      </w:r>
      <w:r>
        <w:t>which</w:t>
      </w:r>
      <w:r w:rsidRPr="00150609">
        <w:t xml:space="preserve"> forms part of the </w:t>
      </w:r>
      <w:r>
        <w:t>great artesian basin (GAB),</w:t>
      </w:r>
      <w:r w:rsidRPr="00150609">
        <w:t xml:space="preserve"> a sedimentary </w:t>
      </w:r>
      <w:r>
        <w:t xml:space="preserve">succession </w:t>
      </w:r>
      <w:r w:rsidRPr="00150609">
        <w:t xml:space="preserve">of varying hydraulic properties from aquitards to productive aquifers (Figure </w:t>
      </w:r>
      <w:r>
        <w:t>C.15</w:t>
      </w:r>
      <w:r w:rsidRPr="00150609">
        <w:t>).</w:t>
      </w:r>
    </w:p>
    <w:p w14:paraId="4AB14F57" w14:textId="31D45662" w:rsidR="00842B2D" w:rsidRPr="003F259E" w:rsidRDefault="00E71C44" w:rsidP="00A43B22">
      <w:pPr>
        <w:pStyle w:val="FiguresImagesCentred"/>
      </w:pPr>
      <w:r w:rsidRPr="003F259E">
        <w:rPr>
          <w:noProof/>
        </w:rPr>
        <w:lastRenderedPageBreak/>
        <mc:AlternateContent>
          <mc:Choice Requires="wps">
            <w:drawing>
              <wp:anchor distT="0" distB="0" distL="114300" distR="114300" simplePos="0" relativeHeight="251658249" behindDoc="0" locked="0" layoutInCell="1" allowOverlap="1" wp14:anchorId="6CB26101" wp14:editId="523DA856">
                <wp:simplePos x="0" y="0"/>
                <wp:positionH relativeFrom="column">
                  <wp:posOffset>1944370</wp:posOffset>
                </wp:positionH>
                <wp:positionV relativeFrom="paragraph">
                  <wp:posOffset>5359908</wp:posOffset>
                </wp:positionV>
                <wp:extent cx="849630" cy="140970"/>
                <wp:effectExtent l="19050" t="19050" r="26670" b="11430"/>
                <wp:wrapNone/>
                <wp:docPr id="7188" name="Rectangle 7188"/>
                <wp:cNvGraphicFramePr/>
                <a:graphic xmlns:a="http://schemas.openxmlformats.org/drawingml/2006/main">
                  <a:graphicData uri="http://schemas.microsoft.com/office/word/2010/wordprocessingShape">
                    <wps:wsp>
                      <wps:cNvSpPr/>
                      <wps:spPr>
                        <a:xfrm>
                          <a:off x="0" y="0"/>
                          <a:ext cx="849630" cy="14097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730BF" id="Rectangle 7188" o:spid="_x0000_s1026" style="position:absolute;margin-left:153.1pt;margin-top:422.05pt;width:66.9pt;height:11.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" filled="f" strokecolor="yellow" strokeweight="3pt"/>
            </w:pict>
          </mc:Fallback>
        </mc:AlternateContent>
      </w:r>
      <w:r w:rsidR="000E31D9" w:rsidRPr="003F259E">
        <w:rPr>
          <w:noProof/>
        </w:rPr>
        <mc:AlternateContent>
          <mc:Choice Requires="wps">
            <w:drawing>
              <wp:anchor distT="0" distB="0" distL="114300" distR="114300" simplePos="0" relativeHeight="251658250" behindDoc="0" locked="0" layoutInCell="1" allowOverlap="1" wp14:anchorId="5E164E71" wp14:editId="3A02CBF0">
                <wp:simplePos x="0" y="0"/>
                <wp:positionH relativeFrom="column">
                  <wp:posOffset>1697355</wp:posOffset>
                </wp:positionH>
                <wp:positionV relativeFrom="paragraph">
                  <wp:posOffset>635</wp:posOffset>
                </wp:positionV>
                <wp:extent cx="1356995" cy="6318250"/>
                <wp:effectExtent l="0" t="0" r="14605" b="25400"/>
                <wp:wrapNone/>
                <wp:docPr id="7187" name="Rectangle 7187"/>
                <wp:cNvGraphicFramePr/>
                <a:graphic xmlns:a="http://schemas.openxmlformats.org/drawingml/2006/main">
                  <a:graphicData uri="http://schemas.microsoft.com/office/word/2010/wordprocessingShape">
                    <wps:wsp>
                      <wps:cNvSpPr/>
                      <wps:spPr>
                        <a:xfrm>
                          <a:off x="0" y="0"/>
                          <a:ext cx="1356995" cy="6318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029C5" id="Rectangle 7187" o:spid="_x0000_s1026" style="position:absolute;margin-left:133.65pt;margin-top:.05pt;width:106.85pt;height:49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" filled="f" strokecolor="red" strokeweight="2pt"/>
            </w:pict>
          </mc:Fallback>
        </mc:AlternateContent>
      </w:r>
      <w:r w:rsidR="00842B2D" w:rsidRPr="003F259E">
        <w:rPr>
          <w:noProof/>
        </w:rPr>
        <w:drawing>
          <wp:inline distT="0" distB="0" distL="0" distR="0" wp14:anchorId="466D1A92" wp14:editId="5A600C48">
            <wp:extent cx="5411470" cy="7171690"/>
            <wp:effectExtent l="0" t="0" r="0" b="0"/>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5411470" cy="7171690"/>
                    </a:xfrm>
                    <a:prstGeom prst="rect">
                      <a:avLst/>
                    </a:prstGeom>
                    <a:noFill/>
                    <a:ln>
                      <a:noFill/>
                    </a:ln>
                  </pic:spPr>
                </pic:pic>
              </a:graphicData>
            </a:graphic>
          </wp:inline>
        </w:drawing>
      </w:r>
    </w:p>
    <w:p w14:paraId="0F3DA2A9" w14:textId="7C77DE39" w:rsidR="00842B2D" w:rsidRPr="00C03FEA" w:rsidRDefault="008079F1" w:rsidP="005E6901">
      <w:pPr>
        <w:pStyle w:val="Caption"/>
        <w:keepLines/>
      </w:pPr>
      <w:hyperlink r:id="rId149" w:history="1">
        <w:bookmarkStart w:id="100" w:name="_Toc499547574"/>
        <w:bookmarkStart w:id="101" w:name="_Toc508972085"/>
        <w:r w:rsidR="00842B2D">
          <w:t xml:space="preserve">Figure </w:t>
        </w:r>
        <w:r>
          <w:fldChar w:fldCharType="begin"/>
        </w:r>
        <w:r>
          <w:instrText xml:space="preserve"> STYLEREF 9 \s </w:instrText>
        </w:r>
        <w:r>
          <w:fldChar w:fldCharType="separate"/>
        </w:r>
        <w:r w:rsidR="00640CCB">
          <w:rPr>
            <w:noProof/>
          </w:rPr>
          <w:t>C</w:t>
        </w:r>
        <w:r>
          <w:rPr>
            <w:noProof/>
          </w:rPr>
          <w:fldChar w:fldCharType="end"/>
        </w:r>
        <w:r w:rsidR="00842B2D">
          <w:t>.</w:t>
        </w:r>
        <w:r>
          <w:fldChar w:fldCharType="begin"/>
        </w:r>
        <w:r>
          <w:instrText xml:space="preserve"> SEQ Apx_Figure \* ARABIC \s 9 </w:instrText>
        </w:r>
        <w:r>
          <w:fldChar w:fldCharType="separate"/>
        </w:r>
        <w:r w:rsidR="00640CCB">
          <w:rPr>
            <w:noProof/>
          </w:rPr>
          <w:t>14</w:t>
        </w:r>
        <w:r>
          <w:rPr>
            <w:noProof/>
          </w:rPr>
          <w:fldChar w:fldCharType="end"/>
        </w:r>
        <w:r w:rsidR="00842B2D">
          <w:rPr>
            <w:noProof/>
          </w:rPr>
          <w:t xml:space="preserve"> </w:t>
        </w:r>
        <w:r w:rsidR="00842B2D" w:rsidRPr="00C03FEA">
          <w:t>Hydrostratigraphic relationships in the Surat Basin, Coonamble Embayment and adjoining Eromanga Basin of the Great Artesian Basin</w:t>
        </w:r>
      </w:hyperlink>
      <w:r w:rsidR="00842B2D" w:rsidRPr="00C03FEA">
        <w:t xml:space="preserve"> (extracted from Smerdon and Ransley</w:t>
      </w:r>
      <w:r w:rsidR="00842B2D">
        <w:t>,</w:t>
      </w:r>
      <w:r w:rsidR="00842B2D" w:rsidRPr="00C03FEA">
        <w:t xml:space="preserve"> 2012).</w:t>
      </w:r>
      <w:r w:rsidR="00842B2D">
        <w:t xml:space="preserve"> </w:t>
      </w:r>
      <w:r w:rsidR="00842B2D" w:rsidRPr="00C03FEA">
        <w:t>The yellow box identifies the Bowen Basin as underlying the Great Artesian Basin, with the red box showing this relationship to the overlying Surat Basin hydrostratigraphy.</w:t>
      </w:r>
      <w:bookmarkEnd w:id="100"/>
      <w:bookmarkEnd w:id="101"/>
    </w:p>
    <w:p w14:paraId="4A95F001" w14:textId="77777777" w:rsidR="00842B2D" w:rsidRPr="003F259E" w:rsidRDefault="00842B2D" w:rsidP="003739CA">
      <w:pPr>
        <w:pStyle w:val="FiguresImagesCentred"/>
      </w:pPr>
      <w:r w:rsidRPr="003739CA">
        <w:rPr>
          <w:noProof/>
        </w:rPr>
        <w:lastRenderedPageBreak/>
        <w:drawing>
          <wp:inline distT="0" distB="0" distL="0" distR="0" wp14:anchorId="5B71AED9" wp14:editId="334DB484">
            <wp:extent cx="5941391" cy="6415431"/>
            <wp:effectExtent l="0" t="0" r="254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screen">
                      <a:extLst>
                        <a:ext uri="{28A0092B-C50C-407E-A947-70E740481C1C}">
                          <a14:useLocalDpi xmlns:a14="http://schemas.microsoft.com/office/drawing/2010/main"/>
                        </a:ext>
                      </a:extLst>
                    </a:blip>
                    <a:srcRect t="3201"/>
                    <a:stretch/>
                  </pic:blipFill>
                  <pic:spPr bwMode="auto">
                    <a:xfrm>
                      <a:off x="0" y="0"/>
                      <a:ext cx="5943600" cy="6417816"/>
                    </a:xfrm>
                    <a:prstGeom prst="rect">
                      <a:avLst/>
                    </a:prstGeom>
                    <a:ln>
                      <a:noFill/>
                    </a:ln>
                    <a:extLst>
                      <a:ext uri="{53640926-AAD7-44D8-BBD7-CCE9431645EC}">
                        <a14:shadowObscured xmlns:a14="http://schemas.microsoft.com/office/drawing/2010/main"/>
                      </a:ext>
                    </a:extLst>
                  </pic:spPr>
                </pic:pic>
              </a:graphicData>
            </a:graphic>
          </wp:inline>
        </w:drawing>
      </w:r>
    </w:p>
    <w:p w14:paraId="7525428F" w14:textId="7E517A19" w:rsidR="00842B2D" w:rsidRDefault="00842B2D" w:rsidP="00A43B22">
      <w:pPr>
        <w:pStyle w:val="Caption"/>
      </w:pPr>
      <w:bookmarkStart w:id="102" w:name="_Toc499547575"/>
      <w:bookmarkStart w:id="103" w:name="_Toc508972086"/>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15</w:t>
      </w:r>
      <w:r w:rsidR="008079F1">
        <w:rPr>
          <w:noProof/>
        </w:rPr>
        <w:fldChar w:fldCharType="end"/>
      </w:r>
      <w:r>
        <w:rPr>
          <w:noProof/>
        </w:rPr>
        <w:t xml:space="preserve"> </w:t>
      </w:r>
      <w:r w:rsidRPr="00C03FEA">
        <w:t>Hydrostratigraphy of the Bowen Basin from a representative location in the northern area, where the Surat Basin does not occur (Arrow Energy</w:t>
      </w:r>
      <w:r>
        <w:t>,</w:t>
      </w:r>
      <w:r w:rsidRPr="00C03FEA">
        <w:t xml:space="preserve"> 2012)</w:t>
      </w:r>
      <w:bookmarkEnd w:id="102"/>
      <w:bookmarkEnd w:id="103"/>
    </w:p>
    <w:p w14:paraId="31774CE1" w14:textId="77777777" w:rsidR="00842B2D" w:rsidRPr="00E01F8F" w:rsidRDefault="00842B2D" w:rsidP="00E01F8F">
      <w:pPr>
        <w:pStyle w:val="BodyText"/>
      </w:pPr>
    </w:p>
    <w:p w14:paraId="48CD20FD" w14:textId="77777777" w:rsidR="00842B2D" w:rsidRPr="005450A3" w:rsidRDefault="00842B2D" w:rsidP="00D15FEC">
      <w:pPr>
        <w:pStyle w:val="AppendixHeading5"/>
      </w:pPr>
      <w:r w:rsidRPr="005450A3">
        <w:t>Alluvial aquifers</w:t>
      </w:r>
    </w:p>
    <w:p w14:paraId="00776E2B" w14:textId="77777777" w:rsidR="00842B2D" w:rsidRPr="005D51D5" w:rsidRDefault="00842B2D" w:rsidP="00A43B22">
      <w:pPr>
        <w:pStyle w:val="BodyText"/>
      </w:pPr>
      <w:r w:rsidRPr="005D51D5">
        <w:t>There are many alluvial aquifers through</w:t>
      </w:r>
      <w:r>
        <w:t xml:space="preserve">out the Bowen Basin. </w:t>
      </w:r>
      <w:r w:rsidRPr="005D51D5">
        <w:t>These shallow groundwater flows are gen</w:t>
      </w:r>
      <w:r>
        <w:t xml:space="preserve">erally topographically driven. </w:t>
      </w:r>
      <w:r w:rsidRPr="005D51D5">
        <w:t xml:space="preserve">The alluvium generally has a lateral flow direction, similar to that of the major </w:t>
      </w:r>
      <w:r>
        <w:t xml:space="preserve">surface </w:t>
      </w:r>
      <w:r w:rsidRPr="005D51D5">
        <w:t>drainage.</w:t>
      </w:r>
    </w:p>
    <w:p w14:paraId="00CA1C73" w14:textId="2DFDD19C" w:rsidR="00842B2D" w:rsidRPr="003F259E" w:rsidRDefault="00842B2D" w:rsidP="00A43B22">
      <w:pPr>
        <w:pStyle w:val="ListBullet"/>
      </w:pPr>
      <w:r>
        <w:t>Border Rivers Alluvium—</w:t>
      </w:r>
      <w:r w:rsidRPr="00C03FEA">
        <w:t xml:space="preserve">Useable groundwater is restricted to sediments deposited in narrow valleys associated with the Dumaresq and Macintyre rivers and the Macintyre Brook. </w:t>
      </w:r>
      <w:r w:rsidRPr="00C03FEA">
        <w:lastRenderedPageBreak/>
        <w:t>The valley broadens downstream of Keetah Bridge where groundwater generally becomes too saline for use. Other aquifers have been identified in this area (CSIRO, 200</w:t>
      </w:r>
      <w:r>
        <w:t>8)</w:t>
      </w:r>
      <w:r w:rsidRPr="00C03FEA">
        <w:t xml:space="preserve"> and they had a variety of recharge processes at play to varying degrees across the region</w:t>
      </w:r>
      <w:r w:rsidRPr="003F259E">
        <w:t xml:space="preserve">. </w:t>
      </w:r>
    </w:p>
    <w:p w14:paraId="64B21D6D" w14:textId="7D5F1DB1" w:rsidR="00842B2D" w:rsidRPr="00C03FEA" w:rsidRDefault="00842B2D" w:rsidP="00A43B22">
      <w:pPr>
        <w:pStyle w:val="ListBullet"/>
      </w:pPr>
      <w:r>
        <w:t>St George Alluvium—</w:t>
      </w:r>
      <w:r w:rsidRPr="00C03FEA">
        <w:t>Kellett et al. (2006) provide a detailed description of the St George Alluvium</w:t>
      </w:r>
      <w:r>
        <w:t xml:space="preserve"> and report that</w:t>
      </w:r>
      <w:r w:rsidRPr="00C03FEA">
        <w:t xml:space="preserve"> groundwater flow directions in the shallow alluvial aquifer are mainly north to the south-west, and radially outward along the axis of the Balonne River north of Whyenbah. </w:t>
      </w:r>
      <w:r>
        <w:t>G</w:t>
      </w:r>
      <w:r w:rsidRPr="00C03FEA">
        <w:t>roundwater flow in the deeper alluvial aquifer is from north-east to south-west, parallel to the axis of</w:t>
      </w:r>
      <w:r>
        <w:t xml:space="preserve"> the Dirranbandi palaeochannel. D</w:t>
      </w:r>
      <w:r w:rsidRPr="00C03FEA">
        <w:t>uring the period 1998 to 2004</w:t>
      </w:r>
      <w:r>
        <w:t>, w</w:t>
      </w:r>
      <w:r w:rsidRPr="00C03FEA">
        <w:t>ater levels in the upper alluvial aquifer remained stationary over most of the subregion</w:t>
      </w:r>
      <w:r>
        <w:t>,</w:t>
      </w:r>
      <w:r w:rsidRPr="00C03FEA">
        <w:t xml:space="preserve"> with the exception of irrigation areas in the vicinity of St George (Kellett et al., 2006). Groundwater recharge to the shallow alluvium occurs via multiple mechanisms, flooding recharg</w:t>
      </w:r>
      <w:r>
        <w:t>e</w:t>
      </w:r>
      <w:r w:rsidRPr="00C03FEA">
        <w:t>, natural river bed leakage and artificial recharge via infiltration of excess irrigation water in the St George Irrigation Area and groundwater irrigation area (Kellett et al., 2006).</w:t>
      </w:r>
      <w:r>
        <w:t xml:space="preserve"> </w:t>
      </w:r>
      <w:r w:rsidRPr="00C03FEA">
        <w:t>Groundwater recharge to deep alluvial aquifers is via bed underflow from the Balonne River upstream of Beardmore Dam where the aquifer is unconfined, and leakage from the shallow alluvial aquifer in the groundwater irrigation area (Kellett et al., 2006).</w:t>
      </w:r>
    </w:p>
    <w:p w14:paraId="201FC609" w14:textId="77777777" w:rsidR="00842B2D" w:rsidRPr="00A43B22" w:rsidRDefault="00842B2D" w:rsidP="00A43B22">
      <w:pPr>
        <w:pStyle w:val="BodyText"/>
        <w:rPr>
          <w:rStyle w:val="Bold"/>
        </w:rPr>
      </w:pPr>
      <w:r w:rsidRPr="00A43B22">
        <w:rPr>
          <w:rStyle w:val="Bold"/>
        </w:rPr>
        <w:t xml:space="preserve">Cenozoic basalt aquifers </w:t>
      </w:r>
    </w:p>
    <w:p w14:paraId="7DFD13EB" w14:textId="45030F34" w:rsidR="00842B2D" w:rsidRPr="00C03FEA" w:rsidRDefault="00842B2D" w:rsidP="00A43B22">
      <w:pPr>
        <w:pStyle w:val="BodyText"/>
      </w:pPr>
      <w:r w:rsidRPr="00C03FEA">
        <w:t xml:space="preserve">Cenozoic </w:t>
      </w:r>
      <w:r>
        <w:t>b</w:t>
      </w:r>
      <w:r w:rsidRPr="00C03FEA">
        <w:t>asalt aquifers</w:t>
      </w:r>
      <w:r>
        <w:t>,</w:t>
      </w:r>
      <w:r w:rsidRPr="00C03FEA">
        <w:t xml:space="preserve"> like much of the alluvium, form</w:t>
      </w:r>
      <w:r>
        <w:t xml:space="preserve"> shallow unconfined aquifers over the Bowen Basin. </w:t>
      </w:r>
      <w:r w:rsidRPr="00C03FEA">
        <w:t xml:space="preserve">Many shallow bores are sited on these basalts in the </w:t>
      </w:r>
      <w:r>
        <w:t>north</w:t>
      </w:r>
      <w:r w:rsidRPr="00C03FEA">
        <w:t xml:space="preserve">western </w:t>
      </w:r>
      <w:r>
        <w:t>part</w:t>
      </w:r>
      <w:r w:rsidRPr="00C03FEA">
        <w:t xml:space="preserve"> of the basin.</w:t>
      </w:r>
      <w:r>
        <w:t xml:space="preserve"> The Main Range Volcanics Formation is a significant Cenozoic basalt aquifer that is typically treated as a fractured-rock aquifer.</w:t>
      </w:r>
    </w:p>
    <w:p w14:paraId="70F2179A" w14:textId="77777777" w:rsidR="00842B2D" w:rsidRPr="00A43B22" w:rsidRDefault="00842B2D" w:rsidP="00A43B22">
      <w:pPr>
        <w:pStyle w:val="BodyText"/>
        <w:rPr>
          <w:rStyle w:val="Bold"/>
        </w:rPr>
      </w:pPr>
      <w:r w:rsidRPr="00A43B22">
        <w:rPr>
          <w:rStyle w:val="Bold"/>
        </w:rPr>
        <w:t>Surat Basin</w:t>
      </w:r>
    </w:p>
    <w:p w14:paraId="12806B1B" w14:textId="3049D72D" w:rsidR="00842B2D" w:rsidRPr="00C03FEA" w:rsidRDefault="00842B2D" w:rsidP="00A43B22">
      <w:pPr>
        <w:pStyle w:val="BodyText"/>
      </w:pPr>
      <w:r w:rsidRPr="00C03FEA">
        <w:t>The Surat Basin forms part of the Great Artesian Basin</w:t>
      </w:r>
      <w:r>
        <w:t>, which has been a subject of many</w:t>
      </w:r>
      <w:r w:rsidRPr="00C03FEA">
        <w:t xml:space="preserve"> studies, </w:t>
      </w:r>
      <w:r>
        <w:t>e.g.</w:t>
      </w:r>
      <w:r w:rsidRPr="00C03FEA">
        <w:t xml:space="preserve"> Smerdon </w:t>
      </w:r>
      <w:r>
        <w:t>and</w:t>
      </w:r>
      <w:r w:rsidRPr="00C03FEA">
        <w:t xml:space="preserve"> Ransley (2012).</w:t>
      </w:r>
      <w:r>
        <w:t xml:space="preserve"> </w:t>
      </w:r>
      <w:r w:rsidRPr="00C03FEA">
        <w:t>The cyclic grain</w:t>
      </w:r>
      <w:r>
        <w:t>-</w:t>
      </w:r>
      <w:r w:rsidRPr="00C03FEA">
        <w:t xml:space="preserve">size variation </w:t>
      </w:r>
      <w:r>
        <w:t xml:space="preserve">in the basin formations </w:t>
      </w:r>
      <w:r w:rsidRPr="00C03FEA">
        <w:t xml:space="preserve">produces a </w:t>
      </w:r>
      <w:r>
        <w:t>series</w:t>
      </w:r>
      <w:r w:rsidRPr="00C03FEA">
        <w:t xml:space="preserve"> of aquifers and aquitards</w:t>
      </w:r>
      <w:r>
        <w:t>,</w:t>
      </w:r>
      <w:r w:rsidRPr="00812553">
        <w:t xml:space="preserve"> and there is substantial use of groundwater to meet the requirements of agricultural, industrial, energy, mining, domestic and commercial activities.</w:t>
      </w:r>
    </w:p>
    <w:p w14:paraId="63999D89" w14:textId="77777777" w:rsidR="00842B2D" w:rsidRPr="00A43B22" w:rsidRDefault="00842B2D" w:rsidP="00A43B22">
      <w:pPr>
        <w:pStyle w:val="BodyText"/>
        <w:rPr>
          <w:rStyle w:val="Bold"/>
        </w:rPr>
      </w:pPr>
      <w:r w:rsidRPr="00A43B22">
        <w:rPr>
          <w:rStyle w:val="Bold"/>
        </w:rPr>
        <w:t>Bowen Basin Triassic units</w:t>
      </w:r>
    </w:p>
    <w:p w14:paraId="173D697D" w14:textId="77777777" w:rsidR="00842B2D" w:rsidRPr="00C03FEA" w:rsidRDefault="00842B2D" w:rsidP="00A43B22">
      <w:pPr>
        <w:pStyle w:val="BodyText"/>
      </w:pPr>
      <w:r w:rsidRPr="00C03FEA">
        <w:t xml:space="preserve">Where present, the Clematis Group sandstones and equivalent formations are the main aquifers used in the Bowen Basin. The Moolayember Formation is primarily a fine-grained siltstone </w:t>
      </w:r>
      <w:r>
        <w:t>to</w:t>
      </w:r>
      <w:r w:rsidRPr="00C03FEA">
        <w:t xml:space="preserve"> mudstone </w:t>
      </w:r>
      <w:r>
        <w:t xml:space="preserve">and a </w:t>
      </w:r>
      <w:r w:rsidRPr="00C03FEA">
        <w:t xml:space="preserve">confining bed for the Clematis </w:t>
      </w:r>
      <w:r>
        <w:t>Group s</w:t>
      </w:r>
      <w:r w:rsidRPr="00C03FEA">
        <w:t>andstone</w:t>
      </w:r>
      <w:r>
        <w:t>s</w:t>
      </w:r>
      <w:r w:rsidRPr="00C03FEA">
        <w:t>, generally separating it from Surat Basin sediments above. Although minor aquifers occur within the Moolayember Formation</w:t>
      </w:r>
      <w:r>
        <w:t>,</w:t>
      </w:r>
      <w:r w:rsidRPr="00C03FEA">
        <w:t xml:space="preserve"> these are generally poor in quality and yield</w:t>
      </w:r>
      <w:r>
        <w:t>,</w:t>
      </w:r>
      <w:r w:rsidRPr="00C03FEA">
        <w:t xml:space="preserve"> and are not laterally </w:t>
      </w:r>
      <w:r>
        <w:t>continuous</w:t>
      </w:r>
      <w:r w:rsidRPr="00C03FEA">
        <w:t xml:space="preserve">. Across most of the Bowen Basin, the Clematis </w:t>
      </w:r>
      <w:r>
        <w:t>Group s</w:t>
      </w:r>
      <w:r w:rsidRPr="00C03FEA">
        <w:t>andstone aquifers are separated from the Bandanna Formation by a thick sequence of fine-grained, low</w:t>
      </w:r>
      <w:r>
        <w:t>-</w:t>
      </w:r>
      <w:r w:rsidRPr="00C03FEA">
        <w:t>permeability siltstones and mudstones of the Rewan Group.</w:t>
      </w:r>
    </w:p>
    <w:p w14:paraId="2A049649" w14:textId="1BD09E22" w:rsidR="00842B2D" w:rsidRPr="00C03FEA" w:rsidRDefault="00842B2D" w:rsidP="00A43B22">
      <w:pPr>
        <w:pStyle w:val="BodyText"/>
      </w:pPr>
      <w:r w:rsidRPr="00C03FEA">
        <w:t>Recent studies have recognised the potential fluxes between many underlying geological basins and potential interaction between the Clematis Group and other aquifers of the Bowen Basin and the GAB</w:t>
      </w:r>
      <w:r>
        <w:t>.</w:t>
      </w:r>
      <w:r w:rsidRPr="00C03FEA">
        <w:t xml:space="preserve"> </w:t>
      </w:r>
    </w:p>
    <w:p w14:paraId="0D063900" w14:textId="77777777" w:rsidR="00842B2D" w:rsidRPr="00A43B22" w:rsidRDefault="00842B2D" w:rsidP="00A43B22">
      <w:pPr>
        <w:pStyle w:val="BodyText"/>
        <w:rPr>
          <w:rStyle w:val="Bold"/>
        </w:rPr>
      </w:pPr>
      <w:r w:rsidRPr="00A43B22">
        <w:rPr>
          <w:rStyle w:val="Bold"/>
        </w:rPr>
        <w:lastRenderedPageBreak/>
        <w:t>Bowen Basin Permian units</w:t>
      </w:r>
    </w:p>
    <w:p w14:paraId="42C57D9B" w14:textId="77777777" w:rsidR="00842B2D" w:rsidRPr="00C03FEA" w:rsidRDefault="00842B2D" w:rsidP="00A43B22">
      <w:pPr>
        <w:pStyle w:val="BodyText"/>
      </w:pPr>
      <w:r w:rsidRPr="00C03FEA">
        <w:t>Limited data is available on the groundwater conditions within the Permian sediments underlying the Bandanna Formation. However, in general, these formations are fine</w:t>
      </w:r>
      <w:r>
        <w:t xml:space="preserve"> </w:t>
      </w:r>
      <w:r w:rsidRPr="00C03FEA">
        <w:t xml:space="preserve">grained, cemented, and have little permeability. </w:t>
      </w:r>
      <w:r>
        <w:t>These</w:t>
      </w:r>
      <w:r w:rsidRPr="00C03FEA">
        <w:t xml:space="preserve"> formations are not as laterally extensive as those in the GAB</w:t>
      </w:r>
      <w:r>
        <w:t>,</w:t>
      </w:r>
      <w:r w:rsidRPr="00C03FEA">
        <w:t xml:space="preserve"> have complex geology and display laterally</w:t>
      </w:r>
      <w:r>
        <w:t xml:space="preserve"> variable lithologies</w:t>
      </w:r>
      <w:r w:rsidRPr="00C03FEA">
        <w:t xml:space="preserve"> (</w:t>
      </w:r>
      <w:r>
        <w:t>DNRM,</w:t>
      </w:r>
      <w:r w:rsidRPr="00C03FEA">
        <w:t xml:space="preserve"> 2016).</w:t>
      </w:r>
      <w:r>
        <w:t xml:space="preserve"> The Rangal, Fort Cooper and Moranbah</w:t>
      </w:r>
      <w:r w:rsidRPr="00C03FEA">
        <w:t xml:space="preserve"> coal</w:t>
      </w:r>
      <w:r>
        <w:t xml:space="preserve"> measures</w:t>
      </w:r>
      <w:r w:rsidRPr="00C03FEA">
        <w:t xml:space="preserve">, which are treated as deep aquifers, have both a primary porosity provided by the rock matrix </w:t>
      </w:r>
      <w:r>
        <w:t>and</w:t>
      </w:r>
      <w:r w:rsidRPr="00C03FEA">
        <w:t xml:space="preserve"> a secondary porosity of joints and fractures that provide the dominant g</w:t>
      </w:r>
      <w:r>
        <w:t xml:space="preserve">roundwater flow pathways. </w:t>
      </w:r>
      <w:r w:rsidRPr="00C03FEA">
        <w:t>The confining units have very low hydraulic conductivity, and thus limit both vertical flow and recharge; several mines in the northern Bowen Basin have described these units as ‘essentially impervious’ (Arrow Energy</w:t>
      </w:r>
      <w:r>
        <w:t>,</w:t>
      </w:r>
      <w:r w:rsidRPr="00C03FEA">
        <w:t xml:space="preserve"> 2012).</w:t>
      </w:r>
    </w:p>
    <w:p w14:paraId="2D707D86" w14:textId="77777777" w:rsidR="00842B2D" w:rsidRPr="00E938D0" w:rsidRDefault="00842B2D" w:rsidP="00D15FEC">
      <w:pPr>
        <w:pStyle w:val="AppendixHeading4"/>
      </w:pPr>
      <w:r w:rsidRPr="006619D9">
        <w:t>Groundwater quality</w:t>
      </w:r>
    </w:p>
    <w:p w14:paraId="4F8C4BD4" w14:textId="2D4F4E74" w:rsidR="00842B2D" w:rsidRPr="00BC19D8" w:rsidRDefault="00842B2D" w:rsidP="00A43B22">
      <w:pPr>
        <w:pStyle w:val="BodyText"/>
      </w:pPr>
      <w:r w:rsidRPr="00BC19D8">
        <w:t xml:space="preserve">Throughout the </w:t>
      </w:r>
      <w:r>
        <w:t xml:space="preserve">Bowen Basin </w:t>
      </w:r>
      <w:r w:rsidRPr="00BC19D8">
        <w:t xml:space="preserve">region, </w:t>
      </w:r>
      <w:r>
        <w:t>much</w:t>
      </w:r>
      <w:r w:rsidRPr="00BC19D8">
        <w:t xml:space="preserve"> of the groundwater is poor quality and only suitable for stock and domestic purposes.</w:t>
      </w:r>
      <w:r>
        <w:t xml:space="preserve"> </w:t>
      </w:r>
      <w:r w:rsidRPr="00BC19D8">
        <w:t>Habermehl (2002) states that groundwater quality of the overlying Surat Basin is variable</w:t>
      </w:r>
      <w:r>
        <w:t>;</w:t>
      </w:r>
      <w:r w:rsidRPr="00BC19D8">
        <w:t xml:space="preserve"> salinity is generally in the range </w:t>
      </w:r>
      <w:r>
        <w:t>of 500–</w:t>
      </w:r>
      <w:r w:rsidRPr="00BC19D8">
        <w:t>1</w:t>
      </w:r>
      <w:r>
        <w:t>,</w:t>
      </w:r>
      <w:r w:rsidRPr="00BC19D8">
        <w:t>50</w:t>
      </w:r>
      <w:r>
        <w:t>0 m</w:t>
      </w:r>
      <w:r w:rsidRPr="00BC19D8">
        <w:t xml:space="preserve">g/L in the </w:t>
      </w:r>
      <w:r>
        <w:t>Jurassic–</w:t>
      </w:r>
      <w:r w:rsidRPr="00BC19D8">
        <w:t>Lower Cretaceous aquifers. Groundwater salinity reportedly increases away from the recharge areas in the east and north (&lt;25</w:t>
      </w:r>
      <w:r>
        <w:t>0 m</w:t>
      </w:r>
      <w:r w:rsidRPr="00BC19D8">
        <w:t xml:space="preserve">g/L TDS in places) </w:t>
      </w:r>
      <w:r>
        <w:t xml:space="preserve">and </w:t>
      </w:r>
      <w:r w:rsidRPr="00BC19D8">
        <w:t>along groundwater flow paths to the south and west to over 2</w:t>
      </w:r>
      <w:r>
        <w:t>,</w:t>
      </w:r>
      <w:r w:rsidRPr="00BC19D8">
        <w:t>00</w:t>
      </w:r>
      <w:r>
        <w:t>0 m</w:t>
      </w:r>
      <w:r w:rsidRPr="00BC19D8">
        <w:t xml:space="preserve">g/L in places (Radke et al., 2000). Groundwater in the </w:t>
      </w:r>
      <w:r>
        <w:t>Jurassic–</w:t>
      </w:r>
      <w:r w:rsidRPr="00BC19D8">
        <w:t xml:space="preserve">Lower Cretaceous aquifers is typically unsuitable for irrigation due to its high sodium adsorption ratio (Smerdon and Ransley, 2012). </w:t>
      </w:r>
    </w:p>
    <w:p w14:paraId="5445EF2A" w14:textId="77777777" w:rsidR="00842B2D" w:rsidRPr="00826E1F" w:rsidRDefault="00842B2D" w:rsidP="00D15FEC">
      <w:pPr>
        <w:pStyle w:val="AppendixHeading4"/>
      </w:pPr>
      <w:r w:rsidRPr="00826E1F">
        <w:t>Groundwater flow</w:t>
      </w:r>
    </w:p>
    <w:p w14:paraId="19F4EE5C" w14:textId="09B73320" w:rsidR="00842B2D" w:rsidRPr="00BC19D8" w:rsidRDefault="00842B2D" w:rsidP="00A43B22">
      <w:pPr>
        <w:pStyle w:val="BodyText"/>
      </w:pPr>
      <w:r>
        <w:t>G</w:t>
      </w:r>
      <w:r w:rsidRPr="00BC19D8">
        <w:t xml:space="preserve">roundwater flow paths are </w:t>
      </w:r>
      <w:r>
        <w:t xml:space="preserve">generally </w:t>
      </w:r>
      <w:r w:rsidRPr="00BC19D8">
        <w:t>towards the centre of the basin</w:t>
      </w:r>
      <w:r w:rsidR="00E446CB">
        <w:t xml:space="preserve"> (Figure C.16)</w:t>
      </w:r>
      <w:r w:rsidRPr="00BC19D8">
        <w:t>.</w:t>
      </w:r>
      <w:r>
        <w:t xml:space="preserve"> </w:t>
      </w:r>
      <w:r w:rsidRPr="00BC19D8">
        <w:t xml:space="preserve">However, this is altered by substantial extraction, such as that related to coal </w:t>
      </w:r>
      <w:r>
        <w:t xml:space="preserve">mines and coal seam gas extraction. These activities can </w:t>
      </w:r>
      <w:r w:rsidRPr="00BC19D8">
        <w:t>produce cones of depression in the potentiometric surfaces, and thus lead to flow</w:t>
      </w:r>
      <w:r>
        <w:t xml:space="preserve"> </w:t>
      </w:r>
      <w:r w:rsidRPr="00BC19D8">
        <w:t xml:space="preserve">paths towards the </w:t>
      </w:r>
      <w:r>
        <w:t xml:space="preserve">pits or gas production </w:t>
      </w:r>
      <w:r w:rsidRPr="00BC19D8">
        <w:t>wells.</w:t>
      </w:r>
    </w:p>
    <w:p w14:paraId="6468F990" w14:textId="49BA7450" w:rsidR="00842B2D" w:rsidRPr="003F259E" w:rsidRDefault="00842B2D" w:rsidP="003739CA">
      <w:pPr>
        <w:pStyle w:val="FiguresImagesCentred"/>
      </w:pPr>
      <w:r>
        <w:rPr>
          <w:noProof/>
        </w:rPr>
        <w:lastRenderedPageBreak/>
        <w:drawing>
          <wp:inline distT="0" distB="0" distL="0" distR="0" wp14:anchorId="47130531" wp14:editId="3FBB0F74">
            <wp:extent cx="5760085" cy="4004310"/>
            <wp:effectExtent l="0" t="0" r="0" b="0"/>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5760085" cy="4004310"/>
                    </a:xfrm>
                    <a:prstGeom prst="rect">
                      <a:avLst/>
                    </a:prstGeom>
                  </pic:spPr>
                </pic:pic>
              </a:graphicData>
            </a:graphic>
          </wp:inline>
        </w:drawing>
      </w:r>
    </w:p>
    <w:p w14:paraId="2A3B07B8" w14:textId="15B204AE" w:rsidR="00842B2D" w:rsidRDefault="00842B2D" w:rsidP="00A43B22">
      <w:pPr>
        <w:pStyle w:val="Caption"/>
      </w:pPr>
      <w:bookmarkStart w:id="104" w:name="_Toc499547576"/>
      <w:bookmarkStart w:id="105" w:name="_Toc508972087"/>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16</w:t>
      </w:r>
      <w:r w:rsidR="008079F1">
        <w:rPr>
          <w:noProof/>
        </w:rPr>
        <w:fldChar w:fldCharType="end"/>
      </w:r>
      <w:r>
        <w:rPr>
          <w:noProof/>
        </w:rPr>
        <w:t xml:space="preserve"> </w:t>
      </w:r>
      <w:r w:rsidRPr="00BC19D8">
        <w:t xml:space="preserve">Conceptual </w:t>
      </w:r>
      <w:r>
        <w:t>m</w:t>
      </w:r>
      <w:r w:rsidRPr="00BC19D8">
        <w:t>odel for the northern Bowen Basin, as an east-west cross-section. The majority of groundwater flow is in the coal seams of the Blackwater Group</w:t>
      </w:r>
      <w:r>
        <w:t xml:space="preserve"> </w:t>
      </w:r>
      <w:r w:rsidRPr="00BC19D8">
        <w:t>(Arrow Energy 2012).</w:t>
      </w:r>
      <w:bookmarkEnd w:id="104"/>
      <w:bookmarkEnd w:id="105"/>
    </w:p>
    <w:p w14:paraId="6B178C23" w14:textId="77777777" w:rsidR="00842B2D" w:rsidRDefault="00842B2D" w:rsidP="00D15FEC">
      <w:pPr>
        <w:pStyle w:val="AppendixHeading4"/>
      </w:pPr>
      <w:r>
        <w:t>Groundwater planning and use</w:t>
      </w:r>
    </w:p>
    <w:p w14:paraId="01680651" w14:textId="2F7E16C0" w:rsidR="00842B2D" w:rsidRPr="00652E88" w:rsidRDefault="00842B2D" w:rsidP="00A43B22">
      <w:pPr>
        <w:pStyle w:val="BodyText"/>
      </w:pPr>
      <w:r w:rsidRPr="00652E88">
        <w:t xml:space="preserve">Groundwater planning and management is undertaken by the Queensland Government via Water Resource Plans. The Queensland water resource plans are subordinate legislation under the </w:t>
      </w:r>
      <w:r>
        <w:t xml:space="preserve">Water Act 2000 (Qld) (Queensland Government, 2000). They are </w:t>
      </w:r>
      <w:r w:rsidRPr="00652E88">
        <w:t xml:space="preserve">prepared at a river basin scale, and specify the outcomes and strategies that will be used for each plan area. </w:t>
      </w:r>
    </w:p>
    <w:p w14:paraId="0EC6FE9C" w14:textId="15A8174B" w:rsidR="00842B2D" w:rsidRPr="00652E88" w:rsidRDefault="00842B2D" w:rsidP="00A43B22">
      <w:pPr>
        <w:pStyle w:val="BodyText"/>
      </w:pPr>
      <w:r w:rsidRPr="00652E88">
        <w:t>Most groundwater extraction bores of the Bowen Basin are not metered</w:t>
      </w:r>
      <w:r>
        <w:t>,</w:t>
      </w:r>
      <w:r w:rsidRPr="00652E88">
        <w:t xml:space="preserve"> and accurately estimating the amount of groundwater used is very difficult. It is estimated that, other than relatively minor groundwater extractions from the Bandanna Coal Measures for stock and domestic purposes (Q</w:t>
      </w:r>
      <w:r w:rsidR="00FE1F65">
        <w:t>ueensland Water Commission</w:t>
      </w:r>
      <w:r w:rsidRPr="00652E88">
        <w:t>, 2012)</w:t>
      </w:r>
      <w:r>
        <w:t>,</w:t>
      </w:r>
      <w:r w:rsidRPr="00652E88">
        <w:t xml:space="preserve"> there is currently no significant groundwater extraction from the coal measures or deeper geological formations by regional communities and rural landholders due to the poor water quality (high salinity) and low water yield (Coffey Environments, 2014).</w:t>
      </w:r>
    </w:p>
    <w:p w14:paraId="03226E75" w14:textId="507E236D" w:rsidR="00842B2D" w:rsidRDefault="00842B2D" w:rsidP="00A43B22">
      <w:pPr>
        <w:pStyle w:val="BodyText"/>
      </w:pPr>
      <w:r w:rsidRPr="00652E88">
        <w:t>Groundwater extracted for use in the Bowen Basin by the regional communit</w:t>
      </w:r>
      <w:r>
        <w:t>ies</w:t>
      </w:r>
      <w:r w:rsidRPr="00652E88">
        <w:t xml:space="preserve"> and rural landholders in current and future gas producing areas is sourced almost entirely from the shallow alluvial, basaltic and sedimentary aquifers </w:t>
      </w:r>
      <w:r>
        <w:t>that</w:t>
      </w:r>
      <w:r w:rsidRPr="00652E88">
        <w:t xml:space="preserve"> </w:t>
      </w:r>
      <w:r>
        <w:t xml:space="preserve">overlie the basin (URS, 2012). </w:t>
      </w:r>
      <w:r w:rsidRPr="00652E88">
        <w:t>These aquifers are easier and less expensive to access yet have variable yields and moderate water quality (moderate salinity). The southern part of the Bowen Basin sits under the Great Artesian Basin and alluvium</w:t>
      </w:r>
      <w:r>
        <w:t>; it</w:t>
      </w:r>
      <w:r w:rsidRPr="00652E88">
        <w:t xml:space="preserve"> is</w:t>
      </w:r>
      <w:r>
        <w:t xml:space="preserve"> part of the Surat Cumulative M</w:t>
      </w:r>
      <w:r w:rsidRPr="00652E88">
        <w:t xml:space="preserve">anagement Area where </w:t>
      </w:r>
      <w:r w:rsidR="009E619D">
        <w:t>the Office of Groundwater Impact Assessment (</w:t>
      </w:r>
      <w:r w:rsidR="009E619D" w:rsidRPr="00652E88">
        <w:t>OGIA</w:t>
      </w:r>
      <w:r w:rsidR="009E619D">
        <w:t xml:space="preserve">) </w:t>
      </w:r>
      <w:r w:rsidRPr="00652E88">
        <w:t>produces an Underground Water Impact Report (</w:t>
      </w:r>
      <w:r>
        <w:t>DNRM,</w:t>
      </w:r>
      <w:r w:rsidRPr="00652E88">
        <w:t xml:space="preserve"> 2016).</w:t>
      </w:r>
      <w:r>
        <w:t xml:space="preserve"> </w:t>
      </w:r>
    </w:p>
    <w:p w14:paraId="5AF43DEE" w14:textId="568A113E" w:rsidR="00842B2D" w:rsidRPr="00652E88" w:rsidRDefault="00842B2D" w:rsidP="00A43B22">
      <w:pPr>
        <w:pStyle w:val="BodyText"/>
      </w:pPr>
      <w:r w:rsidRPr="00652E88">
        <w:lastRenderedPageBreak/>
        <w:t>Th</w:t>
      </w:r>
      <w:r>
        <w:t xml:space="preserve">e </w:t>
      </w:r>
      <w:r w:rsidRPr="00652E88">
        <w:t xml:space="preserve">Clematis </w:t>
      </w:r>
      <w:r>
        <w:t>Group s</w:t>
      </w:r>
      <w:r w:rsidRPr="00652E88">
        <w:t>andstone aquifer</w:t>
      </w:r>
      <w:r>
        <w:t xml:space="preserve">s are managed </w:t>
      </w:r>
      <w:r w:rsidRPr="00652E88">
        <w:t xml:space="preserve">under the </w:t>
      </w:r>
      <w:r>
        <w:t xml:space="preserve">Water Plan (Great Artesian Basin) 2006 (Queensland Government, 2006). These Triassic sandstones are </w:t>
      </w:r>
      <w:r w:rsidRPr="00652E88">
        <w:t xml:space="preserve">an upper geological formation of the Bowen Basin, </w:t>
      </w:r>
      <w:r>
        <w:t xml:space="preserve">host water of low to high salinity, </w:t>
      </w:r>
      <w:r w:rsidRPr="00652E88">
        <w:t>and ar</w:t>
      </w:r>
      <w:r>
        <w:t>e utilised in the southern part of the</w:t>
      </w:r>
      <w:r w:rsidRPr="00652E88">
        <w:t xml:space="preserve"> Basin (URS, 2012).</w:t>
      </w:r>
    </w:p>
    <w:p w14:paraId="66F8B73A" w14:textId="3525614A" w:rsidR="00842B2D" w:rsidRPr="00652E88" w:rsidRDefault="00842B2D" w:rsidP="00A43B22">
      <w:pPr>
        <w:pStyle w:val="BodyText"/>
      </w:pPr>
      <w:r>
        <w:t>Recent</w:t>
      </w:r>
      <w:r w:rsidRPr="00652E88">
        <w:t xml:space="preserve"> studies have found that low connectivity is a dominant geological characteristic of aquifers across the Surat, Bowen and Galilee Basins (CSIRO, 2012a</w:t>
      </w:r>
      <w:r w:rsidR="00554585">
        <w:t>,</w:t>
      </w:r>
      <w:r w:rsidRPr="00652E88">
        <w:t xml:space="preserve"> b; Marsh et al., 2008; RPS, 2012</w:t>
      </w:r>
      <w:r w:rsidR="00755212">
        <w:t>;</w:t>
      </w:r>
      <w:r w:rsidRPr="00652E88">
        <w:t xml:space="preserve"> and Q</w:t>
      </w:r>
      <w:r>
        <w:t>ueensland Water Commission</w:t>
      </w:r>
      <w:r w:rsidRPr="00652E88">
        <w:t>, 2012).</w:t>
      </w:r>
    </w:p>
    <w:p w14:paraId="6E9A2A79" w14:textId="2F3E2221" w:rsidR="00842B2D" w:rsidRPr="00652E88" w:rsidRDefault="00842B2D" w:rsidP="00A43B22">
      <w:pPr>
        <w:pStyle w:val="BodyText"/>
      </w:pPr>
      <w:r>
        <w:t>Table C.10</w:t>
      </w:r>
      <w:r w:rsidRPr="00652E88">
        <w:t xml:space="preserve"> presents information from the Bureau of Meteorology’s NGIS dataset and shows summary information of registered bores in the basin</w:t>
      </w:r>
      <w:r>
        <w:t xml:space="preserve"> (BoM, 2016)</w:t>
      </w:r>
      <w:r w:rsidRPr="00652E88">
        <w:t xml:space="preserve">. </w:t>
      </w:r>
    </w:p>
    <w:p w14:paraId="2B5C4E35" w14:textId="77777777" w:rsidR="00842B2D" w:rsidRPr="00826D12" w:rsidRDefault="00842B2D" w:rsidP="00B92BE0">
      <w:pPr>
        <w:pStyle w:val="Caption"/>
      </w:pPr>
      <w:bookmarkStart w:id="106" w:name="_Toc499547480"/>
      <w:bookmarkStart w:id="107" w:name="_Toc508972159"/>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10</w:t>
      </w:r>
      <w:r w:rsidR="008079F1">
        <w:rPr>
          <w:noProof/>
        </w:rPr>
        <w:fldChar w:fldCharType="end"/>
      </w:r>
      <w:r>
        <w:t xml:space="preserve"> Summary of groundwater bores and water use in the Bowen Basin.</w:t>
      </w:r>
      <w:bookmarkEnd w:id="106"/>
      <w:bookmarkEnd w:id="107"/>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0"/>
        <w:gridCol w:w="4669"/>
      </w:tblGrid>
      <w:tr w:rsidR="00842B2D" w:rsidRPr="00537435" w14:paraId="68514419"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tcPr>
          <w:p w14:paraId="0F311076" w14:textId="7DB02766" w:rsidR="00842B2D" w:rsidRPr="00537435" w:rsidRDefault="00842B2D">
            <w:pPr>
              <w:pStyle w:val="TableTextLeft"/>
              <w:rPr>
                <w:color w:val="auto"/>
                <w:szCs w:val="18"/>
              </w:rPr>
            </w:pPr>
            <w:r w:rsidRPr="00537435">
              <w:rPr>
                <w:szCs w:val="18"/>
              </w:rPr>
              <w:t>GROUNDWATER BORES AND WATER USE</w:t>
            </w:r>
          </w:p>
        </w:tc>
      </w:tr>
      <w:tr w:rsidR="00842B2D" w:rsidRPr="00537435" w14:paraId="7B46375F"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10AE6CFE" w14:textId="77777777" w:rsidR="00842B2D" w:rsidRPr="00537435" w:rsidRDefault="00842B2D" w:rsidP="008B38C1">
            <w:pPr>
              <w:pStyle w:val="TableTextLeft"/>
              <w:rPr>
                <w:szCs w:val="18"/>
              </w:rPr>
            </w:pPr>
            <w:r w:rsidRPr="00537435">
              <w:rPr>
                <w:szCs w:val="18"/>
              </w:rPr>
              <w:t>Number of bores (Density of Registered Bores - bores/km</w:t>
            </w:r>
            <w:r w:rsidRPr="00537435">
              <w:rPr>
                <w:szCs w:val="18"/>
                <w:vertAlign w:val="superscript"/>
              </w:rPr>
              <w:t>2</w:t>
            </w:r>
            <w:r w:rsidRPr="00537435">
              <w:rPr>
                <w:szCs w:val="18"/>
              </w:rPr>
              <w:t>)</w:t>
            </w:r>
          </w:p>
        </w:tc>
        <w:tc>
          <w:tcPr>
            <w:tcW w:w="2422" w:type="pct"/>
          </w:tcPr>
          <w:p w14:paraId="0E98140F" w14:textId="77777777"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537435">
              <w:rPr>
                <w:szCs w:val="18"/>
              </w:rPr>
              <w:t>14,769 (0.10)</w:t>
            </w:r>
          </w:p>
        </w:tc>
      </w:tr>
      <w:tr w:rsidR="00842B2D" w:rsidRPr="00537435" w14:paraId="3CAA54EE"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4FC732FE" w14:textId="77777777" w:rsidR="00842B2D" w:rsidRPr="00537435" w:rsidRDefault="00842B2D" w:rsidP="008B38C1">
            <w:pPr>
              <w:pStyle w:val="TableTextLeft"/>
              <w:rPr>
                <w:szCs w:val="18"/>
              </w:rPr>
            </w:pPr>
            <w:r w:rsidRPr="00537435">
              <w:rPr>
                <w:szCs w:val="18"/>
              </w:rPr>
              <w:t>Purposes of registered bores</w:t>
            </w:r>
          </w:p>
          <w:p w14:paraId="27FC214D" w14:textId="77777777" w:rsidR="00842B2D" w:rsidRPr="00537435" w:rsidRDefault="00842B2D" w:rsidP="008B38C1">
            <w:pPr>
              <w:pStyle w:val="TableTextLeft"/>
              <w:rPr>
                <w:szCs w:val="18"/>
              </w:rPr>
            </w:pPr>
            <w:r w:rsidRPr="00537435">
              <w:rPr>
                <w:szCs w:val="18"/>
              </w:rPr>
              <w:t xml:space="preserve">(Top 5, number) </w:t>
            </w:r>
          </w:p>
          <w:p w14:paraId="0E965773" w14:textId="77777777" w:rsidR="00842B2D" w:rsidRPr="00537435" w:rsidRDefault="00842B2D" w:rsidP="008B38C1">
            <w:pPr>
              <w:pStyle w:val="TableTextLeft"/>
              <w:rPr>
                <w:szCs w:val="18"/>
              </w:rPr>
            </w:pPr>
          </w:p>
        </w:tc>
        <w:tc>
          <w:tcPr>
            <w:tcW w:w="2422" w:type="pct"/>
          </w:tcPr>
          <w:tbl>
            <w:tblPr>
              <w:tblW w:w="4196" w:type="dxa"/>
              <w:tblLook w:val="04A0" w:firstRow="1" w:lastRow="0" w:firstColumn="1" w:lastColumn="0" w:noHBand="0" w:noVBand="1"/>
            </w:tblPr>
            <w:tblGrid>
              <w:gridCol w:w="3062"/>
              <w:gridCol w:w="1134"/>
            </w:tblGrid>
            <w:tr w:rsidR="00842B2D" w:rsidRPr="00537435" w14:paraId="09EC7652" w14:textId="77777777" w:rsidTr="00D83039">
              <w:trPr>
                <w:trHeight w:val="300"/>
              </w:trPr>
              <w:tc>
                <w:tcPr>
                  <w:tcW w:w="3062" w:type="dxa"/>
                  <w:tcBorders>
                    <w:top w:val="nil"/>
                    <w:left w:val="nil"/>
                    <w:bottom w:val="nil"/>
                    <w:right w:val="nil"/>
                  </w:tcBorders>
                  <w:shd w:val="clear" w:color="auto" w:fill="auto"/>
                  <w:noWrap/>
                  <w:vAlign w:val="bottom"/>
                  <w:hideMark/>
                </w:tcPr>
                <w:p w14:paraId="38A58D67" w14:textId="77777777" w:rsidR="00842B2D" w:rsidRPr="00537435" w:rsidRDefault="00842B2D" w:rsidP="008B38C1">
                  <w:pPr>
                    <w:pStyle w:val="TableTextLeft"/>
                    <w:rPr>
                      <w:szCs w:val="18"/>
                    </w:rPr>
                  </w:pPr>
                  <w:r w:rsidRPr="00537435">
                    <w:rPr>
                      <w:szCs w:val="18"/>
                    </w:rPr>
                    <w:t>Unknown</w:t>
                  </w:r>
                </w:p>
              </w:tc>
              <w:tc>
                <w:tcPr>
                  <w:tcW w:w="1134" w:type="dxa"/>
                  <w:tcBorders>
                    <w:top w:val="nil"/>
                    <w:left w:val="nil"/>
                    <w:bottom w:val="nil"/>
                    <w:right w:val="nil"/>
                  </w:tcBorders>
                  <w:shd w:val="clear" w:color="auto" w:fill="auto"/>
                  <w:noWrap/>
                  <w:vAlign w:val="bottom"/>
                  <w:hideMark/>
                </w:tcPr>
                <w:p w14:paraId="422E6BDB" w14:textId="77777777" w:rsidR="00842B2D" w:rsidRPr="00537435" w:rsidRDefault="00842B2D" w:rsidP="000350BE">
                  <w:pPr>
                    <w:pStyle w:val="TableTextRight0"/>
                  </w:pPr>
                  <w:r w:rsidRPr="00537435">
                    <w:t>10,132</w:t>
                  </w:r>
                </w:p>
              </w:tc>
            </w:tr>
            <w:tr w:rsidR="00842B2D" w:rsidRPr="00537435" w14:paraId="3A19A940" w14:textId="77777777" w:rsidTr="00D83039">
              <w:trPr>
                <w:trHeight w:val="300"/>
              </w:trPr>
              <w:tc>
                <w:tcPr>
                  <w:tcW w:w="3062" w:type="dxa"/>
                  <w:tcBorders>
                    <w:top w:val="nil"/>
                    <w:left w:val="nil"/>
                    <w:bottom w:val="nil"/>
                    <w:right w:val="nil"/>
                  </w:tcBorders>
                  <w:shd w:val="clear" w:color="auto" w:fill="auto"/>
                  <w:noWrap/>
                  <w:vAlign w:val="bottom"/>
                  <w:hideMark/>
                </w:tcPr>
                <w:p w14:paraId="4F83DF63" w14:textId="77777777" w:rsidR="00842B2D" w:rsidRPr="00537435" w:rsidRDefault="00842B2D" w:rsidP="008B38C1">
                  <w:pPr>
                    <w:pStyle w:val="TableTextLeft"/>
                    <w:rPr>
                      <w:szCs w:val="18"/>
                    </w:rPr>
                  </w:pPr>
                  <w:r w:rsidRPr="00537435">
                    <w:rPr>
                      <w:szCs w:val="18"/>
                    </w:rPr>
                    <w:t>Stock</w:t>
                  </w:r>
                </w:p>
              </w:tc>
              <w:tc>
                <w:tcPr>
                  <w:tcW w:w="1134" w:type="dxa"/>
                  <w:tcBorders>
                    <w:top w:val="nil"/>
                    <w:left w:val="nil"/>
                    <w:bottom w:val="nil"/>
                    <w:right w:val="nil"/>
                  </w:tcBorders>
                  <w:shd w:val="clear" w:color="auto" w:fill="auto"/>
                  <w:noWrap/>
                  <w:vAlign w:val="bottom"/>
                  <w:hideMark/>
                </w:tcPr>
                <w:p w14:paraId="111DAA44" w14:textId="77777777" w:rsidR="00842B2D" w:rsidRPr="00537435" w:rsidRDefault="00842B2D" w:rsidP="000350BE">
                  <w:pPr>
                    <w:pStyle w:val="TableTextRight0"/>
                  </w:pPr>
                  <w:r w:rsidRPr="00537435">
                    <w:t>3</w:t>
                  </w:r>
                  <w:r>
                    <w:t>,</w:t>
                  </w:r>
                  <w:r w:rsidRPr="00537435">
                    <w:t>117</w:t>
                  </w:r>
                </w:p>
              </w:tc>
            </w:tr>
            <w:tr w:rsidR="00842B2D" w:rsidRPr="00537435" w14:paraId="29A442D0" w14:textId="77777777" w:rsidTr="00D83039">
              <w:trPr>
                <w:trHeight w:val="300"/>
              </w:trPr>
              <w:tc>
                <w:tcPr>
                  <w:tcW w:w="3062" w:type="dxa"/>
                  <w:tcBorders>
                    <w:top w:val="nil"/>
                    <w:left w:val="nil"/>
                    <w:bottom w:val="nil"/>
                    <w:right w:val="nil"/>
                  </w:tcBorders>
                  <w:shd w:val="clear" w:color="auto" w:fill="auto"/>
                  <w:noWrap/>
                  <w:vAlign w:val="bottom"/>
                  <w:hideMark/>
                </w:tcPr>
                <w:p w14:paraId="057EDF16" w14:textId="77777777" w:rsidR="00842B2D" w:rsidRPr="00537435" w:rsidRDefault="00842B2D" w:rsidP="008B38C1">
                  <w:pPr>
                    <w:pStyle w:val="TableTextLeft"/>
                    <w:rPr>
                      <w:szCs w:val="18"/>
                    </w:rPr>
                  </w:pPr>
                  <w:r w:rsidRPr="00537435">
                    <w:rPr>
                      <w:szCs w:val="18"/>
                    </w:rPr>
                    <w:t>Household</w:t>
                  </w:r>
                </w:p>
              </w:tc>
              <w:tc>
                <w:tcPr>
                  <w:tcW w:w="1134" w:type="dxa"/>
                  <w:tcBorders>
                    <w:top w:val="nil"/>
                    <w:left w:val="nil"/>
                    <w:bottom w:val="nil"/>
                    <w:right w:val="nil"/>
                  </w:tcBorders>
                  <w:shd w:val="clear" w:color="auto" w:fill="auto"/>
                  <w:noWrap/>
                  <w:vAlign w:val="bottom"/>
                  <w:hideMark/>
                </w:tcPr>
                <w:p w14:paraId="6F40F281" w14:textId="77777777" w:rsidR="00842B2D" w:rsidRPr="00537435" w:rsidRDefault="00842B2D" w:rsidP="000350BE">
                  <w:pPr>
                    <w:pStyle w:val="TableTextRight0"/>
                  </w:pPr>
                  <w:r w:rsidRPr="00537435">
                    <w:t>648</w:t>
                  </w:r>
                </w:p>
              </w:tc>
            </w:tr>
            <w:tr w:rsidR="00842B2D" w:rsidRPr="00537435" w14:paraId="51D8D2F6" w14:textId="77777777" w:rsidTr="00D83039">
              <w:trPr>
                <w:trHeight w:val="300"/>
              </w:trPr>
              <w:tc>
                <w:tcPr>
                  <w:tcW w:w="3062" w:type="dxa"/>
                  <w:tcBorders>
                    <w:top w:val="nil"/>
                    <w:left w:val="nil"/>
                    <w:bottom w:val="nil"/>
                    <w:right w:val="nil"/>
                  </w:tcBorders>
                  <w:shd w:val="clear" w:color="auto" w:fill="auto"/>
                  <w:noWrap/>
                  <w:vAlign w:val="bottom"/>
                  <w:hideMark/>
                </w:tcPr>
                <w:p w14:paraId="1DA3FA75" w14:textId="77777777" w:rsidR="00842B2D" w:rsidRPr="00537435" w:rsidRDefault="00842B2D" w:rsidP="008B38C1">
                  <w:pPr>
                    <w:pStyle w:val="TableTextLeft"/>
                    <w:rPr>
                      <w:szCs w:val="18"/>
                    </w:rPr>
                  </w:pPr>
                  <w:r w:rsidRPr="00537435">
                    <w:rPr>
                      <w:szCs w:val="18"/>
                    </w:rPr>
                    <w:t>Domestic Household</w:t>
                  </w:r>
                </w:p>
              </w:tc>
              <w:tc>
                <w:tcPr>
                  <w:tcW w:w="1134" w:type="dxa"/>
                  <w:tcBorders>
                    <w:top w:val="nil"/>
                    <w:left w:val="nil"/>
                    <w:bottom w:val="nil"/>
                    <w:right w:val="nil"/>
                  </w:tcBorders>
                  <w:shd w:val="clear" w:color="auto" w:fill="auto"/>
                  <w:noWrap/>
                  <w:vAlign w:val="bottom"/>
                  <w:hideMark/>
                </w:tcPr>
                <w:p w14:paraId="36CC2CA0" w14:textId="77777777" w:rsidR="00842B2D" w:rsidRPr="00537435" w:rsidRDefault="00842B2D" w:rsidP="000350BE">
                  <w:pPr>
                    <w:pStyle w:val="TableTextRight0"/>
                  </w:pPr>
                  <w:r w:rsidRPr="00537435">
                    <w:t>524</w:t>
                  </w:r>
                </w:p>
              </w:tc>
            </w:tr>
            <w:tr w:rsidR="00842B2D" w:rsidRPr="00537435" w14:paraId="5263CB89" w14:textId="77777777" w:rsidTr="00D83039">
              <w:trPr>
                <w:trHeight w:val="300"/>
              </w:trPr>
              <w:tc>
                <w:tcPr>
                  <w:tcW w:w="3062" w:type="dxa"/>
                  <w:tcBorders>
                    <w:top w:val="nil"/>
                    <w:left w:val="nil"/>
                    <w:bottom w:val="nil"/>
                    <w:right w:val="nil"/>
                  </w:tcBorders>
                  <w:shd w:val="clear" w:color="auto" w:fill="auto"/>
                  <w:noWrap/>
                  <w:vAlign w:val="bottom"/>
                  <w:hideMark/>
                </w:tcPr>
                <w:p w14:paraId="0622033C" w14:textId="77777777" w:rsidR="00842B2D" w:rsidRPr="00537435" w:rsidRDefault="00842B2D" w:rsidP="008B38C1">
                  <w:pPr>
                    <w:pStyle w:val="TableTextLeft"/>
                    <w:rPr>
                      <w:szCs w:val="18"/>
                    </w:rPr>
                  </w:pPr>
                  <w:r w:rsidRPr="00537435">
                    <w:rPr>
                      <w:szCs w:val="18"/>
                    </w:rPr>
                    <w:t>Irrigated Agriculture</w:t>
                  </w:r>
                </w:p>
              </w:tc>
              <w:tc>
                <w:tcPr>
                  <w:tcW w:w="1134" w:type="dxa"/>
                  <w:tcBorders>
                    <w:top w:val="nil"/>
                    <w:left w:val="nil"/>
                    <w:bottom w:val="nil"/>
                    <w:right w:val="nil"/>
                  </w:tcBorders>
                  <w:shd w:val="clear" w:color="auto" w:fill="auto"/>
                  <w:noWrap/>
                  <w:vAlign w:val="bottom"/>
                  <w:hideMark/>
                </w:tcPr>
                <w:p w14:paraId="61E2BC6F" w14:textId="77777777" w:rsidR="00842B2D" w:rsidRPr="00537435" w:rsidRDefault="00842B2D" w:rsidP="000350BE">
                  <w:pPr>
                    <w:pStyle w:val="TableTextRight0"/>
                  </w:pPr>
                  <w:r w:rsidRPr="00537435">
                    <w:t>432</w:t>
                  </w:r>
                </w:p>
              </w:tc>
            </w:tr>
          </w:tbl>
          <w:p w14:paraId="59841F1C" w14:textId="77777777"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42B2D" w:rsidRPr="00537435" w14:paraId="67A5F464"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6D890D8B" w14:textId="77777777" w:rsidR="00842B2D" w:rsidRPr="00537435" w:rsidRDefault="00842B2D" w:rsidP="008B38C1">
            <w:pPr>
              <w:pStyle w:val="TableTextLeft"/>
              <w:rPr>
                <w:szCs w:val="18"/>
              </w:rPr>
            </w:pPr>
            <w:r w:rsidRPr="00537435">
              <w:rPr>
                <w:szCs w:val="18"/>
              </w:rPr>
              <w:t>Depth (m) of registered bores below ground level (10</w:t>
            </w:r>
            <w:r w:rsidRPr="00537435">
              <w:rPr>
                <w:szCs w:val="18"/>
                <w:vertAlign w:val="superscript"/>
              </w:rPr>
              <w:t>th</w:t>
            </w:r>
            <w:r w:rsidRPr="00537435">
              <w:rPr>
                <w:szCs w:val="18"/>
              </w:rPr>
              <w:t xml:space="preserve"> and 90</w:t>
            </w:r>
            <w:r w:rsidRPr="00537435">
              <w:rPr>
                <w:szCs w:val="18"/>
                <w:vertAlign w:val="superscript"/>
              </w:rPr>
              <w:t>th</w:t>
            </w:r>
            <w:r w:rsidRPr="00537435">
              <w:rPr>
                <w:szCs w:val="18"/>
              </w:rPr>
              <w:t xml:space="preserve"> Percentile and median)</w:t>
            </w:r>
          </w:p>
        </w:tc>
        <w:tc>
          <w:tcPr>
            <w:tcW w:w="2422" w:type="pct"/>
          </w:tcPr>
          <w:p w14:paraId="3DD97A98" w14:textId="69E464F8"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537435">
              <w:rPr>
                <w:szCs w:val="18"/>
              </w:rPr>
              <w:t>10</w:t>
            </w:r>
            <w:r w:rsidRPr="000350BE">
              <w:rPr>
                <w:rStyle w:val="Superscript"/>
              </w:rPr>
              <w:t>th</w:t>
            </w:r>
            <w:r w:rsidRPr="00537435">
              <w:rPr>
                <w:szCs w:val="18"/>
              </w:rPr>
              <w:t xml:space="preserve"> Percentile</w:t>
            </w:r>
            <w:r w:rsidRPr="004059C5">
              <w:rPr>
                <w:szCs w:val="18"/>
              </w:rPr>
              <w:t xml:space="preserve">: </w:t>
            </w:r>
            <w:r w:rsidRPr="004059C5">
              <w:rPr>
                <w:szCs w:val="18"/>
              </w:rPr>
              <w:tab/>
            </w:r>
            <w:r>
              <w:rPr>
                <w:szCs w:val="18"/>
              </w:rPr>
              <w:t xml:space="preserve">  </w:t>
            </w:r>
            <w:r w:rsidRPr="00537435">
              <w:rPr>
                <w:szCs w:val="18"/>
              </w:rPr>
              <w:t>18</w:t>
            </w:r>
          </w:p>
          <w:p w14:paraId="5B40DEAD" w14:textId="7A02741A"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537435">
              <w:rPr>
                <w:szCs w:val="18"/>
              </w:rPr>
              <w:t>Median</w:t>
            </w:r>
            <w:r w:rsidRPr="004059C5">
              <w:rPr>
                <w:szCs w:val="18"/>
              </w:rPr>
              <w:t xml:space="preserve">: </w:t>
            </w:r>
            <w:r w:rsidRPr="004059C5">
              <w:rPr>
                <w:szCs w:val="18"/>
              </w:rPr>
              <w:tab/>
              <w:t xml:space="preserve"> </w:t>
            </w:r>
            <w:r w:rsidRPr="004059C5">
              <w:rPr>
                <w:szCs w:val="18"/>
              </w:rPr>
              <w:tab/>
            </w:r>
            <w:r>
              <w:rPr>
                <w:szCs w:val="18"/>
              </w:rPr>
              <w:t xml:space="preserve">  </w:t>
            </w:r>
            <w:r w:rsidRPr="00537435">
              <w:rPr>
                <w:szCs w:val="18"/>
              </w:rPr>
              <w:t>54</w:t>
            </w:r>
          </w:p>
          <w:p w14:paraId="62AB7B4C" w14:textId="4B2D0CDF"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537435">
              <w:rPr>
                <w:szCs w:val="18"/>
              </w:rPr>
              <w:t>90</w:t>
            </w:r>
            <w:r w:rsidRPr="000350BE">
              <w:rPr>
                <w:rStyle w:val="Superscript"/>
              </w:rPr>
              <w:t>th</w:t>
            </w:r>
            <w:r w:rsidRPr="00537435">
              <w:rPr>
                <w:szCs w:val="18"/>
              </w:rPr>
              <w:t xml:space="preserve"> Percentile</w:t>
            </w:r>
            <w:r w:rsidRPr="004059C5">
              <w:rPr>
                <w:szCs w:val="18"/>
              </w:rPr>
              <w:t xml:space="preserve">: </w:t>
            </w:r>
            <w:r w:rsidRPr="004059C5">
              <w:rPr>
                <w:szCs w:val="18"/>
              </w:rPr>
              <w:tab/>
            </w:r>
            <w:r w:rsidRPr="00537435">
              <w:rPr>
                <w:szCs w:val="18"/>
              </w:rPr>
              <w:t>358.1</w:t>
            </w:r>
          </w:p>
        </w:tc>
      </w:tr>
    </w:tbl>
    <w:p w14:paraId="649D7BBD" w14:textId="77777777" w:rsidR="00842B2D" w:rsidRDefault="00842B2D" w:rsidP="00D15FEC">
      <w:pPr>
        <w:pStyle w:val="AppendixHeading3"/>
      </w:pPr>
      <w:bookmarkStart w:id="108" w:name="_Toc517161134"/>
      <w:r>
        <w:t>Surface water systems and hydrology</w:t>
      </w:r>
      <w:bookmarkEnd w:id="108"/>
    </w:p>
    <w:p w14:paraId="08A0F295" w14:textId="77777777" w:rsidR="00842B2D" w:rsidRDefault="00842B2D" w:rsidP="00D15FEC">
      <w:pPr>
        <w:pStyle w:val="AppendixHeading4"/>
      </w:pPr>
      <w:r>
        <w:t>Surface water systems</w:t>
      </w:r>
    </w:p>
    <w:p w14:paraId="2186E757" w14:textId="7BCC8A1E" w:rsidR="00842B2D" w:rsidRPr="00652E88" w:rsidRDefault="00842B2D" w:rsidP="00A43B22">
      <w:pPr>
        <w:pStyle w:val="BodyText"/>
      </w:pPr>
      <w:r w:rsidRPr="00652E88">
        <w:t>The river systems in the northern Bowen Basin are mostly tributaries to the Fitzroy River, including the Nogoa, Comet, Dawson and Brown river systems (</w:t>
      </w:r>
      <w:r>
        <w:t>Figure C.17</w:t>
      </w:r>
      <w:r w:rsidRPr="00652E88">
        <w:t>).</w:t>
      </w:r>
      <w:r>
        <w:t xml:space="preserve"> </w:t>
      </w:r>
      <w:r w:rsidRPr="00652E88">
        <w:t>In the south, the Condamine-Balonne river system, part of the Murray-Darling Basin, is the dominant surface drainage system (</w:t>
      </w:r>
      <w:r w:rsidR="00755212">
        <w:t xml:space="preserve">Figure B.12; </w:t>
      </w:r>
      <w:r>
        <w:t>DNRM, 2016</w:t>
      </w:r>
      <w:r w:rsidRPr="00652E88">
        <w:t>; B</w:t>
      </w:r>
      <w:r>
        <w:t>o</w:t>
      </w:r>
      <w:r w:rsidRPr="00652E88">
        <w:t>M</w:t>
      </w:r>
      <w:r>
        <w:t>,</w:t>
      </w:r>
      <w:r w:rsidRPr="00652E88">
        <w:t xml:space="preserve"> 201</w:t>
      </w:r>
      <w:r>
        <w:t>4</w:t>
      </w:r>
      <w:r w:rsidRPr="00652E88">
        <w:t>).</w:t>
      </w:r>
      <w:r>
        <w:t xml:space="preserve"> </w:t>
      </w:r>
      <w:r w:rsidRPr="00652E88">
        <w:t>Here</w:t>
      </w:r>
      <w:r>
        <w:t>,</w:t>
      </w:r>
      <w:r w:rsidRPr="00652E88">
        <w:t xml:space="preserve"> extensive floodplains associated with the upper and central areas of the Condamine River </w:t>
      </w:r>
      <w:r>
        <w:t>have</w:t>
      </w:r>
      <w:r w:rsidRPr="00652E88">
        <w:t xml:space="preserve"> associated alluvial aquifers running with the flow direction.</w:t>
      </w:r>
      <w:r>
        <w:t xml:space="preserve"> </w:t>
      </w:r>
      <w:r w:rsidRPr="00652E88">
        <w:t>The upper reaches flood every two years on average</w:t>
      </w:r>
      <w:r>
        <w:t>,</w:t>
      </w:r>
      <w:r w:rsidRPr="00652E88">
        <w:t xml:space="preserve"> resulting in widespread inundation (Welsh et al</w:t>
      </w:r>
      <w:r>
        <w:t>.,</w:t>
      </w:r>
      <w:r w:rsidRPr="00652E88">
        <w:t xml:space="preserve"> 2014).</w:t>
      </w:r>
    </w:p>
    <w:p w14:paraId="4F65CAB3" w14:textId="77777777" w:rsidR="00842B2D" w:rsidRPr="00EA1099" w:rsidRDefault="00842B2D" w:rsidP="00D15FEC">
      <w:pPr>
        <w:pStyle w:val="AppendixHeading4"/>
      </w:pPr>
      <w:r>
        <w:t>Surface water quality</w:t>
      </w:r>
    </w:p>
    <w:p w14:paraId="0F1E038E" w14:textId="77777777" w:rsidR="00842B2D" w:rsidRPr="00652E88" w:rsidRDefault="00842B2D" w:rsidP="00A43B22">
      <w:pPr>
        <w:pStyle w:val="BodyText"/>
      </w:pPr>
      <w:r w:rsidRPr="00652E88">
        <w:t>In the northern section, there are some studies into the tributaries of the Fitzroy River, with various monitoring frequencies conducted at selected sites</w:t>
      </w:r>
      <w:r>
        <w:t xml:space="preserve"> by a number of organisations. </w:t>
      </w:r>
      <w:r w:rsidRPr="00652E88">
        <w:t>The Fitzroy is a moderate to highly salty system with slightly alkaline water.</w:t>
      </w:r>
      <w:r>
        <w:t xml:space="preserve"> </w:t>
      </w:r>
      <w:r w:rsidRPr="00652E88">
        <w:t xml:space="preserve">Headwater streams are quite fresh unless coal mine discharge affects the chemistry, with 80% of electrical conductivity </w:t>
      </w:r>
      <w:r w:rsidRPr="00DD0B6F">
        <w:t xml:space="preserve">(EC) </w:t>
      </w:r>
      <w:r w:rsidRPr="00652E88">
        <w:t xml:space="preserve">values less than 280 µS/cm, but 3% </w:t>
      </w:r>
      <w:r>
        <w:t xml:space="preserve">of values </w:t>
      </w:r>
      <w:r w:rsidRPr="00652E88">
        <w:t>are over 800 µS/cm.</w:t>
      </w:r>
      <w:r>
        <w:t xml:space="preserve"> </w:t>
      </w:r>
      <w:r w:rsidRPr="00652E88">
        <w:t>Coal mines have limits on the allowable discharge to the river system (DERM</w:t>
      </w:r>
      <w:r>
        <w:t>,</w:t>
      </w:r>
      <w:r w:rsidRPr="00652E88">
        <w:t xml:space="preserve"> 2009).</w:t>
      </w:r>
      <w:r>
        <w:t xml:space="preserve"> </w:t>
      </w:r>
      <w:r w:rsidRPr="00652E88">
        <w:t>During baseflow conditions, water quality in the river is good, but in the wet season higher suspended solids and nitrogen are encountered (Noble et al.</w:t>
      </w:r>
      <w:r>
        <w:t>,</w:t>
      </w:r>
      <w:r w:rsidRPr="00652E88">
        <w:t xml:space="preserve"> 1996).</w:t>
      </w:r>
    </w:p>
    <w:p w14:paraId="0D7B1FDA" w14:textId="6F3E3DB7" w:rsidR="00842B2D" w:rsidRPr="00652E88" w:rsidRDefault="00842B2D" w:rsidP="00A43B22">
      <w:pPr>
        <w:pStyle w:val="BodyText"/>
      </w:pPr>
      <w:r w:rsidRPr="00652E88">
        <w:lastRenderedPageBreak/>
        <w:t xml:space="preserve">Whereas more is reported in the southern region, water quality measurements are carried out at only a few selected reaches of the Condamine-Balonne River. In the upper Condamine river basin, stream nutrients are generally within water quality guidelines, while the </w:t>
      </w:r>
      <w:r>
        <w:t>EC</w:t>
      </w:r>
      <w:r w:rsidRPr="00652E88">
        <w:t xml:space="preserve"> ranges from 100</w:t>
      </w:r>
      <w:r>
        <w:t>–</w:t>
      </w:r>
      <w:r w:rsidRPr="00652E88">
        <w:t>800 μS/cm, which is greater than those found in other Queensland rivers.</w:t>
      </w:r>
    </w:p>
    <w:p w14:paraId="4781A9B0" w14:textId="77777777" w:rsidR="00842B2D" w:rsidRPr="00ED0501" w:rsidRDefault="00842B2D" w:rsidP="00D15FEC">
      <w:pPr>
        <w:pStyle w:val="AppendixHeading4"/>
      </w:pPr>
      <w:r>
        <w:t>Surface water flow</w:t>
      </w:r>
    </w:p>
    <w:p w14:paraId="5457A751" w14:textId="77777777" w:rsidR="00842B2D" w:rsidRPr="00652E88" w:rsidRDefault="00842B2D" w:rsidP="00A43B22">
      <w:pPr>
        <w:pStyle w:val="BodyText"/>
      </w:pPr>
      <w:r w:rsidRPr="00652E88">
        <w:t>A series of river gauges record changes in river heights and are reported via the Bureau of Meteorology.</w:t>
      </w:r>
      <w:r>
        <w:t xml:space="preserve"> </w:t>
      </w:r>
      <w:r w:rsidRPr="00652E88">
        <w:t>The mean annual rainfall for the township of Emerald is 561.9 mm. Most of the rainfall occurs during the summer months of October to March and runoff is highest in summer and early autumn.</w:t>
      </w:r>
      <w:r>
        <w:t xml:space="preserve"> </w:t>
      </w:r>
    </w:p>
    <w:p w14:paraId="41BABB39" w14:textId="77777777" w:rsidR="00842B2D" w:rsidRPr="00652E88" w:rsidRDefault="00842B2D" w:rsidP="00A43B22">
      <w:pPr>
        <w:pStyle w:val="BodyText"/>
      </w:pPr>
      <w:r w:rsidRPr="00652E88">
        <w:t>The Fitzroy River streamflow increases downstream with the greater catchment area, particularly as the steep slopes in the northeast of the catchment contribute; the headwater tributaries in the south (which overlie the Bowen Basin in the north) provide little to the river discharge (</w:t>
      </w:r>
      <w:r>
        <w:t>Figure C.18</w:t>
      </w:r>
      <w:r w:rsidRPr="00652E88">
        <w:t>).</w:t>
      </w:r>
      <w:r>
        <w:t xml:space="preserve"> </w:t>
      </w:r>
      <w:r w:rsidRPr="00652E88">
        <w:t>Streamflow is also highly seasonal, with most of the flow occurring in December to April (Larsen et al</w:t>
      </w:r>
      <w:r>
        <w:t>.,</w:t>
      </w:r>
      <w:r w:rsidRPr="00652E88">
        <w:t xml:space="preserve"> 2013).</w:t>
      </w:r>
      <w:r>
        <w:t xml:space="preserve"> </w:t>
      </w:r>
      <w:r w:rsidRPr="00652E88">
        <w:t>Gauge data availability in the catchment is variable, with some statistics available (</w:t>
      </w:r>
      <w:r>
        <w:t>Table C.11</w:t>
      </w:r>
      <w:r w:rsidRPr="00652E88">
        <w:t>) and hydrographs (</w:t>
      </w:r>
      <w:r>
        <w:t>Figure C.19</w:t>
      </w:r>
      <w:r w:rsidRPr="00652E88">
        <w:t xml:space="preserve">) in the compilation by SKM </w:t>
      </w:r>
      <w:r>
        <w:t>and</w:t>
      </w:r>
      <w:r w:rsidRPr="00652E88">
        <w:t xml:space="preserve"> Sunwater (2012).</w:t>
      </w:r>
    </w:p>
    <w:p w14:paraId="33AD49A8" w14:textId="6C74C52F" w:rsidR="00842B2D" w:rsidRPr="00652E88" w:rsidRDefault="00842B2D" w:rsidP="00A43B22">
      <w:pPr>
        <w:pStyle w:val="BodyText"/>
      </w:pPr>
      <w:r w:rsidRPr="00652E88">
        <w:t>In the south, the Condamine-Balonne river basin, including the Maranoa River, is a headwaters catchment to the Darling River</w:t>
      </w:r>
      <w:r>
        <w:t xml:space="preserve"> (Figure C.20)</w:t>
      </w:r>
      <w:r w:rsidRPr="00652E88">
        <w:t>.</w:t>
      </w:r>
      <w:r>
        <w:t xml:space="preserve"> </w:t>
      </w:r>
      <w:r w:rsidRPr="00652E88">
        <w:t xml:space="preserve">The catchment contributes </w:t>
      </w:r>
      <w:r>
        <w:t>13</w:t>
      </w:r>
      <w:r w:rsidRPr="00652E88">
        <w:t>% by area of the Murray-Darling Basin, while providing 8.5% of the total runoff, and using 3% of the irrigation water</w:t>
      </w:r>
      <w:r>
        <w:t xml:space="preserve"> (MDBA, 2015a)</w:t>
      </w:r>
      <w:r w:rsidRPr="00652E88">
        <w:t>.</w:t>
      </w:r>
      <w:r>
        <w:t xml:space="preserve"> </w:t>
      </w:r>
      <w:r w:rsidRPr="00652E88">
        <w:t>There are 42 stream gauge stations operated by the Queensland Department of Natural Resources and Mines</w:t>
      </w:r>
      <w:r>
        <w:t>, with</w:t>
      </w:r>
      <w:r w:rsidRPr="00652E88">
        <w:t xml:space="preserve"> record lengths </w:t>
      </w:r>
      <w:r>
        <w:t xml:space="preserve">from </w:t>
      </w:r>
      <w:r w:rsidRPr="00652E88">
        <w:t xml:space="preserve">a few years </w:t>
      </w:r>
      <w:r>
        <w:t>to</w:t>
      </w:r>
      <w:r w:rsidRPr="00652E88">
        <w:t xml:space="preserve"> over 90 years.</w:t>
      </w:r>
      <w:r>
        <w:t xml:space="preserve"> </w:t>
      </w:r>
      <w:r w:rsidRPr="00652E88">
        <w:t>For example, the Balonne River at St George</w:t>
      </w:r>
      <w:r>
        <w:t xml:space="preserve"> has </w:t>
      </w:r>
      <w:r w:rsidRPr="00652E88">
        <w:t>a mean monthly flow of 10.5 GL.</w:t>
      </w:r>
      <w:r>
        <w:t xml:space="preserve"> </w:t>
      </w:r>
      <w:r w:rsidRPr="00652E88">
        <w:t>Most rainfall and runoff occurs in summer</w:t>
      </w:r>
      <w:r>
        <w:t xml:space="preserve"> and </w:t>
      </w:r>
      <w:r w:rsidRPr="00652E88">
        <w:t>autumn, and major flood events occur on average every two years (</w:t>
      </w:r>
      <w:r>
        <w:t xml:space="preserve">Figure C.21; </w:t>
      </w:r>
      <w:r w:rsidRPr="00652E88">
        <w:t>Welsh et al</w:t>
      </w:r>
      <w:r>
        <w:t>.,</w:t>
      </w:r>
      <w:r w:rsidRPr="00652E88">
        <w:t xml:space="preserve"> 2014</w:t>
      </w:r>
      <w:r>
        <w:t>; CSIRO 2008; MDBA, 2015a</w:t>
      </w:r>
      <w:r w:rsidRPr="00652E88">
        <w:t>).</w:t>
      </w:r>
    </w:p>
    <w:p w14:paraId="19EF849B" w14:textId="56BD92FC" w:rsidR="00842B2D" w:rsidRPr="003F259E" w:rsidRDefault="00842B2D" w:rsidP="00CC3C3E">
      <w:pPr>
        <w:pStyle w:val="FiguresImagesCentred"/>
      </w:pPr>
      <w:r>
        <w:rPr>
          <w:noProof/>
        </w:rPr>
        <w:lastRenderedPageBreak/>
        <w:drawing>
          <wp:inline distT="0" distB="0" distL="0" distR="0" wp14:anchorId="4009FB7A" wp14:editId="5A014EAF">
            <wp:extent cx="5327284" cy="7697338"/>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screen">
                      <a:extLst>
                        <a:ext uri="{28A0092B-C50C-407E-A947-70E740481C1C}">
                          <a14:useLocalDpi xmlns:a14="http://schemas.microsoft.com/office/drawing/2010/main"/>
                        </a:ext>
                      </a:extLst>
                    </a:blip>
                    <a:srcRect/>
                    <a:stretch/>
                  </pic:blipFill>
                  <pic:spPr bwMode="auto">
                    <a:xfrm>
                      <a:off x="0" y="0"/>
                      <a:ext cx="5323189" cy="7691421"/>
                    </a:xfrm>
                    <a:prstGeom prst="rect">
                      <a:avLst/>
                    </a:prstGeom>
                    <a:ln>
                      <a:noFill/>
                    </a:ln>
                    <a:extLst>
                      <a:ext uri="{53640926-AAD7-44D8-BBD7-CCE9431645EC}">
                        <a14:shadowObscured xmlns:a14="http://schemas.microsoft.com/office/drawing/2010/main"/>
                      </a:ext>
                    </a:extLst>
                  </pic:spPr>
                </pic:pic>
              </a:graphicData>
            </a:graphic>
          </wp:inline>
        </w:drawing>
      </w:r>
    </w:p>
    <w:p w14:paraId="14BEE83B" w14:textId="7EF5410B" w:rsidR="00842B2D" w:rsidRPr="00652E88" w:rsidRDefault="00842B2D" w:rsidP="00A43B22">
      <w:pPr>
        <w:pStyle w:val="Caption"/>
      </w:pPr>
      <w:bookmarkStart w:id="109" w:name="_Toc499547577"/>
      <w:bookmarkStart w:id="110" w:name="_Toc508972088"/>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17</w:t>
      </w:r>
      <w:r w:rsidR="008079F1">
        <w:rPr>
          <w:noProof/>
        </w:rPr>
        <w:fldChar w:fldCharType="end"/>
      </w:r>
      <w:r>
        <w:rPr>
          <w:noProof/>
        </w:rPr>
        <w:t xml:space="preserve"> </w:t>
      </w:r>
      <w:r w:rsidRPr="00652E88">
        <w:t>Fitzroy River catchment, showing the Comet, Brown, Nogoa, and Dawson Rivers tributing from the south, and the various weirs and water supply schemes of this catchment (DNRM</w:t>
      </w:r>
      <w:r>
        <w:t>,</w:t>
      </w:r>
      <w:r w:rsidRPr="00652E88">
        <w:t xml:space="preserve"> 2015)</w:t>
      </w:r>
      <w:bookmarkEnd w:id="109"/>
      <w:bookmarkEnd w:id="110"/>
    </w:p>
    <w:p w14:paraId="7ADFE291" w14:textId="77777777" w:rsidR="00842B2D" w:rsidRPr="003F259E" w:rsidRDefault="00842B2D" w:rsidP="00FD6771">
      <w:pPr>
        <w:pStyle w:val="FiguresImagesCentred"/>
      </w:pPr>
      <w:r w:rsidRPr="00FD6771">
        <w:rPr>
          <w:noProof/>
        </w:rPr>
        <w:lastRenderedPageBreak/>
        <w:drawing>
          <wp:inline distT="0" distB="0" distL="0" distR="0" wp14:anchorId="039082B7" wp14:editId="59F34CFE">
            <wp:extent cx="5085202" cy="2646381"/>
            <wp:effectExtent l="0" t="0" r="127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screen">
                      <a:extLst>
                        <a:ext uri="{28A0092B-C50C-407E-A947-70E740481C1C}">
                          <a14:useLocalDpi xmlns:a14="http://schemas.microsoft.com/office/drawing/2010/main"/>
                        </a:ext>
                      </a:extLst>
                    </a:blip>
                    <a:srcRect/>
                    <a:stretch/>
                  </pic:blipFill>
                  <pic:spPr bwMode="auto">
                    <a:xfrm>
                      <a:off x="0" y="0"/>
                      <a:ext cx="5080605" cy="2643989"/>
                    </a:xfrm>
                    <a:prstGeom prst="rect">
                      <a:avLst/>
                    </a:prstGeom>
                    <a:ln>
                      <a:noFill/>
                    </a:ln>
                    <a:extLst>
                      <a:ext uri="{53640926-AAD7-44D8-BBD7-CCE9431645EC}">
                        <a14:shadowObscured xmlns:a14="http://schemas.microsoft.com/office/drawing/2010/main"/>
                      </a:ext>
                    </a:extLst>
                  </pic:spPr>
                </pic:pic>
              </a:graphicData>
            </a:graphic>
          </wp:inline>
        </w:drawing>
      </w:r>
    </w:p>
    <w:p w14:paraId="7A03CB49" w14:textId="1E071594" w:rsidR="00842B2D" w:rsidRDefault="00842B2D" w:rsidP="00A43B22">
      <w:pPr>
        <w:pStyle w:val="Caption"/>
      </w:pPr>
      <w:bookmarkStart w:id="111" w:name="_Toc499547578"/>
      <w:bookmarkStart w:id="112" w:name="_Toc508972089"/>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18</w:t>
      </w:r>
      <w:r w:rsidR="008079F1">
        <w:rPr>
          <w:noProof/>
        </w:rPr>
        <w:fldChar w:fldCharType="end"/>
      </w:r>
      <w:r>
        <w:rPr>
          <w:noProof/>
        </w:rPr>
        <w:t xml:space="preserve"> </w:t>
      </w:r>
      <w:r w:rsidRPr="005D51D5">
        <w:t>The distribution of streamflow variation between months for selected components of the Fitzroy River catchment.</w:t>
      </w:r>
      <w:r>
        <w:t xml:space="preserve"> </w:t>
      </w:r>
      <w:r w:rsidRPr="005D51D5">
        <w:t>Red = downstream discharge; Green = southern headwaters; Blue = north-eastern headwaters. From Larsen et al</w:t>
      </w:r>
      <w:r>
        <w:t>.</w:t>
      </w:r>
      <w:r w:rsidRPr="005D51D5">
        <w:t xml:space="preserve"> (2013)</w:t>
      </w:r>
      <w:bookmarkEnd w:id="111"/>
      <w:bookmarkEnd w:id="112"/>
    </w:p>
    <w:p w14:paraId="7E9A9E09" w14:textId="77777777" w:rsidR="00842B2D" w:rsidRPr="00F1759B" w:rsidRDefault="00842B2D" w:rsidP="00F1759B">
      <w:pPr>
        <w:pStyle w:val="Caption"/>
      </w:pPr>
    </w:p>
    <w:p w14:paraId="0CADBC7A" w14:textId="77777777" w:rsidR="00842B2D" w:rsidRPr="00652E88" w:rsidRDefault="00842B2D" w:rsidP="00B92BE0">
      <w:pPr>
        <w:pStyle w:val="Caption"/>
      </w:pPr>
      <w:bookmarkStart w:id="113" w:name="_Toc499547481"/>
      <w:bookmarkStart w:id="114" w:name="_Toc508972160"/>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11</w:t>
      </w:r>
      <w:r w:rsidR="008079F1">
        <w:rPr>
          <w:noProof/>
        </w:rPr>
        <w:fldChar w:fldCharType="end"/>
      </w:r>
      <w:r>
        <w:t xml:space="preserve"> </w:t>
      </w:r>
      <w:r w:rsidRPr="00652E88">
        <w:t xml:space="preserve">Streamflow statistics for various river gauges in the Fitzroy catchment (SKM </w:t>
      </w:r>
      <w:r>
        <w:t>and</w:t>
      </w:r>
      <w:r w:rsidRPr="00652E88">
        <w:t xml:space="preserve"> Sunwater</w:t>
      </w:r>
      <w:r>
        <w:t>,</w:t>
      </w:r>
      <w:r w:rsidRPr="00652E88">
        <w:t xml:space="preserve"> 2012)</w:t>
      </w:r>
      <w:r>
        <w:t>.</w:t>
      </w:r>
      <w:bookmarkEnd w:id="113"/>
      <w:bookmarkEnd w:id="114"/>
    </w:p>
    <w:p w14:paraId="00245BE2" w14:textId="77777777" w:rsidR="00842B2D" w:rsidRPr="003F259E" w:rsidRDefault="00842B2D" w:rsidP="00FD6771">
      <w:pPr>
        <w:pStyle w:val="FiguresImagesCentred"/>
      </w:pPr>
      <w:r w:rsidRPr="003F259E">
        <w:rPr>
          <w:noProof/>
        </w:rPr>
        <mc:AlternateContent>
          <mc:Choice Requires="wps">
            <w:drawing>
              <wp:anchor distT="0" distB="0" distL="114300" distR="114300" simplePos="0" relativeHeight="251658251" behindDoc="0" locked="0" layoutInCell="1" allowOverlap="1" wp14:anchorId="65DD940C" wp14:editId="00858028">
                <wp:simplePos x="0" y="0"/>
                <wp:positionH relativeFrom="column">
                  <wp:posOffset>35560</wp:posOffset>
                </wp:positionH>
                <wp:positionV relativeFrom="paragraph">
                  <wp:posOffset>82304</wp:posOffset>
                </wp:positionV>
                <wp:extent cx="688975" cy="165735"/>
                <wp:effectExtent l="0" t="0" r="0" b="5715"/>
                <wp:wrapNone/>
                <wp:docPr id="7190" name="Rectangle 7190"/>
                <wp:cNvGraphicFramePr/>
                <a:graphic xmlns:a="http://schemas.openxmlformats.org/drawingml/2006/main">
                  <a:graphicData uri="http://schemas.microsoft.com/office/word/2010/wordprocessingShape">
                    <wps:wsp>
                      <wps:cNvSpPr/>
                      <wps:spPr>
                        <a:xfrm>
                          <a:off x="0" y="0"/>
                          <a:ext cx="688975" cy="165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5DEECC" id="Rectangle 7190" o:spid="_x0000_s1026" style="position:absolute;margin-left:2.8pt;margin-top:6.5pt;width:54.25pt;height:13.05pt;z-index:2516582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" fillcolor="white [3212]" stroked="f" strokeweight="2pt"/>
            </w:pict>
          </mc:Fallback>
        </mc:AlternateContent>
      </w:r>
      <w:r w:rsidRPr="003F259E">
        <w:rPr>
          <w:noProof/>
        </w:rPr>
        <w:drawing>
          <wp:inline distT="0" distB="0" distL="0" distR="0" wp14:anchorId="1C92324F" wp14:editId="2FA0C7E2">
            <wp:extent cx="5943600" cy="3498215"/>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943600" cy="3498215"/>
                    </a:xfrm>
                    <a:prstGeom prst="rect">
                      <a:avLst/>
                    </a:prstGeom>
                  </pic:spPr>
                </pic:pic>
              </a:graphicData>
            </a:graphic>
          </wp:inline>
        </w:drawing>
      </w:r>
    </w:p>
    <w:p w14:paraId="0DE58C20" w14:textId="77777777" w:rsidR="00842B2D" w:rsidRPr="00826D12" w:rsidRDefault="00842B2D" w:rsidP="00FD6771">
      <w:pPr>
        <w:pStyle w:val="FiguresImagesCentred"/>
      </w:pPr>
      <w:r w:rsidRPr="003F259E">
        <w:rPr>
          <w:noProof/>
        </w:rPr>
        <w:lastRenderedPageBreak/>
        <mc:AlternateContent>
          <mc:Choice Requires="wps">
            <w:drawing>
              <wp:anchor distT="0" distB="0" distL="114300" distR="114300" simplePos="0" relativeHeight="251658252" behindDoc="0" locked="0" layoutInCell="1" allowOverlap="1" wp14:anchorId="4620FD82" wp14:editId="7AAA4298">
                <wp:simplePos x="0" y="0"/>
                <wp:positionH relativeFrom="column">
                  <wp:posOffset>3176270</wp:posOffset>
                </wp:positionH>
                <wp:positionV relativeFrom="paragraph">
                  <wp:posOffset>293370</wp:posOffset>
                </wp:positionV>
                <wp:extent cx="1799590" cy="467995"/>
                <wp:effectExtent l="0" t="0" r="10160" b="27305"/>
                <wp:wrapNone/>
                <wp:docPr id="7191" name="Rectangle 7191"/>
                <wp:cNvGraphicFramePr/>
                <a:graphic xmlns:a="http://schemas.openxmlformats.org/drawingml/2006/main">
                  <a:graphicData uri="http://schemas.microsoft.com/office/word/2010/wordprocessingShape">
                    <wps:wsp>
                      <wps:cNvSpPr/>
                      <wps:spPr>
                        <a:xfrm>
                          <a:off x="0" y="0"/>
                          <a:ext cx="1799590" cy="467995"/>
                        </a:xfrm>
                        <a:prstGeom prst="rect">
                          <a:avLst/>
                        </a:prstGeom>
                      </wps:spPr>
                      <wps:style>
                        <a:lnRef idx="2">
                          <a:schemeClr val="accent2"/>
                        </a:lnRef>
                        <a:fillRef idx="1">
                          <a:schemeClr val="lt1"/>
                        </a:fillRef>
                        <a:effectRef idx="0">
                          <a:schemeClr val="accent2"/>
                        </a:effectRef>
                        <a:fontRef idx="minor">
                          <a:schemeClr val="dk1"/>
                        </a:fontRef>
                      </wps:style>
                      <wps:txbx>
                        <w:txbxContent>
                          <w:p w14:paraId="276FDF31" w14:textId="77777777" w:rsidR="00640CCB" w:rsidRPr="003F0CEF" w:rsidRDefault="00640CCB" w:rsidP="00A43B22">
                            <w:pPr>
                              <w:pStyle w:val="TableTextCentred0"/>
                              <w:rPr>
                                <w:color w:val="00AC4B" w:themeColor="accent2"/>
                              </w:rPr>
                            </w:pPr>
                            <w:r w:rsidRPr="003F0CEF">
                              <w:rPr>
                                <w:color w:val="00AC4B" w:themeColor="accent2"/>
                              </w:rPr>
                              <w:t>(A) Gauged daily flow at</w:t>
                            </w:r>
                            <w:r>
                              <w:rPr>
                                <w:color w:val="00AC4B" w:themeColor="accent2"/>
                              </w:rPr>
                              <w:br/>
                            </w:r>
                            <w:r w:rsidRPr="003F0CEF">
                              <w:rPr>
                                <w:color w:val="00AC4B" w:themeColor="accent2"/>
                              </w:rPr>
                              <w:t>Nathan Gorge (GS 130320)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0FD82" id="Rectangle 7191" o:spid="_x0000_s1029" style="position:absolute;left:0;text-align:left;margin-left:250.1pt;margin-top:23.1pt;width:141.7pt;height:36.8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" fillcolor="white [3201]" strokecolor="#00ac4b [3205]" strokeweight="2pt">
                <v:textbox>
                  <w:txbxContent>
                    <w:p w14:paraId="276FDF31" w14:textId="77777777" w:rsidR="00640CCB" w:rsidRPr="003F0CEF" w:rsidRDefault="00640CCB" w:rsidP="00A43B22">
                      <w:pPr>
                        <w:pStyle w:val="TableTextCentred0"/>
                        <w:rPr>
                          <w:color w:val="00AC4B" w:themeColor="accent2"/>
                        </w:rPr>
                      </w:pPr>
                      <w:r w:rsidRPr="003F0CEF">
                        <w:rPr>
                          <w:color w:val="00AC4B" w:themeColor="accent2"/>
                        </w:rPr>
                        <w:t>(A) Gauged daily flow at</w:t>
                      </w:r>
                      <w:r>
                        <w:rPr>
                          <w:color w:val="00AC4B" w:themeColor="accent2"/>
                        </w:rPr>
                        <w:br/>
                      </w:r>
                      <w:r w:rsidRPr="003F0CEF">
                        <w:rPr>
                          <w:color w:val="00AC4B" w:themeColor="accent2"/>
                        </w:rPr>
                        <w:t>Nathan Gorge (GS 130320)</w:t>
                      </w:r>
                    </w:p>
                  </w:txbxContent>
                </v:textbox>
              </v:rect>
            </w:pict>
          </mc:Fallback>
        </mc:AlternateContent>
      </w:r>
      <w:r w:rsidRPr="003F259E">
        <w:rPr>
          <w:noProof/>
        </w:rPr>
        <mc:AlternateContent>
          <mc:Choice Requires="wps">
            <w:drawing>
              <wp:anchor distT="0" distB="0" distL="114300" distR="114300" simplePos="0" relativeHeight="251658253" behindDoc="0" locked="0" layoutInCell="1" allowOverlap="1" wp14:anchorId="70C9CC0F" wp14:editId="08A64B9F">
                <wp:simplePos x="0" y="0"/>
                <wp:positionH relativeFrom="column">
                  <wp:posOffset>3294380</wp:posOffset>
                </wp:positionH>
                <wp:positionV relativeFrom="paragraph">
                  <wp:posOffset>3563732</wp:posOffset>
                </wp:positionV>
                <wp:extent cx="1799590" cy="468000"/>
                <wp:effectExtent l="0" t="0" r="10160" b="27305"/>
                <wp:wrapNone/>
                <wp:docPr id="7192" name="Rectangle 7192"/>
                <wp:cNvGraphicFramePr/>
                <a:graphic xmlns:a="http://schemas.openxmlformats.org/drawingml/2006/main">
                  <a:graphicData uri="http://schemas.microsoft.com/office/word/2010/wordprocessingShape">
                    <wps:wsp>
                      <wps:cNvSpPr/>
                      <wps:spPr>
                        <a:xfrm>
                          <a:off x="0" y="0"/>
                          <a:ext cx="1799590" cy="468000"/>
                        </a:xfrm>
                        <a:prstGeom prst="rect">
                          <a:avLst/>
                        </a:prstGeom>
                      </wps:spPr>
                      <wps:style>
                        <a:lnRef idx="2">
                          <a:schemeClr val="accent2"/>
                        </a:lnRef>
                        <a:fillRef idx="1">
                          <a:schemeClr val="lt1"/>
                        </a:fillRef>
                        <a:effectRef idx="0">
                          <a:schemeClr val="accent2"/>
                        </a:effectRef>
                        <a:fontRef idx="minor">
                          <a:schemeClr val="dk1"/>
                        </a:fontRef>
                      </wps:style>
                      <wps:txbx>
                        <w:txbxContent>
                          <w:p w14:paraId="09D22DE6" w14:textId="77777777" w:rsidR="00640CCB" w:rsidRPr="003F0CEF" w:rsidRDefault="00640CCB" w:rsidP="00A43B22">
                            <w:pPr>
                              <w:pStyle w:val="TableTextCentred0"/>
                              <w:rPr>
                                <w:color w:val="00AC4B" w:themeColor="accent2"/>
                              </w:rPr>
                            </w:pPr>
                            <w:r w:rsidRPr="003F0CEF">
                              <w:rPr>
                                <w:color w:val="00AC4B" w:themeColor="accent2"/>
                              </w:rPr>
                              <w:t>(B) Gauged annual flow at</w:t>
                            </w:r>
                            <w:r>
                              <w:rPr>
                                <w:color w:val="00AC4B" w:themeColor="accent2"/>
                              </w:rPr>
                              <w:br/>
                            </w:r>
                            <w:r w:rsidRPr="003F0CEF">
                              <w:rPr>
                                <w:color w:val="00AC4B" w:themeColor="accent2"/>
                              </w:rPr>
                              <w:t>Glebe (GS 130303)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9CC0F" id="Rectangle 7192" o:spid="_x0000_s1030" style="position:absolute;left:0;text-align:left;margin-left:259.4pt;margin-top:280.6pt;width:141.7pt;height:36.8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" fillcolor="white [3201]" strokecolor="#00ac4b [3205]" strokeweight="2pt">
                <v:textbox>
                  <w:txbxContent>
                    <w:p w14:paraId="09D22DE6" w14:textId="77777777" w:rsidR="00640CCB" w:rsidRPr="003F0CEF" w:rsidRDefault="00640CCB" w:rsidP="00A43B22">
                      <w:pPr>
                        <w:pStyle w:val="TableTextCentred0"/>
                        <w:rPr>
                          <w:color w:val="00AC4B" w:themeColor="accent2"/>
                        </w:rPr>
                      </w:pPr>
                      <w:r w:rsidRPr="003F0CEF">
                        <w:rPr>
                          <w:color w:val="00AC4B" w:themeColor="accent2"/>
                        </w:rPr>
                        <w:t>(B) Gauged annual flow at</w:t>
                      </w:r>
                      <w:r>
                        <w:rPr>
                          <w:color w:val="00AC4B" w:themeColor="accent2"/>
                        </w:rPr>
                        <w:br/>
                      </w:r>
                      <w:r w:rsidRPr="003F0CEF">
                        <w:rPr>
                          <w:color w:val="00AC4B" w:themeColor="accent2"/>
                        </w:rPr>
                        <w:t>Glebe (GS 130303)</w:t>
                      </w:r>
                    </w:p>
                  </w:txbxContent>
                </v:textbox>
              </v:rect>
            </w:pict>
          </mc:Fallback>
        </mc:AlternateContent>
      </w:r>
      <w:r w:rsidRPr="00FD6771">
        <w:rPr>
          <w:noProof/>
        </w:rPr>
        <w:drawing>
          <wp:inline distT="0" distB="0" distL="0" distR="0" wp14:anchorId="6EAFC317" wp14:editId="67DC2943">
            <wp:extent cx="5244998" cy="3321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screen">
                      <a:extLst>
                        <a:ext uri="{28A0092B-C50C-407E-A947-70E740481C1C}">
                          <a14:useLocalDpi xmlns:a14="http://schemas.microsoft.com/office/drawing/2010/main"/>
                        </a:ext>
                      </a:extLst>
                    </a:blip>
                    <a:srcRect/>
                    <a:stretch/>
                  </pic:blipFill>
                  <pic:spPr bwMode="auto">
                    <a:xfrm>
                      <a:off x="0" y="0"/>
                      <a:ext cx="5248275" cy="3323175"/>
                    </a:xfrm>
                    <a:prstGeom prst="rect">
                      <a:avLst/>
                    </a:prstGeom>
                    <a:ln>
                      <a:noFill/>
                    </a:ln>
                    <a:extLst>
                      <a:ext uri="{53640926-AAD7-44D8-BBD7-CCE9431645EC}">
                        <a14:shadowObscured xmlns:a14="http://schemas.microsoft.com/office/drawing/2010/main"/>
                      </a:ext>
                    </a:extLst>
                  </pic:spPr>
                </pic:pic>
              </a:graphicData>
            </a:graphic>
          </wp:inline>
        </w:drawing>
      </w:r>
      <w:r>
        <w:rPr>
          <w:noProof/>
        </w:rPr>
        <w:br/>
      </w:r>
      <w:r w:rsidRPr="00FD6771">
        <w:rPr>
          <w:noProof/>
        </w:rPr>
        <w:drawing>
          <wp:inline distT="0" distB="0" distL="0" distR="0" wp14:anchorId="0427DC5D" wp14:editId="083D9A47">
            <wp:extent cx="5241348" cy="3442447"/>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screen">
                      <a:extLst>
                        <a:ext uri="{28A0092B-C50C-407E-A947-70E740481C1C}">
                          <a14:useLocalDpi xmlns:a14="http://schemas.microsoft.com/office/drawing/2010/main"/>
                        </a:ext>
                      </a:extLst>
                    </a:blip>
                    <a:srcRect/>
                    <a:stretch/>
                  </pic:blipFill>
                  <pic:spPr bwMode="auto">
                    <a:xfrm>
                      <a:off x="0" y="0"/>
                      <a:ext cx="5248275" cy="3446997"/>
                    </a:xfrm>
                    <a:prstGeom prst="rect">
                      <a:avLst/>
                    </a:prstGeom>
                    <a:ln>
                      <a:noFill/>
                    </a:ln>
                    <a:extLst>
                      <a:ext uri="{53640926-AAD7-44D8-BBD7-CCE9431645EC}">
                        <a14:shadowObscured xmlns:a14="http://schemas.microsoft.com/office/drawing/2010/main"/>
                      </a:ext>
                    </a:extLst>
                  </pic:spPr>
                </pic:pic>
              </a:graphicData>
            </a:graphic>
          </wp:inline>
        </w:drawing>
      </w:r>
    </w:p>
    <w:p w14:paraId="3A3D62BF" w14:textId="69862A70" w:rsidR="00842B2D" w:rsidRDefault="00842B2D" w:rsidP="00A43B22">
      <w:pPr>
        <w:pStyle w:val="Caption"/>
      </w:pPr>
      <w:bookmarkStart w:id="115" w:name="_Toc499547579"/>
      <w:bookmarkStart w:id="116" w:name="_Toc508972090"/>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19</w:t>
      </w:r>
      <w:r w:rsidR="008079F1">
        <w:rPr>
          <w:noProof/>
        </w:rPr>
        <w:fldChar w:fldCharType="end"/>
      </w:r>
      <w:r>
        <w:rPr>
          <w:noProof/>
        </w:rPr>
        <w:t xml:space="preserve"> </w:t>
      </w:r>
      <w:r w:rsidRPr="00652E88">
        <w:t>Examples of stream hydrographs from the Dawson River catchment in the Fitzroy River region overlying the northern Bowen Basin. (A) daily streamflow for Nathan Gorge; (B) annual streamflow at Glebe.</w:t>
      </w:r>
      <w:r>
        <w:t xml:space="preserve"> </w:t>
      </w:r>
      <w:r w:rsidRPr="00652E88">
        <w:t xml:space="preserve">Extracted from SKM </w:t>
      </w:r>
      <w:r>
        <w:t>and</w:t>
      </w:r>
      <w:r w:rsidRPr="00652E88">
        <w:t xml:space="preserve"> Sunwater (2012)</w:t>
      </w:r>
      <w:bookmarkEnd w:id="115"/>
      <w:bookmarkEnd w:id="116"/>
    </w:p>
    <w:p w14:paraId="6002074B" w14:textId="77777777" w:rsidR="00842B2D" w:rsidRDefault="00842B2D" w:rsidP="00FD6771">
      <w:pPr>
        <w:pStyle w:val="FiguresImagesCentred"/>
      </w:pPr>
      <w:r>
        <w:rPr>
          <w:noProof/>
        </w:rPr>
        <w:lastRenderedPageBreak/>
        <w:drawing>
          <wp:inline distT="0" distB="0" distL="0" distR="0" wp14:anchorId="3E545C00" wp14:editId="455A4D68">
            <wp:extent cx="5760085" cy="457545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5760085" cy="4575452"/>
                    </a:xfrm>
                    <a:prstGeom prst="rect">
                      <a:avLst/>
                    </a:prstGeom>
                  </pic:spPr>
                </pic:pic>
              </a:graphicData>
            </a:graphic>
          </wp:inline>
        </w:drawing>
      </w:r>
    </w:p>
    <w:p w14:paraId="48DEA65B" w14:textId="18F938D4" w:rsidR="00842B2D" w:rsidRDefault="00842B2D" w:rsidP="00A43B22">
      <w:pPr>
        <w:pStyle w:val="Caption"/>
      </w:pPr>
      <w:bookmarkStart w:id="117" w:name="_Toc499547580"/>
      <w:bookmarkStart w:id="118" w:name="_Toc508972091"/>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20</w:t>
      </w:r>
      <w:r w:rsidR="008079F1">
        <w:rPr>
          <w:noProof/>
        </w:rPr>
        <w:fldChar w:fldCharType="end"/>
      </w:r>
      <w:r>
        <w:rPr>
          <w:noProof/>
        </w:rPr>
        <w:t xml:space="preserve"> </w:t>
      </w:r>
      <w:r>
        <w:t>Map of the Condamine–Balonne catchment, showing the various components of the stream network and streamflow gauging stations. Flow is from mostly east to west in the Condamine River, before becoming generally north to south in the Darling River downstream of this catchment. Figure adapted from CSIRO (2008).</w:t>
      </w:r>
      <w:bookmarkEnd w:id="117"/>
      <w:bookmarkEnd w:id="118"/>
    </w:p>
    <w:p w14:paraId="20A0D04B" w14:textId="77777777" w:rsidR="00842B2D" w:rsidRPr="00E34CDE" w:rsidRDefault="00842B2D" w:rsidP="00E34CDE">
      <w:pPr>
        <w:pStyle w:val="BodyText"/>
      </w:pPr>
    </w:p>
    <w:p w14:paraId="5463A1EA" w14:textId="77777777" w:rsidR="00842B2D" w:rsidRDefault="00842B2D" w:rsidP="00FD6771">
      <w:pPr>
        <w:pStyle w:val="FiguresImagesCentred"/>
      </w:pPr>
      <w:r>
        <w:rPr>
          <w:noProof/>
        </w:rPr>
        <w:lastRenderedPageBreak/>
        <w:drawing>
          <wp:inline distT="0" distB="0" distL="0" distR="0" wp14:anchorId="34586DB7" wp14:editId="3F75E4A4">
            <wp:extent cx="5753100" cy="40290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5753100" cy="4029075"/>
                    </a:xfrm>
                    <a:prstGeom prst="rect">
                      <a:avLst/>
                    </a:prstGeom>
                    <a:noFill/>
                    <a:ln>
                      <a:noFill/>
                    </a:ln>
                  </pic:spPr>
                </pic:pic>
              </a:graphicData>
            </a:graphic>
          </wp:inline>
        </w:drawing>
      </w:r>
    </w:p>
    <w:p w14:paraId="0D477197" w14:textId="44AA836C" w:rsidR="00842B2D" w:rsidRDefault="00842B2D" w:rsidP="00A43B22">
      <w:pPr>
        <w:pStyle w:val="Caption"/>
      </w:pPr>
      <w:bookmarkStart w:id="119" w:name="_Toc499547581"/>
      <w:bookmarkStart w:id="120" w:name="_Toc508972092"/>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21</w:t>
      </w:r>
      <w:r w:rsidR="008079F1">
        <w:rPr>
          <w:noProof/>
        </w:rPr>
        <w:fldChar w:fldCharType="end"/>
      </w:r>
      <w:r>
        <w:rPr>
          <w:noProof/>
        </w:rPr>
        <w:t xml:space="preserve"> </w:t>
      </w:r>
      <w:r>
        <w:t>Time-series data for the Condamine River catchment. (A) annual rainfall variation; (B) annual runoff variation; (C) variation between months for rainfall; (D) variation between months for runoff. Runoff (mm) multiplied by catchment area provides streamflow, so these graphs are indicative of the catchment as a whole. Figure adapted from CSIRO (2008).</w:t>
      </w:r>
      <w:bookmarkEnd w:id="119"/>
      <w:bookmarkEnd w:id="120"/>
    </w:p>
    <w:p w14:paraId="08DD70B2" w14:textId="77777777" w:rsidR="00842B2D" w:rsidRPr="00E34CDE" w:rsidRDefault="00842B2D" w:rsidP="00E34CDE">
      <w:pPr>
        <w:pStyle w:val="BodyText"/>
      </w:pPr>
    </w:p>
    <w:p w14:paraId="3239110A" w14:textId="77777777" w:rsidR="00842B2D" w:rsidRDefault="00842B2D" w:rsidP="00D15FEC">
      <w:pPr>
        <w:pStyle w:val="AppendixHeading4"/>
      </w:pPr>
      <w:r>
        <w:t>Surface water dams, planning and use</w:t>
      </w:r>
    </w:p>
    <w:p w14:paraId="524F8532" w14:textId="5C809B47" w:rsidR="00842B2D" w:rsidRPr="009B3E14" w:rsidRDefault="00842B2D" w:rsidP="00A43B22">
      <w:pPr>
        <w:pStyle w:val="BodyText"/>
      </w:pPr>
      <w:r w:rsidRPr="009B3E14">
        <w:t>There are multiple surface water storages across the northern part of the basin.</w:t>
      </w:r>
      <w:r>
        <w:t xml:space="preserve"> </w:t>
      </w:r>
      <w:r w:rsidRPr="009B3E14">
        <w:t xml:space="preserve">These include the Fairbairn, Burton George, Teviot Creek </w:t>
      </w:r>
      <w:r>
        <w:t>d</w:t>
      </w:r>
      <w:r w:rsidRPr="009B3E14">
        <w:t>ams,</w:t>
      </w:r>
      <w:r>
        <w:t xml:space="preserve"> </w:t>
      </w:r>
      <w:r w:rsidRPr="009B3E14">
        <w:t>Lake Elphinstone, Lake Vermont, Lake Nuga Nuga, Lake Bundoora and off stream storages, for example at Gatonvale.</w:t>
      </w:r>
      <w:r>
        <w:t xml:space="preserve"> </w:t>
      </w:r>
      <w:r w:rsidRPr="009B3E14">
        <w:t>Some of these are extende</w:t>
      </w:r>
      <w:r>
        <w:t>d by pipeline channel systems.</w:t>
      </w:r>
    </w:p>
    <w:p w14:paraId="4FB5C3D4" w14:textId="3130FD1D" w:rsidR="00842B2D" w:rsidRPr="009B3E14" w:rsidRDefault="00842B2D" w:rsidP="00A43B22">
      <w:pPr>
        <w:pStyle w:val="BodyText"/>
      </w:pPr>
      <w:r w:rsidRPr="009B3E14">
        <w:t>The southern part of the Bowen Basin coincides with the Maranoa-Balonne-Condamine subregion used in the Bioregional Assessments into coal and coal-seam-gas, as reported in Welsh et al</w:t>
      </w:r>
      <w:r>
        <w:t>.</w:t>
      </w:r>
      <w:r w:rsidRPr="009B3E14">
        <w:t xml:space="preserve"> (2014). It includes the Moonie, Condamine-Balonne, and Border Rivers river basins</w:t>
      </w:r>
      <w:r>
        <w:t>; it</w:t>
      </w:r>
      <w:r w:rsidRPr="009B3E14">
        <w:t xml:space="preserve"> forms part of the Murray Darling Basin (Thoms and Parsons, 2003) and is covered by the </w:t>
      </w:r>
      <w:r>
        <w:t>B</w:t>
      </w:r>
      <w:r w:rsidRPr="009B3E14">
        <w:t xml:space="preserve">asin </w:t>
      </w:r>
      <w:r>
        <w:t>P</w:t>
      </w:r>
      <w:r w:rsidRPr="009B3E14">
        <w:t xml:space="preserve">lan </w:t>
      </w:r>
      <w:r>
        <w:t xml:space="preserve">2012 </w:t>
      </w:r>
      <w:r w:rsidRPr="009B3E14">
        <w:t>(DNRM, 2014</w:t>
      </w:r>
      <w:r>
        <w:t>; MDBA, 2015b; Federal Register of Legislation 2012</w:t>
      </w:r>
      <w:r w:rsidRPr="009B3E14">
        <w:t>).</w:t>
      </w:r>
      <w:r>
        <w:t xml:space="preserve"> </w:t>
      </w:r>
      <w:r w:rsidRPr="009B3E14">
        <w:t xml:space="preserve">Some of these </w:t>
      </w:r>
      <w:r>
        <w:t xml:space="preserve">river basins </w:t>
      </w:r>
      <w:r w:rsidRPr="009B3E14">
        <w:t xml:space="preserve">contain several nationally significant wetlands </w:t>
      </w:r>
      <w:r w:rsidR="00755212">
        <w:t>(D</w:t>
      </w:r>
      <w:r>
        <w:t>EWHA 2010</w:t>
      </w:r>
      <w:r w:rsidRPr="009B3E14">
        <w:t xml:space="preserve">). </w:t>
      </w:r>
    </w:p>
    <w:p w14:paraId="0B266EBD" w14:textId="77777777" w:rsidR="00842B2D" w:rsidRDefault="00842B2D" w:rsidP="00D15FEC">
      <w:pPr>
        <w:pStyle w:val="AppendixHeading3"/>
      </w:pPr>
      <w:bookmarkStart w:id="121" w:name="_Toc517161135"/>
      <w:r>
        <w:t>Groundwater–surface water interactions</w:t>
      </w:r>
      <w:bookmarkEnd w:id="121"/>
    </w:p>
    <w:p w14:paraId="5C731084" w14:textId="77777777" w:rsidR="00842B2D" w:rsidRDefault="00842B2D" w:rsidP="00A43B22">
      <w:pPr>
        <w:pStyle w:val="BodyText"/>
      </w:pPr>
      <w:r>
        <w:t xml:space="preserve">Little </w:t>
      </w:r>
      <w:r w:rsidRPr="009B3E14">
        <w:t>is known about the interactions of groundwater and surface water in the Fitzroy River catchment of the northern Bowen Basin.</w:t>
      </w:r>
      <w:r>
        <w:t xml:space="preserve"> </w:t>
      </w:r>
      <w:r w:rsidRPr="009B3E14">
        <w:t xml:space="preserve">Most </w:t>
      </w:r>
      <w:r>
        <w:t xml:space="preserve">of the </w:t>
      </w:r>
      <w:r w:rsidRPr="009B3E14">
        <w:t xml:space="preserve">smaller watercourses in the Fitzroy </w:t>
      </w:r>
      <w:r w:rsidRPr="009B3E14">
        <w:lastRenderedPageBreak/>
        <w:t xml:space="preserve">catchment flow intermittently or are ephemeral, relying on wet season events for streamflow; however, larger rivers may contain permanent water (SKM </w:t>
      </w:r>
      <w:r>
        <w:t>and</w:t>
      </w:r>
      <w:r w:rsidRPr="009B3E14">
        <w:t xml:space="preserve"> Sunwater</w:t>
      </w:r>
      <w:r>
        <w:t>,</w:t>
      </w:r>
      <w:r w:rsidRPr="009B3E14">
        <w:t xml:space="preserve"> 2012; Noble et al</w:t>
      </w:r>
      <w:r>
        <w:t>.,</w:t>
      </w:r>
      <w:r w:rsidRPr="009B3E14">
        <w:t xml:space="preserve"> 1996).</w:t>
      </w:r>
      <w:r>
        <w:t xml:space="preserve"> </w:t>
      </w:r>
      <w:r w:rsidRPr="009B3E14">
        <w:t xml:space="preserve">Extensive instream perennial pools occur along the length of the Dawson River (SKM </w:t>
      </w:r>
      <w:r>
        <w:t>and</w:t>
      </w:r>
      <w:r w:rsidRPr="009B3E14">
        <w:t xml:space="preserve"> Sunwater</w:t>
      </w:r>
      <w:r>
        <w:t>, 2012).</w:t>
      </w:r>
      <w:r w:rsidRPr="004B5FA2">
        <w:t xml:space="preserve"> </w:t>
      </w:r>
    </w:p>
    <w:p w14:paraId="482FDD9D" w14:textId="0BC9880A" w:rsidR="00842B2D" w:rsidRPr="009B3E14" w:rsidRDefault="00842B2D" w:rsidP="00A43B22">
      <w:pPr>
        <w:pStyle w:val="BodyText"/>
      </w:pPr>
      <w:r>
        <w:t xml:space="preserve">Aspects of groundwater–surface water interactions for specific areas of Condamine catchment have been investigated, with a few generalised studies. </w:t>
      </w:r>
      <w:r w:rsidRPr="009B3E14">
        <w:t xml:space="preserve">The upper Condamine River reaches are classified as medium </w:t>
      </w:r>
      <w:r>
        <w:t xml:space="preserve">water </w:t>
      </w:r>
      <w:r w:rsidRPr="009B3E14">
        <w:t>losing, but downstream of Chinchilla Weir gaining conditions</w:t>
      </w:r>
      <w:r>
        <w:t xml:space="preserve"> from groundwater </w:t>
      </w:r>
      <w:r w:rsidRPr="009B3E14">
        <w:t xml:space="preserve">are found; further downstream </w:t>
      </w:r>
      <w:r w:rsidR="00755212">
        <w:t xml:space="preserve">these </w:t>
      </w:r>
      <w:r w:rsidRPr="009B3E14">
        <w:t>become losing reaches of the Darling River (</w:t>
      </w:r>
      <w:r>
        <w:t>Figure C.22</w:t>
      </w:r>
      <w:r w:rsidRPr="009B3E14">
        <w:t>) (Welsh et al</w:t>
      </w:r>
      <w:r>
        <w:t>.,</w:t>
      </w:r>
      <w:r w:rsidRPr="009B3E14">
        <w:t xml:space="preserve"> 2014).</w:t>
      </w:r>
      <w:r>
        <w:t xml:space="preserve"> </w:t>
      </w:r>
      <w:r w:rsidRPr="009B3E14">
        <w:t>Radon and chloride measurements suggest that the northern tributaries to the Condamine have about 20</w:t>
      </w:r>
      <w:r>
        <w:t>–</w:t>
      </w:r>
      <w:r w:rsidRPr="009B3E14">
        <w:t>70% contribution from groundwater sources, due to their wide alluvial floodplains, shallow topographic gradients and shallow water tables (Martinez et al</w:t>
      </w:r>
      <w:r>
        <w:t>.,</w:t>
      </w:r>
      <w:r w:rsidRPr="009B3E14">
        <w:t xml:space="preserve"> 2015).</w:t>
      </w:r>
    </w:p>
    <w:p w14:paraId="6F55B76F" w14:textId="77777777" w:rsidR="00842B2D" w:rsidRDefault="00842B2D" w:rsidP="00A43B22">
      <w:pPr>
        <w:pStyle w:val="FiguresImagesCentred"/>
      </w:pPr>
      <w:r>
        <w:rPr>
          <w:noProof/>
        </w:rPr>
        <w:drawing>
          <wp:inline distT="0" distB="0" distL="0" distR="0" wp14:anchorId="28D13548" wp14:editId="70F14EA4">
            <wp:extent cx="4638130" cy="502023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4631794" cy="5013377"/>
                    </a:xfrm>
                    <a:prstGeom prst="rect">
                      <a:avLst/>
                    </a:prstGeom>
                    <a:noFill/>
                    <a:ln>
                      <a:noFill/>
                    </a:ln>
                  </pic:spPr>
                </pic:pic>
              </a:graphicData>
            </a:graphic>
          </wp:inline>
        </w:drawing>
      </w:r>
    </w:p>
    <w:p w14:paraId="466B10A4" w14:textId="3C150B84" w:rsidR="00842B2D" w:rsidRDefault="00842B2D" w:rsidP="00A43B22">
      <w:pPr>
        <w:pStyle w:val="Caption"/>
      </w:pPr>
      <w:bookmarkStart w:id="122" w:name="_Toc499547582"/>
      <w:bookmarkStart w:id="123" w:name="_Toc508972093"/>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22</w:t>
      </w:r>
      <w:r w:rsidR="008079F1">
        <w:rPr>
          <w:noProof/>
        </w:rPr>
        <w:fldChar w:fldCharType="end"/>
      </w:r>
      <w:r>
        <w:rPr>
          <w:noProof/>
        </w:rPr>
        <w:t xml:space="preserve"> </w:t>
      </w:r>
      <w:r w:rsidRPr="009B3E14">
        <w:t>Surface water – groundwater connectivity in the Maranoa-Balonne-Condamine subregion, overlying the southern Bowen Basin (Welsh et al</w:t>
      </w:r>
      <w:r>
        <w:t>.,</w:t>
      </w:r>
      <w:r w:rsidRPr="009B3E14">
        <w:t xml:space="preserve"> 2014)</w:t>
      </w:r>
      <w:r>
        <w:t>.</w:t>
      </w:r>
      <w:bookmarkEnd w:id="122"/>
      <w:bookmarkEnd w:id="123"/>
    </w:p>
    <w:p w14:paraId="146A2C09" w14:textId="77777777" w:rsidR="00842B2D" w:rsidRPr="00E34CDE" w:rsidRDefault="00842B2D" w:rsidP="00E34CDE">
      <w:pPr>
        <w:pStyle w:val="BodyText"/>
      </w:pPr>
    </w:p>
    <w:p w14:paraId="4828218C" w14:textId="77777777" w:rsidR="00842B2D" w:rsidRPr="00FB60C0" w:rsidRDefault="00842B2D" w:rsidP="00D15FEC">
      <w:pPr>
        <w:pStyle w:val="AppendixHeading3"/>
      </w:pPr>
      <w:bookmarkStart w:id="124" w:name="_Toc517161136"/>
      <w:r w:rsidRPr="00FB60C0">
        <w:lastRenderedPageBreak/>
        <w:t>Environmental Assets</w:t>
      </w:r>
      <w:bookmarkEnd w:id="124"/>
    </w:p>
    <w:p w14:paraId="469BCE40" w14:textId="365A16E5" w:rsidR="00842B2D" w:rsidRPr="00AA1BA8" w:rsidRDefault="00842B2D" w:rsidP="00A43B22">
      <w:pPr>
        <w:pStyle w:val="BodyText"/>
      </w:pPr>
      <w:r w:rsidRPr="00AA1BA8">
        <w:t>Within the Bowen Basin there are 731</w:t>
      </w:r>
      <w:r>
        <w:t> km</w:t>
      </w:r>
      <w:r w:rsidRPr="00AA1BA8">
        <w:rPr>
          <w:rStyle w:val="Superscript"/>
        </w:rPr>
        <w:t>2</w:t>
      </w:r>
      <w:r w:rsidRPr="00AA1BA8">
        <w:t xml:space="preserve"> of Listed Nationally Important Wetlands, 2</w:t>
      </w:r>
      <w:r>
        <w:t>6,000 km</w:t>
      </w:r>
      <w:r w:rsidRPr="00AA1BA8">
        <w:rPr>
          <w:rStyle w:val="Superscript"/>
        </w:rPr>
        <w:t>2</w:t>
      </w:r>
      <w:r w:rsidRPr="00AA1BA8">
        <w:t xml:space="preserve"> of Groundwater Dependant Ecosystems (of at least moderate potential)</w:t>
      </w:r>
      <w:r>
        <w:t>,</w:t>
      </w:r>
      <w:r w:rsidRPr="00AA1BA8">
        <w:t xml:space="preserve"> 5</w:t>
      </w:r>
      <w:r>
        <w:t>,</w:t>
      </w:r>
      <w:r w:rsidRPr="00AA1BA8">
        <w:t>917</w:t>
      </w:r>
      <w:r>
        <w:t> km</w:t>
      </w:r>
      <w:r w:rsidRPr="00AA1BA8">
        <w:rPr>
          <w:rStyle w:val="Superscript"/>
        </w:rPr>
        <w:t>2</w:t>
      </w:r>
      <w:r w:rsidRPr="00AA1BA8">
        <w:t xml:space="preserve"> of protected areas (such as national parks)</w:t>
      </w:r>
      <w:r>
        <w:t>; there are no Ramsar wetlands (Table C.12</w:t>
      </w:r>
      <w:r w:rsidRPr="00AA1BA8">
        <w:t>).</w:t>
      </w:r>
    </w:p>
    <w:p w14:paraId="624457A5" w14:textId="77777777" w:rsidR="00842B2D" w:rsidRPr="00FB60C0" w:rsidRDefault="00842B2D" w:rsidP="00B92BE0">
      <w:pPr>
        <w:pStyle w:val="Caption"/>
      </w:pPr>
      <w:bookmarkStart w:id="125" w:name="_Toc499547482"/>
      <w:bookmarkStart w:id="126" w:name="_Toc508972161"/>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12</w:t>
      </w:r>
      <w:r w:rsidR="008079F1">
        <w:rPr>
          <w:noProof/>
        </w:rPr>
        <w:fldChar w:fldCharType="end"/>
      </w:r>
      <w:r>
        <w:t xml:space="preserve"> Summary of environmental assets in the Bowen Basin</w:t>
      </w:r>
      <w:bookmarkEnd w:id="125"/>
      <w:bookmarkEnd w:id="126"/>
    </w:p>
    <w:tbl>
      <w:tblPr>
        <w:tblStyle w:val="TableBAHeaderColumn"/>
        <w:tblW w:w="5000" w:type="pct"/>
        <w:tblInd w:w="0" w:type="dxa"/>
        <w:tblLook w:val="04A0" w:firstRow="1" w:lastRow="0" w:firstColumn="1" w:lastColumn="0" w:noHBand="0" w:noVBand="1"/>
      </w:tblPr>
      <w:tblGrid>
        <w:gridCol w:w="4970"/>
        <w:gridCol w:w="4669"/>
      </w:tblGrid>
      <w:tr w:rsidR="00842B2D" w:rsidRPr="00537435" w14:paraId="15DEC2C6"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tcPr>
          <w:p w14:paraId="72E35272" w14:textId="77777777" w:rsidR="00842B2D" w:rsidRPr="00537435" w:rsidRDefault="00842B2D" w:rsidP="008B38C1">
            <w:pPr>
              <w:pStyle w:val="TableTextLeft"/>
              <w:rPr>
                <w:szCs w:val="18"/>
              </w:rPr>
            </w:pPr>
            <w:r w:rsidRPr="00537435">
              <w:rPr>
                <w:szCs w:val="18"/>
              </w:rPr>
              <w:t>Environmental Assets</w:t>
            </w:r>
          </w:p>
        </w:tc>
      </w:tr>
      <w:tr w:rsidR="00842B2D" w:rsidRPr="00537435" w14:paraId="23B06BA0"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1DE2D3DD" w14:textId="77777777" w:rsidR="00842B2D" w:rsidRPr="00537435" w:rsidRDefault="00842B2D" w:rsidP="008B38C1">
            <w:pPr>
              <w:pStyle w:val="TableTextLeft"/>
              <w:rPr>
                <w:szCs w:val="18"/>
              </w:rPr>
            </w:pPr>
            <w:r w:rsidRPr="00537435">
              <w:rPr>
                <w:szCs w:val="18"/>
              </w:rPr>
              <w:t>Ramsar Wetlands</w:t>
            </w:r>
          </w:p>
        </w:tc>
        <w:tc>
          <w:tcPr>
            <w:tcW w:w="2422" w:type="pct"/>
          </w:tcPr>
          <w:p w14:paraId="21E68606" w14:textId="77777777"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537435">
              <w:rPr>
                <w:szCs w:val="18"/>
              </w:rPr>
              <w:t>None</w:t>
            </w:r>
          </w:p>
        </w:tc>
      </w:tr>
      <w:tr w:rsidR="00842B2D" w:rsidRPr="00537435" w14:paraId="1431A48C" w14:textId="77777777" w:rsidTr="00A409C0">
        <w:trPr>
          <w:cnfStyle w:val="100000000000" w:firstRow="1" w:lastRow="0" w:firstColumn="0" w:lastColumn="0" w:oddVBand="0" w:evenVBand="0" w:oddHBand="0" w:evenHBand="0" w:firstRowFirstColumn="0" w:firstRowLastColumn="0" w:lastRowFirstColumn="0" w:lastRowLastColumn="0"/>
          <w:trHeight w:val="1628"/>
        </w:trPr>
        <w:tc>
          <w:tcPr>
            <w:cnfStyle w:val="001000000100" w:firstRow="0" w:lastRow="0" w:firstColumn="1" w:lastColumn="0" w:oddVBand="0" w:evenVBand="0" w:oddHBand="0" w:evenHBand="0" w:firstRowFirstColumn="1" w:firstRowLastColumn="0" w:lastRowFirstColumn="0" w:lastRowLastColumn="0"/>
            <w:tcW w:w="2578" w:type="pct"/>
          </w:tcPr>
          <w:p w14:paraId="421D8BA0" w14:textId="77777777" w:rsidR="00842B2D" w:rsidRPr="00537435" w:rsidRDefault="00842B2D" w:rsidP="008B38C1">
            <w:pPr>
              <w:pStyle w:val="TableTextLeft"/>
              <w:rPr>
                <w:szCs w:val="18"/>
              </w:rPr>
            </w:pPr>
            <w:r w:rsidRPr="00537435">
              <w:rPr>
                <w:szCs w:val="18"/>
              </w:rPr>
              <w:t>Nationally Important Wetlands</w:t>
            </w:r>
          </w:p>
          <w:p w14:paraId="0282634D" w14:textId="77777777" w:rsidR="00842B2D" w:rsidRPr="00537435" w:rsidRDefault="00842B2D" w:rsidP="008B38C1">
            <w:pPr>
              <w:pStyle w:val="TableTextLeft"/>
              <w:rPr>
                <w:szCs w:val="18"/>
              </w:rPr>
            </w:pPr>
            <w:r w:rsidRPr="00537435">
              <w:rPr>
                <w:szCs w:val="18"/>
              </w:rPr>
              <w:t>Top 5 by area</w:t>
            </w:r>
          </w:p>
          <w:p w14:paraId="5F284335" w14:textId="77777777" w:rsidR="00842B2D" w:rsidRPr="00537435" w:rsidRDefault="00842B2D" w:rsidP="008B38C1">
            <w:pPr>
              <w:pStyle w:val="TableTextLeft"/>
              <w:rPr>
                <w:szCs w:val="18"/>
              </w:rPr>
            </w:pPr>
            <w:r w:rsidRPr="00537435">
              <w:rPr>
                <w:szCs w:val="18"/>
              </w:rPr>
              <w:t>(area</w:t>
            </w:r>
            <w:r>
              <w:rPr>
                <w:szCs w:val="18"/>
              </w:rPr>
              <w:t> km</w:t>
            </w:r>
            <w:r w:rsidRPr="00537435">
              <w:rPr>
                <w:szCs w:val="18"/>
                <w:vertAlign w:val="superscript"/>
              </w:rPr>
              <w:t>2</w:t>
            </w:r>
            <w:r w:rsidRPr="00537435">
              <w:rPr>
                <w:szCs w:val="18"/>
              </w:rPr>
              <w:t>)</w:t>
            </w:r>
          </w:p>
        </w:tc>
        <w:tc>
          <w:tcPr>
            <w:tcW w:w="2422" w:type="pct"/>
          </w:tcPr>
          <w:tbl>
            <w:tblPr>
              <w:tblW w:w="4196" w:type="dxa"/>
              <w:tblLook w:val="04A0" w:firstRow="1" w:lastRow="0" w:firstColumn="1" w:lastColumn="0" w:noHBand="0" w:noVBand="1"/>
            </w:tblPr>
            <w:tblGrid>
              <w:gridCol w:w="3487"/>
              <w:gridCol w:w="709"/>
            </w:tblGrid>
            <w:tr w:rsidR="00842B2D" w:rsidRPr="00537435" w14:paraId="46E54A17" w14:textId="77777777" w:rsidTr="00A409C0">
              <w:trPr>
                <w:trHeight w:val="300"/>
              </w:trPr>
              <w:tc>
                <w:tcPr>
                  <w:tcW w:w="3487" w:type="dxa"/>
                  <w:tcBorders>
                    <w:top w:val="nil"/>
                    <w:left w:val="nil"/>
                    <w:bottom w:val="nil"/>
                    <w:right w:val="nil"/>
                  </w:tcBorders>
                  <w:shd w:val="clear" w:color="auto" w:fill="auto"/>
                  <w:vAlign w:val="center"/>
                  <w:hideMark/>
                </w:tcPr>
                <w:p w14:paraId="26A737FA" w14:textId="77777777" w:rsidR="00842B2D" w:rsidRPr="00537435" w:rsidRDefault="00842B2D" w:rsidP="008B38C1">
                  <w:pPr>
                    <w:pStyle w:val="TableTextLeft"/>
                    <w:rPr>
                      <w:szCs w:val="18"/>
                    </w:rPr>
                  </w:pPr>
                  <w:r w:rsidRPr="00537435">
                    <w:rPr>
                      <w:szCs w:val="18"/>
                    </w:rPr>
                    <w:t>Palm Tree and Robinson Creeks</w:t>
                  </w:r>
                </w:p>
              </w:tc>
              <w:tc>
                <w:tcPr>
                  <w:tcW w:w="709" w:type="dxa"/>
                  <w:tcBorders>
                    <w:top w:val="nil"/>
                    <w:left w:val="nil"/>
                    <w:bottom w:val="nil"/>
                    <w:right w:val="nil"/>
                  </w:tcBorders>
                  <w:shd w:val="clear" w:color="auto" w:fill="auto"/>
                  <w:noWrap/>
                  <w:vAlign w:val="center"/>
                  <w:hideMark/>
                </w:tcPr>
                <w:p w14:paraId="781B35A1" w14:textId="77777777" w:rsidR="00842B2D" w:rsidRPr="00537435" w:rsidRDefault="00842B2D" w:rsidP="000350BE">
                  <w:pPr>
                    <w:pStyle w:val="TableTextRight0"/>
                  </w:pPr>
                  <w:r w:rsidRPr="00537435">
                    <w:t>490</w:t>
                  </w:r>
                </w:p>
              </w:tc>
            </w:tr>
            <w:tr w:rsidR="00842B2D" w:rsidRPr="00537435" w14:paraId="2EF6BC30" w14:textId="77777777" w:rsidTr="00A409C0">
              <w:trPr>
                <w:trHeight w:val="300"/>
              </w:trPr>
              <w:tc>
                <w:tcPr>
                  <w:tcW w:w="3487" w:type="dxa"/>
                  <w:tcBorders>
                    <w:top w:val="nil"/>
                    <w:left w:val="nil"/>
                    <w:bottom w:val="nil"/>
                    <w:right w:val="nil"/>
                  </w:tcBorders>
                  <w:shd w:val="clear" w:color="auto" w:fill="auto"/>
                  <w:vAlign w:val="center"/>
                  <w:hideMark/>
                </w:tcPr>
                <w:p w14:paraId="65581DB5" w14:textId="77777777" w:rsidR="00842B2D" w:rsidRPr="00537435" w:rsidRDefault="00842B2D" w:rsidP="008B38C1">
                  <w:pPr>
                    <w:pStyle w:val="TableTextLeft"/>
                    <w:rPr>
                      <w:szCs w:val="18"/>
                    </w:rPr>
                  </w:pPr>
                  <w:r w:rsidRPr="00537435">
                    <w:rPr>
                      <w:szCs w:val="18"/>
                    </w:rPr>
                    <w:t>Fairbairn Dam</w:t>
                  </w:r>
                </w:p>
              </w:tc>
              <w:tc>
                <w:tcPr>
                  <w:tcW w:w="709" w:type="dxa"/>
                  <w:tcBorders>
                    <w:top w:val="nil"/>
                    <w:left w:val="nil"/>
                    <w:bottom w:val="nil"/>
                    <w:right w:val="nil"/>
                  </w:tcBorders>
                  <w:shd w:val="clear" w:color="auto" w:fill="auto"/>
                  <w:noWrap/>
                  <w:vAlign w:val="center"/>
                  <w:hideMark/>
                </w:tcPr>
                <w:p w14:paraId="0078A24B" w14:textId="77777777" w:rsidR="00842B2D" w:rsidRPr="00537435" w:rsidRDefault="00842B2D" w:rsidP="000350BE">
                  <w:pPr>
                    <w:pStyle w:val="TableTextRight0"/>
                  </w:pPr>
                  <w:r w:rsidRPr="00537435">
                    <w:t>151</w:t>
                  </w:r>
                </w:p>
              </w:tc>
            </w:tr>
            <w:tr w:rsidR="00842B2D" w:rsidRPr="00537435" w14:paraId="53BF2E10" w14:textId="77777777" w:rsidTr="00A409C0">
              <w:trPr>
                <w:trHeight w:val="300"/>
              </w:trPr>
              <w:tc>
                <w:tcPr>
                  <w:tcW w:w="3487" w:type="dxa"/>
                  <w:tcBorders>
                    <w:top w:val="nil"/>
                    <w:left w:val="nil"/>
                    <w:bottom w:val="nil"/>
                    <w:right w:val="nil"/>
                  </w:tcBorders>
                  <w:shd w:val="clear" w:color="auto" w:fill="auto"/>
                  <w:vAlign w:val="center"/>
                  <w:hideMark/>
                </w:tcPr>
                <w:p w14:paraId="4A9E45F8" w14:textId="77777777" w:rsidR="00842B2D" w:rsidRPr="00537435" w:rsidRDefault="00842B2D" w:rsidP="008B38C1">
                  <w:pPr>
                    <w:pStyle w:val="TableTextLeft"/>
                    <w:rPr>
                      <w:szCs w:val="18"/>
                    </w:rPr>
                  </w:pPr>
                  <w:r w:rsidRPr="00537435">
                    <w:rPr>
                      <w:szCs w:val="18"/>
                    </w:rPr>
                    <w:t>Broad Sound</w:t>
                  </w:r>
                </w:p>
              </w:tc>
              <w:tc>
                <w:tcPr>
                  <w:tcW w:w="709" w:type="dxa"/>
                  <w:tcBorders>
                    <w:top w:val="nil"/>
                    <w:left w:val="nil"/>
                    <w:bottom w:val="nil"/>
                    <w:right w:val="nil"/>
                  </w:tcBorders>
                  <w:shd w:val="clear" w:color="auto" w:fill="auto"/>
                  <w:noWrap/>
                  <w:vAlign w:val="center"/>
                  <w:hideMark/>
                </w:tcPr>
                <w:p w14:paraId="34EF19D7" w14:textId="77777777" w:rsidR="00842B2D" w:rsidRPr="00537435" w:rsidRDefault="00842B2D" w:rsidP="000350BE">
                  <w:pPr>
                    <w:pStyle w:val="TableTextRight0"/>
                  </w:pPr>
                  <w:r w:rsidRPr="00537435">
                    <w:t>58</w:t>
                  </w:r>
                </w:p>
              </w:tc>
            </w:tr>
            <w:tr w:rsidR="00842B2D" w:rsidRPr="00537435" w14:paraId="7A1DD196" w14:textId="77777777" w:rsidTr="00A409C0">
              <w:trPr>
                <w:trHeight w:val="300"/>
              </w:trPr>
              <w:tc>
                <w:tcPr>
                  <w:tcW w:w="3487" w:type="dxa"/>
                  <w:tcBorders>
                    <w:top w:val="nil"/>
                    <w:left w:val="nil"/>
                    <w:bottom w:val="nil"/>
                    <w:right w:val="nil"/>
                  </w:tcBorders>
                  <w:shd w:val="clear" w:color="auto" w:fill="auto"/>
                  <w:vAlign w:val="center"/>
                  <w:hideMark/>
                </w:tcPr>
                <w:p w14:paraId="6856F74C" w14:textId="77777777" w:rsidR="00842B2D" w:rsidRPr="00537435" w:rsidRDefault="00842B2D" w:rsidP="008B38C1">
                  <w:pPr>
                    <w:pStyle w:val="TableTextLeft"/>
                    <w:rPr>
                      <w:szCs w:val="18"/>
                    </w:rPr>
                  </w:pPr>
                  <w:r w:rsidRPr="00537435">
                    <w:rPr>
                      <w:szCs w:val="18"/>
                    </w:rPr>
                    <w:t>Lake Nuga Nuga</w:t>
                  </w:r>
                </w:p>
              </w:tc>
              <w:tc>
                <w:tcPr>
                  <w:tcW w:w="709" w:type="dxa"/>
                  <w:tcBorders>
                    <w:top w:val="nil"/>
                    <w:left w:val="nil"/>
                    <w:bottom w:val="nil"/>
                    <w:right w:val="nil"/>
                  </w:tcBorders>
                  <w:shd w:val="clear" w:color="auto" w:fill="auto"/>
                  <w:noWrap/>
                  <w:vAlign w:val="center"/>
                  <w:hideMark/>
                </w:tcPr>
                <w:p w14:paraId="6B5A167E" w14:textId="77777777" w:rsidR="00842B2D" w:rsidRPr="00537435" w:rsidRDefault="00842B2D" w:rsidP="000350BE">
                  <w:pPr>
                    <w:pStyle w:val="TableTextRight0"/>
                  </w:pPr>
                  <w:r w:rsidRPr="00537435">
                    <w:t>20</w:t>
                  </w:r>
                </w:p>
              </w:tc>
            </w:tr>
            <w:tr w:rsidR="00842B2D" w:rsidRPr="00537435" w14:paraId="57D90E50" w14:textId="77777777" w:rsidTr="00A409C0">
              <w:trPr>
                <w:trHeight w:val="300"/>
              </w:trPr>
              <w:tc>
                <w:tcPr>
                  <w:tcW w:w="3487" w:type="dxa"/>
                  <w:tcBorders>
                    <w:top w:val="nil"/>
                    <w:left w:val="nil"/>
                    <w:bottom w:val="nil"/>
                    <w:right w:val="nil"/>
                  </w:tcBorders>
                  <w:shd w:val="clear" w:color="auto" w:fill="auto"/>
                  <w:vAlign w:val="center"/>
                  <w:hideMark/>
                </w:tcPr>
                <w:p w14:paraId="64FE6465" w14:textId="77777777" w:rsidR="00842B2D" w:rsidRPr="00537435" w:rsidRDefault="00842B2D" w:rsidP="008B38C1">
                  <w:pPr>
                    <w:pStyle w:val="TableTextLeft"/>
                    <w:rPr>
                      <w:szCs w:val="18"/>
                    </w:rPr>
                  </w:pPr>
                  <w:r w:rsidRPr="00537435">
                    <w:rPr>
                      <w:szCs w:val="18"/>
                    </w:rPr>
                    <w:t>Boggomoss Springs</w:t>
                  </w:r>
                </w:p>
              </w:tc>
              <w:tc>
                <w:tcPr>
                  <w:tcW w:w="709" w:type="dxa"/>
                  <w:tcBorders>
                    <w:top w:val="nil"/>
                    <w:left w:val="nil"/>
                    <w:bottom w:val="nil"/>
                    <w:right w:val="nil"/>
                  </w:tcBorders>
                  <w:shd w:val="clear" w:color="auto" w:fill="auto"/>
                  <w:noWrap/>
                  <w:vAlign w:val="center"/>
                  <w:hideMark/>
                </w:tcPr>
                <w:p w14:paraId="0E5E6F1B" w14:textId="77777777" w:rsidR="00842B2D" w:rsidRPr="00537435" w:rsidRDefault="00842B2D" w:rsidP="000350BE">
                  <w:pPr>
                    <w:pStyle w:val="TableTextRight0"/>
                  </w:pPr>
                  <w:r w:rsidRPr="00537435">
                    <w:t>4</w:t>
                  </w:r>
                </w:p>
              </w:tc>
            </w:tr>
            <w:tr w:rsidR="00842B2D" w:rsidRPr="00537435" w14:paraId="73120447" w14:textId="77777777" w:rsidTr="00A409C0">
              <w:trPr>
                <w:trHeight w:val="300"/>
              </w:trPr>
              <w:tc>
                <w:tcPr>
                  <w:tcW w:w="3487" w:type="dxa"/>
                  <w:tcBorders>
                    <w:top w:val="nil"/>
                    <w:left w:val="nil"/>
                    <w:bottom w:val="nil"/>
                    <w:right w:val="nil"/>
                  </w:tcBorders>
                  <w:shd w:val="clear" w:color="auto" w:fill="auto"/>
                  <w:vAlign w:val="center"/>
                </w:tcPr>
                <w:p w14:paraId="3D06F30C" w14:textId="77777777" w:rsidR="00842B2D" w:rsidRPr="00537435" w:rsidRDefault="00842B2D" w:rsidP="008B38C1">
                  <w:pPr>
                    <w:pStyle w:val="TableTextLeft"/>
                    <w:rPr>
                      <w:szCs w:val="18"/>
                    </w:rPr>
                  </w:pPr>
                  <w:r w:rsidRPr="00537435">
                    <w:rPr>
                      <w:szCs w:val="18"/>
                    </w:rPr>
                    <w:t>TOTAL WETLAND AREA</w:t>
                  </w:r>
                </w:p>
              </w:tc>
              <w:tc>
                <w:tcPr>
                  <w:tcW w:w="709" w:type="dxa"/>
                  <w:tcBorders>
                    <w:top w:val="nil"/>
                    <w:left w:val="nil"/>
                    <w:bottom w:val="nil"/>
                    <w:right w:val="nil"/>
                  </w:tcBorders>
                  <w:shd w:val="clear" w:color="auto" w:fill="auto"/>
                  <w:noWrap/>
                  <w:vAlign w:val="center"/>
                </w:tcPr>
                <w:p w14:paraId="4EA6E0FC" w14:textId="77777777" w:rsidR="00842B2D" w:rsidRPr="00537435" w:rsidRDefault="00842B2D" w:rsidP="000350BE">
                  <w:pPr>
                    <w:pStyle w:val="TableTextRight0"/>
                  </w:pPr>
                  <w:r w:rsidRPr="00537435">
                    <w:t>731</w:t>
                  </w:r>
                </w:p>
              </w:tc>
            </w:tr>
          </w:tbl>
          <w:p w14:paraId="153B04BE" w14:textId="77777777"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42B2D" w:rsidRPr="00537435" w14:paraId="0A62A0B5"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4F825930" w14:textId="77777777" w:rsidR="00842B2D" w:rsidRPr="00537435" w:rsidRDefault="00842B2D" w:rsidP="008B38C1">
            <w:pPr>
              <w:pStyle w:val="TableTextLeft"/>
              <w:rPr>
                <w:szCs w:val="18"/>
              </w:rPr>
            </w:pPr>
            <w:r w:rsidRPr="00537435">
              <w:rPr>
                <w:szCs w:val="18"/>
              </w:rPr>
              <w:t>Protected areas (CAPAD 2016)</w:t>
            </w:r>
          </w:p>
          <w:p w14:paraId="56A46778" w14:textId="77777777" w:rsidR="00842B2D" w:rsidRPr="00537435" w:rsidRDefault="00842B2D" w:rsidP="008B38C1">
            <w:pPr>
              <w:pStyle w:val="TableTextLeft"/>
              <w:rPr>
                <w:szCs w:val="18"/>
              </w:rPr>
            </w:pPr>
            <w:r w:rsidRPr="00537435">
              <w:rPr>
                <w:szCs w:val="18"/>
              </w:rPr>
              <w:t>Top 5 by area (area</w:t>
            </w:r>
            <w:r>
              <w:rPr>
                <w:szCs w:val="18"/>
              </w:rPr>
              <w:t> km</w:t>
            </w:r>
            <w:r w:rsidRPr="00537435">
              <w:rPr>
                <w:szCs w:val="18"/>
                <w:vertAlign w:val="superscript"/>
              </w:rPr>
              <w:t>2</w:t>
            </w:r>
            <w:r w:rsidRPr="00537435">
              <w:rPr>
                <w:szCs w:val="18"/>
              </w:rPr>
              <w:t>)</w:t>
            </w:r>
          </w:p>
        </w:tc>
        <w:tc>
          <w:tcPr>
            <w:tcW w:w="2422" w:type="pct"/>
          </w:tcPr>
          <w:tbl>
            <w:tblPr>
              <w:tblW w:w="4196" w:type="dxa"/>
              <w:tblLook w:val="04A0" w:firstRow="1" w:lastRow="0" w:firstColumn="1" w:lastColumn="0" w:noHBand="0" w:noVBand="1"/>
            </w:tblPr>
            <w:tblGrid>
              <w:gridCol w:w="3487"/>
              <w:gridCol w:w="709"/>
            </w:tblGrid>
            <w:tr w:rsidR="00842B2D" w:rsidRPr="00537435" w14:paraId="5DBDA887" w14:textId="77777777" w:rsidTr="00A409C0">
              <w:trPr>
                <w:trHeight w:val="300"/>
              </w:trPr>
              <w:tc>
                <w:tcPr>
                  <w:tcW w:w="3487" w:type="dxa"/>
                  <w:tcBorders>
                    <w:top w:val="nil"/>
                    <w:left w:val="nil"/>
                    <w:bottom w:val="nil"/>
                    <w:right w:val="nil"/>
                  </w:tcBorders>
                  <w:shd w:val="clear" w:color="auto" w:fill="auto"/>
                  <w:noWrap/>
                  <w:vAlign w:val="bottom"/>
                  <w:hideMark/>
                </w:tcPr>
                <w:p w14:paraId="7C22490C" w14:textId="77777777" w:rsidR="00842B2D" w:rsidRPr="00537435" w:rsidRDefault="00842B2D" w:rsidP="008B38C1">
                  <w:pPr>
                    <w:pStyle w:val="TableTextLeft"/>
                    <w:rPr>
                      <w:szCs w:val="18"/>
                    </w:rPr>
                  </w:pPr>
                  <w:r w:rsidRPr="00537435">
                    <w:rPr>
                      <w:szCs w:val="18"/>
                    </w:rPr>
                    <w:t>National Park</w:t>
                  </w:r>
                </w:p>
              </w:tc>
              <w:tc>
                <w:tcPr>
                  <w:tcW w:w="709" w:type="dxa"/>
                  <w:tcBorders>
                    <w:top w:val="nil"/>
                    <w:left w:val="nil"/>
                    <w:bottom w:val="nil"/>
                    <w:right w:val="nil"/>
                  </w:tcBorders>
                  <w:shd w:val="clear" w:color="auto" w:fill="auto"/>
                  <w:noWrap/>
                  <w:vAlign w:val="bottom"/>
                  <w:hideMark/>
                </w:tcPr>
                <w:p w14:paraId="4A594520" w14:textId="77777777" w:rsidR="00842B2D" w:rsidRPr="00537435" w:rsidRDefault="00842B2D" w:rsidP="000350BE">
                  <w:pPr>
                    <w:pStyle w:val="TableTextRight0"/>
                  </w:pPr>
                  <w:r w:rsidRPr="00537435">
                    <w:t>4,728</w:t>
                  </w:r>
                </w:p>
              </w:tc>
            </w:tr>
            <w:tr w:rsidR="00842B2D" w:rsidRPr="00537435" w14:paraId="74117E35" w14:textId="77777777" w:rsidTr="00A409C0">
              <w:trPr>
                <w:trHeight w:val="300"/>
              </w:trPr>
              <w:tc>
                <w:tcPr>
                  <w:tcW w:w="3487" w:type="dxa"/>
                  <w:tcBorders>
                    <w:top w:val="nil"/>
                    <w:left w:val="nil"/>
                    <w:bottom w:val="nil"/>
                    <w:right w:val="nil"/>
                  </w:tcBorders>
                  <w:shd w:val="clear" w:color="auto" w:fill="auto"/>
                  <w:noWrap/>
                  <w:vAlign w:val="bottom"/>
                  <w:hideMark/>
                </w:tcPr>
                <w:p w14:paraId="4FF71CF5" w14:textId="77777777" w:rsidR="00842B2D" w:rsidRPr="00537435" w:rsidRDefault="00842B2D" w:rsidP="008B38C1">
                  <w:pPr>
                    <w:pStyle w:val="TableTextLeft"/>
                    <w:rPr>
                      <w:szCs w:val="18"/>
                    </w:rPr>
                  </w:pPr>
                  <w:r w:rsidRPr="00537435">
                    <w:rPr>
                      <w:szCs w:val="18"/>
                    </w:rPr>
                    <w:t>NRS Addition - Gazettal in Progress</w:t>
                  </w:r>
                </w:p>
              </w:tc>
              <w:tc>
                <w:tcPr>
                  <w:tcW w:w="709" w:type="dxa"/>
                  <w:tcBorders>
                    <w:top w:val="nil"/>
                    <w:left w:val="nil"/>
                    <w:bottom w:val="nil"/>
                    <w:right w:val="nil"/>
                  </w:tcBorders>
                  <w:shd w:val="clear" w:color="auto" w:fill="auto"/>
                  <w:noWrap/>
                  <w:vAlign w:val="bottom"/>
                  <w:hideMark/>
                </w:tcPr>
                <w:p w14:paraId="561EBBA5" w14:textId="77777777" w:rsidR="00842B2D" w:rsidRPr="00537435" w:rsidRDefault="00842B2D" w:rsidP="000350BE">
                  <w:pPr>
                    <w:pStyle w:val="TableTextRight0"/>
                  </w:pPr>
                  <w:r w:rsidRPr="00537435">
                    <w:t>698</w:t>
                  </w:r>
                </w:p>
              </w:tc>
            </w:tr>
            <w:tr w:rsidR="00842B2D" w:rsidRPr="00537435" w14:paraId="2A5CCD03" w14:textId="77777777" w:rsidTr="00A409C0">
              <w:trPr>
                <w:trHeight w:val="300"/>
              </w:trPr>
              <w:tc>
                <w:tcPr>
                  <w:tcW w:w="3487" w:type="dxa"/>
                  <w:tcBorders>
                    <w:top w:val="nil"/>
                    <w:left w:val="nil"/>
                    <w:bottom w:val="nil"/>
                    <w:right w:val="nil"/>
                  </w:tcBorders>
                  <w:shd w:val="clear" w:color="auto" w:fill="auto"/>
                  <w:noWrap/>
                  <w:vAlign w:val="bottom"/>
                  <w:hideMark/>
                </w:tcPr>
                <w:p w14:paraId="5E23AC37" w14:textId="77777777" w:rsidR="00842B2D" w:rsidRPr="00537435" w:rsidRDefault="00842B2D" w:rsidP="008B38C1">
                  <w:pPr>
                    <w:pStyle w:val="TableTextLeft"/>
                    <w:rPr>
                      <w:szCs w:val="18"/>
                    </w:rPr>
                  </w:pPr>
                  <w:r w:rsidRPr="00537435">
                    <w:rPr>
                      <w:szCs w:val="18"/>
                    </w:rPr>
                    <w:t>Nature Refuge</w:t>
                  </w:r>
                </w:p>
              </w:tc>
              <w:tc>
                <w:tcPr>
                  <w:tcW w:w="709" w:type="dxa"/>
                  <w:tcBorders>
                    <w:top w:val="nil"/>
                    <w:left w:val="nil"/>
                    <w:bottom w:val="nil"/>
                    <w:right w:val="nil"/>
                  </w:tcBorders>
                  <w:shd w:val="clear" w:color="auto" w:fill="auto"/>
                  <w:noWrap/>
                  <w:vAlign w:val="bottom"/>
                  <w:hideMark/>
                </w:tcPr>
                <w:p w14:paraId="1992A8A7" w14:textId="77777777" w:rsidR="00842B2D" w:rsidRPr="00537435" w:rsidRDefault="00842B2D" w:rsidP="000350BE">
                  <w:pPr>
                    <w:pStyle w:val="TableTextRight0"/>
                  </w:pPr>
                  <w:r w:rsidRPr="00537435">
                    <w:t>427</w:t>
                  </w:r>
                </w:p>
              </w:tc>
            </w:tr>
            <w:tr w:rsidR="00842B2D" w:rsidRPr="00537435" w14:paraId="40625BB9" w14:textId="77777777" w:rsidTr="00A409C0">
              <w:trPr>
                <w:trHeight w:val="300"/>
              </w:trPr>
              <w:tc>
                <w:tcPr>
                  <w:tcW w:w="3487" w:type="dxa"/>
                  <w:tcBorders>
                    <w:top w:val="nil"/>
                    <w:left w:val="nil"/>
                    <w:bottom w:val="nil"/>
                    <w:right w:val="nil"/>
                  </w:tcBorders>
                  <w:shd w:val="clear" w:color="auto" w:fill="auto"/>
                  <w:noWrap/>
                  <w:vAlign w:val="bottom"/>
                  <w:hideMark/>
                </w:tcPr>
                <w:p w14:paraId="4531A45C" w14:textId="77777777" w:rsidR="00842B2D" w:rsidRPr="00537435" w:rsidRDefault="00842B2D" w:rsidP="008B38C1">
                  <w:pPr>
                    <w:pStyle w:val="TableTextLeft"/>
                    <w:rPr>
                      <w:szCs w:val="18"/>
                    </w:rPr>
                  </w:pPr>
                  <w:r w:rsidRPr="00537435">
                    <w:rPr>
                      <w:szCs w:val="18"/>
                    </w:rPr>
                    <w:t>Regional Park</w:t>
                  </w:r>
                </w:p>
              </w:tc>
              <w:tc>
                <w:tcPr>
                  <w:tcW w:w="709" w:type="dxa"/>
                  <w:tcBorders>
                    <w:top w:val="nil"/>
                    <w:left w:val="nil"/>
                    <w:bottom w:val="nil"/>
                    <w:right w:val="nil"/>
                  </w:tcBorders>
                  <w:shd w:val="clear" w:color="auto" w:fill="auto"/>
                  <w:noWrap/>
                  <w:vAlign w:val="bottom"/>
                  <w:hideMark/>
                </w:tcPr>
                <w:p w14:paraId="1C7B4713" w14:textId="77777777" w:rsidR="00842B2D" w:rsidRPr="00537435" w:rsidRDefault="00842B2D" w:rsidP="000350BE">
                  <w:pPr>
                    <w:pStyle w:val="TableTextRight0"/>
                  </w:pPr>
                  <w:r w:rsidRPr="00537435">
                    <w:t>47</w:t>
                  </w:r>
                </w:p>
              </w:tc>
            </w:tr>
            <w:tr w:rsidR="00842B2D" w:rsidRPr="00537435" w14:paraId="3C99E441" w14:textId="77777777" w:rsidTr="00A409C0">
              <w:trPr>
                <w:trHeight w:val="300"/>
              </w:trPr>
              <w:tc>
                <w:tcPr>
                  <w:tcW w:w="3487" w:type="dxa"/>
                  <w:tcBorders>
                    <w:top w:val="nil"/>
                    <w:left w:val="nil"/>
                    <w:bottom w:val="nil"/>
                    <w:right w:val="nil"/>
                  </w:tcBorders>
                  <w:shd w:val="clear" w:color="auto" w:fill="auto"/>
                  <w:noWrap/>
                  <w:vAlign w:val="bottom"/>
                  <w:hideMark/>
                </w:tcPr>
                <w:p w14:paraId="1865AE69" w14:textId="77777777" w:rsidR="00842B2D" w:rsidRPr="00537435" w:rsidRDefault="00842B2D" w:rsidP="008B38C1">
                  <w:pPr>
                    <w:pStyle w:val="TableTextLeft"/>
                    <w:rPr>
                      <w:szCs w:val="18"/>
                    </w:rPr>
                  </w:pPr>
                  <w:r w:rsidRPr="00537435">
                    <w:rPr>
                      <w:szCs w:val="18"/>
                    </w:rPr>
                    <w:t>Nature Reserve</w:t>
                  </w:r>
                </w:p>
              </w:tc>
              <w:tc>
                <w:tcPr>
                  <w:tcW w:w="709" w:type="dxa"/>
                  <w:tcBorders>
                    <w:top w:val="nil"/>
                    <w:left w:val="nil"/>
                    <w:bottom w:val="nil"/>
                    <w:right w:val="nil"/>
                  </w:tcBorders>
                  <w:shd w:val="clear" w:color="auto" w:fill="auto"/>
                  <w:noWrap/>
                  <w:vAlign w:val="bottom"/>
                  <w:hideMark/>
                </w:tcPr>
                <w:p w14:paraId="0FE0C2B2" w14:textId="77777777" w:rsidR="00842B2D" w:rsidRPr="00537435" w:rsidRDefault="00842B2D" w:rsidP="000350BE">
                  <w:pPr>
                    <w:pStyle w:val="TableTextRight0"/>
                  </w:pPr>
                  <w:r w:rsidRPr="00537435">
                    <w:t>13</w:t>
                  </w:r>
                </w:p>
              </w:tc>
            </w:tr>
            <w:tr w:rsidR="00842B2D" w:rsidRPr="00537435" w14:paraId="7084E9AD" w14:textId="77777777" w:rsidTr="00A409C0">
              <w:trPr>
                <w:trHeight w:val="300"/>
              </w:trPr>
              <w:tc>
                <w:tcPr>
                  <w:tcW w:w="3487" w:type="dxa"/>
                  <w:tcBorders>
                    <w:top w:val="nil"/>
                    <w:left w:val="nil"/>
                    <w:bottom w:val="nil"/>
                    <w:right w:val="nil"/>
                  </w:tcBorders>
                  <w:shd w:val="clear" w:color="auto" w:fill="auto"/>
                  <w:noWrap/>
                  <w:vAlign w:val="bottom"/>
                </w:tcPr>
                <w:p w14:paraId="76D6774A" w14:textId="77777777" w:rsidR="00842B2D" w:rsidRPr="00537435" w:rsidRDefault="00842B2D" w:rsidP="008B38C1">
                  <w:pPr>
                    <w:pStyle w:val="TableTextLeft"/>
                    <w:rPr>
                      <w:szCs w:val="18"/>
                    </w:rPr>
                  </w:pPr>
                  <w:r w:rsidRPr="00537435">
                    <w:rPr>
                      <w:szCs w:val="18"/>
                    </w:rPr>
                    <w:t xml:space="preserve">TOTAL </w:t>
                  </w:r>
                  <w:r>
                    <w:rPr>
                      <w:szCs w:val="18"/>
                    </w:rPr>
                    <w:t>PROTECTED</w:t>
                  </w:r>
                  <w:r w:rsidRPr="00537435">
                    <w:rPr>
                      <w:szCs w:val="18"/>
                    </w:rPr>
                    <w:t xml:space="preserve"> AREA</w:t>
                  </w:r>
                </w:p>
              </w:tc>
              <w:tc>
                <w:tcPr>
                  <w:tcW w:w="709" w:type="dxa"/>
                  <w:tcBorders>
                    <w:top w:val="nil"/>
                    <w:left w:val="nil"/>
                    <w:bottom w:val="nil"/>
                    <w:right w:val="nil"/>
                  </w:tcBorders>
                  <w:shd w:val="clear" w:color="auto" w:fill="auto"/>
                  <w:noWrap/>
                  <w:vAlign w:val="bottom"/>
                </w:tcPr>
                <w:p w14:paraId="1CAB3E62" w14:textId="77777777" w:rsidR="00842B2D" w:rsidRPr="00537435" w:rsidRDefault="00842B2D" w:rsidP="000350BE">
                  <w:pPr>
                    <w:pStyle w:val="TableTextRight0"/>
                  </w:pPr>
                  <w:r w:rsidRPr="00537435">
                    <w:t>5,917</w:t>
                  </w:r>
                </w:p>
              </w:tc>
            </w:tr>
          </w:tbl>
          <w:p w14:paraId="360574E7" w14:textId="77777777"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42B2D" w:rsidRPr="00537435" w14:paraId="06380C70"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04BBEA9E" w14:textId="77777777" w:rsidR="00842B2D" w:rsidRPr="00537435" w:rsidRDefault="00842B2D" w:rsidP="008B38C1">
            <w:pPr>
              <w:pStyle w:val="TableTextLeft"/>
              <w:rPr>
                <w:szCs w:val="18"/>
              </w:rPr>
            </w:pPr>
            <w:r w:rsidRPr="00537435">
              <w:rPr>
                <w:szCs w:val="18"/>
              </w:rPr>
              <w:t>Aquatic and Terrestrial Groundwater Dependant Ecosystems, of known, high potential and moderate potential (area</w:t>
            </w:r>
            <w:r>
              <w:rPr>
                <w:szCs w:val="18"/>
              </w:rPr>
              <w:t> km</w:t>
            </w:r>
            <w:r w:rsidRPr="00537435">
              <w:rPr>
                <w:szCs w:val="18"/>
                <w:vertAlign w:val="superscript"/>
              </w:rPr>
              <w:t>2</w:t>
            </w:r>
            <w:r w:rsidRPr="00537435">
              <w:rPr>
                <w:szCs w:val="18"/>
              </w:rPr>
              <w:t>).</w:t>
            </w:r>
          </w:p>
        </w:tc>
        <w:tc>
          <w:tcPr>
            <w:tcW w:w="2422" w:type="pct"/>
          </w:tcPr>
          <w:p w14:paraId="38245EFB" w14:textId="77777777"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r w:rsidRPr="00537435">
              <w:rPr>
                <w:szCs w:val="18"/>
              </w:rPr>
              <w:t>26,000</w:t>
            </w:r>
          </w:p>
          <w:p w14:paraId="665C83C5" w14:textId="77777777" w:rsidR="00842B2D" w:rsidRPr="00537435" w:rsidRDefault="00842B2D" w:rsidP="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bl>
    <w:p w14:paraId="2F41DF6F" w14:textId="77777777" w:rsidR="00842B2D" w:rsidRPr="00C06B01" w:rsidRDefault="00842B2D" w:rsidP="00D15FEC">
      <w:pPr>
        <w:pStyle w:val="AppendixHeading3"/>
      </w:pPr>
      <w:bookmarkStart w:id="127" w:name="_Toc517161137"/>
      <w:r w:rsidRPr="00C06B01">
        <w:t>Social Considerations</w:t>
      </w:r>
      <w:bookmarkEnd w:id="127"/>
    </w:p>
    <w:p w14:paraId="0D256863" w14:textId="77777777" w:rsidR="00842B2D" w:rsidRPr="005D51D5" w:rsidRDefault="00842B2D" w:rsidP="00A43B22">
      <w:pPr>
        <w:pStyle w:val="BodyText"/>
      </w:pPr>
      <w:r w:rsidRPr="005D51D5">
        <w:t>Information on population, land use type and areas listed as either Indigenous Protected Areas (CAPAD</w:t>
      </w:r>
      <w:r>
        <w:t>,</w:t>
      </w:r>
      <w:r w:rsidRPr="005D51D5">
        <w:t xml:space="preserve"> 2016) or where Native Titl</w:t>
      </w:r>
      <w:r>
        <w:t>e exists is presented in Table C.13</w:t>
      </w:r>
      <w:r w:rsidRPr="005D51D5">
        <w:t>.</w:t>
      </w:r>
    </w:p>
    <w:p w14:paraId="6F22673E" w14:textId="77777777" w:rsidR="00842B2D" w:rsidRPr="00FB60C0" w:rsidRDefault="00842B2D" w:rsidP="00B92BE0">
      <w:pPr>
        <w:pStyle w:val="Caption"/>
      </w:pPr>
      <w:bookmarkStart w:id="128" w:name="_Toc499547483"/>
      <w:bookmarkStart w:id="129" w:name="_Toc508972162"/>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13</w:t>
      </w:r>
      <w:r w:rsidR="008079F1">
        <w:rPr>
          <w:noProof/>
        </w:rPr>
        <w:fldChar w:fldCharType="end"/>
      </w:r>
      <w:r>
        <w:t xml:space="preserve"> Summary of social considerations, Bowen Basin</w:t>
      </w:r>
      <w:bookmarkEnd w:id="128"/>
      <w:bookmarkEnd w:id="129"/>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0"/>
        <w:gridCol w:w="4669"/>
      </w:tblGrid>
      <w:tr w:rsidR="00842B2D" w:rsidRPr="00FB60C0" w14:paraId="404049DB"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tcPr>
          <w:p w14:paraId="15DFA817" w14:textId="77777777" w:rsidR="00842B2D" w:rsidRPr="00FB60C0" w:rsidRDefault="00842B2D" w:rsidP="008B38C1">
            <w:pPr>
              <w:pStyle w:val="TableTextLeft"/>
            </w:pPr>
            <w:r w:rsidRPr="00FB60C0">
              <w:t>GENERAL CHARACTERISTICS</w:t>
            </w:r>
          </w:p>
        </w:tc>
      </w:tr>
      <w:tr w:rsidR="00842B2D" w:rsidRPr="00FB60C0" w14:paraId="4F48B4AB"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7D5E25AE" w14:textId="77777777" w:rsidR="00842B2D" w:rsidRPr="00FB60C0" w:rsidRDefault="00842B2D" w:rsidP="008B38C1">
            <w:pPr>
              <w:pStyle w:val="TableTextLeft"/>
            </w:pPr>
            <w:r w:rsidRPr="00FB60C0">
              <w:t>Population</w:t>
            </w:r>
          </w:p>
        </w:tc>
        <w:tc>
          <w:tcPr>
            <w:tcW w:w="2422" w:type="pct"/>
          </w:tcPr>
          <w:p w14:paraId="1FD87D39" w14:textId="77777777" w:rsidR="00842B2D" w:rsidRPr="005D7883" w:rsidRDefault="00842B2D" w:rsidP="008B38C1">
            <w:pPr>
              <w:pStyle w:val="TableTextLeft"/>
              <w:cnfStyle w:val="100000000000" w:firstRow="1" w:lastRow="0" w:firstColumn="0" w:lastColumn="0" w:oddVBand="0" w:evenVBand="0" w:oddHBand="0" w:evenHBand="0" w:firstRowFirstColumn="0" w:firstRowLastColumn="0" w:lastRowFirstColumn="0" w:lastRowLastColumn="0"/>
            </w:pPr>
            <w:r w:rsidRPr="005D7883">
              <w:t>80,873</w:t>
            </w:r>
          </w:p>
        </w:tc>
      </w:tr>
      <w:tr w:rsidR="00842B2D" w:rsidRPr="00FB60C0" w14:paraId="769A9C03"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3347F078" w14:textId="77777777" w:rsidR="00842B2D" w:rsidRPr="00FB60C0" w:rsidRDefault="00842B2D" w:rsidP="008B38C1">
            <w:pPr>
              <w:pStyle w:val="TableTextLeft"/>
            </w:pPr>
            <w:r>
              <w:t>Major population centres (</w:t>
            </w:r>
            <w:r w:rsidRPr="00FB60C0">
              <w:t xml:space="preserve"> two)</w:t>
            </w:r>
          </w:p>
        </w:tc>
        <w:tc>
          <w:tcPr>
            <w:tcW w:w="2422" w:type="pct"/>
          </w:tcPr>
          <w:p w14:paraId="69E0F818" w14:textId="77777777" w:rsidR="00842B2D" w:rsidRPr="005D7883" w:rsidRDefault="00842B2D" w:rsidP="008B38C1">
            <w:pPr>
              <w:pStyle w:val="TableTextLeft"/>
              <w:cnfStyle w:val="100000000000" w:firstRow="1" w:lastRow="0" w:firstColumn="0" w:lastColumn="0" w:oddVBand="0" w:evenVBand="0" w:oddHBand="0" w:evenHBand="0" w:firstRowFirstColumn="0" w:firstRowLastColumn="0" w:lastRowFirstColumn="0" w:lastRowLastColumn="0"/>
            </w:pPr>
            <w:r w:rsidRPr="005D7883">
              <w:t>Emerald, Roma</w:t>
            </w:r>
          </w:p>
        </w:tc>
      </w:tr>
      <w:tr w:rsidR="00842B2D" w:rsidRPr="00FB60C0" w14:paraId="6FAD6458"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2460237D" w14:textId="77777777" w:rsidR="00842B2D" w:rsidRPr="005D7883" w:rsidRDefault="00842B2D" w:rsidP="008B38C1">
            <w:pPr>
              <w:pStyle w:val="TableTextLeft"/>
            </w:pPr>
            <w:r w:rsidRPr="005D7883">
              <w:t>Land use types</w:t>
            </w:r>
          </w:p>
          <w:p w14:paraId="173E4AC1" w14:textId="77777777" w:rsidR="00842B2D" w:rsidRPr="005D7883" w:rsidRDefault="00842B2D" w:rsidP="008B38C1">
            <w:pPr>
              <w:pStyle w:val="TableTextLeft"/>
            </w:pPr>
            <w:r w:rsidRPr="005D7883">
              <w:t>Top 5 by area</w:t>
            </w:r>
          </w:p>
          <w:p w14:paraId="4BC68782" w14:textId="77777777" w:rsidR="00842B2D" w:rsidRPr="009650A7" w:rsidRDefault="00842B2D" w:rsidP="008B38C1">
            <w:pPr>
              <w:pStyle w:val="TableTextLeft"/>
            </w:pPr>
            <w:r w:rsidRPr="009650A7">
              <w:t>(area</w:t>
            </w:r>
            <w:r>
              <w:t> km</w:t>
            </w:r>
            <w:r w:rsidRPr="009650A7">
              <w:rPr>
                <w:vertAlign w:val="superscript"/>
              </w:rPr>
              <w:t>2</w:t>
            </w:r>
            <w:r w:rsidRPr="009650A7">
              <w:t>)</w:t>
            </w:r>
          </w:p>
        </w:tc>
        <w:tc>
          <w:tcPr>
            <w:tcW w:w="2422" w:type="pct"/>
          </w:tcPr>
          <w:tbl>
            <w:tblPr>
              <w:tblW w:w="4196" w:type="dxa"/>
              <w:tblLook w:val="04A0" w:firstRow="1" w:lastRow="0" w:firstColumn="1" w:lastColumn="0" w:noHBand="0" w:noVBand="1"/>
            </w:tblPr>
            <w:tblGrid>
              <w:gridCol w:w="2620"/>
              <w:gridCol w:w="1576"/>
            </w:tblGrid>
            <w:tr w:rsidR="00842B2D" w:rsidRPr="005D7883" w14:paraId="4E4D7B91" w14:textId="77777777" w:rsidTr="00D83039">
              <w:trPr>
                <w:trHeight w:val="300"/>
              </w:trPr>
              <w:tc>
                <w:tcPr>
                  <w:tcW w:w="2620" w:type="dxa"/>
                  <w:tcBorders>
                    <w:top w:val="single" w:sz="4" w:space="0" w:color="auto"/>
                    <w:left w:val="nil"/>
                    <w:bottom w:val="nil"/>
                    <w:right w:val="nil"/>
                  </w:tcBorders>
                  <w:shd w:val="clear" w:color="auto" w:fill="auto"/>
                  <w:noWrap/>
                  <w:vAlign w:val="center"/>
                  <w:hideMark/>
                </w:tcPr>
                <w:p w14:paraId="1A496550" w14:textId="77777777" w:rsidR="00842B2D" w:rsidRPr="005D7883" w:rsidRDefault="00842B2D" w:rsidP="008B38C1">
                  <w:pPr>
                    <w:pStyle w:val="TableTextLeft"/>
                  </w:pPr>
                  <w:r w:rsidRPr="005D7883">
                    <w:t>Grazing native vegetation</w:t>
                  </w:r>
                </w:p>
              </w:tc>
              <w:tc>
                <w:tcPr>
                  <w:tcW w:w="1576" w:type="dxa"/>
                  <w:tcBorders>
                    <w:top w:val="single" w:sz="4" w:space="0" w:color="auto"/>
                    <w:left w:val="nil"/>
                    <w:bottom w:val="nil"/>
                    <w:right w:val="nil"/>
                  </w:tcBorders>
                  <w:shd w:val="clear" w:color="auto" w:fill="auto"/>
                  <w:noWrap/>
                  <w:vAlign w:val="center"/>
                  <w:hideMark/>
                </w:tcPr>
                <w:p w14:paraId="0CC074CC" w14:textId="77777777" w:rsidR="00842B2D" w:rsidRPr="005D7883" w:rsidRDefault="00842B2D" w:rsidP="000350BE">
                  <w:pPr>
                    <w:pStyle w:val="TableTextRight0"/>
                  </w:pPr>
                  <w:r w:rsidRPr="005D7883">
                    <w:t>116,334</w:t>
                  </w:r>
                </w:p>
              </w:tc>
            </w:tr>
            <w:tr w:rsidR="00842B2D" w:rsidRPr="005D7883" w14:paraId="7E5AAC31" w14:textId="77777777" w:rsidTr="00D83039">
              <w:trPr>
                <w:trHeight w:val="300"/>
              </w:trPr>
              <w:tc>
                <w:tcPr>
                  <w:tcW w:w="2620" w:type="dxa"/>
                  <w:tcBorders>
                    <w:top w:val="nil"/>
                    <w:left w:val="nil"/>
                    <w:bottom w:val="nil"/>
                    <w:right w:val="nil"/>
                  </w:tcBorders>
                  <w:shd w:val="clear" w:color="auto" w:fill="auto"/>
                  <w:noWrap/>
                  <w:vAlign w:val="center"/>
                  <w:hideMark/>
                </w:tcPr>
                <w:p w14:paraId="0D8A5221" w14:textId="77777777" w:rsidR="00842B2D" w:rsidRPr="005D7883" w:rsidRDefault="00842B2D" w:rsidP="008B38C1">
                  <w:pPr>
                    <w:pStyle w:val="TableTextLeft"/>
                  </w:pPr>
                  <w:r w:rsidRPr="005D7883">
                    <w:t>Dryland cropping</w:t>
                  </w:r>
                </w:p>
              </w:tc>
              <w:tc>
                <w:tcPr>
                  <w:tcW w:w="1576" w:type="dxa"/>
                  <w:tcBorders>
                    <w:top w:val="nil"/>
                    <w:left w:val="nil"/>
                    <w:bottom w:val="nil"/>
                    <w:right w:val="nil"/>
                  </w:tcBorders>
                  <w:shd w:val="clear" w:color="auto" w:fill="auto"/>
                  <w:noWrap/>
                  <w:vAlign w:val="center"/>
                  <w:hideMark/>
                </w:tcPr>
                <w:p w14:paraId="0E7D7769" w14:textId="77777777" w:rsidR="00842B2D" w:rsidRPr="005D7883" w:rsidRDefault="00842B2D" w:rsidP="000350BE">
                  <w:pPr>
                    <w:pStyle w:val="TableTextRight0"/>
                  </w:pPr>
                  <w:r w:rsidRPr="005D7883">
                    <w:t>16,314</w:t>
                  </w:r>
                </w:p>
              </w:tc>
            </w:tr>
            <w:tr w:rsidR="00842B2D" w:rsidRPr="005D7883" w14:paraId="7D913CE8" w14:textId="77777777" w:rsidTr="00D83039">
              <w:trPr>
                <w:trHeight w:val="300"/>
              </w:trPr>
              <w:tc>
                <w:tcPr>
                  <w:tcW w:w="2620" w:type="dxa"/>
                  <w:tcBorders>
                    <w:top w:val="nil"/>
                    <w:left w:val="nil"/>
                    <w:bottom w:val="nil"/>
                    <w:right w:val="nil"/>
                  </w:tcBorders>
                  <w:shd w:val="clear" w:color="auto" w:fill="auto"/>
                  <w:noWrap/>
                  <w:vAlign w:val="center"/>
                  <w:hideMark/>
                </w:tcPr>
                <w:p w14:paraId="778CC4B7" w14:textId="77777777" w:rsidR="00842B2D" w:rsidRPr="005D7883" w:rsidRDefault="00842B2D" w:rsidP="008B38C1">
                  <w:pPr>
                    <w:pStyle w:val="TableTextLeft"/>
                  </w:pPr>
                  <w:r w:rsidRPr="005D7883">
                    <w:t>Production forestry</w:t>
                  </w:r>
                </w:p>
              </w:tc>
              <w:tc>
                <w:tcPr>
                  <w:tcW w:w="1576" w:type="dxa"/>
                  <w:tcBorders>
                    <w:top w:val="nil"/>
                    <w:left w:val="nil"/>
                    <w:bottom w:val="nil"/>
                    <w:right w:val="nil"/>
                  </w:tcBorders>
                  <w:shd w:val="clear" w:color="auto" w:fill="auto"/>
                  <w:noWrap/>
                  <w:vAlign w:val="center"/>
                  <w:hideMark/>
                </w:tcPr>
                <w:p w14:paraId="6E63967D" w14:textId="77777777" w:rsidR="00842B2D" w:rsidRPr="005D7883" w:rsidRDefault="00842B2D" w:rsidP="000350BE">
                  <w:pPr>
                    <w:pStyle w:val="TableTextRight0"/>
                  </w:pPr>
                  <w:r w:rsidRPr="005D7883">
                    <w:t>8,503</w:t>
                  </w:r>
                </w:p>
              </w:tc>
            </w:tr>
            <w:tr w:rsidR="00842B2D" w:rsidRPr="005D7883" w14:paraId="16D4165A" w14:textId="77777777" w:rsidTr="00D83039">
              <w:trPr>
                <w:trHeight w:val="300"/>
              </w:trPr>
              <w:tc>
                <w:tcPr>
                  <w:tcW w:w="2620" w:type="dxa"/>
                  <w:tcBorders>
                    <w:top w:val="nil"/>
                    <w:left w:val="nil"/>
                    <w:bottom w:val="nil"/>
                    <w:right w:val="nil"/>
                  </w:tcBorders>
                  <w:shd w:val="clear" w:color="auto" w:fill="auto"/>
                  <w:noWrap/>
                  <w:vAlign w:val="center"/>
                  <w:hideMark/>
                </w:tcPr>
                <w:p w14:paraId="47DA8817" w14:textId="77777777" w:rsidR="00842B2D" w:rsidRPr="005D7883" w:rsidRDefault="00842B2D" w:rsidP="008B38C1">
                  <w:pPr>
                    <w:pStyle w:val="TableTextLeft"/>
                  </w:pPr>
                  <w:r w:rsidRPr="005D7883">
                    <w:t>Nature Conservation</w:t>
                  </w:r>
                </w:p>
              </w:tc>
              <w:tc>
                <w:tcPr>
                  <w:tcW w:w="1576" w:type="dxa"/>
                  <w:tcBorders>
                    <w:top w:val="nil"/>
                    <w:left w:val="nil"/>
                    <w:bottom w:val="nil"/>
                    <w:right w:val="nil"/>
                  </w:tcBorders>
                  <w:shd w:val="clear" w:color="auto" w:fill="auto"/>
                  <w:noWrap/>
                  <w:vAlign w:val="center"/>
                  <w:hideMark/>
                </w:tcPr>
                <w:p w14:paraId="25A3C548" w14:textId="77777777" w:rsidR="00842B2D" w:rsidRPr="005D7883" w:rsidRDefault="00842B2D" w:rsidP="000350BE">
                  <w:pPr>
                    <w:pStyle w:val="TableTextRight0"/>
                  </w:pPr>
                  <w:r w:rsidRPr="005D7883">
                    <w:t>5,251</w:t>
                  </w:r>
                </w:p>
              </w:tc>
            </w:tr>
            <w:tr w:rsidR="00842B2D" w:rsidRPr="005D7883" w14:paraId="6EFA59A6" w14:textId="77777777" w:rsidTr="00D83039">
              <w:trPr>
                <w:trHeight w:val="300"/>
              </w:trPr>
              <w:tc>
                <w:tcPr>
                  <w:tcW w:w="2620" w:type="dxa"/>
                  <w:tcBorders>
                    <w:top w:val="nil"/>
                    <w:left w:val="nil"/>
                    <w:bottom w:val="nil"/>
                    <w:right w:val="nil"/>
                  </w:tcBorders>
                  <w:shd w:val="clear" w:color="auto" w:fill="auto"/>
                  <w:noWrap/>
                  <w:vAlign w:val="center"/>
                  <w:hideMark/>
                </w:tcPr>
                <w:p w14:paraId="616A4133" w14:textId="77777777" w:rsidR="00842B2D" w:rsidRPr="005D7883" w:rsidRDefault="00842B2D" w:rsidP="008B38C1">
                  <w:pPr>
                    <w:pStyle w:val="TableTextLeft"/>
                  </w:pPr>
                  <w:r w:rsidRPr="005D7883">
                    <w:t>Irrigated cropping</w:t>
                  </w:r>
                </w:p>
              </w:tc>
              <w:tc>
                <w:tcPr>
                  <w:tcW w:w="1576" w:type="dxa"/>
                  <w:tcBorders>
                    <w:top w:val="nil"/>
                    <w:left w:val="nil"/>
                    <w:bottom w:val="nil"/>
                    <w:right w:val="nil"/>
                  </w:tcBorders>
                  <w:shd w:val="clear" w:color="auto" w:fill="auto"/>
                  <w:noWrap/>
                  <w:vAlign w:val="center"/>
                  <w:hideMark/>
                </w:tcPr>
                <w:p w14:paraId="44543ECF" w14:textId="77777777" w:rsidR="00842B2D" w:rsidRPr="005D7883" w:rsidRDefault="00842B2D" w:rsidP="000350BE">
                  <w:pPr>
                    <w:pStyle w:val="TableTextRight0"/>
                  </w:pPr>
                  <w:r w:rsidRPr="005D7883">
                    <w:t>2,114</w:t>
                  </w:r>
                </w:p>
              </w:tc>
            </w:tr>
          </w:tbl>
          <w:p w14:paraId="154E15F7" w14:textId="77777777" w:rsidR="00842B2D" w:rsidRPr="005D7883" w:rsidRDefault="00842B2D" w:rsidP="008B38C1">
            <w:pPr>
              <w:pStyle w:val="TableTextLeft"/>
              <w:cnfStyle w:val="100000000000" w:firstRow="1" w:lastRow="0" w:firstColumn="0" w:lastColumn="0" w:oddVBand="0" w:evenVBand="0" w:oddHBand="0" w:evenHBand="0" w:firstRowFirstColumn="0" w:firstRowLastColumn="0" w:lastRowFirstColumn="0" w:lastRowLastColumn="0"/>
            </w:pPr>
          </w:p>
        </w:tc>
      </w:tr>
      <w:tr w:rsidR="00842B2D" w:rsidRPr="00FB60C0" w14:paraId="563EEEBE" w14:textId="77777777" w:rsidTr="00D830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8" w:type="pct"/>
          </w:tcPr>
          <w:p w14:paraId="69EF65F9" w14:textId="77777777" w:rsidR="00842B2D" w:rsidRPr="005D7883" w:rsidRDefault="00842B2D" w:rsidP="008B38C1">
            <w:pPr>
              <w:pStyle w:val="TableTextLeft"/>
            </w:pPr>
            <w:r w:rsidRPr="005D7883">
              <w:t xml:space="preserve">Aboriginal Protected Area (CAPAD 2016) and Native </w:t>
            </w:r>
            <w:r w:rsidRPr="009650A7">
              <w:t>title (area</w:t>
            </w:r>
            <w:r>
              <w:t> km</w:t>
            </w:r>
            <w:r w:rsidRPr="009650A7">
              <w:rPr>
                <w:vertAlign w:val="superscript"/>
              </w:rPr>
              <w:t>2</w:t>
            </w:r>
            <w:r w:rsidRPr="009650A7">
              <w:t>)</w:t>
            </w:r>
          </w:p>
        </w:tc>
        <w:tc>
          <w:tcPr>
            <w:tcW w:w="2422" w:type="pct"/>
          </w:tcPr>
          <w:p w14:paraId="2027F1C7" w14:textId="77777777" w:rsidR="00842B2D" w:rsidRPr="005D7883" w:rsidRDefault="00842B2D" w:rsidP="008B38C1">
            <w:pPr>
              <w:pStyle w:val="TableTextLeft"/>
              <w:cnfStyle w:val="100000000000" w:firstRow="1" w:lastRow="0" w:firstColumn="0" w:lastColumn="0" w:oddVBand="0" w:evenVBand="0" w:oddHBand="0" w:evenHBand="0" w:firstRowFirstColumn="0" w:firstRowLastColumn="0" w:lastRowFirstColumn="0" w:lastRowLastColumn="0"/>
            </w:pPr>
            <w:r w:rsidRPr="005D7883">
              <w:t>11,083</w:t>
            </w:r>
          </w:p>
          <w:p w14:paraId="37731D7C" w14:textId="77777777" w:rsidR="00842B2D" w:rsidRPr="005D7883" w:rsidRDefault="00842B2D" w:rsidP="008B38C1">
            <w:pPr>
              <w:pStyle w:val="TableTextLeft"/>
              <w:cnfStyle w:val="100000000000" w:firstRow="1" w:lastRow="0" w:firstColumn="0" w:lastColumn="0" w:oddVBand="0" w:evenVBand="0" w:oddHBand="0" w:evenHBand="0" w:firstRowFirstColumn="0" w:firstRowLastColumn="0" w:lastRowFirstColumn="0" w:lastRowLastColumn="0"/>
            </w:pPr>
          </w:p>
        </w:tc>
      </w:tr>
    </w:tbl>
    <w:p w14:paraId="4759E0EA" w14:textId="77777777" w:rsidR="00842B2D" w:rsidRDefault="00842B2D"/>
    <w:p w14:paraId="7A484CF3" w14:textId="77777777" w:rsidR="00A43B22" w:rsidRPr="00AD7F0C" w:rsidRDefault="00A43B22" w:rsidP="00A43B22">
      <w:pPr>
        <w:pStyle w:val="Heading3notnumbered"/>
      </w:pPr>
      <w:bookmarkStart w:id="130" w:name="_Toc517161138"/>
      <w:r>
        <w:lastRenderedPageBreak/>
        <w:t>Key references</w:t>
      </w:r>
      <w:bookmarkEnd w:id="130"/>
    </w:p>
    <w:p w14:paraId="52F323E3" w14:textId="77777777" w:rsidR="00CB2538" w:rsidRDefault="00CB2538" w:rsidP="00CB2538">
      <w:pPr>
        <w:pStyle w:val="References"/>
      </w:pPr>
      <w:r>
        <w:t>AER (Australian Energy Regulator) (2017) State of the energy market, May 2017. Viewed 16/01/2018, &lt;</w:t>
      </w:r>
      <w:hyperlink r:id="rId160" w:history="1">
        <w:r w:rsidRPr="00165029">
          <w:rPr>
            <w:rStyle w:val="Hyperlink"/>
          </w:rPr>
          <w:t>https://www.aer.gov.au/publications/state-of-the-energy-market-reports/state-of-the-energy-market-may-2017</w:t>
        </w:r>
      </w:hyperlink>
      <w:r>
        <w:t>&gt;.</w:t>
      </w:r>
    </w:p>
    <w:p w14:paraId="67A03A96" w14:textId="504922F5" w:rsidR="00A43B22" w:rsidRPr="00A10F78" w:rsidRDefault="00A43B22" w:rsidP="00A43B22">
      <w:pPr>
        <w:pStyle w:val="References"/>
      </w:pPr>
      <w:r w:rsidRPr="00A10F78">
        <w:t xml:space="preserve">Al Arouri, A, Boreham, CJ, McKirdy, DM and Lemon, NM </w:t>
      </w:r>
      <w:r w:rsidR="00CB2538">
        <w:t>(</w:t>
      </w:r>
      <w:r w:rsidRPr="00A10F78">
        <w:t>1998</w:t>
      </w:r>
      <w:r w:rsidR="00CB2538">
        <w:t>)</w:t>
      </w:r>
      <w:r w:rsidRPr="00A10F78">
        <w:t xml:space="preserve"> Modeling of thermal maturation and hydrocarbon generation in two petroleum systems of the Taroom Trough, Australia. AAPG Bulletin, 82(8), 1504–1527.</w:t>
      </w:r>
    </w:p>
    <w:p w14:paraId="31DB7FFF" w14:textId="77777777" w:rsidR="00727542" w:rsidRDefault="00727542" w:rsidP="00727542">
      <w:pPr>
        <w:pStyle w:val="References"/>
      </w:pPr>
      <w:r>
        <w:t>APPEA (2017) Shale g</w:t>
      </w:r>
      <w:r w:rsidRPr="00985702">
        <w:t>as in Australia</w:t>
      </w:r>
      <w:r>
        <w:t>. Viewed 15/01/2018,</w:t>
      </w:r>
      <w:r w:rsidRPr="00985702">
        <w:t xml:space="preserve"> </w:t>
      </w:r>
      <w:r>
        <w:t>&lt;</w:t>
      </w:r>
      <w:hyperlink r:id="rId161" w:history="1">
        <w:r w:rsidRPr="000E4EFC">
          <w:rPr>
            <w:rStyle w:val="Hyperlink"/>
          </w:rPr>
          <w:t>https://www.shale-gas.com.au/environment/regulation-and-licensing/</w:t>
        </w:r>
      </w:hyperlink>
      <w:r>
        <w:t>&gt;.</w:t>
      </w:r>
    </w:p>
    <w:p w14:paraId="24906AD6" w14:textId="6A85A8F9" w:rsidR="00A43B22" w:rsidRPr="00406EE6" w:rsidRDefault="00A43B22" w:rsidP="00A43B22">
      <w:pPr>
        <w:pStyle w:val="References"/>
        <w:rPr>
          <w:rStyle w:val="Hyperlink"/>
        </w:rPr>
      </w:pPr>
      <w:r w:rsidRPr="00406EE6">
        <w:t xml:space="preserve">Arrow Energy </w:t>
      </w:r>
      <w:r w:rsidR="00CB2538">
        <w:t>(</w:t>
      </w:r>
      <w:r w:rsidRPr="00406EE6">
        <w:t>2012</w:t>
      </w:r>
      <w:r w:rsidR="00CB2538">
        <w:t>)</w:t>
      </w:r>
      <w:r w:rsidRPr="00406EE6">
        <w:t xml:space="preserve"> Bowen Gas Project Environmental Impact Statement. Section 14: Groundwater</w:t>
      </w:r>
      <w:r w:rsidR="00CB2538">
        <w:t>. Viewed 22/01/2018, &lt;</w:t>
      </w:r>
      <w:hyperlink r:id="rId162" w:history="1">
        <w:r w:rsidRPr="00456161">
          <w:rPr>
            <w:rStyle w:val="Hyperlink"/>
          </w:rPr>
          <w:t>https://www.arrowenergy.com.au/__data/assets/pdf_file/0003/3837/Section_14-Groundwater.pdf</w:t>
        </w:r>
      </w:hyperlink>
      <w:r w:rsidR="00CB2538">
        <w:rPr>
          <w:rStyle w:val="Hyperlink"/>
        </w:rPr>
        <w:t>&gt;.</w:t>
      </w:r>
    </w:p>
    <w:p w14:paraId="77DBB83F" w14:textId="77777777" w:rsidR="00727542" w:rsidRPr="00150F31" w:rsidRDefault="00727542" w:rsidP="00727542">
      <w:pPr>
        <w:pStyle w:val="References"/>
      </w:pPr>
      <w:r w:rsidRPr="00150F31">
        <w:t>AWT International</w:t>
      </w:r>
      <w:r>
        <w:t xml:space="preserve"> (</w:t>
      </w:r>
      <w:r w:rsidRPr="00150F31">
        <w:t>2013</w:t>
      </w:r>
      <w:r>
        <w:t xml:space="preserve">) </w:t>
      </w:r>
      <w:r w:rsidRPr="00150F31">
        <w:t>Shale Gas Prospectivity Potential Report prepared for the Australian Council of Learned Academies (ACOLA</w:t>
      </w:r>
      <w:r>
        <w:t xml:space="preserve">) </w:t>
      </w:r>
      <w:r w:rsidRPr="00150F31">
        <w:t>54 p.</w:t>
      </w:r>
    </w:p>
    <w:p w14:paraId="0151DD9E" w14:textId="77777777" w:rsidR="00CB2538" w:rsidRDefault="00CB2538" w:rsidP="00CB2538">
      <w:pPr>
        <w:pStyle w:val="References"/>
      </w:pPr>
      <w:r>
        <w:t>BoM (Bureau of Meteorology) (2014) Australian Hydrological Geospatial Fabric (“Geofabric”), version 2.1.1. Viewed 02/08/2017, &lt;</w:t>
      </w:r>
      <w:hyperlink r:id="rId163" w:history="1">
        <w:r w:rsidRPr="00DA1EAB">
          <w:rPr>
            <w:rStyle w:val="Hyperlink"/>
          </w:rPr>
          <w:t>http://www.bom.gov.au/water/geofabric/download.shtml</w:t>
        </w:r>
      </w:hyperlink>
      <w:r>
        <w:t>&gt;.</w:t>
      </w:r>
    </w:p>
    <w:p w14:paraId="0AB513A5" w14:textId="7558E9C9" w:rsidR="00B221F1" w:rsidRDefault="00B221F1" w:rsidP="00B221F1">
      <w:pPr>
        <w:pStyle w:val="References"/>
      </w:pPr>
      <w:r>
        <w:t>BoM (Bureau of Meteorology) (2016) National Groundwater Information System, v.1.3. Viewed 07/07/2017, &lt;</w:t>
      </w:r>
      <w:hyperlink r:id="rId164" w:history="1">
        <w:r w:rsidRPr="00DA1EAB">
          <w:rPr>
            <w:rStyle w:val="Hyperlink"/>
          </w:rPr>
          <w:t>http://www.bom.gov.au/water/groundwater/ngis/</w:t>
        </w:r>
      </w:hyperlink>
      <w:r>
        <w:t>&gt;.</w:t>
      </w:r>
    </w:p>
    <w:p w14:paraId="0444EBE2" w14:textId="1CCA468E" w:rsidR="00A43B22" w:rsidRPr="00A10F78" w:rsidRDefault="00A43B22" w:rsidP="00A43B22">
      <w:pPr>
        <w:pStyle w:val="References"/>
      </w:pPr>
      <w:r w:rsidRPr="00A10F78">
        <w:t xml:space="preserve">Boreham CJ </w:t>
      </w:r>
      <w:r w:rsidR="00CB2538">
        <w:t>(</w:t>
      </w:r>
      <w:r w:rsidRPr="00A10F78">
        <w:t>1995</w:t>
      </w:r>
      <w:r w:rsidR="00CB2538">
        <w:t>)</w:t>
      </w:r>
      <w:r w:rsidRPr="00A10F78">
        <w:t xml:space="preserve"> Origin of petroleum in the Bowen and Surat basins: geochemistry revisited. Australian Petroleum Exploration Association Journal, 35(1), 579–612.</w:t>
      </w:r>
    </w:p>
    <w:p w14:paraId="6319EBB5" w14:textId="2397E093" w:rsidR="00A43B22" w:rsidRPr="00356E9E" w:rsidRDefault="00A43B22" w:rsidP="00A43B22">
      <w:pPr>
        <w:pStyle w:val="References"/>
      </w:pPr>
      <w:r>
        <w:t xml:space="preserve">CAPAD </w:t>
      </w:r>
      <w:r w:rsidR="00CB2538">
        <w:t>(</w:t>
      </w:r>
      <w:r>
        <w:t>2016</w:t>
      </w:r>
      <w:r w:rsidR="00CB2538">
        <w:t>)</w:t>
      </w:r>
      <w:r>
        <w:t xml:space="preserve"> </w:t>
      </w:r>
      <w:r w:rsidRPr="00356E9E">
        <w:t>Collaborative Australia</w:t>
      </w:r>
      <w:r>
        <w:t>n Protected Area Database, 2016 S</w:t>
      </w:r>
      <w:r w:rsidRPr="00356E9E">
        <w:t>patial dataset provided from the Departmen</w:t>
      </w:r>
      <w:r>
        <w:t>t of the Environment and Energy.</w:t>
      </w:r>
      <w:r w:rsidRPr="00356E9E">
        <w:t xml:space="preserve"> </w:t>
      </w:r>
      <w:r w:rsidR="00CB2538">
        <w:t>Viewed 18/07/2017, &lt;</w:t>
      </w:r>
      <w:hyperlink r:id="rId165" w:history="1">
        <w:r w:rsidRPr="00456161">
          <w:rPr>
            <w:rStyle w:val="Hyperlink"/>
          </w:rPr>
          <w:t>https://www.environment.gov.au/land/nrs/science/capad/2016</w:t>
        </w:r>
      </w:hyperlink>
      <w:r w:rsidR="00CB2538">
        <w:t>&gt;.</w:t>
      </w:r>
      <w:r w:rsidRPr="00356E9E">
        <w:t xml:space="preserve"> </w:t>
      </w:r>
    </w:p>
    <w:p w14:paraId="4B723EE5" w14:textId="3B963E1B" w:rsidR="00842B2D" w:rsidRDefault="00FE1F65" w:rsidP="00A43B22">
      <w:pPr>
        <w:pStyle w:val="References"/>
      </w:pPr>
      <w:r>
        <w:t>CSIRO</w:t>
      </w:r>
      <w:r w:rsidR="00842B2D">
        <w:t xml:space="preserve"> </w:t>
      </w:r>
      <w:r w:rsidR="00CB2538">
        <w:t>(</w:t>
      </w:r>
      <w:r w:rsidR="00842B2D">
        <w:t>2012a</w:t>
      </w:r>
      <w:r w:rsidR="00CB2538">
        <w:t>)</w:t>
      </w:r>
      <w:r w:rsidR="00842B2D">
        <w:t xml:space="preserve"> Water resource assessment for the Central Eromanga region. Canberra: Commonwealth of Australia. </w:t>
      </w:r>
    </w:p>
    <w:p w14:paraId="78E3BCDE" w14:textId="62A7E770" w:rsidR="00842B2D" w:rsidRDefault="00842B2D" w:rsidP="00A43B22">
      <w:pPr>
        <w:pStyle w:val="References"/>
      </w:pPr>
      <w:r>
        <w:t>CSI</w:t>
      </w:r>
      <w:r w:rsidR="00FE1F65">
        <w:t>RO</w:t>
      </w:r>
      <w:r>
        <w:t xml:space="preserve"> </w:t>
      </w:r>
      <w:r w:rsidR="00CB2538">
        <w:t>(</w:t>
      </w:r>
      <w:r>
        <w:t>2012b</w:t>
      </w:r>
      <w:r w:rsidR="00CB2538">
        <w:t>)</w:t>
      </w:r>
      <w:r>
        <w:t xml:space="preserve"> Water resource assessment for the Surat region. Canberra: Commonwealth of Australia.</w:t>
      </w:r>
    </w:p>
    <w:p w14:paraId="747457D7" w14:textId="3781B05F" w:rsidR="00A43B22" w:rsidRDefault="00A43B22" w:rsidP="00A43B22">
      <w:pPr>
        <w:pStyle w:val="References"/>
      </w:pPr>
      <w:r>
        <w:t xml:space="preserve">CSIRO </w:t>
      </w:r>
      <w:r w:rsidR="00CB2538">
        <w:t>(</w:t>
      </w:r>
      <w:r>
        <w:t>2008</w:t>
      </w:r>
      <w:r w:rsidR="00CB2538">
        <w:t>)</w:t>
      </w:r>
      <w:r>
        <w:t xml:space="preserve"> Water availability in the Condamine-Balonne. A report to the Australian Government from the CSIRO Murray-Darling Basin Sustainable Yields Project. CSIRO, Australia. 169pp. </w:t>
      </w:r>
    </w:p>
    <w:p w14:paraId="2E5AD22F" w14:textId="25927DE9" w:rsidR="00A43B22" w:rsidRPr="00A10F78" w:rsidRDefault="00A43B22" w:rsidP="00A43B22">
      <w:pPr>
        <w:pStyle w:val="References"/>
      </w:pPr>
      <w:r w:rsidRPr="00A10F78">
        <w:t xml:space="preserve">Coffey Environments Australia Pty Ltd </w:t>
      </w:r>
      <w:r w:rsidR="00CB2538">
        <w:t>(</w:t>
      </w:r>
      <w:r w:rsidRPr="00A10F78">
        <w:t>2014</w:t>
      </w:r>
      <w:r w:rsidR="00CB2538">
        <w:t>)</w:t>
      </w:r>
      <w:r w:rsidRPr="00A10F78">
        <w:t xml:space="preserve"> Supplementary Groundwater Assessment. Brisbane:</w:t>
      </w:r>
      <w:r>
        <w:t xml:space="preserve"> </w:t>
      </w:r>
      <w:r w:rsidRPr="00A10F78">
        <w:t>Arrow Energy</w:t>
      </w:r>
      <w:r w:rsidR="00755212">
        <w:t>.</w:t>
      </w:r>
    </w:p>
    <w:p w14:paraId="07D03FDD" w14:textId="079CCDAE" w:rsidR="00842B2D" w:rsidRDefault="00842B2D" w:rsidP="005E6901">
      <w:pPr>
        <w:pStyle w:val="References"/>
        <w:keepLines/>
        <w:rPr>
          <w:rStyle w:val="Hyperlink"/>
        </w:rPr>
      </w:pPr>
      <w:r w:rsidRPr="00A10F78">
        <w:lastRenderedPageBreak/>
        <w:t xml:space="preserve">DERM </w:t>
      </w:r>
      <w:r w:rsidR="00CB2538">
        <w:t>(</w:t>
      </w:r>
      <w:r w:rsidRPr="00A10F78">
        <w:t>2009</w:t>
      </w:r>
      <w:r w:rsidR="00CB2538">
        <w:t>)</w:t>
      </w:r>
      <w:r>
        <w:t xml:space="preserve"> </w:t>
      </w:r>
      <w:r w:rsidRPr="00A10F78">
        <w:t>A study of the cumulative impacts on water quality of mining activities in the Fitzroy River Basin</w:t>
      </w:r>
      <w:r>
        <w:t>.</w:t>
      </w:r>
      <w:r w:rsidR="00CB2538">
        <w:t xml:space="preserve"> Viewed 22/01/2018,</w:t>
      </w:r>
      <w:r>
        <w:t xml:space="preserve"> </w:t>
      </w:r>
      <w:r w:rsidR="00CB2538">
        <w:t>&lt;</w:t>
      </w:r>
      <w:hyperlink r:id="rId166" w:history="1">
        <w:r w:rsidRPr="004252BF">
          <w:rPr>
            <w:rStyle w:val="Hyperlink"/>
          </w:rPr>
          <w:t>http://riverhealth.org.au/wp-content/uploads/2017/05/A-study-of-the-cumulative-impacts-on-water-quality-of-mining-activites-i....pdf</w:t>
        </w:r>
      </w:hyperlink>
      <w:r w:rsidR="00CB2538">
        <w:rPr>
          <w:rStyle w:val="Hyperlink"/>
        </w:rPr>
        <w:t>&gt;.</w:t>
      </w:r>
    </w:p>
    <w:p w14:paraId="5B2EA46D" w14:textId="72A39DF1" w:rsidR="00842B2D" w:rsidRPr="001357D1" w:rsidRDefault="00755212" w:rsidP="00D15FEC">
      <w:pPr>
        <w:pStyle w:val="References"/>
      </w:pPr>
      <w:r>
        <w:t>DEWHA (</w:t>
      </w:r>
      <w:r w:rsidR="00842B2D">
        <w:t>Department of the Environment, Water, Heritage and the Arts</w:t>
      </w:r>
      <w:r>
        <w:t>)</w:t>
      </w:r>
      <w:r w:rsidR="00842B2D">
        <w:t xml:space="preserve"> </w:t>
      </w:r>
      <w:r w:rsidR="00CB2538">
        <w:t>(</w:t>
      </w:r>
      <w:r w:rsidR="00842B2D" w:rsidRPr="00A1090D">
        <w:t>2010</w:t>
      </w:r>
      <w:r w:rsidR="00CB2538">
        <w:t>)</w:t>
      </w:r>
      <w:r w:rsidR="00842B2D">
        <w:t xml:space="preserve"> </w:t>
      </w:r>
      <w:r w:rsidR="00842B2D" w:rsidRPr="00A1090D">
        <w:t>A Directory of Important Wetlands in Australia (DIWA) Spatial Database, third edition</w:t>
      </w:r>
      <w:r w:rsidR="00842B2D">
        <w:t xml:space="preserve">. </w:t>
      </w:r>
      <w:r w:rsidR="00CB2538">
        <w:t>Viewed 10/08/2017, &lt;</w:t>
      </w:r>
      <w:hyperlink r:id="rId167" w:history="1">
        <w:r w:rsidR="00CB2538" w:rsidRPr="00DA1EAB">
          <w:rPr>
            <w:rStyle w:val="Hyperlink"/>
          </w:rPr>
          <w:t>http://www.environment.gov.au/fed/catalog/search/resource/details.page?uuid=%7BE6C815D9-FB67-4372-AC25-81C7473CCD21%7D</w:t>
        </w:r>
      </w:hyperlink>
      <w:r w:rsidR="00CB2538">
        <w:t>&gt;.</w:t>
      </w:r>
    </w:p>
    <w:p w14:paraId="2766CAB5" w14:textId="4715A017" w:rsidR="00842B2D" w:rsidRDefault="00842B2D" w:rsidP="00A43B22">
      <w:pPr>
        <w:pStyle w:val="References"/>
      </w:pPr>
      <w:r w:rsidRPr="00636FF4">
        <w:t>DNRM (</w:t>
      </w:r>
      <w:r>
        <w:t xml:space="preserve">Department of Natural Resources and Mines) </w:t>
      </w:r>
      <w:r w:rsidR="00CB2538">
        <w:t>(</w:t>
      </w:r>
      <w:r w:rsidRPr="00636FF4">
        <w:t>2014</w:t>
      </w:r>
      <w:r w:rsidR="00CB2538">
        <w:t>)</w:t>
      </w:r>
      <w:r w:rsidRPr="00636FF4">
        <w:t xml:space="preserve"> "Water Resource Planning" </w:t>
      </w:r>
      <w:r w:rsidRPr="00960B30">
        <w:t>Queensland Murray-Darling Basin</w:t>
      </w:r>
      <w:r w:rsidRPr="00636FF4">
        <w:t>. Web page, Department of Natural Resources and Mines, Queensland Government.</w:t>
      </w:r>
      <w:r w:rsidR="00CB2538">
        <w:t xml:space="preserve"> Viewed 29/09/2017, &lt;</w:t>
      </w:r>
      <w:hyperlink r:id="rId168" w:history="1">
        <w:r w:rsidRPr="00495DBB">
          <w:rPr>
            <w:rStyle w:val="Hyperlink"/>
          </w:rPr>
          <w:t>https://www.dnrm.qld.gov.au/water/catchments-planning/qmdb/water-resource-planning</w:t>
        </w:r>
      </w:hyperlink>
      <w:r w:rsidR="00CB2538">
        <w:t>&gt;.</w:t>
      </w:r>
    </w:p>
    <w:p w14:paraId="05F6948C" w14:textId="181EA08B" w:rsidR="00A43B22" w:rsidRDefault="00A51CEF" w:rsidP="00A43B22">
      <w:pPr>
        <w:pStyle w:val="References"/>
      </w:pPr>
      <w:r>
        <w:t xml:space="preserve">DNRM (Department of Natural Resources and Mines) </w:t>
      </w:r>
      <w:r w:rsidR="00CB2538">
        <w:t>(</w:t>
      </w:r>
      <w:r w:rsidR="00A43B22">
        <w:t>2015</w:t>
      </w:r>
      <w:r w:rsidR="00CB2538">
        <w:t>)</w:t>
      </w:r>
      <w:r w:rsidR="00A43B22">
        <w:t xml:space="preserve"> </w:t>
      </w:r>
      <w:r w:rsidR="00A43B22" w:rsidRPr="00A10F78">
        <w:t>Fitzroy Basin: Resource operations Plan, September 2014, Amended September 2015</w:t>
      </w:r>
      <w:r w:rsidR="00A43B22">
        <w:t xml:space="preserve">. </w:t>
      </w:r>
      <w:r w:rsidR="00CB2538">
        <w:t>Viewed 29/09/2017, &lt;</w:t>
      </w:r>
      <w:hyperlink r:id="rId169" w:history="1">
        <w:r w:rsidR="00A43B22" w:rsidRPr="004252BF">
          <w:rPr>
            <w:rStyle w:val="Hyperlink"/>
          </w:rPr>
          <w:t>https://www.dnrm.qld.gov.au/__data/assets/pdf_file/0003/298650/fitzroy-rop-amendment-2015.pdf</w:t>
        </w:r>
      </w:hyperlink>
      <w:r w:rsidR="00CB2538">
        <w:rPr>
          <w:rStyle w:val="Hyperlink"/>
        </w:rPr>
        <w:t>&gt;.</w:t>
      </w:r>
    </w:p>
    <w:p w14:paraId="5FAD6140" w14:textId="6A01AAF7" w:rsidR="00A43B22" w:rsidRDefault="00A51CEF" w:rsidP="00A43B22">
      <w:pPr>
        <w:pStyle w:val="References"/>
      </w:pPr>
      <w:r>
        <w:t xml:space="preserve">DNRM (Department of Natural Resources and Mines) </w:t>
      </w:r>
      <w:r w:rsidR="00CB2538">
        <w:t>(</w:t>
      </w:r>
      <w:r w:rsidR="00A43B22" w:rsidRPr="00A10F78">
        <w:t>2016</w:t>
      </w:r>
      <w:r w:rsidR="00CB2538">
        <w:t>)</w:t>
      </w:r>
      <w:r w:rsidR="00A43B22" w:rsidRPr="00A10F78">
        <w:t xml:space="preserve"> Underground Water Impact Report for the Surat Cumulative Management Area 2016.</w:t>
      </w:r>
      <w:r w:rsidR="00A43B22">
        <w:t xml:space="preserve"> </w:t>
      </w:r>
      <w:r w:rsidR="00CB2538">
        <w:t>Viewed 29/09/2017, &lt;</w:t>
      </w:r>
      <w:hyperlink r:id="rId170" w:history="1">
        <w:r w:rsidR="00A43B22" w:rsidRPr="004252BF">
          <w:rPr>
            <w:rStyle w:val="Hyperlink"/>
          </w:rPr>
          <w:t>https://www.dnrm.qld.gov.au/__data/assets/pdf_file/0007/345616/uwir-surat-basin-2016.pdf</w:t>
        </w:r>
      </w:hyperlink>
      <w:r w:rsidR="00CB2538">
        <w:rPr>
          <w:rStyle w:val="Hyperlink"/>
        </w:rPr>
        <w:t>&gt;.</w:t>
      </w:r>
    </w:p>
    <w:p w14:paraId="1978BC67" w14:textId="5D08C7F4" w:rsidR="00A43B22" w:rsidRPr="00A10F78" w:rsidRDefault="00A51CEF" w:rsidP="00A43B22">
      <w:pPr>
        <w:pStyle w:val="References"/>
      </w:pPr>
      <w:r>
        <w:t xml:space="preserve">DNRM (Department of Natural Resources and Mines) </w:t>
      </w:r>
      <w:r w:rsidR="00CB2538">
        <w:t>(</w:t>
      </w:r>
      <w:r w:rsidR="00A43B22" w:rsidRPr="00A10F78">
        <w:t>2017a</w:t>
      </w:r>
      <w:r w:rsidR="00CB2538">
        <w:t>)</w:t>
      </w:r>
      <w:r w:rsidR="00A43B22" w:rsidRPr="00A10F78">
        <w:t xml:space="preserve"> Queensland’s petroleum and coal seam gas. Department of Natural Resources and Mines. </w:t>
      </w:r>
      <w:r w:rsidR="00CB2538">
        <w:t>Viewed 23/07/2017, &lt;</w:t>
      </w:r>
      <w:hyperlink r:id="rId171" w:history="1">
        <w:r w:rsidR="00A43B22" w:rsidRPr="001F09C8">
          <w:rPr>
            <w:rStyle w:val="Hyperlink"/>
          </w:rPr>
          <w:t>https://www.dnrm.qld.gov.au/__data/assets/pdf_file/0008/1237742/qld-petroleum-coal-seam-gas-2017.pdf</w:t>
        </w:r>
      </w:hyperlink>
      <w:r w:rsidR="00CB2538">
        <w:rPr>
          <w:rStyle w:val="Hyperlink"/>
        </w:rPr>
        <w:t>&gt;</w:t>
      </w:r>
    </w:p>
    <w:p w14:paraId="259C222A" w14:textId="71D77CD9" w:rsidR="00983C9B" w:rsidRPr="00CD20C0" w:rsidRDefault="00983C9B" w:rsidP="00983C9B">
      <w:pPr>
        <w:pStyle w:val="References"/>
      </w:pPr>
      <w:r w:rsidRPr="00CD20C0">
        <w:t>DNRM (Department of Natural Resources and Mines)</w:t>
      </w:r>
      <w:r>
        <w:t xml:space="preserve"> (2</w:t>
      </w:r>
      <w:r w:rsidRPr="00CD20C0">
        <w:t>0</w:t>
      </w:r>
      <w:r>
        <w:t>17b)</w:t>
      </w:r>
      <w:r w:rsidRPr="00CD20C0">
        <w:t xml:space="preserve"> Queensland’s unconventional petroleum potential – shale oil and gas, tight gas and coal seam gas. Department of Natural </w:t>
      </w:r>
      <w:r>
        <w:t>Resources and Mines, Queensland. Viewed</w:t>
      </w:r>
      <w:r w:rsidRPr="00CD20C0">
        <w:t xml:space="preserve"> </w:t>
      </w:r>
      <w:r>
        <w:t>16/01/2018, &lt;</w:t>
      </w:r>
      <w:hyperlink r:id="rId172" w:history="1">
        <w:r w:rsidRPr="00CD20C0">
          <w:rPr>
            <w:rStyle w:val="Hyperlink"/>
          </w:rPr>
          <w:t>https://www.business.qld.gov.au/industries/invest/mining/resources-potential/petroleum-gas</w:t>
        </w:r>
      </w:hyperlink>
      <w:r>
        <w:t xml:space="preserve">&gt;. </w:t>
      </w:r>
    </w:p>
    <w:p w14:paraId="0ACE390D" w14:textId="34EBD001" w:rsidR="00A43B22" w:rsidRDefault="00A43B22" w:rsidP="00A43B22">
      <w:pPr>
        <w:pStyle w:val="References"/>
      </w:pPr>
      <w:r>
        <w:t>DNRM</w:t>
      </w:r>
      <w:r w:rsidR="00A51CEF">
        <w:t xml:space="preserve"> (Department of Natural Resources and Mines) </w:t>
      </w:r>
      <w:r w:rsidR="00CB2538">
        <w:t>(</w:t>
      </w:r>
      <w:r w:rsidRPr="00A10F78">
        <w:t>2017</w:t>
      </w:r>
      <w:r>
        <w:t>c</w:t>
      </w:r>
      <w:r w:rsidR="00CB2538">
        <w:t>)</w:t>
      </w:r>
      <w:r w:rsidRPr="00A10F78">
        <w:t xml:space="preserve"> Burdekin Basin Water Management Protocol May 2017</w:t>
      </w:r>
      <w:r>
        <w:t xml:space="preserve">. </w:t>
      </w:r>
      <w:r w:rsidR="00CB2538">
        <w:t>Viewed</w:t>
      </w:r>
      <w:r w:rsidR="00CB2538" w:rsidRPr="00CD20C0">
        <w:t xml:space="preserve"> </w:t>
      </w:r>
      <w:r w:rsidR="00CB2538">
        <w:t>16/01/2018, &lt;</w:t>
      </w:r>
      <w:hyperlink r:id="rId173" w:history="1">
        <w:r w:rsidRPr="004252BF">
          <w:rPr>
            <w:rStyle w:val="Hyperlink"/>
          </w:rPr>
          <w:t>https://www.dnrm.qld.gov.au/__data/assets/pdf_file/0020/1253090/burdekin-basin-water-management-protocol.pdf</w:t>
        </w:r>
      </w:hyperlink>
      <w:r w:rsidR="00CB2538">
        <w:rPr>
          <w:rStyle w:val="Hyperlink"/>
        </w:rPr>
        <w:t>&gt;.</w:t>
      </w:r>
    </w:p>
    <w:p w14:paraId="3CC69E4A" w14:textId="77777777" w:rsidR="00B221F1" w:rsidRDefault="00B221F1" w:rsidP="00B221F1">
      <w:pPr>
        <w:pStyle w:val="References"/>
      </w:pPr>
      <w:r>
        <w:t>DNRME (Department of Natural Resources, Mines and Energy) (2017a) Petroleum well locations – Queensland. Viewed 23/07/2017, &lt;</w:t>
      </w:r>
      <w:hyperlink r:id="rId174" w:history="1">
        <w:r w:rsidRPr="00E46720">
          <w:rPr>
            <w:rStyle w:val="Hyperlink"/>
          </w:rPr>
          <w:t>http://qldspatial.information.qld.gov.au/catalogue/custom/detail.page?fid=%7bCBBE665F-60A8-4116-87C8-AEBF0D21B97C%7d</w:t>
        </w:r>
      </w:hyperlink>
      <w:r>
        <w:t>&gt;.</w:t>
      </w:r>
    </w:p>
    <w:p w14:paraId="2AB34DBB" w14:textId="77777777" w:rsidR="00B221F1" w:rsidRDefault="00B221F1" w:rsidP="00B221F1">
      <w:pPr>
        <w:pStyle w:val="References"/>
      </w:pPr>
      <w:r>
        <w:lastRenderedPageBreak/>
        <w:t>DNRME (Department of Natural Resources, Mines and Energy) (2017b) Seismic survey 2D – Queensland</w:t>
      </w:r>
      <w:r>
        <w:rPr>
          <w:b/>
        </w:rPr>
        <w:t xml:space="preserve">. </w:t>
      </w:r>
      <w:r>
        <w:t>Viewed 23/07/2017, &lt;</w:t>
      </w:r>
      <w:hyperlink r:id="rId175" w:history="1">
        <w:r w:rsidRPr="0065740D">
          <w:rPr>
            <w:rStyle w:val="Hyperlink"/>
          </w:rPr>
          <w:t>http://qldspatial.information.qld.gov.au/catalogue/custom/index.page</w:t>
        </w:r>
      </w:hyperlink>
      <w:r>
        <w:t>&gt;.</w:t>
      </w:r>
    </w:p>
    <w:p w14:paraId="24824DC4" w14:textId="77777777" w:rsidR="00B221F1" w:rsidRDefault="00B221F1" w:rsidP="00B221F1">
      <w:pPr>
        <w:pStyle w:val="References"/>
      </w:pPr>
      <w:r>
        <w:t>DNRME (Department of Natural Resources, Mines and Energy) (2017c) Seismic survey 3D – Queensland. Viewed 23/07/2017, &lt;</w:t>
      </w:r>
      <w:hyperlink r:id="rId176" w:history="1">
        <w:r w:rsidRPr="0065740D">
          <w:rPr>
            <w:rStyle w:val="Hyperlink"/>
          </w:rPr>
          <w:t>http://qldspatial.information.qld.gov.au/catalogue/custom/index.page</w:t>
        </w:r>
      </w:hyperlink>
      <w:r>
        <w:rPr>
          <w:rStyle w:val="Hyperlink"/>
        </w:rPr>
        <w:t>&gt;</w:t>
      </w:r>
      <w:r>
        <w:t>.</w:t>
      </w:r>
    </w:p>
    <w:p w14:paraId="35EE28D4" w14:textId="77777777" w:rsidR="00B221F1" w:rsidRDefault="00B221F1" w:rsidP="00B221F1">
      <w:pPr>
        <w:pStyle w:val="References"/>
      </w:pPr>
      <w:r>
        <w:t>DNRME (Department of Natural Resources, Mines and Energy) (2017d) Seismic survey deep – Queensland. Viewed 23/07/2017, &lt;</w:t>
      </w:r>
      <w:hyperlink r:id="rId177" w:history="1">
        <w:r w:rsidRPr="0065740D">
          <w:rPr>
            <w:rStyle w:val="Hyperlink"/>
          </w:rPr>
          <w:t>http://qldspatial.information.qld.gov.au/catalogue/custom/index.page</w:t>
        </w:r>
      </w:hyperlink>
      <w:r>
        <w:rPr>
          <w:rStyle w:val="Hyperlink"/>
        </w:rPr>
        <w:t>&gt;</w:t>
      </w:r>
      <w:r>
        <w:t>.</w:t>
      </w:r>
    </w:p>
    <w:p w14:paraId="246F70C8" w14:textId="27CCF7F8" w:rsidR="00A43B22" w:rsidRDefault="00A43B22" w:rsidP="00A43B22">
      <w:pPr>
        <w:pStyle w:val="References"/>
      </w:pPr>
      <w:r>
        <w:t xml:space="preserve">Draper JJ </w:t>
      </w:r>
      <w:r w:rsidR="00CB2538">
        <w:t>(</w:t>
      </w:r>
      <w:r>
        <w:t>2013</w:t>
      </w:r>
      <w:r w:rsidR="00CB2538">
        <w:t>)</w:t>
      </w:r>
      <w:r>
        <w:t xml:space="preserve"> Bowen Basin. In: Jell PA (</w:t>
      </w:r>
      <w:r w:rsidR="00D1276F">
        <w:t>ed.</w:t>
      </w:r>
      <w:r>
        <w:t>), Geology of Queensland. Geological Survey of Queensland, 371–384.</w:t>
      </w:r>
    </w:p>
    <w:p w14:paraId="0079B633" w14:textId="314D888F" w:rsidR="00842B2D" w:rsidRDefault="00842B2D" w:rsidP="00A43B22">
      <w:pPr>
        <w:pStyle w:val="References"/>
      </w:pPr>
      <w:r w:rsidRPr="00636FF4">
        <w:t>F</w:t>
      </w:r>
      <w:r>
        <w:t xml:space="preserve">ederal Register of Legislation </w:t>
      </w:r>
      <w:r w:rsidR="00CB2538">
        <w:t>(</w:t>
      </w:r>
      <w:r w:rsidRPr="00636FF4">
        <w:t>2012</w:t>
      </w:r>
      <w:r w:rsidR="00CB2538">
        <w:t>)</w:t>
      </w:r>
      <w:r>
        <w:t xml:space="preserve"> </w:t>
      </w:r>
      <w:r w:rsidRPr="00636FF4">
        <w:t>"Basin Plan 2012", instrument under the Water Act 2007</w:t>
      </w:r>
      <w:r>
        <w:t xml:space="preserve"> (Cwlth)</w:t>
      </w:r>
      <w:r w:rsidRPr="00636FF4">
        <w:t>, affecting the Murray-Darling B</w:t>
      </w:r>
      <w:r w:rsidR="00CB2538">
        <w:t>asin, compiled 23 January 2017. Viewed 29/09/2017, &lt;</w:t>
      </w:r>
      <w:hyperlink r:id="rId178" w:history="1">
        <w:r w:rsidRPr="00495DBB">
          <w:rPr>
            <w:rStyle w:val="Hyperlink"/>
          </w:rPr>
          <w:t>https://www.legislation.gov.au/Details/F2017C00078</w:t>
        </w:r>
      </w:hyperlink>
      <w:r w:rsidR="00CB2538">
        <w:t>&gt;.</w:t>
      </w:r>
    </w:p>
    <w:p w14:paraId="0B0797FB" w14:textId="77777777" w:rsidR="00FE4817" w:rsidRDefault="00FE4817" w:rsidP="00FE4817">
      <w:pPr>
        <w:pStyle w:val="References"/>
      </w:pPr>
      <w:r>
        <w:t xml:space="preserve">GA (Geoscience Australia) (2015a) </w:t>
      </w:r>
      <w:r w:rsidRPr="00093164">
        <w:t>Oil and Gas Infrastructure</w:t>
      </w:r>
      <w:r>
        <w:t>. Viewed 16/01/2018, &lt;</w:t>
      </w:r>
      <w:hyperlink r:id="rId179" w:history="1">
        <w:r w:rsidRPr="0065740D">
          <w:rPr>
            <w:rStyle w:val="Hyperlink"/>
          </w:rPr>
          <w:t>http://services.ga.gov.au/site_9/rest/services/Oil_Gas_Infrastructure/MapServer</w:t>
        </w:r>
      </w:hyperlink>
      <w:r>
        <w:rPr>
          <w:rStyle w:val="Hyperlink"/>
        </w:rPr>
        <w:t>&gt;.</w:t>
      </w:r>
    </w:p>
    <w:p w14:paraId="3D5E23DE" w14:textId="77777777" w:rsidR="00FE4817" w:rsidRDefault="00FE4817" w:rsidP="00FE4817">
      <w:pPr>
        <w:pStyle w:val="References"/>
      </w:pPr>
      <w:r>
        <w:t xml:space="preserve">GA (Geoscience Australia) (2015b) </w:t>
      </w:r>
      <w:r w:rsidRPr="00093164">
        <w:t xml:space="preserve">Oil and Gas </w:t>
      </w:r>
      <w:r>
        <w:t xml:space="preserve">platforms. </w:t>
      </w:r>
      <w:r w:rsidRPr="000C32BC">
        <w:t>Viewed 16/01/2018</w:t>
      </w:r>
      <w:r>
        <w:t>, &lt;</w:t>
      </w:r>
      <w:hyperlink r:id="rId180" w:anchor="!0a4a79dc-978a-0e89-e054-00144fdd4fa6" w:history="1">
        <w:r w:rsidRPr="00743C84">
          <w:rPr>
            <w:rStyle w:val="Hyperlink"/>
          </w:rPr>
          <w:t>https://ecat.ga.gov.au/geonetwork/srv/eng/search#!0a4a79dc-978a-0e89-e054-00144fdd4fa6</w:t>
        </w:r>
      </w:hyperlink>
      <w:r>
        <w:rPr>
          <w:rStyle w:val="Hyperlink"/>
        </w:rPr>
        <w:t>&gt;.</w:t>
      </w:r>
      <w:r>
        <w:t xml:space="preserve"> </w:t>
      </w:r>
    </w:p>
    <w:p w14:paraId="64C3FD63" w14:textId="5F0DC66F" w:rsidR="00842B2D" w:rsidRPr="00A10F78" w:rsidRDefault="00842B2D" w:rsidP="00A43B22">
      <w:pPr>
        <w:pStyle w:val="References"/>
      </w:pPr>
      <w:r w:rsidRPr="00A10F78">
        <w:t>Green PM (ed</w:t>
      </w:r>
      <w:r w:rsidR="00F63931">
        <w:t>.</w:t>
      </w:r>
      <w:r w:rsidRPr="00A10F78">
        <w:t xml:space="preserve">) </w:t>
      </w:r>
      <w:r w:rsidR="00FD10E9">
        <w:t>(</w:t>
      </w:r>
      <w:r w:rsidRPr="00A10F78">
        <w:t>1997</w:t>
      </w:r>
      <w:r w:rsidR="00FD10E9">
        <w:t>)</w:t>
      </w:r>
      <w:r w:rsidRPr="00A10F78">
        <w:t xml:space="preserve"> The Surat and Bowen Basins, south-east Queensland. Queensland Minerals and Energy Review Series, Queensland Department of Mines and Energy.</w:t>
      </w:r>
    </w:p>
    <w:p w14:paraId="42221C46" w14:textId="54B40F9D" w:rsidR="00A43B22" w:rsidRPr="0091296C" w:rsidRDefault="00A43B22" w:rsidP="00A43B22">
      <w:pPr>
        <w:pStyle w:val="References"/>
      </w:pPr>
      <w:r w:rsidRPr="0091296C">
        <w:t xml:space="preserve">Habermehl MA </w:t>
      </w:r>
      <w:r w:rsidR="00FD10E9">
        <w:t>(</w:t>
      </w:r>
      <w:r w:rsidRPr="0091296C">
        <w:t>2002</w:t>
      </w:r>
      <w:r w:rsidR="00FD10E9">
        <w:t>)</w:t>
      </w:r>
      <w:r w:rsidRPr="0091296C">
        <w:t xml:space="preserve"> Hydrogeology, hydrochemistry and isotope hydrology of the Great Artesian Basin. GAB Fest. </w:t>
      </w:r>
    </w:p>
    <w:p w14:paraId="4BC4E967" w14:textId="55979393" w:rsidR="00FD10E9" w:rsidRDefault="00FD10E9" w:rsidP="00FD10E9">
      <w:pPr>
        <w:pStyle w:val="References"/>
      </w:pPr>
      <w:r>
        <w:t>Hayes BJ, Nicholls P, Dorey K, Bresnahan R, McDougall W and Wickens C (2016) Comparing basin-centred gas prospectivity in the Bowen-Surat Basin (Queensland, Australia) with the Deep Basin of western Canada and the Piceance Basin of Utah. AAPG 2016 Annual Convention and Exhibition, Abstract. AAPG Search and Discovery Article #10866. Viewed 18/01/2018,</w:t>
      </w:r>
      <w:r w:rsidRPr="004C71B8">
        <w:t xml:space="preserve"> </w:t>
      </w:r>
      <w:r>
        <w:t>&lt;</w:t>
      </w:r>
      <w:hyperlink r:id="rId181" w:history="1">
        <w:r w:rsidRPr="00C03A7D">
          <w:rPr>
            <w:rStyle w:val="Hyperlink"/>
          </w:rPr>
          <w:t>http://www.searchanddiscovery.com/pdfz/documents/2016/10866hayes/ndx_hayes.pdf.html</w:t>
        </w:r>
      </w:hyperlink>
      <w:r>
        <w:rPr>
          <w:rStyle w:val="Hyperlink"/>
        </w:rPr>
        <w:t>&gt;.</w:t>
      </w:r>
    </w:p>
    <w:p w14:paraId="010287A4" w14:textId="619F576B" w:rsidR="00842B2D" w:rsidRPr="00960B30" w:rsidRDefault="00842B2D" w:rsidP="00960B30">
      <w:pPr>
        <w:pStyle w:val="References"/>
      </w:pPr>
      <w:r w:rsidRPr="00960B30">
        <w:t>Kellett JR, Pearce B, Coram J, Herczeg A, Wilkinson K and Cresswell R</w:t>
      </w:r>
      <w:r w:rsidR="00FE1F65" w:rsidRPr="00960B30">
        <w:t xml:space="preserve"> </w:t>
      </w:r>
      <w:r w:rsidR="00CB0530">
        <w:t>(</w:t>
      </w:r>
      <w:r w:rsidRPr="00960B30">
        <w:t>2006</w:t>
      </w:r>
      <w:r w:rsidR="00CB0530">
        <w:t>)</w:t>
      </w:r>
      <w:r w:rsidRPr="00960B30">
        <w:t xml:space="preserve"> National Action Plan for Salinity and Water Quality. Salinity investigations using airborne geophysics in the Lower Balonne area, Southern Queensland. Chamberlain T and Wilkinson K. Queensland, Department of Natural resources and Mines.</w:t>
      </w:r>
    </w:p>
    <w:p w14:paraId="6A59EF71" w14:textId="7651E603" w:rsidR="00A43B22" w:rsidRPr="00A10F78" w:rsidRDefault="00A43B22" w:rsidP="00A43B22">
      <w:pPr>
        <w:pStyle w:val="References"/>
      </w:pPr>
      <w:r w:rsidRPr="00A10F78">
        <w:t xml:space="preserve">Korsch RJ and Totterdell JM (eds) </w:t>
      </w:r>
      <w:r w:rsidR="00CB0530">
        <w:t>(</w:t>
      </w:r>
      <w:r w:rsidRPr="00A10F78">
        <w:t>2009</w:t>
      </w:r>
      <w:r w:rsidR="00CB0530">
        <w:t>)</w:t>
      </w:r>
      <w:r w:rsidRPr="00A10F78">
        <w:t xml:space="preserve"> Evolution of the Bowen, Gunnedah and Surat basins, eastern Australia (Thematic Issue). Australian Journal of Earth Sciences, 56(3).</w:t>
      </w:r>
    </w:p>
    <w:p w14:paraId="1743AD47" w14:textId="6B73E3F6" w:rsidR="00A43B22" w:rsidRPr="00C42B06" w:rsidRDefault="00A43B22" w:rsidP="001F09C8">
      <w:pPr>
        <w:pStyle w:val="References"/>
      </w:pPr>
      <w:r w:rsidRPr="001F09C8">
        <w:lastRenderedPageBreak/>
        <w:t>Larsen J, Leon J, McGrath C</w:t>
      </w:r>
      <w:r w:rsidR="00CB0530">
        <w:t xml:space="preserve"> and</w:t>
      </w:r>
      <w:r w:rsidRPr="001F09C8">
        <w:t xml:space="preserve"> Trancoso R </w:t>
      </w:r>
      <w:r w:rsidR="00CB0530">
        <w:t>(</w:t>
      </w:r>
      <w:r w:rsidRPr="001F09C8">
        <w:t>2013</w:t>
      </w:r>
      <w:r w:rsidR="00CB0530">
        <w:t>)</w:t>
      </w:r>
      <w:r w:rsidRPr="001F09C8">
        <w:t xml:space="preserve"> Review of the catchment processes relevant to the Great Barrier Reef region. G</w:t>
      </w:r>
      <w:r w:rsidRPr="00EB66FC">
        <w:t>reat Barrier Reef Marine Park Authority, Townsville</w:t>
      </w:r>
      <w:r w:rsidRPr="00C42B06">
        <w:t>.</w:t>
      </w:r>
    </w:p>
    <w:p w14:paraId="183C617F" w14:textId="7107AD79" w:rsidR="00842B2D" w:rsidRDefault="00842B2D" w:rsidP="00A43B22">
      <w:pPr>
        <w:pStyle w:val="References"/>
      </w:pPr>
      <w:r>
        <w:t xml:space="preserve">Marsh C, Kane R, Rick C, Aleks K </w:t>
      </w:r>
      <w:r w:rsidR="00DD43E4">
        <w:t>and</w:t>
      </w:r>
      <w:r>
        <w:t xml:space="preserve"> Ian N (2008) A Geological Review of the Galilee Basin, Queensland for Possible Storage of Carbon Dioxide. Canberra: CRC for Greenhouse Gas Technologies</w:t>
      </w:r>
    </w:p>
    <w:p w14:paraId="5F74FAC9" w14:textId="76FD6A82" w:rsidR="00842B2D" w:rsidRPr="00A10F78" w:rsidRDefault="00842B2D" w:rsidP="00A43B22">
      <w:pPr>
        <w:pStyle w:val="References"/>
      </w:pPr>
      <w:r w:rsidRPr="00A10F78">
        <w:t>Martinez JL, Raiber M</w:t>
      </w:r>
      <w:r w:rsidR="00CB0530">
        <w:t xml:space="preserve"> and</w:t>
      </w:r>
      <w:r w:rsidRPr="00A10F78">
        <w:t xml:space="preserve"> Cox ME</w:t>
      </w:r>
      <w:r w:rsidR="00CB0530">
        <w:t xml:space="preserve"> (</w:t>
      </w:r>
      <w:r w:rsidRPr="00A10F78">
        <w:t>2015</w:t>
      </w:r>
      <w:r w:rsidR="00CB0530">
        <w:t>)</w:t>
      </w:r>
      <w:r w:rsidRPr="00A10F78">
        <w:t xml:space="preserve"> Groundwater</w:t>
      </w:r>
      <w:r w:rsidRPr="000350BE">
        <w:t>‐</w:t>
      </w:r>
      <w:r w:rsidRPr="00A10F78">
        <w:t>surface water interaction in the Condamine River headwaters, Southeast Queensland, Australia: combining long-term hydrochemical records and isotope hydrology.</w:t>
      </w:r>
      <w:r>
        <w:t xml:space="preserve"> </w:t>
      </w:r>
      <w:r w:rsidRPr="00A10F78">
        <w:t>Poster at the 42nd IAH Congress, Rome, Italy, September 2015</w:t>
      </w:r>
      <w:r w:rsidR="00755212">
        <w:t>.</w:t>
      </w:r>
    </w:p>
    <w:p w14:paraId="25C5CCF5" w14:textId="10361864" w:rsidR="00842B2D" w:rsidRPr="00F3554C" w:rsidRDefault="00842B2D" w:rsidP="00D15FEC">
      <w:pPr>
        <w:pStyle w:val="References"/>
      </w:pPr>
      <w:r>
        <w:t xml:space="preserve">MDBA (Murray-Darling Basin Authority) </w:t>
      </w:r>
      <w:r w:rsidR="00CB0530">
        <w:t>(</w:t>
      </w:r>
      <w:r>
        <w:t>2015a</w:t>
      </w:r>
      <w:r w:rsidR="00CB0530">
        <w:t>)</w:t>
      </w:r>
      <w:r>
        <w:t xml:space="preserve"> Condamine–Balonne Catchment, </w:t>
      </w:r>
      <w:r w:rsidRPr="000350BE">
        <w:t>Discover the Basin</w:t>
      </w:r>
      <w:r w:rsidR="00CB0530">
        <w:t>. Viewed 13/09/2017, &lt;</w:t>
      </w:r>
      <w:hyperlink r:id="rId182" w:history="1">
        <w:r w:rsidRPr="003C513B">
          <w:rPr>
            <w:rStyle w:val="Hyperlink"/>
          </w:rPr>
          <w:t>https://www.mdba.gov.au/discover-basin/catchments/condamine-balonne</w:t>
        </w:r>
      </w:hyperlink>
      <w:r w:rsidR="00CB0530">
        <w:t>&gt;.</w:t>
      </w:r>
    </w:p>
    <w:p w14:paraId="3054A7F9" w14:textId="54FA8918" w:rsidR="00842B2D" w:rsidRDefault="00842B2D" w:rsidP="00A43B22">
      <w:pPr>
        <w:pStyle w:val="References"/>
      </w:pPr>
      <w:r w:rsidRPr="00636FF4">
        <w:t>MDBA (Murray-Darlin</w:t>
      </w:r>
      <w:r>
        <w:t>g</w:t>
      </w:r>
      <w:r w:rsidRPr="00636FF4">
        <w:t xml:space="preserve"> Basin Authority) </w:t>
      </w:r>
      <w:r w:rsidR="00CB0530">
        <w:t>(</w:t>
      </w:r>
      <w:r w:rsidRPr="00636FF4">
        <w:t>2015</w:t>
      </w:r>
      <w:r>
        <w:t>b</w:t>
      </w:r>
      <w:r w:rsidR="00CB0530">
        <w:t>)</w:t>
      </w:r>
      <w:r w:rsidRPr="00636FF4">
        <w:t xml:space="preserve"> "Basin Plan". Web page, Murray-Darling Basin Authority, Australian Government. </w:t>
      </w:r>
      <w:r w:rsidR="00CB0530">
        <w:t>Viewed 29/09/2017, &lt;</w:t>
      </w:r>
      <w:hyperlink r:id="rId183" w:history="1">
        <w:r w:rsidRPr="00495DBB">
          <w:rPr>
            <w:rStyle w:val="Hyperlink"/>
          </w:rPr>
          <w:t>https://www.mdba.gov.au/basin-plan</w:t>
        </w:r>
      </w:hyperlink>
      <w:r w:rsidR="00CB0530">
        <w:t>&gt;.</w:t>
      </w:r>
    </w:p>
    <w:p w14:paraId="7932D792" w14:textId="6F9FACBC" w:rsidR="00842B2D" w:rsidRPr="00A10F78" w:rsidRDefault="00842B2D" w:rsidP="00A43B22">
      <w:pPr>
        <w:pStyle w:val="References"/>
      </w:pPr>
      <w:r w:rsidRPr="00A10F78">
        <w:t xml:space="preserve">Nicholls P, Bresnahan R, Hayes BJ, Dorey K and McDougall W </w:t>
      </w:r>
      <w:r w:rsidR="00CB0530">
        <w:t>(</w:t>
      </w:r>
      <w:r w:rsidRPr="00A10F78">
        <w:t>2015</w:t>
      </w:r>
      <w:r w:rsidR="00CB0530">
        <w:t>)</w:t>
      </w:r>
      <w:r w:rsidRPr="00A10F78">
        <w:t xml:space="preserve"> Unconventional resource potential of the Taroom Trough in the southern Surat-Bowen Basin, Queensland, Australia. AAPG/SEG International Conference and Exhibition, Melbourne, Australia, Extended Abstract. AAPG Search and Discovery Article #10804. </w:t>
      </w:r>
      <w:r w:rsidR="00CB0530">
        <w:t>Viewed 22/01/2018, &lt;</w:t>
      </w:r>
      <w:hyperlink r:id="rId184" w:history="1">
        <w:r w:rsidR="00755212" w:rsidRPr="004B1F99">
          <w:rPr>
            <w:rStyle w:val="Hyperlink"/>
          </w:rPr>
          <w:t>http://www.searchanddiscovery.com/documents/2015/10804nicholls/ndx_nicholls.pdf</w:t>
        </w:r>
      </w:hyperlink>
      <w:r w:rsidR="00CB0530">
        <w:rPr>
          <w:rStyle w:val="Hyperlink"/>
        </w:rPr>
        <w:t>&gt;.</w:t>
      </w:r>
    </w:p>
    <w:p w14:paraId="2E84FEA4" w14:textId="2482508E" w:rsidR="00842B2D" w:rsidRPr="00B01B06" w:rsidRDefault="00842B2D" w:rsidP="00B01B06">
      <w:pPr>
        <w:pStyle w:val="References"/>
      </w:pPr>
      <w:r w:rsidRPr="00B01B06">
        <w:t xml:space="preserve">Noble RM, Duivenvoorden LJ, Rummenie SK, Long PE and Fabbro LD </w:t>
      </w:r>
      <w:r w:rsidR="00CB0530">
        <w:t>(</w:t>
      </w:r>
      <w:r w:rsidRPr="00B01B06">
        <w:t>1996</w:t>
      </w:r>
      <w:r w:rsidR="00CB0530">
        <w:t>)</w:t>
      </w:r>
      <w:r w:rsidRPr="00B01B06">
        <w:t xml:space="preserve"> Downstream Effects of Land Use. Department of Natural Resources, Brisbane.</w:t>
      </w:r>
    </w:p>
    <w:p w14:paraId="3F29A422" w14:textId="4EA306F4" w:rsidR="00842B2D" w:rsidRDefault="00842B2D" w:rsidP="00A43B22">
      <w:pPr>
        <w:pStyle w:val="References"/>
      </w:pPr>
      <w:r>
        <w:t xml:space="preserve">Queensland Government </w:t>
      </w:r>
      <w:r w:rsidR="00CB0530">
        <w:t>(</w:t>
      </w:r>
      <w:r w:rsidRPr="00636FF4">
        <w:t>2000</w:t>
      </w:r>
      <w:r w:rsidR="00CB0530">
        <w:t>)</w:t>
      </w:r>
      <w:r w:rsidRPr="00636FF4">
        <w:t xml:space="preserve"> "Water Act 2000". Act of the Parliament of Queensland, Current as at 3 July 2017. </w:t>
      </w:r>
      <w:r w:rsidR="00CB0530">
        <w:t>Viewed 29/09/2018, &lt;</w:t>
      </w:r>
      <w:hyperlink r:id="rId185" w:history="1">
        <w:r w:rsidRPr="00495DBB">
          <w:rPr>
            <w:rStyle w:val="Hyperlink"/>
          </w:rPr>
          <w:t>https://www.legislation.qld.gov.au/view/pdf/inforce/current/act-2000-034</w:t>
        </w:r>
      </w:hyperlink>
      <w:r w:rsidR="00CB0530">
        <w:t>&gt;.</w:t>
      </w:r>
    </w:p>
    <w:p w14:paraId="3B8A7BED" w14:textId="12BC20CE" w:rsidR="00842B2D" w:rsidRDefault="00842B2D" w:rsidP="00D15FEC">
      <w:pPr>
        <w:pStyle w:val="References"/>
      </w:pPr>
      <w:r>
        <w:t xml:space="preserve">Queensland Government </w:t>
      </w:r>
      <w:r w:rsidR="00CB0530">
        <w:t>(</w:t>
      </w:r>
      <w:r>
        <w:t>2006</w:t>
      </w:r>
      <w:r w:rsidR="00CB0530">
        <w:t>)</w:t>
      </w:r>
      <w:r>
        <w:t xml:space="preserve"> “Water Plan (Great Artesian Basin) 2006”, legislation under the Water Act 2000 (Qld), current as at 3 July 2017, </w:t>
      </w:r>
      <w:r w:rsidR="00CB0530">
        <w:t>Viewed 04/08/2017, &lt;</w:t>
      </w:r>
      <w:hyperlink r:id="rId186" w:history="1">
        <w:r w:rsidRPr="00495DBB">
          <w:rPr>
            <w:rStyle w:val="Hyperlink"/>
          </w:rPr>
          <w:t>https://www.legislation.qld.gov.au/LEGISLTN/CURRENT/W/WaterReGABP06.pdf</w:t>
        </w:r>
      </w:hyperlink>
      <w:r w:rsidR="00CB0530">
        <w:t>&gt;.</w:t>
      </w:r>
    </w:p>
    <w:p w14:paraId="6A8A6B53" w14:textId="3042E1BC" w:rsidR="00842B2D" w:rsidRPr="00984FAD" w:rsidRDefault="00842B2D" w:rsidP="00D15FEC">
      <w:pPr>
        <w:pStyle w:val="References"/>
      </w:pPr>
      <w:r>
        <w:t xml:space="preserve">Queensland Water Commission </w:t>
      </w:r>
      <w:r w:rsidR="00CB0530">
        <w:t>(</w:t>
      </w:r>
      <w:r>
        <w:t>2012</w:t>
      </w:r>
      <w:r w:rsidR="00CB0530">
        <w:t>)</w:t>
      </w:r>
      <w:r>
        <w:t xml:space="preserve"> </w:t>
      </w:r>
      <w:r w:rsidR="00755212">
        <w:t xml:space="preserve">Annual Report 2011-12, Queensland Water Commission. </w:t>
      </w:r>
      <w:r>
        <w:t>ISSN 1837-4832 (Print)</w:t>
      </w:r>
      <w:r w:rsidR="00755212">
        <w:t>.</w:t>
      </w:r>
    </w:p>
    <w:p w14:paraId="05F3F24F" w14:textId="30A9E996" w:rsidR="00456161" w:rsidRPr="00456161" w:rsidRDefault="00456161" w:rsidP="00456161">
      <w:pPr>
        <w:pStyle w:val="References"/>
      </w:pPr>
      <w:r w:rsidRPr="00456161">
        <w:t xml:space="preserve">Queensland Government </w:t>
      </w:r>
      <w:r w:rsidR="00CB0530">
        <w:t>(</w:t>
      </w:r>
      <w:r w:rsidRPr="00456161">
        <w:t>2017</w:t>
      </w:r>
      <w:r w:rsidR="00CB0530">
        <w:t>)</w:t>
      </w:r>
      <w:r w:rsidRPr="00456161">
        <w:t xml:space="preserve"> Drilling, completion and abandonment of petroleum wells. </w:t>
      </w:r>
      <w:r w:rsidR="009814FC">
        <w:t xml:space="preserve">Viewed 29/09/2018, </w:t>
      </w:r>
      <w:hyperlink r:id="rId187" w:history="1">
        <w:r w:rsidR="009814FC" w:rsidRPr="003E47FE">
          <w:rPr>
            <w:rStyle w:val="Hyperlink"/>
          </w:rPr>
          <w:t>https://www.business.qld.gov.au/industries/mining-energy-water/resources/applications-compliance/lodging-statutory-reports/petroleum-gas-reporting/petroleum-wells</w:t>
        </w:r>
      </w:hyperlink>
      <w:r w:rsidR="009814FC">
        <w:t>.</w:t>
      </w:r>
    </w:p>
    <w:p w14:paraId="5B4436C7" w14:textId="3833B8B6" w:rsidR="00842B2D" w:rsidRDefault="00842B2D" w:rsidP="00A43B22">
      <w:pPr>
        <w:pStyle w:val="References"/>
      </w:pPr>
      <w:r>
        <w:t xml:space="preserve">Radke BM, Ferguson J, Cresswell RG, Ransley TR, Habermehl MA </w:t>
      </w:r>
      <w:r w:rsidR="009814FC">
        <w:t>(</w:t>
      </w:r>
      <w:r w:rsidR="00FE1F65">
        <w:t>2000</w:t>
      </w:r>
      <w:r w:rsidR="009814FC">
        <w:t>)</w:t>
      </w:r>
      <w:r>
        <w:t xml:space="preserve"> Hydrochemistry and implied hydrodynamics of the Cadnaowie – Hooray Aquifer, Great Artesian Basin. Bureau of Rural Sciences, Canberra ISBN 0 642 47554 7. </w:t>
      </w:r>
    </w:p>
    <w:p w14:paraId="5DAA8CDF" w14:textId="77777777" w:rsidR="00CB0530" w:rsidRDefault="00CB0530" w:rsidP="00CB0530">
      <w:pPr>
        <w:pStyle w:val="References"/>
      </w:pPr>
      <w:r>
        <w:lastRenderedPageBreak/>
        <w:t>Raymond OL, Gallagher R and Highet LM (2012) Surface geology of Australia, 1:2 500 00 scale, 2012 edition. Geoscience Australia, Canberra. Viewed 16/01/2018, &lt;</w:t>
      </w:r>
      <w:hyperlink r:id="rId188" w:anchor="!b4088aa1-f875-2444-e044-00144fdd4fa6" w:history="1">
        <w:r w:rsidRPr="00A576A0">
          <w:rPr>
            <w:rStyle w:val="Hyperlink"/>
          </w:rPr>
          <w:t>https://ecat.ga.gov.au/geonetwork/srv/eng/search#!b4088aa1-f875-2444-e044-00144fdd4fa6</w:t>
        </w:r>
      </w:hyperlink>
      <w:r>
        <w:rPr>
          <w:rStyle w:val="Hyperlink"/>
        </w:rPr>
        <w:t>&gt;.</w:t>
      </w:r>
      <w:r>
        <w:t xml:space="preserve">   </w:t>
      </w:r>
    </w:p>
    <w:p w14:paraId="1858A559" w14:textId="31D8C2B0" w:rsidR="00A43B22" w:rsidRPr="00A10F78" w:rsidRDefault="00A43B22" w:rsidP="00A43B22">
      <w:pPr>
        <w:pStyle w:val="References"/>
      </w:pPr>
      <w:r w:rsidRPr="00A10F78">
        <w:t xml:space="preserve">RPS </w:t>
      </w:r>
      <w:r w:rsidR="009814FC">
        <w:t>(</w:t>
      </w:r>
      <w:r w:rsidRPr="00A10F78">
        <w:t>2012</w:t>
      </w:r>
      <w:r w:rsidR="009814FC">
        <w:t>)</w:t>
      </w:r>
      <w:r w:rsidRPr="00A10F78">
        <w:t xml:space="preserve"> Galilee Basin - Report on the Hydrogeological Investigations. Brisbane: Galilee Basin Operators Forum. </w:t>
      </w:r>
    </w:p>
    <w:p w14:paraId="1BCC0946" w14:textId="2F9270BD" w:rsidR="00A43B22" w:rsidRPr="00A10F78" w:rsidRDefault="00A43B22" w:rsidP="00A43B22">
      <w:pPr>
        <w:pStyle w:val="References"/>
      </w:pPr>
      <w:r w:rsidRPr="00A10F78">
        <w:t>SKM and SunWater</w:t>
      </w:r>
      <w:r>
        <w:t xml:space="preserve"> </w:t>
      </w:r>
      <w:r w:rsidR="009814FC">
        <w:t>(</w:t>
      </w:r>
      <w:r w:rsidRPr="00A10F78">
        <w:t>2012</w:t>
      </w:r>
      <w:r w:rsidR="009814FC">
        <w:t>)</w:t>
      </w:r>
      <w:r w:rsidRPr="00A10F78">
        <w:t xml:space="preserve"> Nathan Dam Environmental Impact Statement, Chapter 14: Surface Water</w:t>
      </w:r>
      <w:r w:rsidR="00F60B5E">
        <w:t>.</w:t>
      </w:r>
    </w:p>
    <w:p w14:paraId="7D8C86E9" w14:textId="0D13814E" w:rsidR="00A43B22" w:rsidRPr="00A10F78" w:rsidRDefault="00A43B22" w:rsidP="00A43B22">
      <w:pPr>
        <w:pStyle w:val="References"/>
      </w:pPr>
      <w:r>
        <w:t>Smerdon B and</w:t>
      </w:r>
      <w:r w:rsidRPr="00A10F78">
        <w:t xml:space="preserve"> Ransley T</w:t>
      </w:r>
      <w:r>
        <w:t xml:space="preserve"> </w:t>
      </w:r>
      <w:r w:rsidR="009814FC">
        <w:t>(</w:t>
      </w:r>
      <w:r w:rsidRPr="00A10F78">
        <w:t>2012</w:t>
      </w:r>
      <w:r w:rsidR="009814FC">
        <w:t>)</w:t>
      </w:r>
      <w:r w:rsidRPr="00A10F78">
        <w:t xml:space="preserve"> Water resource assessment for the Surat region (1st ed.). Canberra: Commonwealth of Australia</w:t>
      </w:r>
      <w:r w:rsidR="00F60B5E">
        <w:t>.</w:t>
      </w:r>
    </w:p>
    <w:p w14:paraId="7021AEC8" w14:textId="77777777" w:rsidR="00CB0530" w:rsidRPr="00E70BDF" w:rsidRDefault="00CB0530" w:rsidP="00CB0530">
      <w:pPr>
        <w:pStyle w:val="References"/>
        <w:rPr>
          <w:rStyle w:val="Hyperlink"/>
        </w:rPr>
      </w:pPr>
      <w:r>
        <w:t>Stewart AJ, Raymond OL, Totterdell JM, Zhang W and Gallagher R (2013) Australian Geological Provinces, 2013.01 edition, scale 1:2 500 000. Geoscience Australia, Canberra. Viewed 16/01/2018, &lt;</w:t>
      </w:r>
      <w:hyperlink r:id="rId189" w:anchor="!2680f4bb-8494-14fc-e053-10a3070a4107" w:history="1">
        <w:r w:rsidRPr="0065740D">
          <w:rPr>
            <w:rStyle w:val="Hyperlink"/>
          </w:rPr>
          <w:t>https://ecat.ga.gov.au/geonetwork/srv/eng/search#!2680f4bb-8494-14fc-e053-10a3070a4107</w:t>
        </w:r>
      </w:hyperlink>
      <w:r>
        <w:rPr>
          <w:rStyle w:val="Hyperlink"/>
        </w:rPr>
        <w:t>&gt;.</w:t>
      </w:r>
      <w:r>
        <w:t xml:space="preserve"> </w:t>
      </w:r>
    </w:p>
    <w:p w14:paraId="4A89E88A" w14:textId="04365883" w:rsidR="00842B2D" w:rsidRDefault="00842B2D" w:rsidP="00A43B22">
      <w:pPr>
        <w:pStyle w:val="References"/>
      </w:pPr>
      <w:r>
        <w:t>Thoms MC</w:t>
      </w:r>
      <w:r w:rsidR="009814FC">
        <w:t xml:space="preserve"> and</w:t>
      </w:r>
      <w:r>
        <w:t xml:space="preserve"> Parsons</w:t>
      </w:r>
      <w:r w:rsidR="009814FC">
        <w:t xml:space="preserve"> (</w:t>
      </w:r>
      <w:r>
        <w:t>2003</w:t>
      </w:r>
      <w:r w:rsidR="009814FC">
        <w:t>)</w:t>
      </w:r>
      <w:r>
        <w:t xml:space="preserve"> Identifying spatial and temporal patterns in the hydrological character of the Condamine-Balonne River, Australia, using multivariate statistics. River Res. Appl. 19, 443–457</w:t>
      </w:r>
    </w:p>
    <w:p w14:paraId="27AACFF9" w14:textId="50492BDD" w:rsidR="00842B2D" w:rsidRDefault="00842B2D" w:rsidP="00A43B22">
      <w:pPr>
        <w:pStyle w:val="References"/>
        <w:rPr>
          <w:rStyle w:val="Hyperlink"/>
        </w:rPr>
      </w:pPr>
      <w:r w:rsidRPr="00A10F78">
        <w:t xml:space="preserve">URS </w:t>
      </w:r>
      <w:r w:rsidR="009814FC">
        <w:t>(</w:t>
      </w:r>
      <w:r w:rsidRPr="00A10F78">
        <w:t>2012</w:t>
      </w:r>
      <w:r w:rsidR="009814FC">
        <w:t>)</w:t>
      </w:r>
      <w:r w:rsidRPr="00A10F78">
        <w:t xml:space="preserve"> Groundwater Impact Assessment Bowen Gas Project. Appendix L of Arrow Bowen Gas Project EIS. Brisbane: Arrow Energy</w:t>
      </w:r>
      <w:r>
        <w:t xml:space="preserve">. </w:t>
      </w:r>
      <w:hyperlink r:id="rId190" w:history="1">
        <w:r w:rsidRPr="004252BF">
          <w:rPr>
            <w:rStyle w:val="Hyperlink"/>
          </w:rPr>
          <w:t>https://www.arrowenergy.com.au/__data/assets/pdf_file/0008/3869/Appendix-L_Groundwater-and-Geology-Technical-Report.pdf</w:t>
        </w:r>
      </w:hyperlink>
    </w:p>
    <w:p w14:paraId="00EEC709" w14:textId="1BF5B7E9" w:rsidR="00A43B22" w:rsidRPr="00A10F78" w:rsidRDefault="00A43B22" w:rsidP="00A43B22">
      <w:pPr>
        <w:pStyle w:val="References"/>
      </w:pPr>
      <w:r w:rsidRPr="00A10F78">
        <w:t xml:space="preserve">Welsh W, Herron N, Rohead-O’Brien H, Ransley T, Aryal S, Mitchell P, Buckerfield S and Marshall S </w:t>
      </w:r>
      <w:r w:rsidR="009814FC">
        <w:t>(</w:t>
      </w:r>
      <w:r w:rsidRPr="00A10F78">
        <w:t>2014</w:t>
      </w:r>
      <w:r w:rsidR="009814FC">
        <w:t>)</w:t>
      </w:r>
      <w:r w:rsidRPr="00A10F78">
        <w:t xml:space="preserve"> Context statement for the Maranoa-Balonne-Condamine subregion. Product 1.1 for the Maranoa-Balonne-Condamine from the Northern Inland Catchments Bioregional Assessment. Department of the Environment, Bureau of Meteorology, CSIRO and Geoscience Australia, Australia.</w:t>
      </w:r>
    </w:p>
    <w:p w14:paraId="63564BC1" w14:textId="77777777" w:rsidR="00A43B22" w:rsidRPr="00EE2FC4" w:rsidRDefault="00A43B22" w:rsidP="00A43B22">
      <w:pPr>
        <w:pStyle w:val="BodyText"/>
      </w:pPr>
    </w:p>
    <w:p w14:paraId="00A520C2" w14:textId="77777777" w:rsidR="00A43B22" w:rsidRDefault="00A43B22" w:rsidP="00A43B22">
      <w:pPr>
        <w:pStyle w:val="BodyText"/>
      </w:pPr>
    </w:p>
    <w:p w14:paraId="59E651CC" w14:textId="77777777" w:rsidR="0094665C" w:rsidRDefault="0094665C" w:rsidP="000350BE">
      <w:pPr>
        <w:pStyle w:val="BodyText"/>
        <w:rPr>
          <w:rFonts w:asciiTheme="majorHAnsi" w:eastAsia="Times New Roman" w:hAnsiTheme="majorHAnsi"/>
          <w:color w:val="146692" w:themeColor="text2"/>
          <w:sz w:val="36"/>
          <w:szCs w:val="72"/>
        </w:rPr>
      </w:pPr>
      <w:r>
        <w:br w:type="page"/>
      </w:r>
    </w:p>
    <w:p w14:paraId="73DCD619" w14:textId="77777777" w:rsidR="008B38C1" w:rsidRDefault="008B38C1" w:rsidP="00122671">
      <w:pPr>
        <w:pStyle w:val="AppendixHeading2"/>
        <w:keepNext/>
      </w:pPr>
      <w:bookmarkStart w:id="131" w:name="_Toc517161139"/>
      <w:r>
        <w:lastRenderedPageBreak/>
        <w:t>Clarence-Moreton Basin</w:t>
      </w:r>
      <w:bookmarkEnd w:id="131"/>
    </w:p>
    <w:p w14:paraId="7A0E8453" w14:textId="77777777" w:rsidR="008B38C1" w:rsidRDefault="00B92BE0" w:rsidP="00122671">
      <w:pPr>
        <w:pStyle w:val="Caption"/>
        <w:keepNext w:val="0"/>
      </w:pPr>
      <w:bookmarkStart w:id="132" w:name="_Toc508972163"/>
      <w:r w:rsidRPr="00B92BE0">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92BE0">
        <w:t>.</w:t>
      </w:r>
      <w:r w:rsidR="008079F1">
        <w:fldChar w:fldCharType="begin"/>
      </w:r>
      <w:r w:rsidR="008079F1">
        <w:instrText xml:space="preserve"> SEQ Apx_Table \* ARABIC \s 9 </w:instrText>
      </w:r>
      <w:r w:rsidR="008079F1">
        <w:fldChar w:fldCharType="separate"/>
      </w:r>
      <w:r w:rsidR="00640CCB">
        <w:rPr>
          <w:noProof/>
        </w:rPr>
        <w:t>14</w:t>
      </w:r>
      <w:r w:rsidR="008079F1">
        <w:rPr>
          <w:noProof/>
        </w:rPr>
        <w:fldChar w:fldCharType="end"/>
      </w:r>
      <w:r w:rsidRPr="00B92BE0">
        <w:t xml:space="preserve"> </w:t>
      </w:r>
      <w:r w:rsidR="008B38C1" w:rsidRPr="00B92BE0">
        <w:t>Geology and petroleum prospectivity summary</w:t>
      </w:r>
      <w:r w:rsidR="00A24BC9">
        <w:t>.</w:t>
      </w:r>
      <w:bookmarkEnd w:id="132"/>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28" w:type="dxa"/>
          <w:right w:w="57" w:type="dxa"/>
        </w:tblCellMar>
        <w:tblLook w:val="04A0" w:firstRow="1" w:lastRow="0" w:firstColumn="1" w:lastColumn="0" w:noHBand="0" w:noVBand="1"/>
      </w:tblPr>
      <w:tblGrid>
        <w:gridCol w:w="4102"/>
        <w:gridCol w:w="5517"/>
      </w:tblGrid>
      <w:tr w:rsidR="00466AB2" w14:paraId="2A9A026A" w14:textId="77777777" w:rsidTr="00CA7302">
        <w:tc>
          <w:tcPr>
            <w:tcW w:w="9629" w:type="dxa"/>
            <w:gridSpan w:val="2"/>
            <w:shd w:val="clear" w:color="auto" w:fill="146692"/>
          </w:tcPr>
          <w:p w14:paraId="2F6AADCB" w14:textId="32A40BC4" w:rsidR="00466AB2" w:rsidRPr="00466AB2" w:rsidRDefault="00466AB2" w:rsidP="00466AB2">
            <w:pPr>
              <w:pStyle w:val="BodyText"/>
              <w:spacing w:beforeLines="20" w:before="48" w:afterLines="20" w:after="48" w:line="120" w:lineRule="atLeast"/>
            </w:pPr>
            <w:r w:rsidRPr="00466AB2">
              <w:rPr>
                <w:b/>
                <w:color w:val="FFFFFF" w:themeColor="background1"/>
              </w:rPr>
              <w:t>GENERAL</w:t>
            </w:r>
          </w:p>
        </w:tc>
      </w:tr>
      <w:tr w:rsidR="00030D0E" w14:paraId="78A1385D" w14:textId="77777777" w:rsidTr="00CA7302">
        <w:tc>
          <w:tcPr>
            <w:tcW w:w="4106" w:type="dxa"/>
            <w:shd w:val="clear" w:color="auto" w:fill="146692"/>
          </w:tcPr>
          <w:p w14:paraId="715B62CA" w14:textId="33F9E250"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Jurisdiction</w:t>
            </w:r>
          </w:p>
        </w:tc>
        <w:tc>
          <w:tcPr>
            <w:tcW w:w="5523" w:type="dxa"/>
            <w:shd w:val="clear" w:color="auto" w:fill="E1F2FB"/>
          </w:tcPr>
          <w:p w14:paraId="59E9C7C2" w14:textId="146BF7DF" w:rsidR="00030D0E" w:rsidRPr="00466AB2" w:rsidRDefault="00030D0E" w:rsidP="00466AB2">
            <w:pPr>
              <w:pStyle w:val="BodyText"/>
              <w:spacing w:beforeLines="20" w:before="48" w:afterLines="20" w:after="48" w:line="120" w:lineRule="atLeast"/>
            </w:pPr>
            <w:r w:rsidRPr="00466AB2">
              <w:t>New South Wales, Queensland</w:t>
            </w:r>
          </w:p>
        </w:tc>
      </w:tr>
      <w:tr w:rsidR="00030D0E" w14:paraId="3679FB06" w14:textId="77777777" w:rsidTr="00CA7302">
        <w:tc>
          <w:tcPr>
            <w:tcW w:w="4106" w:type="dxa"/>
            <w:shd w:val="clear" w:color="auto" w:fill="146692"/>
          </w:tcPr>
          <w:p w14:paraId="5BFC2E49" w14:textId="0D10F391"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Area</w:t>
            </w:r>
          </w:p>
        </w:tc>
        <w:tc>
          <w:tcPr>
            <w:tcW w:w="5523" w:type="dxa"/>
            <w:shd w:val="clear" w:color="auto" w:fill="E1F2FB"/>
          </w:tcPr>
          <w:p w14:paraId="748892F0" w14:textId="5E5CB513" w:rsidR="00030D0E" w:rsidRPr="00466AB2" w:rsidRDefault="00030D0E" w:rsidP="00466AB2">
            <w:pPr>
              <w:pStyle w:val="BodyText"/>
              <w:spacing w:beforeLines="20" w:before="48" w:afterLines="20" w:after="48" w:line="120" w:lineRule="atLeast"/>
            </w:pPr>
            <w:r w:rsidRPr="00466AB2">
              <w:t>38,431 km</w:t>
            </w:r>
            <w:r w:rsidRPr="00466AB2">
              <w:rPr>
                <w:rStyle w:val="Superscript"/>
              </w:rPr>
              <w:t>2</w:t>
            </w:r>
          </w:p>
        </w:tc>
      </w:tr>
      <w:tr w:rsidR="00030D0E" w14:paraId="5147951A" w14:textId="77777777" w:rsidTr="00CA7302">
        <w:tc>
          <w:tcPr>
            <w:tcW w:w="4106" w:type="dxa"/>
            <w:shd w:val="clear" w:color="auto" w:fill="146692"/>
          </w:tcPr>
          <w:p w14:paraId="009FD626" w14:textId="259B8AF9"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Max. basin depth/ sediment thickness</w:t>
            </w:r>
          </w:p>
        </w:tc>
        <w:tc>
          <w:tcPr>
            <w:tcW w:w="5523" w:type="dxa"/>
            <w:shd w:val="clear" w:color="auto" w:fill="E1F2FB"/>
          </w:tcPr>
          <w:p w14:paraId="0EE70F6E" w14:textId="5B2F299A" w:rsidR="00030D0E" w:rsidRPr="00466AB2" w:rsidRDefault="00030D0E" w:rsidP="00466AB2">
            <w:pPr>
              <w:pStyle w:val="BodyText"/>
              <w:spacing w:beforeLines="20" w:before="48" w:afterLines="20" w:after="48" w:line="120" w:lineRule="atLeast"/>
            </w:pPr>
            <w:r w:rsidRPr="00466AB2">
              <w:t>&lt; 4,000 m</w:t>
            </w:r>
          </w:p>
        </w:tc>
      </w:tr>
      <w:tr w:rsidR="00030D0E" w14:paraId="59F231FA" w14:textId="77777777" w:rsidTr="00CA7302">
        <w:tc>
          <w:tcPr>
            <w:tcW w:w="4106" w:type="dxa"/>
            <w:shd w:val="clear" w:color="auto" w:fill="146692"/>
          </w:tcPr>
          <w:p w14:paraId="422FD6E2" w14:textId="3B5BED29"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Age range</w:t>
            </w:r>
          </w:p>
        </w:tc>
        <w:tc>
          <w:tcPr>
            <w:tcW w:w="5523" w:type="dxa"/>
            <w:shd w:val="clear" w:color="auto" w:fill="E1F2FB"/>
          </w:tcPr>
          <w:p w14:paraId="40536262" w14:textId="50A60D2B" w:rsidR="00030D0E" w:rsidRPr="00466AB2" w:rsidRDefault="00030D0E" w:rsidP="00466AB2">
            <w:pPr>
              <w:pStyle w:val="BodyText"/>
              <w:spacing w:beforeLines="20" w:before="48" w:afterLines="20" w:after="48" w:line="120" w:lineRule="atLeast"/>
            </w:pPr>
            <w:r w:rsidRPr="00466AB2">
              <w:t>Late Triassic–Early Cretaceous</w:t>
            </w:r>
          </w:p>
        </w:tc>
      </w:tr>
      <w:tr w:rsidR="00030D0E" w14:paraId="458FFC25" w14:textId="77777777" w:rsidTr="00CA7302">
        <w:tc>
          <w:tcPr>
            <w:tcW w:w="4106" w:type="dxa"/>
            <w:shd w:val="clear" w:color="auto" w:fill="146692"/>
          </w:tcPr>
          <w:p w14:paraId="3B741EA2" w14:textId="0D540B35"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Depositional setting</w:t>
            </w:r>
          </w:p>
        </w:tc>
        <w:tc>
          <w:tcPr>
            <w:tcW w:w="5523" w:type="dxa"/>
            <w:shd w:val="clear" w:color="auto" w:fill="E1F2FB"/>
          </w:tcPr>
          <w:p w14:paraId="70C80C62" w14:textId="6C3EA8E6" w:rsidR="00030D0E" w:rsidRPr="00466AB2" w:rsidRDefault="00030D0E" w:rsidP="00466AB2">
            <w:pPr>
              <w:pStyle w:val="BodyText"/>
              <w:spacing w:beforeLines="20" w:before="48" w:afterLines="20" w:after="48" w:line="120" w:lineRule="atLeast"/>
            </w:pPr>
            <w:r w:rsidRPr="00466AB2">
              <w:t>Fluvial, paludal and lacustrine siliciclastic rocks and coal; volcanic and intrusive igneous rocks</w:t>
            </w:r>
          </w:p>
        </w:tc>
      </w:tr>
      <w:tr w:rsidR="00030D0E" w14:paraId="493FC007" w14:textId="77777777" w:rsidTr="00CA7302">
        <w:tc>
          <w:tcPr>
            <w:tcW w:w="4106" w:type="dxa"/>
            <w:shd w:val="clear" w:color="auto" w:fill="146692"/>
          </w:tcPr>
          <w:p w14:paraId="3FC8EAB0" w14:textId="3AE265AF"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Regional structure</w:t>
            </w:r>
          </w:p>
        </w:tc>
        <w:tc>
          <w:tcPr>
            <w:tcW w:w="5523" w:type="dxa"/>
            <w:shd w:val="clear" w:color="auto" w:fill="E1F2FB"/>
          </w:tcPr>
          <w:p w14:paraId="19E03436" w14:textId="1A63B43B" w:rsidR="00030D0E" w:rsidRPr="00466AB2" w:rsidRDefault="00030D0E" w:rsidP="00466AB2">
            <w:pPr>
              <w:pStyle w:val="BodyText"/>
              <w:spacing w:beforeLines="20" w:before="48" w:afterLines="20" w:after="48" w:line="120" w:lineRule="atLeast"/>
            </w:pPr>
            <w:r w:rsidRPr="00466AB2">
              <w:t>Elongate sag basin with an overall synclinal architecture</w:t>
            </w:r>
          </w:p>
        </w:tc>
      </w:tr>
      <w:tr w:rsidR="00030D0E" w14:paraId="5F5D34E4" w14:textId="77777777" w:rsidTr="00CA7302">
        <w:tc>
          <w:tcPr>
            <w:tcW w:w="4106" w:type="dxa"/>
            <w:shd w:val="clear" w:color="auto" w:fill="146692"/>
          </w:tcPr>
          <w:p w14:paraId="2DB6A02A" w14:textId="7E06041C"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Adjacent basin</w:t>
            </w:r>
          </w:p>
        </w:tc>
        <w:tc>
          <w:tcPr>
            <w:tcW w:w="5523" w:type="dxa"/>
            <w:shd w:val="clear" w:color="auto" w:fill="E1F2FB"/>
          </w:tcPr>
          <w:p w14:paraId="522B3A02" w14:textId="47D8ADB8" w:rsidR="00030D0E" w:rsidRPr="00466AB2" w:rsidRDefault="00030D0E" w:rsidP="00466AB2">
            <w:pPr>
              <w:pStyle w:val="BodyText"/>
              <w:spacing w:beforeLines="20" w:before="48" w:afterLines="20" w:after="48" w:line="120" w:lineRule="atLeast"/>
            </w:pPr>
            <w:r w:rsidRPr="00466AB2">
              <w:t>Surat Basin</w:t>
            </w:r>
          </w:p>
        </w:tc>
      </w:tr>
      <w:tr w:rsidR="00466AB2" w14:paraId="5118447F" w14:textId="77777777" w:rsidTr="00CA7302">
        <w:tc>
          <w:tcPr>
            <w:tcW w:w="9629" w:type="dxa"/>
            <w:gridSpan w:val="2"/>
            <w:shd w:val="clear" w:color="auto" w:fill="146692"/>
          </w:tcPr>
          <w:p w14:paraId="767DBF13" w14:textId="00186852" w:rsidR="00466AB2" w:rsidRPr="00466AB2" w:rsidRDefault="00466AB2" w:rsidP="00466AB2">
            <w:pPr>
              <w:pStyle w:val="BodyText"/>
              <w:spacing w:beforeLines="20" w:before="48" w:afterLines="20" w:after="48" w:line="120" w:lineRule="atLeast"/>
            </w:pPr>
            <w:r w:rsidRPr="00466AB2">
              <w:rPr>
                <w:b/>
                <w:color w:val="FFFFFF" w:themeColor="background1"/>
              </w:rPr>
              <w:t>EXPLORATION STATUS</w:t>
            </w:r>
          </w:p>
        </w:tc>
      </w:tr>
      <w:tr w:rsidR="00030D0E" w14:paraId="088600BB" w14:textId="77777777" w:rsidTr="00CA7302">
        <w:tc>
          <w:tcPr>
            <w:tcW w:w="4106" w:type="dxa"/>
            <w:shd w:val="clear" w:color="auto" w:fill="146692"/>
          </w:tcPr>
          <w:p w14:paraId="2B089B13" w14:textId="6A5B7767"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Seismic lines</w:t>
            </w:r>
          </w:p>
        </w:tc>
        <w:tc>
          <w:tcPr>
            <w:tcW w:w="5523" w:type="dxa"/>
            <w:shd w:val="clear" w:color="auto" w:fill="E1F2FB"/>
          </w:tcPr>
          <w:p w14:paraId="0431E0B4" w14:textId="5200993C" w:rsidR="00030D0E" w:rsidRPr="00466AB2" w:rsidRDefault="00030D0E" w:rsidP="00466AB2">
            <w:pPr>
              <w:pStyle w:val="BodyText"/>
              <w:spacing w:beforeLines="20" w:before="48" w:afterLines="20" w:after="48" w:line="120" w:lineRule="atLeast"/>
            </w:pPr>
            <w:r w:rsidRPr="00466AB2">
              <w:t>2,909 line km 2D seismic</w:t>
            </w:r>
          </w:p>
        </w:tc>
      </w:tr>
      <w:tr w:rsidR="00030D0E" w14:paraId="27882B17" w14:textId="77777777" w:rsidTr="00CA7302">
        <w:tc>
          <w:tcPr>
            <w:tcW w:w="4106" w:type="dxa"/>
            <w:shd w:val="clear" w:color="auto" w:fill="146692"/>
          </w:tcPr>
          <w:p w14:paraId="17D6C746" w14:textId="7C03856F"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Number of wells</w:t>
            </w:r>
          </w:p>
        </w:tc>
        <w:tc>
          <w:tcPr>
            <w:tcW w:w="5523" w:type="dxa"/>
            <w:shd w:val="clear" w:color="auto" w:fill="E1F2FB"/>
          </w:tcPr>
          <w:p w14:paraId="25A78AE5" w14:textId="2E22F015" w:rsidR="00030D0E" w:rsidRPr="00466AB2" w:rsidRDefault="00030D0E" w:rsidP="00466AB2">
            <w:pPr>
              <w:pStyle w:val="BodyText"/>
              <w:spacing w:beforeLines="20" w:before="48" w:afterLines="20" w:after="48" w:line="120" w:lineRule="atLeast"/>
            </w:pPr>
            <w:r w:rsidRPr="00466AB2">
              <w:t>51</w:t>
            </w:r>
          </w:p>
        </w:tc>
      </w:tr>
      <w:tr w:rsidR="00030D0E" w14:paraId="1F9310E8" w14:textId="77777777" w:rsidTr="00CA7302">
        <w:tc>
          <w:tcPr>
            <w:tcW w:w="4106" w:type="dxa"/>
            <w:shd w:val="clear" w:color="auto" w:fill="146692"/>
          </w:tcPr>
          <w:p w14:paraId="2DE9D82A" w14:textId="0D6119BE"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Exploration status – conventional</w:t>
            </w:r>
          </w:p>
        </w:tc>
        <w:tc>
          <w:tcPr>
            <w:tcW w:w="5523" w:type="dxa"/>
            <w:shd w:val="clear" w:color="auto" w:fill="E1F2FB"/>
          </w:tcPr>
          <w:p w14:paraId="7F168FAE" w14:textId="612545C5" w:rsidR="00030D0E" w:rsidRPr="00466AB2" w:rsidRDefault="00030D0E" w:rsidP="00466AB2">
            <w:pPr>
              <w:pStyle w:val="BodyText"/>
              <w:spacing w:beforeLines="20" w:before="48" w:afterLines="20" w:after="48" w:line="120" w:lineRule="atLeast"/>
            </w:pPr>
            <w:r w:rsidRPr="00466AB2">
              <w:t>Inactive (following preliminary exploration)</w:t>
            </w:r>
          </w:p>
        </w:tc>
      </w:tr>
      <w:tr w:rsidR="00030D0E" w14:paraId="4E6F71F3" w14:textId="77777777" w:rsidTr="00CA7302">
        <w:tc>
          <w:tcPr>
            <w:tcW w:w="4106" w:type="dxa"/>
            <w:shd w:val="clear" w:color="auto" w:fill="146692"/>
          </w:tcPr>
          <w:p w14:paraId="67FC5026" w14:textId="6DF275CC"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Exploration status – coal seam gas</w:t>
            </w:r>
          </w:p>
        </w:tc>
        <w:tc>
          <w:tcPr>
            <w:tcW w:w="5523" w:type="dxa"/>
            <w:shd w:val="clear" w:color="auto" w:fill="E1F2FB"/>
          </w:tcPr>
          <w:p w14:paraId="559BA0AA" w14:textId="099E0E25" w:rsidR="00030D0E" w:rsidRPr="00466AB2" w:rsidRDefault="00030D0E" w:rsidP="00466AB2">
            <w:pPr>
              <w:pStyle w:val="BodyText"/>
              <w:spacing w:beforeLines="20" w:before="48" w:afterLines="20" w:after="48" w:line="120" w:lineRule="atLeast"/>
            </w:pPr>
            <w:r w:rsidRPr="00466AB2">
              <w:t>Preliminary exploration</w:t>
            </w:r>
          </w:p>
        </w:tc>
      </w:tr>
      <w:tr w:rsidR="00030D0E" w14:paraId="1B362121" w14:textId="77777777" w:rsidTr="00CA7302">
        <w:tc>
          <w:tcPr>
            <w:tcW w:w="4106" w:type="dxa"/>
            <w:shd w:val="clear" w:color="auto" w:fill="146692"/>
          </w:tcPr>
          <w:p w14:paraId="2473491A" w14:textId="0F915ED0"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Exploration status – shale/ tight gas</w:t>
            </w:r>
          </w:p>
        </w:tc>
        <w:tc>
          <w:tcPr>
            <w:tcW w:w="5523" w:type="dxa"/>
            <w:shd w:val="clear" w:color="auto" w:fill="E1F2FB"/>
          </w:tcPr>
          <w:p w14:paraId="75C82B68" w14:textId="56EEFBF9" w:rsidR="00030D0E" w:rsidRPr="00466AB2" w:rsidRDefault="00030D0E" w:rsidP="00466AB2">
            <w:pPr>
              <w:pStyle w:val="BodyText"/>
              <w:spacing w:beforeLines="20" w:before="48" w:afterLines="20" w:after="48" w:line="120" w:lineRule="atLeast"/>
            </w:pPr>
            <w:r w:rsidRPr="00466AB2">
              <w:t>Inactive (following preliminary exploration)</w:t>
            </w:r>
          </w:p>
        </w:tc>
      </w:tr>
      <w:tr w:rsidR="00466AB2" w14:paraId="25E2F292" w14:textId="77777777" w:rsidTr="00CA7302">
        <w:tc>
          <w:tcPr>
            <w:tcW w:w="9629" w:type="dxa"/>
            <w:gridSpan w:val="2"/>
            <w:shd w:val="clear" w:color="auto" w:fill="146692"/>
          </w:tcPr>
          <w:p w14:paraId="05A85574" w14:textId="0CE50252" w:rsidR="00466AB2" w:rsidRPr="00466AB2" w:rsidRDefault="00466AB2" w:rsidP="00466AB2">
            <w:pPr>
              <w:pStyle w:val="BodyText"/>
              <w:spacing w:beforeLines="20" w:before="48" w:afterLines="20" w:after="48" w:line="120" w:lineRule="atLeast"/>
            </w:pPr>
            <w:r w:rsidRPr="00466AB2">
              <w:rPr>
                <w:b/>
                <w:color w:val="FFFFFF" w:themeColor="background1"/>
              </w:rPr>
              <w:t>PETROLEUM PROSPECTIVITY -  GENERAL</w:t>
            </w:r>
          </w:p>
        </w:tc>
      </w:tr>
      <w:tr w:rsidR="00030D0E" w14:paraId="5E6891BC" w14:textId="77777777" w:rsidTr="00CA7302">
        <w:tc>
          <w:tcPr>
            <w:tcW w:w="4106" w:type="dxa"/>
            <w:shd w:val="clear" w:color="auto" w:fill="146692"/>
          </w:tcPr>
          <w:p w14:paraId="0E80A40F" w14:textId="6365D6F4"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Petroleum systems</w:t>
            </w:r>
          </w:p>
        </w:tc>
        <w:tc>
          <w:tcPr>
            <w:tcW w:w="5523" w:type="dxa"/>
            <w:shd w:val="clear" w:color="auto" w:fill="E1F2FB"/>
          </w:tcPr>
          <w:p w14:paraId="78227ED4" w14:textId="54F43C42" w:rsidR="00030D0E" w:rsidRPr="00466AB2" w:rsidRDefault="00030D0E" w:rsidP="00466AB2">
            <w:pPr>
              <w:pStyle w:val="BodyText"/>
              <w:spacing w:beforeLines="20" w:before="48" w:afterLines="20" w:after="48" w:line="120" w:lineRule="atLeast"/>
            </w:pPr>
            <w:r w:rsidRPr="00466AB2">
              <w:t>Abundant gas and minor oil shows</w:t>
            </w:r>
          </w:p>
        </w:tc>
      </w:tr>
      <w:tr w:rsidR="00030D0E" w14:paraId="359FC944" w14:textId="77777777" w:rsidTr="00CA7302">
        <w:tc>
          <w:tcPr>
            <w:tcW w:w="4106" w:type="dxa"/>
            <w:shd w:val="clear" w:color="auto" w:fill="146692"/>
          </w:tcPr>
          <w:p w14:paraId="6CABC9E9" w14:textId="38B8A637"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Prospectivity</w:t>
            </w:r>
          </w:p>
        </w:tc>
        <w:tc>
          <w:tcPr>
            <w:tcW w:w="5523" w:type="dxa"/>
            <w:shd w:val="clear" w:color="auto" w:fill="E1F2FB"/>
          </w:tcPr>
          <w:p w14:paraId="156DF013" w14:textId="1ECD5796" w:rsidR="00030D0E" w:rsidRPr="00466AB2" w:rsidRDefault="00030D0E" w:rsidP="00466AB2">
            <w:pPr>
              <w:pStyle w:val="BodyText"/>
              <w:spacing w:beforeLines="20" w:before="48" w:afterLines="20" w:after="48" w:line="120" w:lineRule="atLeast"/>
            </w:pPr>
            <w:r w:rsidRPr="00466AB2">
              <w:t>Moderate-low</w:t>
            </w:r>
          </w:p>
        </w:tc>
      </w:tr>
      <w:tr w:rsidR="00030D0E" w14:paraId="34B0945F" w14:textId="77777777" w:rsidTr="00CA7302">
        <w:tc>
          <w:tcPr>
            <w:tcW w:w="4106" w:type="dxa"/>
            <w:shd w:val="clear" w:color="auto" w:fill="146692"/>
          </w:tcPr>
          <w:p w14:paraId="4DF910AA" w14:textId="46A5D388"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 xml:space="preserve">Conventional discoveries </w:t>
            </w:r>
          </w:p>
        </w:tc>
        <w:tc>
          <w:tcPr>
            <w:tcW w:w="5523" w:type="dxa"/>
            <w:shd w:val="clear" w:color="auto" w:fill="E1F2FB"/>
          </w:tcPr>
          <w:p w14:paraId="6701373A" w14:textId="62B0F187" w:rsidR="00030D0E" w:rsidRPr="00466AB2" w:rsidRDefault="00030D0E" w:rsidP="00466AB2">
            <w:pPr>
              <w:pStyle w:val="BodyText"/>
              <w:spacing w:beforeLines="20" w:before="48" w:afterLines="20" w:after="48" w:line="120" w:lineRule="atLeast"/>
            </w:pPr>
            <w:r w:rsidRPr="00466AB2">
              <w:t>Kingfisher E01</w:t>
            </w:r>
          </w:p>
        </w:tc>
      </w:tr>
      <w:tr w:rsidR="00030D0E" w14:paraId="0DD15870" w14:textId="77777777" w:rsidTr="00CA7302">
        <w:tc>
          <w:tcPr>
            <w:tcW w:w="4106" w:type="dxa"/>
            <w:shd w:val="clear" w:color="auto" w:fill="146692"/>
          </w:tcPr>
          <w:p w14:paraId="7538D45B" w14:textId="392EC22D"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Hydrocarbon production – total to date</w:t>
            </w:r>
          </w:p>
        </w:tc>
        <w:tc>
          <w:tcPr>
            <w:tcW w:w="5523" w:type="dxa"/>
            <w:shd w:val="clear" w:color="auto" w:fill="E1F2FB"/>
          </w:tcPr>
          <w:p w14:paraId="20378AB7" w14:textId="51DC1508" w:rsidR="00030D0E" w:rsidRPr="00466AB2" w:rsidRDefault="00030D0E" w:rsidP="00466AB2">
            <w:pPr>
              <w:pStyle w:val="BodyText"/>
              <w:spacing w:beforeLines="20" w:before="48" w:afterLines="20" w:after="48" w:line="120" w:lineRule="atLeast"/>
            </w:pPr>
            <w:r w:rsidRPr="00466AB2">
              <w:t>No production to date (AERA, 2018)</w:t>
            </w:r>
          </w:p>
        </w:tc>
      </w:tr>
      <w:tr w:rsidR="00030D0E" w14:paraId="4D27EA37" w14:textId="77777777" w:rsidTr="00CA7302">
        <w:tc>
          <w:tcPr>
            <w:tcW w:w="4106" w:type="dxa"/>
            <w:shd w:val="clear" w:color="auto" w:fill="146692"/>
          </w:tcPr>
          <w:p w14:paraId="333A7EE1" w14:textId="031FC833"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 xml:space="preserve">2P Reserves </w:t>
            </w:r>
          </w:p>
        </w:tc>
        <w:tc>
          <w:tcPr>
            <w:tcW w:w="5523" w:type="dxa"/>
            <w:shd w:val="clear" w:color="auto" w:fill="E1F2FB"/>
          </w:tcPr>
          <w:p w14:paraId="66224E6F" w14:textId="754FFC67" w:rsidR="00030D0E" w:rsidRPr="00466AB2" w:rsidRDefault="00030D0E" w:rsidP="00466AB2">
            <w:pPr>
              <w:pStyle w:val="BodyText"/>
              <w:spacing w:beforeLines="20" w:before="48" w:afterLines="20" w:after="48" w:line="120" w:lineRule="atLeast"/>
            </w:pPr>
            <w:r w:rsidRPr="00466AB2">
              <w:t>1.13 Tcf CSG; no conventional reserves (current to 2014; AERA, 2018)</w:t>
            </w:r>
          </w:p>
        </w:tc>
      </w:tr>
      <w:tr w:rsidR="00030D0E" w14:paraId="4773B782" w14:textId="77777777" w:rsidTr="00CA7302">
        <w:tc>
          <w:tcPr>
            <w:tcW w:w="4106" w:type="dxa"/>
            <w:shd w:val="clear" w:color="auto" w:fill="146692"/>
          </w:tcPr>
          <w:p w14:paraId="0F511D6B" w14:textId="1892FE3F"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Remaining resources (reserves + contingent resources)</w:t>
            </w:r>
          </w:p>
        </w:tc>
        <w:tc>
          <w:tcPr>
            <w:tcW w:w="5523" w:type="dxa"/>
            <w:shd w:val="clear" w:color="auto" w:fill="E1F2FB"/>
          </w:tcPr>
          <w:p w14:paraId="35E258C1" w14:textId="5A3086FC" w:rsidR="00030D0E" w:rsidRPr="00466AB2" w:rsidRDefault="00030D0E" w:rsidP="00466AB2">
            <w:pPr>
              <w:pStyle w:val="BodyText"/>
              <w:spacing w:beforeLines="20" w:before="48" w:afterLines="20" w:after="48" w:line="120" w:lineRule="atLeast"/>
            </w:pPr>
            <w:r w:rsidRPr="00466AB2">
              <w:t>0.1 Tcf conventional; 5.3 Tcf CSG (current to 2014; AERA, 2018)</w:t>
            </w:r>
          </w:p>
        </w:tc>
      </w:tr>
      <w:tr w:rsidR="00030D0E" w14:paraId="0C4F9FEE" w14:textId="77777777" w:rsidTr="00CA7302">
        <w:tc>
          <w:tcPr>
            <w:tcW w:w="4106" w:type="dxa"/>
            <w:shd w:val="clear" w:color="auto" w:fill="146692"/>
          </w:tcPr>
          <w:p w14:paraId="3D53D66F" w14:textId="12B7520F"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 xml:space="preserve">Undiscovered resource estimates </w:t>
            </w:r>
          </w:p>
        </w:tc>
        <w:tc>
          <w:tcPr>
            <w:tcW w:w="5523" w:type="dxa"/>
            <w:shd w:val="clear" w:color="auto" w:fill="E1F2FB"/>
          </w:tcPr>
          <w:p w14:paraId="545642DB" w14:textId="1DD3BB21" w:rsidR="00030D0E" w:rsidRPr="00466AB2" w:rsidRDefault="00030D0E" w:rsidP="00466AB2">
            <w:pPr>
              <w:pStyle w:val="BodyText"/>
              <w:spacing w:beforeLines="20" w:before="48" w:afterLines="20" w:after="48" w:line="120" w:lineRule="atLeast"/>
            </w:pPr>
            <w:r w:rsidRPr="00466AB2">
              <w:t>3,816 PJ (approx.. 3.5 Tcf) CSG (Core, 2014); see below for shale and tight gas</w:t>
            </w:r>
          </w:p>
        </w:tc>
      </w:tr>
      <w:tr w:rsidR="00466AB2" w14:paraId="774247CA" w14:textId="77777777" w:rsidTr="00CA7302">
        <w:tc>
          <w:tcPr>
            <w:tcW w:w="9629" w:type="dxa"/>
            <w:gridSpan w:val="2"/>
            <w:shd w:val="clear" w:color="auto" w:fill="146692"/>
          </w:tcPr>
          <w:p w14:paraId="407F85F1" w14:textId="14D0820D" w:rsidR="00466AB2" w:rsidRPr="00466AB2" w:rsidRDefault="00466AB2" w:rsidP="00466AB2">
            <w:pPr>
              <w:pStyle w:val="BodyText"/>
              <w:spacing w:beforeLines="20" w:before="48" w:afterLines="20" w:after="48" w:line="120" w:lineRule="atLeast"/>
            </w:pPr>
            <w:r w:rsidRPr="00466AB2">
              <w:rPr>
                <w:b/>
                <w:color w:val="FFFFFF" w:themeColor="background1"/>
              </w:rPr>
              <w:t>PETROLEUM PROSPECTIVITY – SHALE/ TIGHT GAS</w:t>
            </w:r>
          </w:p>
        </w:tc>
      </w:tr>
      <w:tr w:rsidR="00030D0E" w14:paraId="331603AC" w14:textId="77777777" w:rsidTr="00CA7302">
        <w:tc>
          <w:tcPr>
            <w:tcW w:w="4106" w:type="dxa"/>
            <w:shd w:val="clear" w:color="auto" w:fill="146692"/>
          </w:tcPr>
          <w:p w14:paraId="44C8F709" w14:textId="52C7EE94"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Unconventional play types</w:t>
            </w:r>
          </w:p>
        </w:tc>
        <w:tc>
          <w:tcPr>
            <w:tcW w:w="5523" w:type="dxa"/>
            <w:shd w:val="clear" w:color="auto" w:fill="E1F2FB"/>
          </w:tcPr>
          <w:p w14:paraId="6CB9E869" w14:textId="5B188F5C" w:rsidR="00030D0E" w:rsidRPr="00466AB2" w:rsidRDefault="00030D0E" w:rsidP="00466AB2">
            <w:pPr>
              <w:pStyle w:val="BodyText"/>
              <w:spacing w:beforeLines="20" w:before="48" w:afterLines="20" w:after="48" w:line="120" w:lineRule="atLeast"/>
            </w:pPr>
            <w:r w:rsidRPr="00466AB2">
              <w:t>Shale gas, tight gas</w:t>
            </w:r>
          </w:p>
        </w:tc>
      </w:tr>
      <w:tr w:rsidR="00030D0E" w14:paraId="0939DB73" w14:textId="77777777" w:rsidTr="00CA7302">
        <w:tc>
          <w:tcPr>
            <w:tcW w:w="4106" w:type="dxa"/>
            <w:shd w:val="clear" w:color="auto" w:fill="146692"/>
          </w:tcPr>
          <w:p w14:paraId="6E97BD51" w14:textId="5840B654"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No. of wells targeting shale/ tight gas plays</w:t>
            </w:r>
          </w:p>
        </w:tc>
        <w:tc>
          <w:tcPr>
            <w:tcW w:w="5523" w:type="dxa"/>
            <w:shd w:val="clear" w:color="auto" w:fill="E1F2FB"/>
          </w:tcPr>
          <w:p w14:paraId="4E46B27A" w14:textId="459FA2A9" w:rsidR="00030D0E" w:rsidRPr="00466AB2" w:rsidRDefault="00030D0E" w:rsidP="00466AB2">
            <w:pPr>
              <w:pStyle w:val="BodyText"/>
              <w:spacing w:beforeLines="20" w:before="48" w:afterLines="20" w:after="48" w:line="120" w:lineRule="atLeast"/>
            </w:pPr>
            <w:r w:rsidRPr="00466AB2">
              <w:t>1 (conventional and unconventional targets)</w:t>
            </w:r>
          </w:p>
        </w:tc>
      </w:tr>
      <w:tr w:rsidR="00030D0E" w14:paraId="7E6929C3" w14:textId="77777777" w:rsidTr="00CA7302">
        <w:tc>
          <w:tcPr>
            <w:tcW w:w="4106" w:type="dxa"/>
            <w:shd w:val="clear" w:color="auto" w:fill="146692"/>
          </w:tcPr>
          <w:p w14:paraId="0BA47830" w14:textId="183007B0"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Production – shale/ tight gas</w:t>
            </w:r>
          </w:p>
        </w:tc>
        <w:tc>
          <w:tcPr>
            <w:tcW w:w="5523" w:type="dxa"/>
            <w:shd w:val="clear" w:color="auto" w:fill="E1F2FB"/>
          </w:tcPr>
          <w:p w14:paraId="3FA37FC3" w14:textId="05A399B2" w:rsidR="00030D0E" w:rsidRPr="00466AB2" w:rsidRDefault="00030D0E" w:rsidP="00466AB2">
            <w:pPr>
              <w:pStyle w:val="BodyText"/>
              <w:spacing w:beforeLines="20" w:before="48" w:afterLines="20" w:after="48" w:line="120" w:lineRule="atLeast"/>
            </w:pPr>
            <w:r w:rsidRPr="00466AB2">
              <w:t>None</w:t>
            </w:r>
          </w:p>
        </w:tc>
      </w:tr>
      <w:tr w:rsidR="00030D0E" w14:paraId="5A3247A1" w14:textId="77777777" w:rsidTr="00CA7302">
        <w:tc>
          <w:tcPr>
            <w:tcW w:w="4106" w:type="dxa"/>
            <w:shd w:val="clear" w:color="auto" w:fill="146692"/>
          </w:tcPr>
          <w:p w14:paraId="23741A73" w14:textId="704C0253"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lastRenderedPageBreak/>
              <w:t>2P Reserves – shale/ tight gas</w:t>
            </w:r>
          </w:p>
        </w:tc>
        <w:tc>
          <w:tcPr>
            <w:tcW w:w="5523" w:type="dxa"/>
            <w:shd w:val="clear" w:color="auto" w:fill="E1F2FB"/>
          </w:tcPr>
          <w:p w14:paraId="382763F4" w14:textId="2F0220FD" w:rsidR="00030D0E" w:rsidRPr="00466AB2" w:rsidRDefault="00030D0E" w:rsidP="00466AB2">
            <w:pPr>
              <w:pStyle w:val="BodyText"/>
              <w:spacing w:beforeLines="20" w:before="48" w:afterLines="20" w:after="48" w:line="120" w:lineRule="atLeast"/>
            </w:pPr>
            <w:r w:rsidRPr="00466AB2">
              <w:t>None reported</w:t>
            </w:r>
          </w:p>
        </w:tc>
      </w:tr>
      <w:tr w:rsidR="00030D0E" w14:paraId="1FDA250D" w14:textId="77777777" w:rsidTr="00CA7302">
        <w:tc>
          <w:tcPr>
            <w:tcW w:w="4106" w:type="dxa"/>
            <w:shd w:val="clear" w:color="auto" w:fill="146692"/>
          </w:tcPr>
          <w:p w14:paraId="55F2C9F9" w14:textId="7FB8670B"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Remaining resources (reserves + contingent resources) – shale/ tight gas</w:t>
            </w:r>
          </w:p>
        </w:tc>
        <w:tc>
          <w:tcPr>
            <w:tcW w:w="5523" w:type="dxa"/>
            <w:shd w:val="clear" w:color="auto" w:fill="E1F2FB"/>
          </w:tcPr>
          <w:p w14:paraId="5E3B312B" w14:textId="605608BB" w:rsidR="00030D0E" w:rsidRPr="00466AB2" w:rsidRDefault="00030D0E" w:rsidP="00466AB2">
            <w:pPr>
              <w:pStyle w:val="BodyText"/>
              <w:spacing w:beforeLines="20" w:before="48" w:afterLines="20" w:after="48" w:line="120" w:lineRule="atLeast"/>
            </w:pPr>
            <w:r w:rsidRPr="00466AB2">
              <w:t>None reported</w:t>
            </w:r>
          </w:p>
        </w:tc>
      </w:tr>
      <w:tr w:rsidR="00030D0E" w14:paraId="33E287F8" w14:textId="77777777" w:rsidTr="00CA7302">
        <w:tc>
          <w:tcPr>
            <w:tcW w:w="4106" w:type="dxa"/>
            <w:shd w:val="clear" w:color="auto" w:fill="146692"/>
          </w:tcPr>
          <w:p w14:paraId="0ECC22D1" w14:textId="5F99D1F6"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Undiscovered resource estimates – shale/ tight gas</w:t>
            </w:r>
          </w:p>
        </w:tc>
        <w:tc>
          <w:tcPr>
            <w:tcW w:w="5523" w:type="dxa"/>
            <w:shd w:val="clear" w:color="auto" w:fill="E1F2FB"/>
          </w:tcPr>
          <w:p w14:paraId="48605D27" w14:textId="2B18B704" w:rsidR="00030D0E" w:rsidRPr="00466AB2" w:rsidRDefault="00030D0E" w:rsidP="00466AB2">
            <w:pPr>
              <w:pStyle w:val="BodyText"/>
              <w:spacing w:beforeLines="20" w:before="48" w:afterLines="20" w:after="48" w:line="120" w:lineRule="atLeast"/>
            </w:pPr>
            <w:r w:rsidRPr="00466AB2">
              <w:t>Koukandowie and Raceview Formation shale gas plays: 21 Tcf best estimated recoverable resource over a  prospective area of 4,407 km</w:t>
            </w:r>
            <w:r w:rsidRPr="00466AB2">
              <w:rPr>
                <w:rStyle w:val="Superscript"/>
              </w:rPr>
              <w:t>2</w:t>
            </w:r>
            <w:r w:rsidRPr="00466AB2">
              <w:t xml:space="preserve"> (Table A.3; AWT International, 2013; AERA 2018); tight gas unknown</w:t>
            </w:r>
          </w:p>
        </w:tc>
      </w:tr>
      <w:tr w:rsidR="00030D0E" w14:paraId="690C7FBC" w14:textId="77777777" w:rsidTr="00CA7302">
        <w:tc>
          <w:tcPr>
            <w:tcW w:w="4106" w:type="dxa"/>
            <w:shd w:val="clear" w:color="auto" w:fill="146692"/>
          </w:tcPr>
          <w:p w14:paraId="7D737B87" w14:textId="1F8D47EF" w:rsidR="00030D0E" w:rsidRPr="00466AB2" w:rsidRDefault="00030D0E" w:rsidP="00466AB2">
            <w:pPr>
              <w:pStyle w:val="BodyText"/>
              <w:spacing w:beforeLines="20" w:before="48" w:afterLines="20" w:after="48" w:line="120" w:lineRule="atLeast"/>
              <w:rPr>
                <w:b/>
                <w:color w:val="FFFFFF" w:themeColor="background1"/>
              </w:rPr>
            </w:pPr>
            <w:r w:rsidRPr="00466AB2">
              <w:rPr>
                <w:b/>
                <w:color w:val="FFFFFF" w:themeColor="background1"/>
              </w:rPr>
              <w:t>Hydrocarbon shows, tests – shale/ tight gas</w:t>
            </w:r>
          </w:p>
        </w:tc>
        <w:tc>
          <w:tcPr>
            <w:tcW w:w="5523" w:type="dxa"/>
            <w:shd w:val="clear" w:color="auto" w:fill="E1F2FB"/>
          </w:tcPr>
          <w:p w14:paraId="5256DA96" w14:textId="0A0D603D" w:rsidR="00030D0E" w:rsidRPr="00466AB2" w:rsidRDefault="00030D0E" w:rsidP="00466AB2">
            <w:pPr>
              <w:pStyle w:val="BodyText"/>
              <w:spacing w:beforeLines="20" w:before="48" w:afterLines="20" w:after="48" w:line="120" w:lineRule="atLeast"/>
            </w:pPr>
            <w:r w:rsidRPr="00466AB2">
              <w:t>None reported</w:t>
            </w:r>
          </w:p>
        </w:tc>
      </w:tr>
    </w:tbl>
    <w:p w14:paraId="63192BC6" w14:textId="77777777" w:rsidR="008B38C1" w:rsidRDefault="008B38C1" w:rsidP="00035C4A">
      <w:pPr>
        <w:pStyle w:val="AppendixHeading3"/>
      </w:pPr>
      <w:bookmarkStart w:id="133" w:name="_Toc517161140"/>
      <w:r>
        <w:t>Basin geology</w:t>
      </w:r>
      <w:bookmarkEnd w:id="133"/>
    </w:p>
    <w:p w14:paraId="57B12A9D" w14:textId="4FEA153C" w:rsidR="008B38C1" w:rsidRDefault="008B38C1" w:rsidP="0083382B">
      <w:pPr>
        <w:pStyle w:val="BodyText"/>
        <w:rPr>
          <w:lang w:eastAsia="ja-JP"/>
        </w:rPr>
      </w:pPr>
      <w:r>
        <w:rPr>
          <w:lang w:eastAsia="ja-JP"/>
        </w:rPr>
        <w:t>The Clarence-Moreton Basin is a Late Triassic–Cretaceous sag basin that has a general</w:t>
      </w:r>
      <w:r>
        <w:t xml:space="preserve"> north-northeast</w:t>
      </w:r>
      <w:r>
        <w:rPr>
          <w:lang w:eastAsia="ja-JP"/>
        </w:rPr>
        <w:t xml:space="preserve"> structural trend. It extends from northern New South Wales into Queensland and adjoins the Surat Basin to the west (</w:t>
      </w:r>
      <w:r w:rsidR="00611607">
        <w:rPr>
          <w:lang w:eastAsia="ja-JP"/>
        </w:rPr>
        <w:t>Figure C</w:t>
      </w:r>
      <w:r w:rsidR="00B647DE">
        <w:rPr>
          <w:lang w:eastAsia="ja-JP"/>
        </w:rPr>
        <w:t>.23</w:t>
      </w:r>
      <w:r>
        <w:rPr>
          <w:lang w:eastAsia="ja-JP"/>
        </w:rPr>
        <w:t>)</w:t>
      </w:r>
      <w:r>
        <w:t xml:space="preserve">. </w:t>
      </w:r>
      <w:r>
        <w:rPr>
          <w:lang w:eastAsia="ja-JP"/>
        </w:rPr>
        <w:t>The basin extends offshore, where its extent, thickness and geology are poorly known (</w:t>
      </w:r>
      <w:r w:rsidR="00611607">
        <w:rPr>
          <w:lang w:eastAsia="ja-JP"/>
        </w:rPr>
        <w:t>Figure C</w:t>
      </w:r>
      <w:r w:rsidR="00B647DE">
        <w:rPr>
          <w:lang w:eastAsia="ja-JP"/>
        </w:rPr>
        <w:t>.</w:t>
      </w:r>
      <w:r>
        <w:rPr>
          <w:lang w:eastAsia="ja-JP"/>
        </w:rPr>
        <w:t>2</w:t>
      </w:r>
      <w:r w:rsidR="00B647DE">
        <w:rPr>
          <w:lang w:eastAsia="ja-JP"/>
        </w:rPr>
        <w:t>4</w:t>
      </w:r>
      <w:r>
        <w:rPr>
          <w:lang w:eastAsia="ja-JP"/>
        </w:rPr>
        <w:t>; Totterdell et al., 2014).The onshore basin contains up to 4</w:t>
      </w:r>
      <w:r w:rsidR="00EB66FC">
        <w:rPr>
          <w:lang w:eastAsia="ja-JP"/>
        </w:rPr>
        <w:t>,</w:t>
      </w:r>
      <w:r>
        <w:rPr>
          <w:lang w:eastAsia="ja-JP"/>
        </w:rPr>
        <w:t>00</w:t>
      </w:r>
      <w:r w:rsidR="004C01AB">
        <w:rPr>
          <w:lang w:eastAsia="ja-JP"/>
        </w:rPr>
        <w:t>0 m</w:t>
      </w:r>
      <w:r>
        <w:rPr>
          <w:lang w:eastAsia="ja-JP"/>
        </w:rPr>
        <w:t xml:space="preserve"> of Upper Triassic to Upper Jurassic or Lower Cretaceous dominantly fluvio-lacustrine sedimentary rocks (</w:t>
      </w:r>
      <w:r w:rsidR="00611607">
        <w:rPr>
          <w:lang w:eastAsia="ja-JP"/>
        </w:rPr>
        <w:t>Figure C</w:t>
      </w:r>
      <w:r w:rsidR="00B647DE">
        <w:rPr>
          <w:lang w:eastAsia="ja-JP"/>
        </w:rPr>
        <w:t>.25</w:t>
      </w:r>
      <w:r>
        <w:rPr>
          <w:lang w:eastAsia="ja-JP"/>
        </w:rPr>
        <w:t xml:space="preserve"> and </w:t>
      </w:r>
      <w:r w:rsidR="00611607">
        <w:rPr>
          <w:lang w:eastAsia="ja-JP"/>
        </w:rPr>
        <w:t>Figure C</w:t>
      </w:r>
      <w:r w:rsidR="00B647DE">
        <w:rPr>
          <w:lang w:eastAsia="ja-JP"/>
        </w:rPr>
        <w:t>.26</w:t>
      </w:r>
      <w:r>
        <w:rPr>
          <w:lang w:eastAsia="ja-JP"/>
        </w:rPr>
        <w:t xml:space="preserve">). </w:t>
      </w:r>
    </w:p>
    <w:p w14:paraId="42BCA127" w14:textId="3608C775" w:rsidR="008B38C1" w:rsidRDefault="008B38C1" w:rsidP="0083382B">
      <w:pPr>
        <w:pStyle w:val="BodyText"/>
        <w:rPr>
          <w:lang w:eastAsia="ja-JP"/>
        </w:rPr>
      </w:pPr>
      <w:r>
        <w:rPr>
          <w:lang w:eastAsia="ja-JP"/>
        </w:rPr>
        <w:t xml:space="preserve">The Clarence-Moreton Basin comprises a series of generally </w:t>
      </w:r>
      <w:r>
        <w:t>north-northeast</w:t>
      </w:r>
      <w:r>
        <w:rPr>
          <w:lang w:eastAsia="ja-JP"/>
        </w:rPr>
        <w:t>-trending depocentres: the Cecil Plains, Laidley and Logan sub-basins (</w:t>
      </w:r>
      <w:r w:rsidR="00611607">
        <w:rPr>
          <w:lang w:eastAsia="ja-JP"/>
        </w:rPr>
        <w:t>Figure C</w:t>
      </w:r>
      <w:r w:rsidR="00B647DE">
        <w:rPr>
          <w:lang w:eastAsia="ja-JP"/>
        </w:rPr>
        <w:t>.24</w:t>
      </w:r>
      <w:r>
        <w:rPr>
          <w:lang w:eastAsia="ja-JP"/>
        </w:rPr>
        <w:t>; O’Brien et al., 1994a). The sub-basins are underlain by the Triassic sediments and volcanics of the Esk Trough and the Nymboida, Ipswich and Tarong basins. The sub-basins of the Clarence-Moreton Basin are separated by prominent structural highs, including the Gatton Arch and the South Moreton Anticline. The Clarence-Moreton Basin succession abruptly thins across the South Moreton Anticline.</w:t>
      </w:r>
    </w:p>
    <w:p w14:paraId="597F2005" w14:textId="74CF3B77" w:rsidR="008B38C1" w:rsidRDefault="008B38C1" w:rsidP="0083382B">
      <w:pPr>
        <w:pStyle w:val="BodyText"/>
        <w:rPr>
          <w:lang w:eastAsia="ja-JP"/>
        </w:rPr>
      </w:pPr>
      <w:r>
        <w:rPr>
          <w:lang w:eastAsia="ja-JP"/>
        </w:rPr>
        <w:t>The Clarence-Moreton Basin was initiated in the Late Triassic through continued thermal subsidence following the end of deposition in the Ipswich Basin (Korsch et al., 1989; O’Brien et al., 1994a). Uplift of basin margins supplied quartzose to quartz-lithic sediments to the basin and the accumulation of alluvial fan and fluvial deposits. By the Early Jurassic, the maximum extent of the basin was established. In the Middle Jurassic, widespread fluvio-lacustrine and paludal conditions led to the deposition of the Walloon Coal Measures, which attain a maximum thickness of approximately 60</w:t>
      </w:r>
      <w:r w:rsidR="004C01AB">
        <w:rPr>
          <w:lang w:eastAsia="ja-JP"/>
        </w:rPr>
        <w:t>0 m</w:t>
      </w:r>
      <w:r>
        <w:rPr>
          <w:lang w:eastAsia="ja-JP"/>
        </w:rPr>
        <w:t>. The coal measures mainly comprise claystones, coal and lithic sandstones, but are sandstone dominated in parts of the basin (Stewart and Alder, 1995). The Walloon Coal Measures are overlain by a dominantly fluvial Upper Jurassic–Lower Cretaceous succession (Willis, 1994; Stephenson and Burch, 2004). Ongoing strike-slip movements along the major basement-involved faults, e.g. West Ipswich Fault, resulted in transpressional deformation of the Clarence-Moreton Basin sediments through the Jurassic until the Early to mid-Cretaceous (O’Brien et al., 1994a). Regional uplift resulted in widespread erosion across the onshore basin during the Cretaceous.</w:t>
      </w:r>
    </w:p>
    <w:p w14:paraId="7CFC4B43" w14:textId="77777777" w:rsidR="008B38C1" w:rsidRDefault="008B38C1" w:rsidP="000520F9">
      <w:pPr>
        <w:pStyle w:val="BodyText"/>
        <w:rPr>
          <w:lang w:eastAsia="ja-JP"/>
        </w:rPr>
      </w:pPr>
    </w:p>
    <w:p w14:paraId="75E0354F" w14:textId="77777777" w:rsidR="008B38C1" w:rsidRPr="00960B30" w:rsidRDefault="008B38C1" w:rsidP="000520F9">
      <w:pPr>
        <w:pStyle w:val="FiguresImagesCentred"/>
      </w:pPr>
      <w:r>
        <w:rPr>
          <w:noProof/>
        </w:rPr>
        <w:lastRenderedPageBreak/>
        <w:drawing>
          <wp:inline distT="0" distB="0" distL="0" distR="0" wp14:anchorId="4D6FFF89" wp14:editId="5CAB1431">
            <wp:extent cx="5755640" cy="5271135"/>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5755640" cy="5271135"/>
                    </a:xfrm>
                    <a:prstGeom prst="rect">
                      <a:avLst/>
                    </a:prstGeom>
                    <a:noFill/>
                    <a:ln>
                      <a:noFill/>
                    </a:ln>
                  </pic:spPr>
                </pic:pic>
              </a:graphicData>
            </a:graphic>
          </wp:inline>
        </w:drawing>
      </w:r>
    </w:p>
    <w:p w14:paraId="356A0E29" w14:textId="77777777" w:rsidR="008B38C1" w:rsidRDefault="00B647DE" w:rsidP="009F3E8F">
      <w:pPr>
        <w:pStyle w:val="Caption"/>
      </w:pPr>
      <w:bookmarkStart w:id="134" w:name="_Toc508972094"/>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23</w:t>
      </w:r>
      <w:r w:rsidR="008079F1">
        <w:rPr>
          <w:noProof/>
        </w:rPr>
        <w:fldChar w:fldCharType="end"/>
      </w:r>
      <w:r>
        <w:rPr>
          <w:noProof/>
        </w:rPr>
        <w:t xml:space="preserve"> </w:t>
      </w:r>
      <w:r w:rsidR="008B38C1">
        <w:t xml:space="preserve">Location of the Clarence-Moreton Basin on a </w:t>
      </w:r>
      <w:r w:rsidR="008B38C1">
        <w:rPr>
          <w:lang w:eastAsia="ja-JP"/>
        </w:rPr>
        <w:t>base map of 1:2,500,000 scale surface geology (Raymond et al., 2012)</w:t>
      </w:r>
      <w:r w:rsidR="008B38C1">
        <w:t>. Clarence-Moreton and Surat basin outlines from Stewart et al. (2013).</w:t>
      </w:r>
      <w:bookmarkEnd w:id="134"/>
    </w:p>
    <w:p w14:paraId="40AE1B7A" w14:textId="77777777" w:rsidR="0083382B" w:rsidRPr="0083382B" w:rsidRDefault="0083382B" w:rsidP="0083382B">
      <w:pPr>
        <w:pStyle w:val="BodyText"/>
      </w:pPr>
    </w:p>
    <w:p w14:paraId="7260F654" w14:textId="2A84AA0A" w:rsidR="00EB59EF" w:rsidRDefault="00D847BF" w:rsidP="00EB59EF">
      <w:pPr>
        <w:pStyle w:val="FiguresImagesCentred"/>
      </w:pPr>
      <w:r>
        <w:rPr>
          <w:noProof/>
        </w:rPr>
        <w:lastRenderedPageBreak/>
        <w:drawing>
          <wp:inline distT="0" distB="0" distL="0" distR="0" wp14:anchorId="4333A9F3" wp14:editId="7D67A247">
            <wp:extent cx="5760000" cy="7297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5760000" cy="7297200"/>
                    </a:xfrm>
                    <a:prstGeom prst="rect">
                      <a:avLst/>
                    </a:prstGeom>
                    <a:noFill/>
                    <a:ln>
                      <a:noFill/>
                    </a:ln>
                  </pic:spPr>
                </pic:pic>
              </a:graphicData>
            </a:graphic>
          </wp:inline>
        </w:drawing>
      </w:r>
      <w:r w:rsidR="00B647DE" w:rsidRPr="00B647DE">
        <w:t xml:space="preserve"> </w:t>
      </w:r>
    </w:p>
    <w:p w14:paraId="4BC12685" w14:textId="459A2427" w:rsidR="008B38C1" w:rsidRDefault="00B647DE" w:rsidP="00EC1E50">
      <w:pPr>
        <w:pStyle w:val="Caption"/>
        <w:rPr>
          <w:lang w:eastAsia="ja-JP"/>
        </w:rPr>
      </w:pPr>
      <w:bookmarkStart w:id="135" w:name="_Toc508972095"/>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24</w:t>
      </w:r>
      <w:r w:rsidR="008079F1">
        <w:rPr>
          <w:noProof/>
        </w:rPr>
        <w:fldChar w:fldCharType="end"/>
      </w:r>
      <w:r>
        <w:rPr>
          <w:noProof/>
        </w:rPr>
        <w:t xml:space="preserve"> </w:t>
      </w:r>
      <w:r w:rsidR="008B38C1">
        <w:t xml:space="preserve">Structural elements, </w:t>
      </w:r>
      <w:r w:rsidR="008B38C1">
        <w:rPr>
          <w:rFonts w:eastAsia="MS Mincho"/>
          <w:lang w:eastAsia="ja-JP"/>
        </w:rPr>
        <w:t>onshore and offshore Clarence-Moreton</w:t>
      </w:r>
      <w:r w:rsidR="008B38C1">
        <w:t xml:space="preserve"> Basin</w:t>
      </w:r>
      <w:r w:rsidR="008B38C1">
        <w:rPr>
          <w:rFonts w:eastAsia="MS Mincho"/>
          <w:lang w:eastAsia="ja-JP"/>
        </w:rPr>
        <w:t xml:space="preserve"> (from Totterdell et al., 2014</w:t>
      </w:r>
      <w:r w:rsidR="007F2856">
        <w:rPr>
          <w:rFonts w:eastAsia="MS Mincho"/>
          <w:lang w:eastAsia="ja-JP"/>
        </w:rPr>
        <w:t>).</w:t>
      </w:r>
      <w:bookmarkEnd w:id="135"/>
      <w:r w:rsidR="008B38C1">
        <w:rPr>
          <w:rFonts w:eastAsia="MS Mincho"/>
          <w:lang w:eastAsia="ja-JP"/>
        </w:rPr>
        <w:t xml:space="preserve"> </w:t>
      </w:r>
    </w:p>
    <w:p w14:paraId="4BEFACB5" w14:textId="77777777" w:rsidR="008B38C1" w:rsidRDefault="008B38C1" w:rsidP="005450A3">
      <w:pPr>
        <w:pStyle w:val="FiguresImagesCentred"/>
      </w:pPr>
      <w:r>
        <w:rPr>
          <w:noProof/>
        </w:rPr>
        <w:lastRenderedPageBreak/>
        <w:drawing>
          <wp:inline distT="0" distB="0" distL="0" distR="0" wp14:anchorId="0BB35CD3" wp14:editId="180D1756">
            <wp:extent cx="6008661" cy="47053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6014026" cy="4709551"/>
                    </a:xfrm>
                    <a:prstGeom prst="rect">
                      <a:avLst/>
                    </a:prstGeom>
                    <a:noFill/>
                    <a:ln>
                      <a:noFill/>
                    </a:ln>
                  </pic:spPr>
                </pic:pic>
              </a:graphicData>
            </a:graphic>
          </wp:inline>
        </w:drawing>
      </w:r>
    </w:p>
    <w:p w14:paraId="44C18747" w14:textId="623D8D64" w:rsidR="008B38C1" w:rsidRDefault="00B647DE" w:rsidP="009F3E8F">
      <w:pPr>
        <w:pStyle w:val="Caption"/>
        <w:rPr>
          <w:lang w:eastAsia="ja-JP"/>
        </w:rPr>
      </w:pPr>
      <w:bookmarkStart w:id="136" w:name="_Toc508972096"/>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25</w:t>
      </w:r>
      <w:r w:rsidR="008079F1">
        <w:rPr>
          <w:noProof/>
        </w:rPr>
        <w:fldChar w:fldCharType="end"/>
      </w:r>
      <w:r>
        <w:rPr>
          <w:noProof/>
        </w:rPr>
        <w:t xml:space="preserve"> </w:t>
      </w:r>
      <w:r w:rsidR="008B38C1">
        <w:t xml:space="preserve">Geological cross-section of the </w:t>
      </w:r>
      <w:r w:rsidR="008B38C1">
        <w:rPr>
          <w:lang w:eastAsia="ja-JP"/>
        </w:rPr>
        <w:t>Nymboida, Ipswich and Clarence-Moreton</w:t>
      </w:r>
      <w:r w:rsidR="008B38C1">
        <w:t xml:space="preserve"> </w:t>
      </w:r>
      <w:r w:rsidR="008B38C1">
        <w:rPr>
          <w:lang w:eastAsia="ja-JP"/>
        </w:rPr>
        <w:t xml:space="preserve">basins (after Ingram </w:t>
      </w:r>
      <w:r w:rsidR="00DD43E4">
        <w:rPr>
          <w:lang w:eastAsia="ja-JP"/>
        </w:rPr>
        <w:t xml:space="preserve">and </w:t>
      </w:r>
      <w:r w:rsidR="008B38C1">
        <w:rPr>
          <w:lang w:eastAsia="ja-JP"/>
        </w:rPr>
        <w:t xml:space="preserve">Robinson, 1996). Location of cross-section shown in </w:t>
      </w:r>
      <w:r w:rsidR="00611607">
        <w:rPr>
          <w:lang w:eastAsia="ja-JP"/>
        </w:rPr>
        <w:t>Figure C</w:t>
      </w:r>
      <w:r>
        <w:rPr>
          <w:lang w:eastAsia="ja-JP"/>
        </w:rPr>
        <w:t>.23.</w:t>
      </w:r>
      <w:bookmarkEnd w:id="136"/>
    </w:p>
    <w:p w14:paraId="263290C4" w14:textId="32CA4BB5" w:rsidR="004E2D75" w:rsidRDefault="004E2D75" w:rsidP="004E2D75">
      <w:pPr>
        <w:pStyle w:val="FiguresImagesCentred"/>
      </w:pPr>
      <w:r>
        <w:rPr>
          <w:noProof/>
        </w:rPr>
        <w:lastRenderedPageBreak/>
        <w:drawing>
          <wp:inline distT="0" distB="0" distL="0" distR="0" wp14:anchorId="15C72FE7" wp14:editId="702C41B4">
            <wp:extent cx="5840365" cy="5805182"/>
            <wp:effectExtent l="0" t="0" r="825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194" cstate="screen">
                      <a:extLst>
                        <a:ext uri="{28A0092B-C50C-407E-A947-70E740481C1C}">
                          <a14:useLocalDpi xmlns:a14="http://schemas.microsoft.com/office/drawing/2010/main"/>
                        </a:ext>
                      </a:extLst>
                    </a:blip>
                    <a:srcRect/>
                    <a:stretch/>
                  </pic:blipFill>
                  <pic:spPr bwMode="auto">
                    <a:xfrm>
                      <a:off x="0" y="0"/>
                      <a:ext cx="5837394" cy="5802229"/>
                    </a:xfrm>
                    <a:prstGeom prst="rect">
                      <a:avLst/>
                    </a:prstGeom>
                    <a:noFill/>
                    <a:ln>
                      <a:noFill/>
                    </a:ln>
                    <a:extLst>
                      <a:ext uri="{53640926-AAD7-44D8-BBD7-CCE9431645EC}">
                        <a14:shadowObscured xmlns:a14="http://schemas.microsoft.com/office/drawing/2010/main"/>
                      </a:ext>
                    </a:extLst>
                  </pic:spPr>
                </pic:pic>
              </a:graphicData>
            </a:graphic>
          </wp:inline>
        </w:drawing>
      </w:r>
    </w:p>
    <w:p w14:paraId="02DCB76B" w14:textId="5CF62F91" w:rsidR="008B38C1" w:rsidRDefault="00B647DE" w:rsidP="009F3E8F">
      <w:pPr>
        <w:pStyle w:val="Caption"/>
      </w:pPr>
      <w:bookmarkStart w:id="137" w:name="_Toc508972097"/>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26</w:t>
      </w:r>
      <w:r w:rsidR="008079F1">
        <w:rPr>
          <w:noProof/>
        </w:rPr>
        <w:fldChar w:fldCharType="end"/>
      </w:r>
      <w:r>
        <w:rPr>
          <w:noProof/>
        </w:rPr>
        <w:t xml:space="preserve"> </w:t>
      </w:r>
      <w:r w:rsidR="004E2D75">
        <w:rPr>
          <w:noProof/>
        </w:rPr>
        <w:t>Lithostratigraphy and h</w:t>
      </w:r>
      <w:r w:rsidR="005518AA">
        <w:rPr>
          <w:noProof/>
        </w:rPr>
        <w:t>ydros</w:t>
      </w:r>
      <w:r w:rsidR="008B38C1">
        <w:t>tratigraphy of the Clarence-Moreton Basin (</w:t>
      </w:r>
      <w:r w:rsidR="004E2D75">
        <w:t>after Rassam et al., 2014;</w:t>
      </w:r>
      <w:r w:rsidR="008B38C1">
        <w:t xml:space="preserve"> Wells and O’Brien, 1994; Doig and Stanmore, 2012; Raiber and Cox, 2012)</w:t>
      </w:r>
      <w:bookmarkEnd w:id="137"/>
    </w:p>
    <w:p w14:paraId="73DC02E0" w14:textId="5B9308ED" w:rsidR="008B38C1" w:rsidRDefault="008B38C1" w:rsidP="000520F9">
      <w:pPr>
        <w:pStyle w:val="BodyText"/>
      </w:pPr>
      <w:r>
        <w:br w:type="page"/>
      </w:r>
    </w:p>
    <w:p w14:paraId="5A6737A5" w14:textId="0865FE8B" w:rsidR="008B38C1" w:rsidRDefault="005F1D49" w:rsidP="00035C4A">
      <w:pPr>
        <w:pStyle w:val="AppendixHeading3"/>
      </w:pPr>
      <w:bookmarkStart w:id="138" w:name="_Toc517161141"/>
      <w:r>
        <w:lastRenderedPageBreak/>
        <w:t>Petroleum d</w:t>
      </w:r>
      <w:r w:rsidR="008B38C1">
        <w:t>ata coverage</w:t>
      </w:r>
      <w:bookmarkEnd w:id="138"/>
    </w:p>
    <w:p w14:paraId="44CEA0EA" w14:textId="0CED681F" w:rsidR="008B38C1" w:rsidRDefault="008B38C1" w:rsidP="0083382B">
      <w:pPr>
        <w:pStyle w:val="BodyText"/>
      </w:pPr>
      <w:r>
        <w:t>The onshore Clarence-Moreton Basin is relatively poorly explored and has a sparse coverage of reflection seismic data of varying vintage and quality (</w:t>
      </w:r>
      <w:r w:rsidR="00611607">
        <w:t>Figure C</w:t>
      </w:r>
      <w:r w:rsidR="00923166">
        <w:t>.27</w:t>
      </w:r>
      <w:r w:rsidR="005023A3">
        <w:t>; DNRME, 2017b-d</w:t>
      </w:r>
      <w:r w:rsidR="006C7E1C">
        <w:t>; GSNWS, 2017</w:t>
      </w:r>
      <w:r>
        <w:t>). More than 50 petroleum wells have been drilled in the basin, 29 in Queensland and 22 in New South Wales</w:t>
      </w:r>
      <w:r w:rsidR="005023A3">
        <w:t xml:space="preserve"> (DNRME, 2017a; </w:t>
      </w:r>
      <w:r w:rsidR="00A8772A">
        <w:t>DREMP</w:t>
      </w:r>
      <w:r w:rsidR="005023A3">
        <w:t>, 2017)</w:t>
      </w:r>
      <w:r>
        <w:t>.</w:t>
      </w:r>
    </w:p>
    <w:p w14:paraId="46000108" w14:textId="77777777" w:rsidR="008B38C1" w:rsidRPr="005450A3" w:rsidRDefault="008B38C1" w:rsidP="00FD6771">
      <w:pPr>
        <w:pStyle w:val="FiguresImagesCentred"/>
      </w:pPr>
      <w:r>
        <w:rPr>
          <w:noProof/>
        </w:rPr>
        <w:t xml:space="preserve"> </w:t>
      </w:r>
      <w:r>
        <w:rPr>
          <w:noProof/>
        </w:rPr>
        <w:drawing>
          <wp:inline distT="0" distB="0" distL="0" distR="0" wp14:anchorId="62EE3709" wp14:editId="42EA4EDB">
            <wp:extent cx="6134254" cy="55245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6134974" cy="5525148"/>
                    </a:xfrm>
                    <a:prstGeom prst="rect">
                      <a:avLst/>
                    </a:prstGeom>
                    <a:noFill/>
                    <a:ln>
                      <a:noFill/>
                    </a:ln>
                  </pic:spPr>
                </pic:pic>
              </a:graphicData>
            </a:graphic>
          </wp:inline>
        </w:drawing>
      </w:r>
    </w:p>
    <w:p w14:paraId="5E5136FF" w14:textId="6829C0F4" w:rsidR="005F1D49" w:rsidRDefault="00B647DE" w:rsidP="005F1D49">
      <w:pPr>
        <w:pStyle w:val="Caption"/>
      </w:pPr>
      <w:bookmarkStart w:id="139" w:name="_Toc508972098"/>
      <w:r w:rsidRPr="00B647DE">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647DE">
        <w:t>.</w:t>
      </w:r>
      <w:r w:rsidR="008079F1">
        <w:fldChar w:fldCharType="begin"/>
      </w:r>
      <w:r w:rsidR="008079F1">
        <w:instrText xml:space="preserve"> SEQ Apx_Figure \* ARABIC \s 9 </w:instrText>
      </w:r>
      <w:r w:rsidR="008079F1">
        <w:fldChar w:fldCharType="separate"/>
      </w:r>
      <w:r w:rsidR="00640CCB">
        <w:rPr>
          <w:noProof/>
        </w:rPr>
        <w:t>27</w:t>
      </w:r>
      <w:r w:rsidR="008079F1">
        <w:rPr>
          <w:noProof/>
        </w:rPr>
        <w:fldChar w:fldCharType="end"/>
      </w:r>
      <w:r w:rsidRPr="00B647DE">
        <w:t xml:space="preserve"> </w:t>
      </w:r>
      <w:r w:rsidR="008B38C1" w:rsidRPr="00B647DE">
        <w:t xml:space="preserve">Location of wells and seismic data, Clarence-Moreton Basin. </w:t>
      </w:r>
      <w:r w:rsidR="005F1D49">
        <w:t>Clarence-Moreton Basin outline from Stewart et al. (2013). Petroleum well data from DNRM</w:t>
      </w:r>
      <w:r w:rsidR="00A51CEF">
        <w:t>E</w:t>
      </w:r>
      <w:r w:rsidR="005F1D49">
        <w:t xml:space="preserve"> </w:t>
      </w:r>
      <w:r w:rsidR="003E120F">
        <w:t>(</w:t>
      </w:r>
      <w:r w:rsidR="005F1D49">
        <w:t>2017a)</w:t>
      </w:r>
      <w:r w:rsidR="003E120F">
        <w:t xml:space="preserve"> and </w:t>
      </w:r>
      <w:r w:rsidR="00A8772A">
        <w:t xml:space="preserve">DREMP </w:t>
      </w:r>
      <w:r w:rsidR="003E120F">
        <w:t>(2017)</w:t>
      </w:r>
      <w:r w:rsidR="005F1D49">
        <w:t xml:space="preserve">. Seismic data coverage from </w:t>
      </w:r>
      <w:r w:rsidR="00A51CEF">
        <w:t xml:space="preserve">DNRME (2017b-d) and </w:t>
      </w:r>
      <w:r w:rsidR="006C7E1C">
        <w:t>GS</w:t>
      </w:r>
      <w:r w:rsidR="005B2851">
        <w:t>NSW (2017)</w:t>
      </w:r>
      <w:r w:rsidR="005F1D49">
        <w:t>.</w:t>
      </w:r>
      <w:bookmarkEnd w:id="139"/>
    </w:p>
    <w:p w14:paraId="09346973" w14:textId="6CB7CCE5" w:rsidR="008B38C1" w:rsidRPr="00B647DE" w:rsidRDefault="005F1D49" w:rsidP="005F1D49">
      <w:pPr>
        <w:pStyle w:val="Caption"/>
      </w:pPr>
      <w:r>
        <w:t> </w:t>
      </w:r>
    </w:p>
    <w:p w14:paraId="3ABE1694" w14:textId="77777777" w:rsidR="008B38C1" w:rsidRDefault="008B38C1" w:rsidP="000520F9">
      <w:pPr>
        <w:pStyle w:val="BodyText"/>
      </w:pPr>
    </w:p>
    <w:p w14:paraId="2974EF47" w14:textId="77777777" w:rsidR="008B38C1" w:rsidRDefault="008B38C1" w:rsidP="000520F9">
      <w:pPr>
        <w:pStyle w:val="BodyText"/>
      </w:pPr>
      <w:r>
        <w:br w:type="page"/>
      </w:r>
    </w:p>
    <w:p w14:paraId="060C4386" w14:textId="77777777" w:rsidR="008B38C1" w:rsidRDefault="008B38C1" w:rsidP="00035C4A">
      <w:pPr>
        <w:pStyle w:val="AppendixHeading3"/>
      </w:pPr>
      <w:bookmarkStart w:id="140" w:name="_Toc517161142"/>
      <w:r>
        <w:lastRenderedPageBreak/>
        <w:t>Shale and tight gas prospectivity</w:t>
      </w:r>
      <w:bookmarkEnd w:id="140"/>
    </w:p>
    <w:p w14:paraId="1F871F28" w14:textId="77777777" w:rsidR="008B38C1" w:rsidRPr="003739CA" w:rsidRDefault="008B38C1" w:rsidP="003739CA">
      <w:pPr>
        <w:pStyle w:val="BodyText"/>
      </w:pPr>
      <w:r w:rsidRPr="003739CA">
        <w:t>The hydrocarbon prospectivity of the Clarence-Moreto</w:t>
      </w:r>
      <w:r w:rsidR="00B92BE0">
        <w:t xml:space="preserve">n Basin is summarised in </w:t>
      </w:r>
      <w:r w:rsidR="00611607">
        <w:t>Table C</w:t>
      </w:r>
      <w:r w:rsidR="00B92BE0">
        <w:t>.14</w:t>
      </w:r>
      <w:r w:rsidRPr="003739CA">
        <w:t xml:space="preserve">. </w:t>
      </w:r>
    </w:p>
    <w:p w14:paraId="1DC31335" w14:textId="77777777" w:rsidR="008B38C1" w:rsidRPr="003739CA" w:rsidRDefault="008B38C1" w:rsidP="003739CA">
      <w:pPr>
        <w:pStyle w:val="BodyText"/>
      </w:pPr>
      <w:r w:rsidRPr="003739CA">
        <w:t xml:space="preserve">The Clarence-Moreton Basin has a long history of petroleum exploration dating back to 1897, when gas flow was recorded from a coal borehole near Grafton. Despite the numerous gas and minor oil shows, the basin has remained lightly explored for conventional petroleum, with approximately 30 exploration holes drilled, mostly in the New South Wales part. Much of the onshore basin was under permit during the 2000s, with exploration activity increasingly targeting coal seam gas. </w:t>
      </w:r>
    </w:p>
    <w:p w14:paraId="5FC48B47" w14:textId="4172BC3F" w:rsidR="008B38C1" w:rsidRPr="003739CA" w:rsidRDefault="008B38C1" w:rsidP="003739CA">
      <w:pPr>
        <w:pStyle w:val="BodyText"/>
      </w:pPr>
      <w:r w:rsidRPr="003739CA">
        <w:t>The Walloon Coal Measures and Koukandowie Formation contain oil-prone organic matter; both are oil mature in the central part of the onshore Clarence-Moreton Basin, but become rapidly overmature toward the eastern basin boundary (Powell et al., 1993; O’Brien et al., 1994b). Potential source rocks within the Clarence-Moreton Basin succession were generating hydrocarbons during the Late Cretaceous (100–8</w:t>
      </w:r>
      <w:r w:rsidR="004C01AB">
        <w:t>0 m</w:t>
      </w:r>
      <w:r w:rsidRPr="003739CA">
        <w:t xml:space="preserve">a), at the time of maximum burial and heat flow (Powell et al., 1993). Triassic potential source rocks within the underlying Ipswich and Nymboida basins are currently gas mature. Modelling indicates that the Ipswich Coal Measures would have commenced oil generation during the Early Jurassic, and all in situ oil would have been cracked to gas by the mid-Cretaceous (Russell, 1994). </w:t>
      </w:r>
    </w:p>
    <w:p w14:paraId="12201762" w14:textId="77777777" w:rsidR="008B38C1" w:rsidRPr="003739CA" w:rsidRDefault="008B38C1" w:rsidP="003739CA">
      <w:pPr>
        <w:pStyle w:val="BodyText"/>
      </w:pPr>
      <w:r w:rsidRPr="003739CA">
        <w:t>O’Brien et al. (1994b) considered the southeastern Logan Sub-basin to be the most prospective area of the basin. Haselwood et al. (2004) noted that in the southeastern Queensland portion of the basin, low source rock volumes in some areas and low thermal maturities in other areas may have restricted the generation of large volumes of hydrocarbons over much of the basin, with the notable exception of areas around the South Moreton Anticline.</w:t>
      </w:r>
    </w:p>
    <w:p w14:paraId="742DD65A" w14:textId="77777777" w:rsidR="008B38C1" w:rsidRPr="003739CA" w:rsidRDefault="008B38C1" w:rsidP="003739CA">
      <w:pPr>
        <w:pStyle w:val="BodyText"/>
      </w:pPr>
      <w:r w:rsidRPr="003739CA">
        <w:t xml:space="preserve">Metgasco undertook conventional and unconventional gas exploration in the basin during 2009–2013. In 2009, tight gas was encountered in the Gatton Sandstone in the Kingfisher E01 well, located south of </w:t>
      </w:r>
      <w:r w:rsidR="00923166">
        <w:t>Casino in northern NSW (</w:t>
      </w:r>
      <w:r w:rsidR="00611607">
        <w:t>Figure C</w:t>
      </w:r>
      <w:r w:rsidR="00923166">
        <w:t>.28</w:t>
      </w:r>
      <w:r w:rsidRPr="003739CA">
        <w:t>; Metgasco, 2011). Metgasco planned to further test the Greater Mackellar structure with the drilling of Rosella E01, targeting the conventional play in the Ripley Road Sandstone discovered in Kingfisher E01, and tight sands in the Gatton Sandstone (Metgasco, 2014). However, the well did not proceed as drilling approval was suspended by the NSW Government (NSW Trade and Investment, 2014).</w:t>
      </w:r>
    </w:p>
    <w:p w14:paraId="1D852D0A" w14:textId="2DE1B5DB" w:rsidR="008B38C1" w:rsidRPr="003739CA" w:rsidRDefault="008B38C1" w:rsidP="003739CA">
      <w:pPr>
        <w:pStyle w:val="BodyText"/>
      </w:pPr>
      <w:r w:rsidRPr="003739CA">
        <w:t>The Koukandowie and Raceview formations have been proposed as potential shale gas plays with a best estimate prospective recoverable shale gas resource of 11 Tcf and 10 Tcf respectively</w:t>
      </w:r>
      <w:r w:rsidR="00C72088">
        <w:t>, over</w:t>
      </w:r>
      <w:r w:rsidR="00BB24C1">
        <w:t xml:space="preserve"> a prospective </w:t>
      </w:r>
      <w:r w:rsidR="00C72088">
        <w:t xml:space="preserve">area </w:t>
      </w:r>
      <w:r w:rsidR="00C72088" w:rsidRPr="00C72088">
        <w:t>of 4,407 km</w:t>
      </w:r>
      <w:r w:rsidR="00C72088" w:rsidRPr="00C72088">
        <w:rPr>
          <w:vertAlign w:val="superscript"/>
        </w:rPr>
        <w:t>2</w:t>
      </w:r>
      <w:r w:rsidRPr="00C72088">
        <w:t xml:space="preserve"> (</w:t>
      </w:r>
      <w:r w:rsidR="00300ED2">
        <w:t xml:space="preserve">Table </w:t>
      </w:r>
      <w:r w:rsidR="00CA0BF9">
        <w:t>A.3</w:t>
      </w:r>
      <w:r w:rsidR="00300ED2">
        <w:t xml:space="preserve">; Table C.14; </w:t>
      </w:r>
      <w:r w:rsidRPr="00C72088">
        <w:t>AWT</w:t>
      </w:r>
      <w:r w:rsidR="00C72088">
        <w:t xml:space="preserve"> International</w:t>
      </w:r>
      <w:r w:rsidRPr="00C72088">
        <w:t>,</w:t>
      </w:r>
      <w:r w:rsidRPr="003739CA">
        <w:t xml:space="preserve"> 2013</w:t>
      </w:r>
      <w:r w:rsidR="001063A0">
        <w:t>; see also AERA, 2018</w:t>
      </w:r>
      <w:r w:rsidRPr="003739CA">
        <w:t xml:space="preserve">). Of these two formations, the Koukandowie Formation has a much higher proportion of fine-grained facies and higher organic carbon content (O’Brien et al., 1994b). Both may offer tight or basin-centred gas opportunities. </w:t>
      </w:r>
    </w:p>
    <w:p w14:paraId="191D934E" w14:textId="77777777" w:rsidR="008B38C1" w:rsidRPr="003739CA" w:rsidRDefault="008B38C1" w:rsidP="003739CA">
      <w:pPr>
        <w:pStyle w:val="BodyText"/>
      </w:pPr>
      <w:r w:rsidRPr="003739CA">
        <w:t>Data for the key unconventional hydrocarbon t</w:t>
      </w:r>
      <w:r w:rsidR="00B92BE0">
        <w:t xml:space="preserve">argets are summarised in </w:t>
      </w:r>
      <w:r w:rsidR="00611607">
        <w:t>Table C</w:t>
      </w:r>
      <w:r w:rsidR="00B92BE0">
        <w:t>.15</w:t>
      </w:r>
      <w:r w:rsidRPr="003739CA">
        <w:t>.</w:t>
      </w:r>
    </w:p>
    <w:p w14:paraId="1EA8D36E" w14:textId="77777777" w:rsidR="008B38C1" w:rsidRPr="003739CA" w:rsidRDefault="008B38C1" w:rsidP="003739CA">
      <w:pPr>
        <w:pStyle w:val="BodyText"/>
      </w:pPr>
      <w:r w:rsidRPr="003739CA">
        <w:t xml:space="preserve">Although the results of Kingfisher E01 showed that the basin has some unconventional prospectivity, the basin is still in a very early phase of exploration. Significant further seismic data </w:t>
      </w:r>
      <w:r w:rsidRPr="003739CA">
        <w:lastRenderedPageBreak/>
        <w:t>acquisition, drilling and testing would be required to improve our understanding of the shale and tight gas resource potential of this basin.</w:t>
      </w:r>
    </w:p>
    <w:p w14:paraId="70E8EB9C" w14:textId="77777777" w:rsidR="008B38C1" w:rsidRDefault="008B38C1" w:rsidP="00FD6771">
      <w:pPr>
        <w:pStyle w:val="FiguresImagesCentred"/>
      </w:pPr>
      <w:r>
        <w:rPr>
          <w:noProof/>
        </w:rPr>
        <w:drawing>
          <wp:inline distT="0" distB="0" distL="0" distR="0" wp14:anchorId="2374CB8C" wp14:editId="2F0C13FD">
            <wp:extent cx="5760000" cy="6210000"/>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196" cstate="screen">
                      <a:extLst>
                        <a:ext uri="{28A0092B-C50C-407E-A947-70E740481C1C}">
                          <a14:useLocalDpi xmlns:a14="http://schemas.microsoft.com/office/drawing/2010/main"/>
                        </a:ext>
                      </a:extLst>
                    </a:blip>
                    <a:srcRect/>
                    <a:stretch/>
                  </pic:blipFill>
                  <pic:spPr bwMode="auto">
                    <a:xfrm>
                      <a:off x="0" y="0"/>
                      <a:ext cx="5760000" cy="6210000"/>
                    </a:xfrm>
                    <a:prstGeom prst="rect">
                      <a:avLst/>
                    </a:prstGeom>
                    <a:noFill/>
                    <a:ln>
                      <a:noFill/>
                    </a:ln>
                    <a:extLst>
                      <a:ext uri="{53640926-AAD7-44D8-BBD7-CCE9431645EC}">
                        <a14:shadowObscured xmlns:a14="http://schemas.microsoft.com/office/drawing/2010/main"/>
                      </a:ext>
                    </a:extLst>
                  </pic:spPr>
                </pic:pic>
              </a:graphicData>
            </a:graphic>
          </wp:inline>
        </w:drawing>
      </w:r>
    </w:p>
    <w:p w14:paraId="32A3B8FB" w14:textId="7FDE5FD7" w:rsidR="008B38C1" w:rsidRDefault="00923166" w:rsidP="009F3E8F">
      <w:pPr>
        <w:pStyle w:val="Caption"/>
        <w:rPr>
          <w:rFonts w:eastAsia="Times New Roman"/>
        </w:rPr>
      </w:pPr>
      <w:bookmarkStart w:id="141" w:name="_Toc508972099"/>
      <w:r w:rsidRPr="00B647DE">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647DE">
        <w:t>.</w:t>
      </w:r>
      <w:r w:rsidR="008079F1">
        <w:fldChar w:fldCharType="begin"/>
      </w:r>
      <w:r w:rsidR="008079F1">
        <w:instrText xml:space="preserve"> SEQ Apx_Figure \* ARABIC \s 9 </w:instrText>
      </w:r>
      <w:r w:rsidR="008079F1">
        <w:fldChar w:fldCharType="separate"/>
      </w:r>
      <w:r w:rsidR="00640CCB">
        <w:rPr>
          <w:noProof/>
        </w:rPr>
        <w:t>28</w:t>
      </w:r>
      <w:r w:rsidR="008079F1">
        <w:rPr>
          <w:noProof/>
        </w:rPr>
        <w:fldChar w:fldCharType="end"/>
      </w:r>
      <w:r>
        <w:t xml:space="preserve"> </w:t>
      </w:r>
      <w:r w:rsidR="008B38C1">
        <w:t>Location of Kingfisher EO1 and approximate play extent based on maturity (O’Brien et al.,</w:t>
      </w:r>
      <w:r w:rsidR="00332278">
        <w:t xml:space="preserve"> </w:t>
      </w:r>
      <w:r w:rsidR="008B38C1">
        <w:t>1994b).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141"/>
    </w:p>
    <w:p w14:paraId="4DFC5205" w14:textId="77777777" w:rsidR="008B38C1" w:rsidRDefault="008B38C1" w:rsidP="009F3E8F">
      <w:pPr>
        <w:pStyle w:val="Caption"/>
        <w:sectPr w:rsidR="008B38C1" w:rsidSect="005E271C">
          <w:headerReference w:type="default" r:id="rId197"/>
          <w:pgSz w:w="11907" w:h="16840"/>
          <w:pgMar w:top="1418" w:right="1134" w:bottom="1418" w:left="1134" w:header="510" w:footer="624" w:gutter="0"/>
          <w:cols w:space="720"/>
          <w:docGrid w:linePitch="326"/>
        </w:sectPr>
      </w:pPr>
    </w:p>
    <w:p w14:paraId="63E365AD" w14:textId="77777777" w:rsidR="008B38C1" w:rsidRPr="00B92BE0" w:rsidRDefault="00B92BE0" w:rsidP="009F3E8F">
      <w:pPr>
        <w:pStyle w:val="Caption"/>
      </w:pPr>
      <w:bookmarkStart w:id="142" w:name="_Toc508972164"/>
      <w:r w:rsidRPr="00B92BE0">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92BE0">
        <w:t>.</w:t>
      </w:r>
      <w:r w:rsidR="008079F1">
        <w:fldChar w:fldCharType="begin"/>
      </w:r>
      <w:r w:rsidR="008079F1">
        <w:instrText xml:space="preserve"> SEQ Apx_Table \* ARABIC \s 9 </w:instrText>
      </w:r>
      <w:r w:rsidR="008079F1">
        <w:fldChar w:fldCharType="separate"/>
      </w:r>
      <w:r w:rsidR="00640CCB">
        <w:rPr>
          <w:noProof/>
        </w:rPr>
        <w:t>15</w:t>
      </w:r>
      <w:r w:rsidR="008079F1">
        <w:rPr>
          <w:noProof/>
        </w:rPr>
        <w:fldChar w:fldCharType="end"/>
      </w:r>
      <w:r w:rsidRPr="00B92BE0">
        <w:t xml:space="preserve"> </w:t>
      </w:r>
      <w:r w:rsidR="008B38C1" w:rsidRPr="00B92BE0">
        <w:t>Summary of shale and tight gas plays.</w:t>
      </w:r>
      <w:bookmarkEnd w:id="142"/>
    </w:p>
    <w:tbl>
      <w:tblPr>
        <w:tblStyle w:val="TableBAHeaderRow"/>
        <w:tblW w:w="5000" w:type="pct"/>
        <w:tblLook w:val="04A0" w:firstRow="1" w:lastRow="0" w:firstColumn="1" w:lastColumn="0" w:noHBand="0" w:noVBand="1"/>
      </w:tblPr>
      <w:tblGrid>
        <w:gridCol w:w="1403"/>
        <w:gridCol w:w="877"/>
        <w:gridCol w:w="1215"/>
        <w:gridCol w:w="939"/>
        <w:gridCol w:w="995"/>
        <w:gridCol w:w="2124"/>
        <w:gridCol w:w="1054"/>
        <w:gridCol w:w="1298"/>
        <w:gridCol w:w="1264"/>
        <w:gridCol w:w="2835"/>
      </w:tblGrid>
      <w:tr w:rsidR="008B38C1" w14:paraId="1FB18633" w14:textId="77777777" w:rsidTr="00DC345C">
        <w:trPr>
          <w:cnfStyle w:val="100000000000" w:firstRow="1" w:lastRow="0" w:firstColumn="0" w:lastColumn="0" w:oddVBand="0" w:evenVBand="0" w:oddHBand="0" w:evenHBand="0" w:firstRowFirstColumn="0" w:firstRowLastColumn="0" w:lastRowFirstColumn="0" w:lastRowLastColumn="0"/>
        </w:trPr>
        <w:tc>
          <w:tcPr>
            <w:tcW w:w="502" w:type="pct"/>
            <w:hideMark/>
          </w:tcPr>
          <w:p w14:paraId="25C09237" w14:textId="77777777" w:rsidR="008B38C1" w:rsidRDefault="008B38C1">
            <w:pPr>
              <w:pStyle w:val="TableTextLeft"/>
            </w:pPr>
            <w:r>
              <w:t>Formation</w:t>
            </w:r>
          </w:p>
        </w:tc>
        <w:tc>
          <w:tcPr>
            <w:tcW w:w="314" w:type="pct"/>
            <w:hideMark/>
          </w:tcPr>
          <w:p w14:paraId="67B5FED3" w14:textId="77777777" w:rsidR="008B38C1" w:rsidRDefault="008B38C1">
            <w:pPr>
              <w:pStyle w:val="TableTextLeft"/>
            </w:pPr>
            <w:r>
              <w:t>Age</w:t>
            </w:r>
          </w:p>
        </w:tc>
        <w:tc>
          <w:tcPr>
            <w:tcW w:w="430" w:type="pct"/>
            <w:hideMark/>
          </w:tcPr>
          <w:p w14:paraId="4BFDE35B" w14:textId="77777777" w:rsidR="008B38C1" w:rsidRDefault="008B38C1">
            <w:pPr>
              <w:pStyle w:val="TableTextLeft"/>
            </w:pPr>
            <w:r>
              <w:t>Environment</w:t>
            </w:r>
          </w:p>
        </w:tc>
        <w:tc>
          <w:tcPr>
            <w:tcW w:w="336" w:type="pct"/>
            <w:hideMark/>
          </w:tcPr>
          <w:p w14:paraId="6607F9D1" w14:textId="77777777" w:rsidR="008B38C1" w:rsidRDefault="008B38C1">
            <w:pPr>
              <w:pStyle w:val="TableTextLeft"/>
            </w:pPr>
            <w:r>
              <w:t>Top depth (m)</w:t>
            </w:r>
          </w:p>
        </w:tc>
        <w:tc>
          <w:tcPr>
            <w:tcW w:w="352" w:type="pct"/>
            <w:hideMark/>
          </w:tcPr>
          <w:p w14:paraId="5B07A602" w14:textId="77777777" w:rsidR="008B38C1" w:rsidRDefault="008B38C1">
            <w:pPr>
              <w:pStyle w:val="TableTextLeft"/>
            </w:pPr>
            <w:r>
              <w:t>Thickness (m)</w:t>
            </w:r>
          </w:p>
        </w:tc>
        <w:tc>
          <w:tcPr>
            <w:tcW w:w="759" w:type="pct"/>
            <w:hideMark/>
          </w:tcPr>
          <w:p w14:paraId="4F7887D2" w14:textId="77777777" w:rsidR="008B38C1" w:rsidRDefault="008B38C1">
            <w:pPr>
              <w:pStyle w:val="TableTextLeft"/>
            </w:pPr>
            <w:r>
              <w:t>Source rock(s)</w:t>
            </w:r>
          </w:p>
        </w:tc>
        <w:tc>
          <w:tcPr>
            <w:tcW w:w="377" w:type="pct"/>
            <w:hideMark/>
          </w:tcPr>
          <w:p w14:paraId="5DFF6F1C" w14:textId="77777777" w:rsidR="008B38C1" w:rsidRDefault="008B38C1">
            <w:pPr>
              <w:pStyle w:val="TableTextLeft"/>
            </w:pPr>
            <w:r>
              <w:t>Source rock TOC (%)</w:t>
            </w:r>
          </w:p>
        </w:tc>
        <w:tc>
          <w:tcPr>
            <w:tcW w:w="464" w:type="pct"/>
            <w:hideMark/>
          </w:tcPr>
          <w:p w14:paraId="2B566DA0" w14:textId="77777777" w:rsidR="008B38C1" w:rsidRDefault="008B38C1">
            <w:pPr>
              <w:pStyle w:val="TableTextLeft"/>
            </w:pPr>
            <w:r>
              <w:t>Source rock maturity (Ro)</w:t>
            </w:r>
          </w:p>
        </w:tc>
        <w:tc>
          <w:tcPr>
            <w:tcW w:w="452" w:type="pct"/>
            <w:hideMark/>
          </w:tcPr>
          <w:p w14:paraId="2DB84E8B" w14:textId="77777777" w:rsidR="008B38C1" w:rsidRDefault="008B38C1">
            <w:pPr>
              <w:pStyle w:val="TableTextLeft"/>
            </w:pPr>
            <w:r>
              <w:t>Play type</w:t>
            </w:r>
          </w:p>
        </w:tc>
        <w:tc>
          <w:tcPr>
            <w:tcW w:w="1013" w:type="pct"/>
            <w:hideMark/>
          </w:tcPr>
          <w:p w14:paraId="12AA05E9" w14:textId="77777777" w:rsidR="008B38C1" w:rsidRDefault="008B38C1">
            <w:pPr>
              <w:pStyle w:val="TableTextLeft"/>
            </w:pPr>
            <w:r>
              <w:t>Exploration status</w:t>
            </w:r>
          </w:p>
        </w:tc>
      </w:tr>
      <w:tr w:rsidR="008B38C1" w14:paraId="2978FA4B" w14:textId="77777777" w:rsidTr="00DC345C">
        <w:trPr>
          <w:cnfStyle w:val="000000100000" w:firstRow="0" w:lastRow="0" w:firstColumn="0" w:lastColumn="0" w:oddVBand="0" w:evenVBand="0" w:oddHBand="1" w:evenHBand="0" w:firstRowFirstColumn="0" w:firstRowLastColumn="0" w:lastRowFirstColumn="0" w:lastRowLastColumn="0"/>
        </w:trPr>
        <w:tc>
          <w:tcPr>
            <w:tcW w:w="502" w:type="pct"/>
            <w:hideMark/>
          </w:tcPr>
          <w:p w14:paraId="78762219" w14:textId="77777777" w:rsidR="008B38C1" w:rsidRDefault="008B38C1">
            <w:pPr>
              <w:pStyle w:val="TableTextLeft"/>
              <w:rPr>
                <w:szCs w:val="18"/>
              </w:rPr>
            </w:pPr>
            <w:r>
              <w:rPr>
                <w:szCs w:val="18"/>
              </w:rPr>
              <w:t>Koukandowie Fm</w:t>
            </w:r>
          </w:p>
        </w:tc>
        <w:tc>
          <w:tcPr>
            <w:tcW w:w="314" w:type="pct"/>
            <w:hideMark/>
          </w:tcPr>
          <w:p w14:paraId="67071589" w14:textId="77777777" w:rsidR="008B38C1" w:rsidRDefault="008B38C1">
            <w:pPr>
              <w:pStyle w:val="TableTextLeft"/>
              <w:rPr>
                <w:szCs w:val="18"/>
              </w:rPr>
            </w:pPr>
            <w:r>
              <w:rPr>
                <w:szCs w:val="18"/>
              </w:rPr>
              <w:t>Early Jurassic</w:t>
            </w:r>
          </w:p>
        </w:tc>
        <w:tc>
          <w:tcPr>
            <w:tcW w:w="430" w:type="pct"/>
            <w:hideMark/>
          </w:tcPr>
          <w:p w14:paraId="15D21DBC" w14:textId="77777777" w:rsidR="008B38C1" w:rsidRDefault="008B38C1">
            <w:pPr>
              <w:pStyle w:val="TableTextLeft"/>
              <w:rPr>
                <w:szCs w:val="18"/>
              </w:rPr>
            </w:pPr>
            <w:r>
              <w:rPr>
                <w:szCs w:val="18"/>
              </w:rPr>
              <w:t>fluvial</w:t>
            </w:r>
          </w:p>
        </w:tc>
        <w:tc>
          <w:tcPr>
            <w:tcW w:w="336" w:type="pct"/>
            <w:hideMark/>
          </w:tcPr>
          <w:p w14:paraId="38CB7D87" w14:textId="77777777" w:rsidR="008B38C1" w:rsidRDefault="008B38C1">
            <w:pPr>
              <w:pStyle w:val="TableTextLeft"/>
              <w:rPr>
                <w:szCs w:val="18"/>
              </w:rPr>
            </w:pPr>
            <w:r>
              <w:rPr>
                <w:szCs w:val="18"/>
              </w:rPr>
              <w:t>200–1</w:t>
            </w:r>
            <w:r w:rsidR="0029674C">
              <w:rPr>
                <w:szCs w:val="18"/>
              </w:rPr>
              <w:t>,</w:t>
            </w:r>
            <w:r>
              <w:rPr>
                <w:szCs w:val="18"/>
              </w:rPr>
              <w:t>20</w:t>
            </w:r>
            <w:r w:rsidR="004C01AB">
              <w:rPr>
                <w:szCs w:val="18"/>
              </w:rPr>
              <w:t>0 m</w:t>
            </w:r>
          </w:p>
        </w:tc>
        <w:tc>
          <w:tcPr>
            <w:tcW w:w="352" w:type="pct"/>
            <w:hideMark/>
          </w:tcPr>
          <w:p w14:paraId="719B81C7" w14:textId="77777777" w:rsidR="008B38C1" w:rsidRDefault="008B38C1">
            <w:pPr>
              <w:pStyle w:val="TableTextLeft"/>
              <w:rPr>
                <w:szCs w:val="18"/>
              </w:rPr>
            </w:pPr>
            <w:r>
              <w:rPr>
                <w:szCs w:val="18"/>
              </w:rPr>
              <w:t>&lt;700</w:t>
            </w:r>
          </w:p>
        </w:tc>
        <w:tc>
          <w:tcPr>
            <w:tcW w:w="759" w:type="pct"/>
            <w:hideMark/>
          </w:tcPr>
          <w:p w14:paraId="75CE920C" w14:textId="77777777" w:rsidR="008B38C1" w:rsidRDefault="008B38C1">
            <w:pPr>
              <w:pStyle w:val="TableTextLeft"/>
              <w:rPr>
                <w:szCs w:val="18"/>
              </w:rPr>
            </w:pPr>
            <w:r>
              <w:rPr>
                <w:szCs w:val="18"/>
              </w:rPr>
              <w:t>Type II/III; DOM</w:t>
            </w:r>
          </w:p>
        </w:tc>
        <w:tc>
          <w:tcPr>
            <w:tcW w:w="377" w:type="pct"/>
            <w:hideMark/>
          </w:tcPr>
          <w:p w14:paraId="10C5BFC9" w14:textId="77777777" w:rsidR="008B38C1" w:rsidRDefault="008B38C1">
            <w:pPr>
              <w:pStyle w:val="TableTextLeft"/>
              <w:rPr>
                <w:szCs w:val="18"/>
              </w:rPr>
            </w:pPr>
            <w:r>
              <w:rPr>
                <w:szCs w:val="18"/>
              </w:rPr>
              <w:t>Generally 3.0–&gt;20.0 (includes coal)</w:t>
            </w:r>
          </w:p>
        </w:tc>
        <w:tc>
          <w:tcPr>
            <w:tcW w:w="464" w:type="pct"/>
            <w:hideMark/>
          </w:tcPr>
          <w:p w14:paraId="0D5B4B61" w14:textId="77777777" w:rsidR="008B38C1" w:rsidRDefault="008B38C1">
            <w:pPr>
              <w:pStyle w:val="TableTextLeft"/>
              <w:rPr>
                <w:szCs w:val="18"/>
              </w:rPr>
            </w:pPr>
            <w:r>
              <w:rPr>
                <w:szCs w:val="18"/>
              </w:rPr>
              <w:t>main oil to dry gas; 0.8–2.0%</w:t>
            </w:r>
          </w:p>
        </w:tc>
        <w:tc>
          <w:tcPr>
            <w:tcW w:w="452" w:type="pct"/>
            <w:hideMark/>
          </w:tcPr>
          <w:p w14:paraId="0267750D" w14:textId="77777777" w:rsidR="008B38C1" w:rsidRDefault="008B38C1">
            <w:pPr>
              <w:pStyle w:val="TableTextLeft"/>
              <w:rPr>
                <w:szCs w:val="18"/>
              </w:rPr>
            </w:pPr>
            <w:r>
              <w:rPr>
                <w:szCs w:val="18"/>
              </w:rPr>
              <w:t>Tight and/or shale gas</w:t>
            </w:r>
          </w:p>
        </w:tc>
        <w:tc>
          <w:tcPr>
            <w:tcW w:w="1013" w:type="pct"/>
            <w:hideMark/>
          </w:tcPr>
          <w:p w14:paraId="560218A9" w14:textId="77777777" w:rsidR="008B38C1" w:rsidRDefault="008B38C1">
            <w:pPr>
              <w:pStyle w:val="TableTextLeft"/>
              <w:rPr>
                <w:szCs w:val="18"/>
              </w:rPr>
            </w:pPr>
            <w:r>
              <w:rPr>
                <w:szCs w:val="18"/>
              </w:rPr>
              <w:t>preliminary exploration; currently inactive</w:t>
            </w:r>
          </w:p>
        </w:tc>
      </w:tr>
      <w:tr w:rsidR="008B38C1" w14:paraId="1EBFD73C" w14:textId="77777777" w:rsidTr="00DC345C">
        <w:trPr>
          <w:cnfStyle w:val="000000010000" w:firstRow="0" w:lastRow="0" w:firstColumn="0" w:lastColumn="0" w:oddVBand="0" w:evenVBand="0" w:oddHBand="0" w:evenHBand="1" w:firstRowFirstColumn="0" w:firstRowLastColumn="0" w:lastRowFirstColumn="0" w:lastRowLastColumn="0"/>
        </w:trPr>
        <w:tc>
          <w:tcPr>
            <w:tcW w:w="502" w:type="pct"/>
            <w:hideMark/>
          </w:tcPr>
          <w:p w14:paraId="2126D322" w14:textId="77777777" w:rsidR="008B38C1" w:rsidRDefault="008B38C1">
            <w:pPr>
              <w:pStyle w:val="TableTextLeft"/>
              <w:rPr>
                <w:szCs w:val="18"/>
              </w:rPr>
            </w:pPr>
            <w:r>
              <w:rPr>
                <w:szCs w:val="18"/>
              </w:rPr>
              <w:t>Gatton Sandstone</w:t>
            </w:r>
          </w:p>
        </w:tc>
        <w:tc>
          <w:tcPr>
            <w:tcW w:w="314" w:type="pct"/>
            <w:hideMark/>
          </w:tcPr>
          <w:p w14:paraId="697E888E" w14:textId="77777777" w:rsidR="008B38C1" w:rsidRDefault="008B38C1">
            <w:pPr>
              <w:pStyle w:val="TableTextLeft"/>
              <w:rPr>
                <w:szCs w:val="18"/>
              </w:rPr>
            </w:pPr>
            <w:r>
              <w:rPr>
                <w:szCs w:val="18"/>
              </w:rPr>
              <w:t>Early Jurassic</w:t>
            </w:r>
          </w:p>
        </w:tc>
        <w:tc>
          <w:tcPr>
            <w:tcW w:w="430" w:type="pct"/>
            <w:hideMark/>
          </w:tcPr>
          <w:p w14:paraId="36499B2F" w14:textId="77777777" w:rsidR="008B38C1" w:rsidRDefault="008B38C1">
            <w:pPr>
              <w:pStyle w:val="TableTextLeft"/>
              <w:rPr>
                <w:szCs w:val="18"/>
              </w:rPr>
            </w:pPr>
            <w:r>
              <w:rPr>
                <w:szCs w:val="18"/>
              </w:rPr>
              <w:t>fluvial</w:t>
            </w:r>
          </w:p>
        </w:tc>
        <w:tc>
          <w:tcPr>
            <w:tcW w:w="336" w:type="pct"/>
            <w:hideMark/>
          </w:tcPr>
          <w:p w14:paraId="40D32D9F" w14:textId="77777777" w:rsidR="008B38C1" w:rsidRDefault="008B38C1">
            <w:pPr>
              <w:pStyle w:val="TableTextLeft"/>
              <w:rPr>
                <w:szCs w:val="18"/>
              </w:rPr>
            </w:pPr>
            <w:r>
              <w:rPr>
                <w:szCs w:val="18"/>
              </w:rPr>
              <w:t>500–1</w:t>
            </w:r>
            <w:r w:rsidR="0029674C">
              <w:rPr>
                <w:szCs w:val="18"/>
              </w:rPr>
              <w:t>,</w:t>
            </w:r>
            <w:r>
              <w:rPr>
                <w:szCs w:val="18"/>
              </w:rPr>
              <w:t>50</w:t>
            </w:r>
            <w:r w:rsidR="004C01AB">
              <w:rPr>
                <w:szCs w:val="18"/>
              </w:rPr>
              <w:t>0 m</w:t>
            </w:r>
          </w:p>
        </w:tc>
        <w:tc>
          <w:tcPr>
            <w:tcW w:w="352" w:type="pct"/>
            <w:hideMark/>
          </w:tcPr>
          <w:p w14:paraId="0089F48C" w14:textId="77777777" w:rsidR="008B38C1" w:rsidRDefault="008B38C1">
            <w:pPr>
              <w:pStyle w:val="TableTextLeft"/>
              <w:rPr>
                <w:szCs w:val="18"/>
              </w:rPr>
            </w:pPr>
            <w:r>
              <w:rPr>
                <w:szCs w:val="18"/>
              </w:rPr>
              <w:t>&lt;1</w:t>
            </w:r>
            <w:r w:rsidR="0029674C">
              <w:rPr>
                <w:szCs w:val="18"/>
              </w:rPr>
              <w:t>,</w:t>
            </w:r>
            <w:r>
              <w:rPr>
                <w:szCs w:val="18"/>
              </w:rPr>
              <w:t>10</w:t>
            </w:r>
            <w:r w:rsidR="004C01AB">
              <w:rPr>
                <w:szCs w:val="18"/>
              </w:rPr>
              <w:t>0 m</w:t>
            </w:r>
          </w:p>
        </w:tc>
        <w:tc>
          <w:tcPr>
            <w:tcW w:w="759" w:type="pct"/>
            <w:hideMark/>
          </w:tcPr>
          <w:p w14:paraId="477752C9" w14:textId="77777777" w:rsidR="008B38C1" w:rsidRDefault="008B38C1">
            <w:pPr>
              <w:pStyle w:val="TableTextLeft"/>
              <w:rPr>
                <w:szCs w:val="18"/>
              </w:rPr>
            </w:pPr>
            <w:r>
              <w:rPr>
                <w:szCs w:val="18"/>
              </w:rPr>
              <w:t>Raceview Fm, Ipswich Coal Measures</w:t>
            </w:r>
          </w:p>
        </w:tc>
        <w:tc>
          <w:tcPr>
            <w:tcW w:w="377" w:type="pct"/>
            <w:hideMark/>
          </w:tcPr>
          <w:p w14:paraId="47AFBE24" w14:textId="77777777" w:rsidR="008B38C1" w:rsidRDefault="008B38C1">
            <w:pPr>
              <w:pStyle w:val="TableTextLeft"/>
              <w:rPr>
                <w:szCs w:val="18"/>
              </w:rPr>
            </w:pPr>
            <w:r>
              <w:rPr>
                <w:szCs w:val="18"/>
              </w:rPr>
              <w:t>Generally &lt;1.0–3.0; coal</w:t>
            </w:r>
          </w:p>
        </w:tc>
        <w:tc>
          <w:tcPr>
            <w:tcW w:w="464" w:type="pct"/>
            <w:hideMark/>
          </w:tcPr>
          <w:p w14:paraId="3C1E3735" w14:textId="77777777" w:rsidR="008B38C1" w:rsidRDefault="008B38C1">
            <w:pPr>
              <w:pStyle w:val="TableTextLeft"/>
              <w:rPr>
                <w:szCs w:val="18"/>
              </w:rPr>
            </w:pPr>
            <w:r>
              <w:rPr>
                <w:szCs w:val="18"/>
              </w:rPr>
              <w:t>main oil to dry gas; 0.8–2.4%</w:t>
            </w:r>
          </w:p>
        </w:tc>
        <w:tc>
          <w:tcPr>
            <w:tcW w:w="452" w:type="pct"/>
            <w:hideMark/>
          </w:tcPr>
          <w:p w14:paraId="6E38B4B5" w14:textId="77777777" w:rsidR="008B38C1" w:rsidRDefault="008B38C1">
            <w:pPr>
              <w:pStyle w:val="TableTextLeft"/>
              <w:rPr>
                <w:szCs w:val="18"/>
              </w:rPr>
            </w:pPr>
            <w:r>
              <w:rPr>
                <w:szCs w:val="18"/>
              </w:rPr>
              <w:t>Tight gas</w:t>
            </w:r>
          </w:p>
        </w:tc>
        <w:tc>
          <w:tcPr>
            <w:tcW w:w="1013" w:type="pct"/>
            <w:hideMark/>
          </w:tcPr>
          <w:p w14:paraId="10797666" w14:textId="77777777" w:rsidR="008B38C1" w:rsidRDefault="008B38C1">
            <w:pPr>
              <w:pStyle w:val="TableTextLeft"/>
              <w:rPr>
                <w:szCs w:val="18"/>
              </w:rPr>
            </w:pPr>
            <w:r>
              <w:rPr>
                <w:szCs w:val="18"/>
              </w:rPr>
              <w:t>preliminary exploration; currently inactive</w:t>
            </w:r>
          </w:p>
        </w:tc>
      </w:tr>
      <w:tr w:rsidR="008B38C1" w14:paraId="5D40070C" w14:textId="77777777" w:rsidTr="00DC345C">
        <w:trPr>
          <w:cnfStyle w:val="000000100000" w:firstRow="0" w:lastRow="0" w:firstColumn="0" w:lastColumn="0" w:oddVBand="0" w:evenVBand="0" w:oddHBand="1" w:evenHBand="0" w:firstRowFirstColumn="0" w:firstRowLastColumn="0" w:lastRowFirstColumn="0" w:lastRowLastColumn="0"/>
        </w:trPr>
        <w:tc>
          <w:tcPr>
            <w:tcW w:w="502" w:type="pct"/>
            <w:hideMark/>
          </w:tcPr>
          <w:p w14:paraId="40B0EAC5" w14:textId="77777777" w:rsidR="008B38C1" w:rsidRDefault="008B38C1">
            <w:pPr>
              <w:pStyle w:val="TableTextLeft"/>
              <w:rPr>
                <w:szCs w:val="18"/>
              </w:rPr>
            </w:pPr>
            <w:r>
              <w:rPr>
                <w:szCs w:val="18"/>
              </w:rPr>
              <w:t>Raceview Fm</w:t>
            </w:r>
          </w:p>
        </w:tc>
        <w:tc>
          <w:tcPr>
            <w:tcW w:w="314" w:type="pct"/>
            <w:hideMark/>
          </w:tcPr>
          <w:p w14:paraId="5E2B5677" w14:textId="77777777" w:rsidR="008B38C1" w:rsidRDefault="008B38C1">
            <w:pPr>
              <w:pStyle w:val="TableTextLeft"/>
              <w:rPr>
                <w:szCs w:val="18"/>
              </w:rPr>
            </w:pPr>
            <w:r>
              <w:rPr>
                <w:szCs w:val="18"/>
              </w:rPr>
              <w:t>Late Triassic</w:t>
            </w:r>
          </w:p>
        </w:tc>
        <w:tc>
          <w:tcPr>
            <w:tcW w:w="430" w:type="pct"/>
            <w:hideMark/>
          </w:tcPr>
          <w:p w14:paraId="3FA0F756" w14:textId="77777777" w:rsidR="008B38C1" w:rsidRDefault="008B38C1">
            <w:pPr>
              <w:pStyle w:val="TableTextLeft"/>
              <w:rPr>
                <w:szCs w:val="18"/>
              </w:rPr>
            </w:pPr>
            <w:r>
              <w:rPr>
                <w:szCs w:val="18"/>
              </w:rPr>
              <w:t>fluvial</w:t>
            </w:r>
          </w:p>
        </w:tc>
        <w:tc>
          <w:tcPr>
            <w:tcW w:w="336" w:type="pct"/>
            <w:hideMark/>
          </w:tcPr>
          <w:p w14:paraId="1D3D6B7F" w14:textId="77777777" w:rsidR="008B38C1" w:rsidRDefault="008B38C1">
            <w:pPr>
              <w:pStyle w:val="TableTextLeft"/>
              <w:rPr>
                <w:szCs w:val="18"/>
              </w:rPr>
            </w:pPr>
            <w:r>
              <w:rPr>
                <w:szCs w:val="18"/>
              </w:rPr>
              <w:t>1200–2</w:t>
            </w:r>
            <w:r w:rsidR="0029674C">
              <w:rPr>
                <w:szCs w:val="18"/>
              </w:rPr>
              <w:t>,</w:t>
            </w:r>
            <w:r>
              <w:rPr>
                <w:szCs w:val="18"/>
              </w:rPr>
              <w:t>40</w:t>
            </w:r>
            <w:r w:rsidR="004C01AB">
              <w:rPr>
                <w:szCs w:val="18"/>
              </w:rPr>
              <w:t>0 m</w:t>
            </w:r>
          </w:p>
        </w:tc>
        <w:tc>
          <w:tcPr>
            <w:tcW w:w="352" w:type="pct"/>
            <w:hideMark/>
          </w:tcPr>
          <w:p w14:paraId="5851A507" w14:textId="77777777" w:rsidR="008B38C1" w:rsidRDefault="008B38C1">
            <w:pPr>
              <w:pStyle w:val="TableTextLeft"/>
              <w:rPr>
                <w:szCs w:val="18"/>
              </w:rPr>
            </w:pPr>
            <w:r>
              <w:rPr>
                <w:szCs w:val="18"/>
              </w:rPr>
              <w:t>&lt;300</w:t>
            </w:r>
          </w:p>
        </w:tc>
        <w:tc>
          <w:tcPr>
            <w:tcW w:w="759" w:type="pct"/>
            <w:hideMark/>
          </w:tcPr>
          <w:p w14:paraId="4F34D8BB" w14:textId="77777777" w:rsidR="008B38C1" w:rsidRDefault="008B38C1">
            <w:pPr>
              <w:pStyle w:val="TableTextLeft"/>
              <w:rPr>
                <w:szCs w:val="18"/>
              </w:rPr>
            </w:pPr>
            <w:r>
              <w:rPr>
                <w:szCs w:val="18"/>
              </w:rPr>
              <w:t>Type III</w:t>
            </w:r>
          </w:p>
        </w:tc>
        <w:tc>
          <w:tcPr>
            <w:tcW w:w="377" w:type="pct"/>
            <w:hideMark/>
          </w:tcPr>
          <w:p w14:paraId="396B59F2" w14:textId="77777777" w:rsidR="008B38C1" w:rsidRDefault="008B38C1">
            <w:pPr>
              <w:pStyle w:val="TableTextLeft"/>
              <w:rPr>
                <w:szCs w:val="18"/>
              </w:rPr>
            </w:pPr>
            <w:r>
              <w:rPr>
                <w:szCs w:val="18"/>
              </w:rPr>
              <w:t>Generally &lt;1.0–3.0</w:t>
            </w:r>
          </w:p>
        </w:tc>
        <w:tc>
          <w:tcPr>
            <w:tcW w:w="464" w:type="pct"/>
            <w:hideMark/>
          </w:tcPr>
          <w:p w14:paraId="666674D9" w14:textId="77777777" w:rsidR="008B38C1" w:rsidRDefault="008B38C1">
            <w:pPr>
              <w:pStyle w:val="TableTextLeft"/>
              <w:rPr>
                <w:szCs w:val="18"/>
              </w:rPr>
            </w:pPr>
            <w:r>
              <w:rPr>
                <w:szCs w:val="18"/>
              </w:rPr>
              <w:t>main oil to dry gas; 0.8–2.4%</w:t>
            </w:r>
          </w:p>
        </w:tc>
        <w:tc>
          <w:tcPr>
            <w:tcW w:w="452" w:type="pct"/>
            <w:hideMark/>
          </w:tcPr>
          <w:p w14:paraId="039DA42B" w14:textId="77777777" w:rsidR="008B38C1" w:rsidRDefault="008B38C1">
            <w:pPr>
              <w:pStyle w:val="TableTextLeft"/>
              <w:rPr>
                <w:szCs w:val="18"/>
              </w:rPr>
            </w:pPr>
            <w:r>
              <w:rPr>
                <w:szCs w:val="18"/>
              </w:rPr>
              <w:t>Tight and/or shale gas</w:t>
            </w:r>
          </w:p>
        </w:tc>
        <w:tc>
          <w:tcPr>
            <w:tcW w:w="1013" w:type="pct"/>
            <w:hideMark/>
          </w:tcPr>
          <w:p w14:paraId="51AFB859" w14:textId="77777777" w:rsidR="008B38C1" w:rsidRDefault="008B38C1">
            <w:pPr>
              <w:pStyle w:val="TableTextLeft"/>
              <w:rPr>
                <w:szCs w:val="18"/>
              </w:rPr>
            </w:pPr>
            <w:r>
              <w:rPr>
                <w:szCs w:val="18"/>
              </w:rPr>
              <w:t>preliminary exploration; currently inactive</w:t>
            </w:r>
          </w:p>
        </w:tc>
      </w:tr>
    </w:tbl>
    <w:p w14:paraId="7C5B3398" w14:textId="77777777" w:rsidR="008B38C1" w:rsidRDefault="008B38C1" w:rsidP="000350BE">
      <w:pPr>
        <w:pStyle w:val="BodyText"/>
        <w:sectPr w:rsidR="008B38C1" w:rsidSect="005E271C">
          <w:headerReference w:type="default" r:id="rId198"/>
          <w:pgSz w:w="16840" w:h="11907" w:orient="landscape"/>
          <w:pgMar w:top="1418" w:right="1418" w:bottom="1418" w:left="1418" w:header="567" w:footer="170" w:gutter="0"/>
          <w:cols w:space="720"/>
        </w:sectPr>
      </w:pPr>
    </w:p>
    <w:p w14:paraId="51D73F0F" w14:textId="77777777" w:rsidR="008B38C1" w:rsidRDefault="008B38C1" w:rsidP="00035C4A">
      <w:pPr>
        <w:pStyle w:val="AppendixHeading3"/>
      </w:pPr>
      <w:bookmarkStart w:id="143" w:name="_Toc517161143"/>
      <w:r>
        <w:lastRenderedPageBreak/>
        <w:t>Gas market access and infrastructure</w:t>
      </w:r>
      <w:bookmarkEnd w:id="143"/>
    </w:p>
    <w:p w14:paraId="499B1191" w14:textId="77777777" w:rsidR="008B38C1" w:rsidRDefault="008B38C1" w:rsidP="0083382B">
      <w:pPr>
        <w:pStyle w:val="BodyText"/>
      </w:pPr>
      <w:r>
        <w:t>The Clarence-Moreton Basin is not a gas producing area; however, there is some existing pipeline infrastructure already in place, connecting Bowen and Surat basin gas facilities to Brisbane (AER, 2017). The basin is poorly to moderately well serviced in terms of road and rail access.</w:t>
      </w:r>
    </w:p>
    <w:p w14:paraId="5CFDCFD3" w14:textId="77777777" w:rsidR="008B38C1" w:rsidRDefault="00611607" w:rsidP="0083382B">
      <w:pPr>
        <w:pStyle w:val="BodyText"/>
      </w:pPr>
      <w:r>
        <w:t>Figure C</w:t>
      </w:r>
      <w:r w:rsidR="00923166">
        <w:t>.29</w:t>
      </w:r>
      <w:r w:rsidR="008B38C1">
        <w:t xml:space="preserve"> shows the location of major oil and gas infrastructure in the basin, including oil and gas pipelines and gas processing facilities, along with the distribution of major road and rail networks. Further d</w:t>
      </w:r>
      <w:r w:rsidR="00B92BE0">
        <w:t xml:space="preserve">etails are summarised in </w:t>
      </w:r>
      <w:r>
        <w:t>Table C</w:t>
      </w:r>
      <w:r w:rsidR="00B92BE0">
        <w:t>.16</w:t>
      </w:r>
      <w:r w:rsidR="008B38C1">
        <w:t>.</w:t>
      </w:r>
    </w:p>
    <w:p w14:paraId="101ABDED" w14:textId="77777777" w:rsidR="008B38C1" w:rsidRPr="005450A3" w:rsidRDefault="008B38C1" w:rsidP="00FD6771">
      <w:pPr>
        <w:pStyle w:val="FiguresImagesCentred"/>
      </w:pPr>
      <w:r w:rsidRPr="00FD6771">
        <w:rPr>
          <w:noProof/>
        </w:rPr>
        <w:drawing>
          <wp:inline distT="0" distB="0" distL="0" distR="0" wp14:anchorId="7ECA2ABC" wp14:editId="5F85690C">
            <wp:extent cx="4583332" cy="5199529"/>
            <wp:effectExtent l="0" t="0" r="8255"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4588845" cy="5205783"/>
                    </a:xfrm>
                    <a:prstGeom prst="rect">
                      <a:avLst/>
                    </a:prstGeom>
                    <a:noFill/>
                    <a:ln>
                      <a:noFill/>
                    </a:ln>
                  </pic:spPr>
                </pic:pic>
              </a:graphicData>
            </a:graphic>
          </wp:inline>
        </w:drawing>
      </w:r>
    </w:p>
    <w:p w14:paraId="6CF4F2A1" w14:textId="2D8CD83F" w:rsidR="008B38C1" w:rsidRDefault="00923166" w:rsidP="009F3E8F">
      <w:pPr>
        <w:pStyle w:val="Caption"/>
      </w:pPr>
      <w:bookmarkStart w:id="144" w:name="_Toc508972100"/>
      <w:r w:rsidRPr="00B647DE">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647DE">
        <w:t>.</w:t>
      </w:r>
      <w:r w:rsidR="008079F1">
        <w:fldChar w:fldCharType="begin"/>
      </w:r>
      <w:r w:rsidR="008079F1">
        <w:instrText xml:space="preserve"> SEQ Apx_Figure \* ARABIC \s 9 </w:instrText>
      </w:r>
      <w:r w:rsidR="008079F1">
        <w:fldChar w:fldCharType="separate"/>
      </w:r>
      <w:r w:rsidR="00640CCB">
        <w:rPr>
          <w:noProof/>
        </w:rPr>
        <w:t>29</w:t>
      </w:r>
      <w:r w:rsidR="008079F1">
        <w:rPr>
          <w:noProof/>
        </w:rPr>
        <w:fldChar w:fldCharType="end"/>
      </w:r>
      <w:r>
        <w:t xml:space="preserve"> </w:t>
      </w:r>
      <w:r w:rsidR="008B38C1">
        <w:t xml:space="preserve">Clarence-Moreton Basin and adjacent areas infrastructure, pipelines and production facilities. </w:t>
      </w:r>
      <w:r w:rsidR="00AF7FF4">
        <w:t xml:space="preserve">Oil and gas infrastructure from GA (2015a). Processing facilities from GA (2015b). </w:t>
      </w:r>
      <w:r w:rsidR="008B38C1">
        <w:t>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144"/>
    </w:p>
    <w:p w14:paraId="0C0CF9E9" w14:textId="77777777" w:rsidR="0083382B" w:rsidRPr="0083382B" w:rsidRDefault="0083382B" w:rsidP="0083382B">
      <w:pPr>
        <w:pStyle w:val="BodyText"/>
      </w:pPr>
    </w:p>
    <w:p w14:paraId="68DC1704" w14:textId="071AF97D" w:rsidR="008B38C1" w:rsidRDefault="00B92BE0" w:rsidP="009F3E8F">
      <w:pPr>
        <w:pStyle w:val="Caption"/>
      </w:pPr>
      <w:bookmarkStart w:id="145" w:name="_Toc508972165"/>
      <w:r>
        <w:lastRenderedPageBreak/>
        <w:t xml:space="preserve">Table </w:t>
      </w:r>
      <w:r w:rsidR="008079F1">
        <w:fldChar w:fldCharType="begin"/>
      </w:r>
      <w:r w:rsidR="008079F1">
        <w:instrText xml:space="preserve"> </w:instrText>
      </w:r>
      <w:r w:rsidR="008079F1">
        <w:instrText xml:space="preserve">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16</w:t>
      </w:r>
      <w:r w:rsidR="008079F1">
        <w:rPr>
          <w:noProof/>
        </w:rPr>
        <w:fldChar w:fldCharType="end"/>
      </w:r>
      <w:r>
        <w:t xml:space="preserve"> </w:t>
      </w:r>
      <w:r w:rsidR="008B38C1">
        <w:t>Summary of market access and infrastructure. Pipeline information from AER (2017). Oil and gas infrastructure from GA (2015</w:t>
      </w:r>
      <w:r w:rsidR="009825ED">
        <w:t>a</w:t>
      </w:r>
      <w:r w:rsidR="008B38C1">
        <w:t>).</w:t>
      </w:r>
      <w:bookmarkEnd w:id="145"/>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466"/>
        <w:gridCol w:w="6173"/>
      </w:tblGrid>
      <w:tr w:rsidR="008B38C1" w14:paraId="6A2BF587"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5E6BD735" w14:textId="77777777" w:rsidR="008B38C1" w:rsidRDefault="008B38C1">
            <w:pPr>
              <w:pStyle w:val="TableTextLeft"/>
            </w:pPr>
            <w:r>
              <w:t>INFRASTRUCTURE</w:t>
            </w:r>
          </w:p>
        </w:tc>
      </w:tr>
      <w:tr w:rsidR="008B38C1" w14:paraId="21FC03D7"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33771DC0" w14:textId="77777777" w:rsidR="008B38C1" w:rsidRDefault="008B38C1">
            <w:pPr>
              <w:pStyle w:val="TableTextLeft"/>
            </w:pPr>
            <w:r>
              <w:t>Gas market</w:t>
            </w:r>
          </w:p>
        </w:tc>
        <w:tc>
          <w:tcPr>
            <w:tcW w:w="3202" w:type="pct"/>
            <w:hideMark/>
          </w:tcPr>
          <w:p w14:paraId="7BBD2331"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none</w:t>
            </w:r>
          </w:p>
        </w:tc>
      </w:tr>
      <w:tr w:rsidR="008B38C1" w14:paraId="46C77430"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5C2C1E74" w14:textId="77777777" w:rsidR="008B38C1" w:rsidRDefault="008B38C1">
            <w:pPr>
              <w:pStyle w:val="TableTextLeft"/>
            </w:pPr>
            <w:r>
              <w:t>Gas pipelines</w:t>
            </w:r>
          </w:p>
        </w:tc>
        <w:tc>
          <w:tcPr>
            <w:tcW w:w="3202" w:type="pct"/>
            <w:hideMark/>
          </w:tcPr>
          <w:p w14:paraId="23992FB2"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Wallumbilla to Brisbane Pipeline crosses northern part of basin</w:t>
            </w:r>
          </w:p>
        </w:tc>
      </w:tr>
      <w:tr w:rsidR="008B38C1" w14:paraId="4EDEFE37"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6CC13BF0" w14:textId="77777777" w:rsidR="008B38C1" w:rsidRDefault="008B38C1">
            <w:pPr>
              <w:pStyle w:val="TableTextLeft"/>
            </w:pPr>
            <w:r>
              <w:t>Gas processing facilities</w:t>
            </w:r>
          </w:p>
        </w:tc>
        <w:tc>
          <w:tcPr>
            <w:tcW w:w="3202" w:type="pct"/>
            <w:hideMark/>
          </w:tcPr>
          <w:p w14:paraId="4C25529C"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none</w:t>
            </w:r>
          </w:p>
        </w:tc>
      </w:tr>
      <w:tr w:rsidR="008B38C1" w14:paraId="62FD5920"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5BCB7220" w14:textId="77777777" w:rsidR="008B38C1" w:rsidRDefault="008B38C1">
            <w:pPr>
              <w:pStyle w:val="TableTextLeft"/>
            </w:pPr>
            <w:r>
              <w:t>Approx. distance from existing pipelines to area prospective for shale and/or tight gas</w:t>
            </w:r>
          </w:p>
        </w:tc>
        <w:tc>
          <w:tcPr>
            <w:tcW w:w="3202" w:type="pct"/>
            <w:hideMark/>
          </w:tcPr>
          <w:p w14:paraId="26E60FEA"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&gt;100</w:t>
            </w:r>
            <w:r w:rsidR="008232C9">
              <w:t> km</w:t>
            </w:r>
          </w:p>
        </w:tc>
      </w:tr>
      <w:tr w:rsidR="008B38C1" w14:paraId="6C84DC10"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2C5107A7" w14:textId="77777777" w:rsidR="008B38C1" w:rsidRDefault="008B38C1">
            <w:pPr>
              <w:pStyle w:val="TableTextLeft"/>
            </w:pPr>
            <w:r>
              <w:t>Road and rail access</w:t>
            </w:r>
          </w:p>
        </w:tc>
        <w:tc>
          <w:tcPr>
            <w:tcW w:w="3202" w:type="pct"/>
            <w:hideMark/>
          </w:tcPr>
          <w:p w14:paraId="3B9F6224"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Poorly to well serviced</w:t>
            </w:r>
          </w:p>
        </w:tc>
      </w:tr>
      <w:tr w:rsidR="008B38C1" w14:paraId="167338B6"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3FFB3B9D" w14:textId="77777777" w:rsidR="008B38C1" w:rsidRDefault="008B38C1">
            <w:pPr>
              <w:pStyle w:val="TableTextLeft"/>
            </w:pPr>
            <w:r>
              <w:t>Approximate development timeframe</w:t>
            </w:r>
          </w:p>
        </w:tc>
        <w:tc>
          <w:tcPr>
            <w:tcW w:w="3202" w:type="pct"/>
            <w:hideMark/>
          </w:tcPr>
          <w:p w14:paraId="242ABBCC"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7–&gt;10 years</w:t>
            </w:r>
          </w:p>
        </w:tc>
      </w:tr>
    </w:tbl>
    <w:p w14:paraId="5D53490D" w14:textId="77777777" w:rsidR="008B38C1" w:rsidRDefault="008B38C1" w:rsidP="008B38C1">
      <w:pPr>
        <w:pStyle w:val="TableTextLeft"/>
      </w:pPr>
    </w:p>
    <w:p w14:paraId="5F2654A2" w14:textId="77777777" w:rsidR="008B38C1" w:rsidRDefault="008B38C1" w:rsidP="00035C4A">
      <w:pPr>
        <w:pStyle w:val="AppendixHeading3"/>
      </w:pPr>
      <w:bookmarkStart w:id="146" w:name="_Toc517161144"/>
      <w:r>
        <w:t>Regulatory environment impacting shale and tight gas exploration</w:t>
      </w:r>
      <w:bookmarkEnd w:id="146"/>
    </w:p>
    <w:p w14:paraId="28D8DC75" w14:textId="09D8B657" w:rsidR="008B38C1" w:rsidRDefault="008B38C1" w:rsidP="00C9623F">
      <w:pPr>
        <w:pStyle w:val="BodyText"/>
      </w:pPr>
      <w:r>
        <w:t xml:space="preserve">All Australian states and territories have regulatory frameworks in place to manage impacts of petroleum exploration and production. In all Australian jurisdictions, companies intending to carry out drilling and stimulation operations must submit several applications to the relevant departments, including a drilling application, an environment plan and a safety management plan (APPEA, 2017). </w:t>
      </w:r>
    </w:p>
    <w:p w14:paraId="228E2BBA" w14:textId="77777777" w:rsidR="008B38C1" w:rsidRDefault="008B38C1" w:rsidP="00C9623F">
      <w:pPr>
        <w:pStyle w:val="BodyText"/>
      </w:pPr>
      <w:r>
        <w:t>Regulation is overseen by different government departments across Australia. There are no regulatory restrictions affecting the development of shale and or tight gas resources in Queensland. However there are regulatory restrictions in New South Wales preventing or impeding onshore gas exploration and development. Further details regarding regulatory environment for each state are summarised below.</w:t>
      </w:r>
    </w:p>
    <w:p w14:paraId="43305364" w14:textId="77777777" w:rsidR="008B38C1" w:rsidRDefault="008B38C1" w:rsidP="00E34CDE">
      <w:pPr>
        <w:pStyle w:val="AppendixHeading4"/>
      </w:pPr>
      <w:r>
        <w:t>Queensland</w:t>
      </w:r>
    </w:p>
    <w:p w14:paraId="4BE65DC6" w14:textId="30F34421" w:rsidR="008B38C1" w:rsidRDefault="00456161" w:rsidP="00456161">
      <w:pPr>
        <w:pStyle w:val="BodyText"/>
        <w:rPr>
          <w:rStyle w:val="Hyperlink"/>
        </w:rPr>
      </w:pPr>
      <w:r w:rsidRPr="00456161">
        <w:t xml:space="preserve">The Queensland Government has no identified constraints to tight and shale gas resource drilling or production stimulation. All planned hydraulic fracture stimulation activities must be reported to the Queensland Department of Natural Resources and Mines (Queensland Government, 2017). </w:t>
      </w:r>
    </w:p>
    <w:p w14:paraId="5FA84759" w14:textId="77777777" w:rsidR="008B38C1" w:rsidRDefault="008B38C1" w:rsidP="00E34CDE">
      <w:pPr>
        <w:pStyle w:val="AppendixHeading4"/>
      </w:pPr>
      <w:r>
        <w:t>New South Wales</w:t>
      </w:r>
    </w:p>
    <w:p w14:paraId="55C61A0A" w14:textId="795C3D44" w:rsidR="008B38C1" w:rsidRPr="00E310D8" w:rsidRDefault="008B38C1" w:rsidP="00A576A0">
      <w:pPr>
        <w:pStyle w:val="BodyText"/>
      </w:pPr>
      <w:r w:rsidRPr="00A576A0">
        <w:t xml:space="preserve">In 2012, </w:t>
      </w:r>
      <w:r w:rsidRPr="00E310D8">
        <w:t>the NSW Gas Plan was published</w:t>
      </w:r>
      <w:r w:rsidR="00E310D8">
        <w:t xml:space="preserve">, </w:t>
      </w:r>
      <w:r w:rsidR="00E310D8" w:rsidRPr="00A576A0">
        <w:t xml:space="preserve">following an independent review of CSG activities </w:t>
      </w:r>
      <w:r w:rsidR="00E310D8">
        <w:t xml:space="preserve">across the state </w:t>
      </w:r>
      <w:r w:rsidRPr="00E310D8">
        <w:t>(NSW Government, 2012</w:t>
      </w:r>
      <w:r w:rsidR="00E310D8">
        <w:t>a</w:t>
      </w:r>
      <w:r w:rsidRPr="00E310D8">
        <w:t>)</w:t>
      </w:r>
      <w:r w:rsidR="00A576A0" w:rsidRPr="00E310D8">
        <w:t>. This resulted in the introduction of the</w:t>
      </w:r>
      <w:r w:rsidRPr="00E310D8">
        <w:t xml:space="preserve"> following </w:t>
      </w:r>
      <w:r w:rsidR="00E310D8" w:rsidRPr="00E310D8">
        <w:t>measures,</w:t>
      </w:r>
      <w:r w:rsidR="00E310D8">
        <w:t xml:space="preserve"> which are</w:t>
      </w:r>
      <w:r w:rsidRPr="00E310D8">
        <w:t xml:space="preserve"> also relevant to tight and shale gas production</w:t>
      </w:r>
      <w:r w:rsidR="00E310D8">
        <w:t>:</w:t>
      </w:r>
      <w:r w:rsidRPr="00E310D8">
        <w:t xml:space="preserve"> </w:t>
      </w:r>
    </w:p>
    <w:p w14:paraId="2BE1E360" w14:textId="08AD69D2" w:rsidR="008B38C1" w:rsidRDefault="00E310D8" w:rsidP="00C9623F">
      <w:pPr>
        <w:pStyle w:val="ListBullet"/>
        <w:rPr>
          <w:rFonts w:eastAsia="Times"/>
        </w:rPr>
      </w:pPr>
      <w:r>
        <w:rPr>
          <w:rFonts w:eastAsia="Times"/>
        </w:rPr>
        <w:t xml:space="preserve">strategic </w:t>
      </w:r>
      <w:r w:rsidR="008B38C1">
        <w:rPr>
          <w:rFonts w:eastAsia="Times"/>
        </w:rPr>
        <w:t>regional land use policy, including the introduction of coal seam gas exclusion zones which prohibit coal seam gas activity in and within 2 kilometres of residential areas across the State and the North West and South West Growth Centres of Sydney</w:t>
      </w:r>
      <w:r>
        <w:rPr>
          <w:rFonts w:eastAsia="Times"/>
        </w:rPr>
        <w:t>, and;</w:t>
      </w:r>
    </w:p>
    <w:p w14:paraId="13DCA960" w14:textId="0ACE3241" w:rsidR="008B38C1" w:rsidRDefault="00E310D8" w:rsidP="00C9623F">
      <w:pPr>
        <w:pStyle w:val="ListBullet"/>
        <w:rPr>
          <w:rFonts w:eastAsia="Times"/>
        </w:rPr>
      </w:pPr>
      <w:r>
        <w:rPr>
          <w:rFonts w:eastAsia="Times"/>
        </w:rPr>
        <w:t xml:space="preserve">a code </w:t>
      </w:r>
      <w:r w:rsidR="008B38C1">
        <w:rPr>
          <w:rFonts w:eastAsia="Times"/>
        </w:rPr>
        <w:t>of practice for coal seam gas fracture stimulation, which includes banning of harmful chemicals (BTEX) in hydraulic fracturing operations (NSW Government, 2012</w:t>
      </w:r>
      <w:r>
        <w:rPr>
          <w:rFonts w:eastAsia="Times"/>
        </w:rPr>
        <w:t>b</w:t>
      </w:r>
      <w:r w:rsidR="008B38C1">
        <w:rPr>
          <w:rFonts w:eastAsia="Times"/>
        </w:rPr>
        <w:t>; Jeffrey, 2012).</w:t>
      </w:r>
    </w:p>
    <w:p w14:paraId="12957A32" w14:textId="77777777" w:rsidR="008B38C1" w:rsidRPr="00C9623F" w:rsidRDefault="008B38C1" w:rsidP="00C9623F">
      <w:pPr>
        <w:pStyle w:val="BodyText"/>
      </w:pPr>
      <w:r w:rsidRPr="00C9623F">
        <w:lastRenderedPageBreak/>
        <w:t>To avoid any impact on water resources and to keep the fractures within the targeted area, each fracture stimulation must include:</w:t>
      </w:r>
    </w:p>
    <w:p w14:paraId="0B7D8F2F" w14:textId="77777777" w:rsidR="008B38C1" w:rsidRDefault="008B38C1" w:rsidP="00C9623F">
      <w:pPr>
        <w:pStyle w:val="ListBullet"/>
        <w:rPr>
          <w:rFonts w:eastAsia="Times"/>
        </w:rPr>
      </w:pPr>
      <w:r>
        <w:rPr>
          <w:rFonts w:eastAsia="Times"/>
        </w:rPr>
        <w:t>Identification of the rock types, the condition of aquifers and their distance from the target coal seams;</w:t>
      </w:r>
    </w:p>
    <w:p w14:paraId="6AEAA855" w14:textId="77777777" w:rsidR="008B38C1" w:rsidRDefault="008B38C1" w:rsidP="00C9623F">
      <w:pPr>
        <w:pStyle w:val="ListBullet"/>
        <w:rPr>
          <w:rFonts w:eastAsia="Times"/>
        </w:rPr>
      </w:pPr>
      <w:r>
        <w:rPr>
          <w:rFonts w:eastAsia="Times"/>
        </w:rPr>
        <w:t>Determination of the faults and stresses in the surrounding geology and the maximum pressure that can safely be applied; and</w:t>
      </w:r>
    </w:p>
    <w:p w14:paraId="4748AFCD" w14:textId="77777777" w:rsidR="008B38C1" w:rsidRDefault="008B38C1" w:rsidP="00C9623F">
      <w:pPr>
        <w:pStyle w:val="ListBullet"/>
        <w:rPr>
          <w:rFonts w:eastAsia="Times"/>
        </w:rPr>
      </w:pPr>
      <w:r>
        <w:rPr>
          <w:rFonts w:eastAsia="Times"/>
        </w:rPr>
        <w:t>Identification of the intervening strata and their porosity and permeability.</w:t>
      </w:r>
    </w:p>
    <w:p w14:paraId="4A8D2D1B" w14:textId="77777777" w:rsidR="008B38C1" w:rsidRDefault="008B38C1" w:rsidP="00C9623F">
      <w:pPr>
        <w:pStyle w:val="BodyText"/>
      </w:pPr>
      <w:r>
        <w:t>The Code also stipulates a risk assessment must be made, before each fracture stimulation, of the effects on public safety, land contamination, air pollution, noise and vibration, loss of well integrity, induced ground movements or seismicity and conflicts with existing land uses.</w:t>
      </w:r>
    </w:p>
    <w:p w14:paraId="381D387F" w14:textId="77777777" w:rsidR="00254F87" w:rsidRDefault="00254F87" w:rsidP="00D15FEC">
      <w:pPr>
        <w:pStyle w:val="AppendixHeading3"/>
      </w:pPr>
      <w:bookmarkStart w:id="147" w:name="_Toc517161145"/>
      <w:r>
        <w:t>Hydrogeology and groundwater</w:t>
      </w:r>
      <w:bookmarkEnd w:id="147"/>
    </w:p>
    <w:p w14:paraId="540D4284" w14:textId="77777777" w:rsidR="00254F87" w:rsidRDefault="00254F87" w:rsidP="00C9623F">
      <w:pPr>
        <w:pStyle w:val="BodyText"/>
      </w:pPr>
      <w:r>
        <w:t>The following section provides a brief summary of groundwater and surface water systems within the Clarence-Moreton Basin region. More detailed information is provided as part of the Bioregional assessments for the Clarence-Moreton and Maranoa Balonne Condamine Bioregional Assessments (</w:t>
      </w:r>
      <w:hyperlink r:id="rId200" w:history="1">
        <w:r w:rsidRPr="00554585">
          <w:rPr>
            <w:rStyle w:val="Hyperlink"/>
          </w:rPr>
          <w:t>http://www.bioregionalassessments.gov.au/</w:t>
        </w:r>
      </w:hyperlink>
      <w:r>
        <w:t>). The following summary draws heavily on the work completed as part of these assessments.</w:t>
      </w:r>
    </w:p>
    <w:p w14:paraId="1BBDAEC0" w14:textId="77777777" w:rsidR="00254F87" w:rsidRDefault="00254F87" w:rsidP="00D15FEC">
      <w:pPr>
        <w:pStyle w:val="AppendixHeading4"/>
      </w:pPr>
      <w:r>
        <w:t>Groundwater systems</w:t>
      </w:r>
    </w:p>
    <w:p w14:paraId="56E5CBB3" w14:textId="77777777" w:rsidR="00254F87" w:rsidRDefault="00254F87" w:rsidP="00C9623F">
      <w:pPr>
        <w:pStyle w:val="BodyText"/>
      </w:pPr>
      <w:r>
        <w:t>Groundwater systems have been identified within Cenozoic to recent alluvial and volcanic sequences, and the Upper Triassic to Lower Cretaceous sedimentary rocks of the Clarence-Moreton Basin succession.</w:t>
      </w:r>
    </w:p>
    <w:p w14:paraId="48C46499" w14:textId="77777777" w:rsidR="00254F87" w:rsidRDefault="00254F87" w:rsidP="00D15FEC">
      <w:pPr>
        <w:pStyle w:val="AppendixHeading5"/>
      </w:pPr>
      <w:r>
        <w:t xml:space="preserve">Alluvial aquifers </w:t>
      </w:r>
    </w:p>
    <w:p w14:paraId="315421DE" w14:textId="77777777" w:rsidR="00254F87" w:rsidRDefault="00254F87" w:rsidP="00C9623F">
      <w:pPr>
        <w:pStyle w:val="BodyText"/>
      </w:pPr>
      <w:r>
        <w:t>Alluvial aquifer systems are associated with major rivers and constitute some of the most productive groundwater sources in the Clarence-Moreton Basin. They include:</w:t>
      </w:r>
    </w:p>
    <w:p w14:paraId="03A404CA" w14:textId="77777777" w:rsidR="00254F87" w:rsidRPr="005450A3" w:rsidRDefault="00254F87" w:rsidP="005450A3">
      <w:pPr>
        <w:pStyle w:val="ListBullet"/>
      </w:pPr>
      <w:r w:rsidRPr="005450A3">
        <w:t>Condamine alluvium—the most extensive alluvial groundwater system in the basin, it is situated west of the Great Dividing Range and overlies the northwestern boundary of the basin. The alluvium is generally between 20 and 6</w:t>
      </w:r>
      <w:r>
        <w:t>0 m</w:t>
      </w:r>
      <w:r w:rsidRPr="005450A3">
        <w:t xml:space="preserve"> thick, increasing to 13</w:t>
      </w:r>
      <w:r>
        <w:t>0 m</w:t>
      </w:r>
      <w:r w:rsidRPr="005450A3">
        <w:t xml:space="preserve"> south of Dalby (OGIA, 2016b). The most productive groundwater area occurs in sand and gravel within the central part of the mapped alluvium (Welsh et al., 2014). The Condamine Alluvium is used extensively for irrigation, industrial and stock and domestic purposes.</w:t>
      </w:r>
    </w:p>
    <w:p w14:paraId="46586345" w14:textId="77777777" w:rsidR="00254F87" w:rsidRPr="005450A3" w:rsidRDefault="00254F87" w:rsidP="005450A3">
      <w:pPr>
        <w:pStyle w:val="ListBullet"/>
      </w:pPr>
      <w:r w:rsidRPr="005450A3">
        <w:t>Lockyer Valley alluvium—approximately 30 to 35 m in thickness, the unit is associated with the Lockyer Creek and its tributaries. The unit consists of coarse gravel towards the headwater areas in the southern tributaries, becoming finer to the northeast where the sedimentary grainsizes vary to include clay, sandy clay, sand, sandy gravel and gravel. The system is extensively utilised for irrigation (Rassam et al., 2014).</w:t>
      </w:r>
    </w:p>
    <w:p w14:paraId="47E51626" w14:textId="77777777" w:rsidR="00254F87" w:rsidRPr="005450A3" w:rsidRDefault="00254F87" w:rsidP="005450A3">
      <w:pPr>
        <w:pStyle w:val="ListBullet"/>
      </w:pPr>
      <w:r w:rsidRPr="005450A3">
        <w:t xml:space="preserve">Bremer River/Warrill Creek alluvium—aquifer material generally consists of sediments adjacent to existing channels and drainage lines (Pearce et al., 2007). </w:t>
      </w:r>
    </w:p>
    <w:p w14:paraId="3A8F7F9B" w14:textId="77777777" w:rsidR="00254F87" w:rsidRPr="005450A3" w:rsidRDefault="00254F87" w:rsidP="005450A3">
      <w:pPr>
        <w:pStyle w:val="ListBullet"/>
      </w:pPr>
      <w:r w:rsidRPr="005450A3">
        <w:lastRenderedPageBreak/>
        <w:t>Logan/Albert river alluvium—most groundwater is extracted where alluvium thickness ranges between 5 and 25 m. Sediments range from gravel to clay, generally in upwards-fining sequences (Rassam et al., 2014; Rudorfer 2009)</w:t>
      </w:r>
      <w:r>
        <w:t>.</w:t>
      </w:r>
    </w:p>
    <w:p w14:paraId="2E1F21F2" w14:textId="77777777" w:rsidR="00254F87" w:rsidRPr="005450A3" w:rsidRDefault="00254F87" w:rsidP="005450A3">
      <w:pPr>
        <w:pStyle w:val="ListBullet"/>
      </w:pPr>
      <w:r w:rsidRPr="005450A3">
        <w:t xml:space="preserve">Tweed River alluvium—this system comprises a shallow ‘upriver’ alluvial aquifer, characterised by coarse material (sands and some gravels), and the coastal floodplain alluvial aquifers, composed of relatively fine material (more sand and less gravel), often interspersed with silt and clay layers. The mean thickness is about 15 m, while better aquifers are in the thicker 20–35 m range (Rassam et al., 2014; Environmental Hydrology Associates, 2008). </w:t>
      </w:r>
    </w:p>
    <w:p w14:paraId="7B660313" w14:textId="0A6FD2CC" w:rsidR="00254F87" w:rsidRPr="005450A3" w:rsidRDefault="00254F87" w:rsidP="005450A3">
      <w:pPr>
        <w:pStyle w:val="ListBullet"/>
      </w:pPr>
      <w:r w:rsidRPr="005450A3">
        <w:t xml:space="preserve">Richmond River alluvium—this consists of fluvial and estuarine gravel, sands, silts and mud, less than </w:t>
      </w:r>
      <w:r>
        <w:t>3</w:t>
      </w:r>
      <w:r w:rsidRPr="005450A3">
        <w:t>5 m thick, that form unconfined to semi-unconfined aquifers with medium to high permeability</w:t>
      </w:r>
      <w:r>
        <w:t xml:space="preserve"> (Rassam et al., 2014)</w:t>
      </w:r>
      <w:r w:rsidRPr="005450A3">
        <w:t>.</w:t>
      </w:r>
    </w:p>
    <w:p w14:paraId="1390D8A8" w14:textId="77777777" w:rsidR="00254F87" w:rsidRDefault="00254F87" w:rsidP="00D15FEC">
      <w:pPr>
        <w:pStyle w:val="AppendixHeading5"/>
      </w:pPr>
      <w:r>
        <w:t>Volcanic aquifers</w:t>
      </w:r>
    </w:p>
    <w:p w14:paraId="36D455F6" w14:textId="77777777" w:rsidR="00254F87" w:rsidRPr="00B92BE0" w:rsidRDefault="00254F87" w:rsidP="00B92BE0">
      <w:pPr>
        <w:pStyle w:val="BodyText"/>
        <w:rPr>
          <w:rStyle w:val="Bold"/>
        </w:rPr>
      </w:pPr>
      <w:r w:rsidRPr="00B92BE0">
        <w:rPr>
          <w:rStyle w:val="Bold"/>
        </w:rPr>
        <w:t>Main Range Volcanics</w:t>
      </w:r>
    </w:p>
    <w:p w14:paraId="0AF2894D" w14:textId="61F1F66B" w:rsidR="00254F87" w:rsidRDefault="00254F87" w:rsidP="00C9623F">
      <w:pPr>
        <w:pStyle w:val="BodyText"/>
      </w:pPr>
      <w:r>
        <w:t xml:space="preserve">Main Range Volcanics (Oligocene–Miocene) aquifer system contains significant but variable amounts of groundwater. </w:t>
      </w:r>
      <w:r w:rsidR="00C04254">
        <w:t xml:space="preserve">It is the most targeted aquifer in the basin. </w:t>
      </w:r>
      <w:r>
        <w:t xml:space="preserve">Groundwater is extracted for stock and domestic use, and to a lesser extent </w:t>
      </w:r>
      <w:r w:rsidR="00C04254">
        <w:t xml:space="preserve">for </w:t>
      </w:r>
      <w:r>
        <w:t xml:space="preserve">irrigation and town water supplies. Aquifers generally consist of an upper, unconfined, weathered and fractured zone, and a lower, less extensive, semi-confined fractured zone with depth to water of between 11 and 41 m. Average aquifer thicknesses are in the order of 28 m (Welsh et al., 2014). </w:t>
      </w:r>
    </w:p>
    <w:p w14:paraId="1589F4AA" w14:textId="77777777" w:rsidR="00254F87" w:rsidRDefault="00254F87" w:rsidP="00C9623F">
      <w:pPr>
        <w:pStyle w:val="BodyText"/>
      </w:pPr>
      <w:r>
        <w:t>The aquifer system is thought to contribute recharge to the Condamine Alluvium and contributes baseflow to the headwaters of the Lockyer Creek, Bremer River, Warrill Creek and Logan River basins (Rassam et al., 2014).</w:t>
      </w:r>
    </w:p>
    <w:p w14:paraId="687BDF3E" w14:textId="77777777" w:rsidR="00254F87" w:rsidRPr="00B92BE0" w:rsidRDefault="00254F87" w:rsidP="00B92BE0">
      <w:pPr>
        <w:pStyle w:val="BodyText"/>
        <w:rPr>
          <w:rStyle w:val="Bold"/>
        </w:rPr>
      </w:pPr>
      <w:r w:rsidRPr="00B92BE0">
        <w:rPr>
          <w:rStyle w:val="Bold"/>
        </w:rPr>
        <w:t xml:space="preserve">Lamington Volcanics </w:t>
      </w:r>
    </w:p>
    <w:p w14:paraId="73304448" w14:textId="77777777" w:rsidR="00254F87" w:rsidRDefault="00254F87" w:rsidP="00C9623F">
      <w:pPr>
        <w:pStyle w:val="BodyText"/>
      </w:pPr>
      <w:r>
        <w:t>The Lamington Volcanics (Miocene) form a major regional fractured rock aquifer system (more than 12,000 km</w:t>
      </w:r>
      <w:r w:rsidRPr="000350BE">
        <w:rPr>
          <w:rStyle w:val="Superscript"/>
        </w:rPr>
        <w:t>2</w:t>
      </w:r>
      <w:r>
        <w:t>) within the Clarence-Moreton Basin in southeast Queensland and northeast New South Wales (Raiber et al., 2016). A large proportion of recharge to the Lamington Volcanics discharges into streams locally, with short lag times and following short flow paths. A small proportion of this recharge percolates to deeper aquifers (Raiber et al., 2016).</w:t>
      </w:r>
    </w:p>
    <w:p w14:paraId="1DB87A8A" w14:textId="7EF6A41D" w:rsidR="00254F87" w:rsidRDefault="00254F87" w:rsidP="00C9623F">
      <w:pPr>
        <w:pStyle w:val="BodyText"/>
      </w:pPr>
      <w:r>
        <w:t>Within the southeastern portion of the larger Lamington Volcanics, between Lismore and Ballina, is an area of intensive groundwater use – the Alstonville Plateau. Here, aquifers occur within the Lismore Basalt unit, which overlies older sedimentary rocks of the Clarence-Moreton basin (Rassam et al., 2014).</w:t>
      </w:r>
    </w:p>
    <w:p w14:paraId="4941C7B0" w14:textId="77777777" w:rsidR="00254F87" w:rsidRDefault="00254F87" w:rsidP="00C9623F">
      <w:pPr>
        <w:pStyle w:val="BodyText"/>
      </w:pPr>
      <w:r>
        <w:t xml:space="preserve">The Alstonville Plateau Basalt Groundwater Management Area has the greatest agricultural demand for groundwater on the North Coast of New South Wales (Brodie et al., 2002). Brodie et al. (2002) proposed a system comprising two main components: </w:t>
      </w:r>
    </w:p>
    <w:p w14:paraId="7B9696AE" w14:textId="77777777" w:rsidR="00254F87" w:rsidRDefault="00254F87" w:rsidP="00C9623F">
      <w:pPr>
        <w:pStyle w:val="ListBullet"/>
        <w:rPr>
          <w:rFonts w:eastAsia="Times"/>
        </w:rPr>
      </w:pPr>
      <w:r>
        <w:rPr>
          <w:rFonts w:eastAsia="Times"/>
        </w:rPr>
        <w:t xml:space="preserve">A shallow local-scale unconfined groundwater flow system operating within the soil profile and weathered or highly fractured basalt exceeding 40 m in thickness in some areas; </w:t>
      </w:r>
    </w:p>
    <w:p w14:paraId="5B1F990E" w14:textId="77777777" w:rsidR="00254F87" w:rsidRDefault="00254F87" w:rsidP="00C9623F">
      <w:pPr>
        <w:pStyle w:val="ListBullet"/>
        <w:rPr>
          <w:rFonts w:eastAsia="Times"/>
        </w:rPr>
      </w:pPr>
      <w:r>
        <w:rPr>
          <w:rFonts w:eastAsia="Times"/>
        </w:rPr>
        <w:lastRenderedPageBreak/>
        <w:t xml:space="preserve">A deeper intermediate-scale, semi-confined to confined groundwater flow system operating in interlayered and fractured horizons within the basaltic sequence. </w:t>
      </w:r>
    </w:p>
    <w:p w14:paraId="663F9410" w14:textId="77777777" w:rsidR="00254F87" w:rsidRDefault="00254F87" w:rsidP="00D15FEC">
      <w:pPr>
        <w:pStyle w:val="AppendixHeading5"/>
      </w:pPr>
      <w:r>
        <w:t>Triassic to Jurassic Sedimentary Rock aquifers</w:t>
      </w:r>
    </w:p>
    <w:p w14:paraId="30200BD2" w14:textId="77777777" w:rsidR="00254F87" w:rsidRDefault="00254F87" w:rsidP="00C9623F">
      <w:pPr>
        <w:pStyle w:val="BodyText"/>
      </w:pPr>
      <w:r>
        <w:t>The Upper Triassic to Lower Jurassic groundwater system includes aquifers within the Grafton Formation, Orara Formation, Walloon Coal Measures, Koukandowie Formation, Gatton Sandstone, and Woogaroo Subgroup. Of these, the Woogaroo Subgroup is the most widely utilised aquifer.</w:t>
      </w:r>
    </w:p>
    <w:p w14:paraId="5872413E" w14:textId="77777777" w:rsidR="00254F87" w:rsidRDefault="00254F87" w:rsidP="00C9623F">
      <w:pPr>
        <w:pStyle w:val="BodyText"/>
      </w:pPr>
      <w:r>
        <w:t>The Walloon Coal Measures, Koukandowie Formation, Gatton Sandstone and Woogaroo Subgroup are extensive across the basin. However, the majority of groundwater extraction from these units occurs in the north of the basin.</w:t>
      </w:r>
    </w:p>
    <w:p w14:paraId="323DCC14" w14:textId="77777777" w:rsidR="00254F87" w:rsidRDefault="00254F87" w:rsidP="00C9623F">
      <w:pPr>
        <w:pStyle w:val="BodyText"/>
      </w:pPr>
      <w:r>
        <w:t xml:space="preserve">The Walloon Coal Measures are often considered as an aquitard on a regional scale due to their low permeability and storage capacity. However, at a local scale this unit is widely utilised for stock and domestic purposes. </w:t>
      </w:r>
    </w:p>
    <w:p w14:paraId="07CAEBF8" w14:textId="77777777" w:rsidR="00254F87" w:rsidRDefault="00254F87" w:rsidP="00C9623F">
      <w:pPr>
        <w:pStyle w:val="BodyText"/>
      </w:pPr>
      <w:r>
        <w:t>The upper part of the Walloon Coal Measures, as well as the underlying Koukandowie Formation and Gatton Sandstone, are considered as low-permeability aquifers (Rassam et al., 2014).</w:t>
      </w:r>
    </w:p>
    <w:p w14:paraId="0ECB2E43" w14:textId="77777777" w:rsidR="00254F87" w:rsidRDefault="00254F87" w:rsidP="00D15FEC">
      <w:pPr>
        <w:pStyle w:val="AppendixHeading4"/>
      </w:pPr>
      <w:r>
        <w:t>Groundwater quality</w:t>
      </w:r>
    </w:p>
    <w:p w14:paraId="23BA776A" w14:textId="77777777" w:rsidR="00254F87" w:rsidRPr="00C9623F" w:rsidRDefault="00254F87" w:rsidP="00C9623F">
      <w:pPr>
        <w:pStyle w:val="BodyText"/>
        <w:rPr>
          <w:rStyle w:val="BodyTextChar"/>
        </w:rPr>
      </w:pPr>
      <w:r w:rsidRPr="00C9623F">
        <w:rPr>
          <w:rStyle w:val="BodyTextChar"/>
        </w:rPr>
        <w:t>Rassam et al. (2014) summarised groundwater salinity in the sedimentary and volcanic rock aquifers and alluvial</w:t>
      </w:r>
      <w:r w:rsidRPr="005450A3">
        <w:t xml:space="preserve"> </w:t>
      </w:r>
      <w:r w:rsidRPr="00C9623F">
        <w:rPr>
          <w:rStyle w:val="BodyTextChar"/>
        </w:rPr>
        <w:t>aquifers with the Clarence-Moreton Bioregional Assessment area. The Condamine alluvium groundwater salinity is reported in OGIA (2016a). This informatio</w:t>
      </w:r>
      <w:r>
        <w:rPr>
          <w:rStyle w:val="BodyTextChar"/>
        </w:rPr>
        <w:t>n is summarised in Table C.17</w:t>
      </w:r>
      <w:r w:rsidRPr="00C9623F">
        <w:rPr>
          <w:rStyle w:val="BodyTextChar"/>
        </w:rPr>
        <w:t>.</w:t>
      </w:r>
    </w:p>
    <w:p w14:paraId="4383E464" w14:textId="77777777" w:rsidR="00254F87" w:rsidRDefault="00254F87" w:rsidP="00C9623F">
      <w:pPr>
        <w:pStyle w:val="Caption"/>
      </w:pPr>
      <w:bookmarkStart w:id="148" w:name="_Toc499547487"/>
      <w:bookmarkStart w:id="149" w:name="_Toc508972166"/>
      <w:r>
        <w:t xml:space="preserve">Table </w:t>
      </w:r>
      <w:r w:rsidR="008079F1">
        <w:fldChar w:fldCharType="begin"/>
      </w:r>
      <w:r w:rsidR="008079F1">
        <w:instrText xml:space="preserve"> ST</w:instrText>
      </w:r>
      <w:r w:rsidR="008079F1">
        <w:instrText xml:space="preserve">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17</w:t>
      </w:r>
      <w:r w:rsidR="008079F1">
        <w:rPr>
          <w:noProof/>
        </w:rPr>
        <w:fldChar w:fldCharType="end"/>
      </w:r>
      <w:r>
        <w:t xml:space="preserve"> Salinity ranges for various hydrostratigraphic units</w:t>
      </w:r>
      <w:bookmarkEnd w:id="148"/>
      <w:bookmarkEnd w:id="149"/>
    </w:p>
    <w:tbl>
      <w:tblPr>
        <w:tblStyle w:val="TableBAHeaderRow"/>
        <w:tblW w:w="5000" w:type="pct"/>
        <w:tblInd w:w="0" w:type="dxa"/>
        <w:tblLook w:val="04A0" w:firstRow="1" w:lastRow="0" w:firstColumn="1" w:lastColumn="0" w:noHBand="0" w:noVBand="1"/>
      </w:tblPr>
      <w:tblGrid>
        <w:gridCol w:w="2736"/>
        <w:gridCol w:w="2824"/>
        <w:gridCol w:w="1883"/>
        <w:gridCol w:w="2196"/>
      </w:tblGrid>
      <w:tr w:rsidR="00254F87" w14:paraId="5C1A0929" w14:textId="77777777" w:rsidTr="00F27BC3">
        <w:trPr>
          <w:cnfStyle w:val="100000000000" w:firstRow="1" w:lastRow="0" w:firstColumn="0" w:lastColumn="0" w:oddVBand="0" w:evenVBand="0" w:oddHBand="0" w:evenHBand="0" w:firstRowFirstColumn="0" w:firstRowLastColumn="0" w:lastRowFirstColumn="0" w:lastRowLastColumn="0"/>
        </w:trPr>
        <w:tc>
          <w:tcPr>
            <w:tcW w:w="1419" w:type="pct"/>
            <w:hideMark/>
          </w:tcPr>
          <w:p w14:paraId="35DDA3B9" w14:textId="77777777" w:rsidR="00254F87" w:rsidRDefault="00254F87">
            <w:pPr>
              <w:pStyle w:val="TableTextLeft"/>
            </w:pPr>
            <w:r>
              <w:t>Hydrostratigraphic unit</w:t>
            </w:r>
          </w:p>
        </w:tc>
        <w:tc>
          <w:tcPr>
            <w:tcW w:w="1465" w:type="pct"/>
            <w:hideMark/>
          </w:tcPr>
          <w:p w14:paraId="12DED06B" w14:textId="77777777" w:rsidR="00254F87" w:rsidRDefault="00254F87">
            <w:pPr>
              <w:pStyle w:val="TableTextLeft"/>
            </w:pPr>
            <w:r>
              <w:t xml:space="preserve">Salinity minimum </w:t>
            </w:r>
          </w:p>
          <w:p w14:paraId="08EE550B" w14:textId="77777777" w:rsidR="00254F87" w:rsidRDefault="00254F87">
            <w:pPr>
              <w:pStyle w:val="TableTextLeft"/>
            </w:pPr>
            <w:r>
              <w:t>(mg/L)</w:t>
            </w:r>
          </w:p>
        </w:tc>
        <w:tc>
          <w:tcPr>
            <w:tcW w:w="977" w:type="pct"/>
            <w:hideMark/>
          </w:tcPr>
          <w:p w14:paraId="3A413501" w14:textId="77777777" w:rsidR="00254F87" w:rsidRDefault="00254F87">
            <w:pPr>
              <w:pStyle w:val="TableTextLeft"/>
            </w:pPr>
            <w:r>
              <w:t>Salinity maximum (mg/L)</w:t>
            </w:r>
          </w:p>
        </w:tc>
        <w:tc>
          <w:tcPr>
            <w:tcW w:w="1139" w:type="pct"/>
            <w:hideMark/>
          </w:tcPr>
          <w:p w14:paraId="729B2F11" w14:textId="77777777" w:rsidR="00254F87" w:rsidRDefault="00254F87">
            <w:pPr>
              <w:pStyle w:val="TableTextLeft"/>
            </w:pPr>
            <w:r>
              <w:t xml:space="preserve">Salinity mean </w:t>
            </w:r>
          </w:p>
          <w:p w14:paraId="466998DC" w14:textId="77777777" w:rsidR="00254F87" w:rsidRDefault="00254F87">
            <w:pPr>
              <w:pStyle w:val="TableTextLeft"/>
            </w:pPr>
            <w:r>
              <w:t>(mg/L)</w:t>
            </w:r>
          </w:p>
        </w:tc>
      </w:tr>
      <w:tr w:rsidR="00254F87" w14:paraId="1140852D" w14:textId="77777777" w:rsidTr="00F27BC3">
        <w:trPr>
          <w:cnfStyle w:val="000000100000" w:firstRow="0" w:lastRow="0" w:firstColumn="0" w:lastColumn="0" w:oddVBand="0" w:evenVBand="0" w:oddHBand="1" w:evenHBand="0" w:firstRowFirstColumn="0" w:firstRowLastColumn="0" w:lastRowFirstColumn="0" w:lastRowLastColumn="0"/>
        </w:trPr>
        <w:tc>
          <w:tcPr>
            <w:tcW w:w="1419" w:type="pct"/>
            <w:hideMark/>
          </w:tcPr>
          <w:p w14:paraId="6DDE508B" w14:textId="77777777" w:rsidR="00254F87" w:rsidRDefault="00254F87">
            <w:pPr>
              <w:pStyle w:val="TableTextLeft"/>
            </w:pPr>
            <w:r>
              <w:t>Condamine Alluvium</w:t>
            </w:r>
          </w:p>
        </w:tc>
        <w:tc>
          <w:tcPr>
            <w:tcW w:w="1465" w:type="pct"/>
            <w:hideMark/>
          </w:tcPr>
          <w:p w14:paraId="04C4DEDC" w14:textId="77777777" w:rsidR="00254F87" w:rsidRDefault="00254F87">
            <w:pPr>
              <w:pStyle w:val="TableTextLeft"/>
            </w:pPr>
            <w:r>
              <w:t>40</w:t>
            </w:r>
          </w:p>
        </w:tc>
        <w:tc>
          <w:tcPr>
            <w:tcW w:w="977" w:type="pct"/>
            <w:hideMark/>
          </w:tcPr>
          <w:p w14:paraId="0FA642DD" w14:textId="77777777" w:rsidR="00254F87" w:rsidRDefault="00254F87">
            <w:pPr>
              <w:pStyle w:val="TableTextLeft"/>
            </w:pPr>
            <w:r>
              <w:t>1,500</w:t>
            </w:r>
          </w:p>
        </w:tc>
        <w:tc>
          <w:tcPr>
            <w:tcW w:w="1139" w:type="pct"/>
            <w:hideMark/>
          </w:tcPr>
          <w:p w14:paraId="785FE0D0" w14:textId="77777777" w:rsidR="00254F87" w:rsidRDefault="00254F87">
            <w:pPr>
              <w:pStyle w:val="TableTextLeft"/>
            </w:pPr>
            <w:r>
              <w:t>16,000</w:t>
            </w:r>
          </w:p>
        </w:tc>
      </w:tr>
      <w:tr w:rsidR="00254F87" w14:paraId="23732110" w14:textId="77777777" w:rsidTr="00F27BC3">
        <w:trPr>
          <w:cnfStyle w:val="000000010000" w:firstRow="0" w:lastRow="0" w:firstColumn="0" w:lastColumn="0" w:oddVBand="0" w:evenVBand="0" w:oddHBand="0" w:evenHBand="1" w:firstRowFirstColumn="0" w:firstRowLastColumn="0" w:lastRowFirstColumn="0" w:lastRowLastColumn="0"/>
        </w:trPr>
        <w:tc>
          <w:tcPr>
            <w:tcW w:w="1419" w:type="pct"/>
            <w:hideMark/>
          </w:tcPr>
          <w:p w14:paraId="7341BB54" w14:textId="77777777" w:rsidR="00254F87" w:rsidRDefault="00254F87">
            <w:pPr>
              <w:pStyle w:val="TableTextLeft"/>
            </w:pPr>
            <w:r>
              <w:t>Lockyer Valley alluvium</w:t>
            </w:r>
          </w:p>
        </w:tc>
        <w:tc>
          <w:tcPr>
            <w:tcW w:w="1465" w:type="pct"/>
            <w:hideMark/>
          </w:tcPr>
          <w:p w14:paraId="3BBC7742" w14:textId="77777777" w:rsidR="00254F87" w:rsidRDefault="00254F87">
            <w:pPr>
              <w:pStyle w:val="TableTextLeft"/>
            </w:pPr>
            <w:r>
              <w:t>91</w:t>
            </w:r>
          </w:p>
        </w:tc>
        <w:tc>
          <w:tcPr>
            <w:tcW w:w="977" w:type="pct"/>
            <w:hideMark/>
          </w:tcPr>
          <w:p w14:paraId="4837EE7A" w14:textId="77777777" w:rsidR="00254F87" w:rsidRDefault="00254F87">
            <w:pPr>
              <w:pStyle w:val="TableTextLeft"/>
            </w:pPr>
            <w:r>
              <w:t>1,904</w:t>
            </w:r>
          </w:p>
        </w:tc>
        <w:tc>
          <w:tcPr>
            <w:tcW w:w="1139" w:type="pct"/>
            <w:hideMark/>
          </w:tcPr>
          <w:p w14:paraId="24C48D72" w14:textId="77777777" w:rsidR="00254F87" w:rsidRDefault="00254F87">
            <w:pPr>
              <w:pStyle w:val="TableTextLeft"/>
            </w:pPr>
            <w:r>
              <w:t>18,000</w:t>
            </w:r>
          </w:p>
        </w:tc>
      </w:tr>
      <w:tr w:rsidR="00254F87" w14:paraId="775CDE3C" w14:textId="77777777" w:rsidTr="00F27BC3">
        <w:trPr>
          <w:cnfStyle w:val="000000100000" w:firstRow="0" w:lastRow="0" w:firstColumn="0" w:lastColumn="0" w:oddVBand="0" w:evenVBand="0" w:oddHBand="1" w:evenHBand="0" w:firstRowFirstColumn="0" w:firstRowLastColumn="0" w:lastRowFirstColumn="0" w:lastRowLastColumn="0"/>
        </w:trPr>
        <w:tc>
          <w:tcPr>
            <w:tcW w:w="1419" w:type="pct"/>
            <w:hideMark/>
          </w:tcPr>
          <w:p w14:paraId="12C823B4" w14:textId="77777777" w:rsidR="00254F87" w:rsidRDefault="00254F87">
            <w:pPr>
              <w:pStyle w:val="TableTextLeft"/>
            </w:pPr>
            <w:r>
              <w:t>Bremer/Warrill alluvium</w:t>
            </w:r>
          </w:p>
        </w:tc>
        <w:tc>
          <w:tcPr>
            <w:tcW w:w="1465" w:type="pct"/>
            <w:hideMark/>
          </w:tcPr>
          <w:p w14:paraId="230E6F68" w14:textId="77777777" w:rsidR="00254F87" w:rsidRDefault="00254F87">
            <w:pPr>
              <w:pStyle w:val="TableTextLeft"/>
            </w:pPr>
            <w:r>
              <w:t>~500</w:t>
            </w:r>
          </w:p>
        </w:tc>
        <w:tc>
          <w:tcPr>
            <w:tcW w:w="977" w:type="pct"/>
            <w:hideMark/>
          </w:tcPr>
          <w:p w14:paraId="7BD4B967" w14:textId="77777777" w:rsidR="00254F87" w:rsidRDefault="00254F87">
            <w:pPr>
              <w:pStyle w:val="TableTextLeft"/>
            </w:pPr>
            <w:r>
              <w:t>1,680*</w:t>
            </w:r>
          </w:p>
        </w:tc>
        <w:tc>
          <w:tcPr>
            <w:tcW w:w="1139" w:type="pct"/>
            <w:hideMark/>
          </w:tcPr>
          <w:p w14:paraId="2AD98F58" w14:textId="77777777" w:rsidR="00254F87" w:rsidRDefault="00254F87">
            <w:pPr>
              <w:pStyle w:val="TableTextLeft"/>
            </w:pPr>
            <w:r>
              <w:t>~,6350</w:t>
            </w:r>
          </w:p>
        </w:tc>
      </w:tr>
      <w:tr w:rsidR="00254F87" w14:paraId="28D162D1" w14:textId="77777777" w:rsidTr="00F27BC3">
        <w:trPr>
          <w:cnfStyle w:val="000000010000" w:firstRow="0" w:lastRow="0" w:firstColumn="0" w:lastColumn="0" w:oddVBand="0" w:evenVBand="0" w:oddHBand="0" w:evenHBand="1" w:firstRowFirstColumn="0" w:firstRowLastColumn="0" w:lastRowFirstColumn="0" w:lastRowLastColumn="0"/>
        </w:trPr>
        <w:tc>
          <w:tcPr>
            <w:tcW w:w="1419" w:type="pct"/>
            <w:hideMark/>
          </w:tcPr>
          <w:p w14:paraId="40C697A3" w14:textId="77777777" w:rsidR="00254F87" w:rsidRDefault="00254F87">
            <w:pPr>
              <w:pStyle w:val="TableTextLeft"/>
            </w:pPr>
            <w:r>
              <w:t>Richmond River alluvium</w:t>
            </w:r>
          </w:p>
        </w:tc>
        <w:tc>
          <w:tcPr>
            <w:tcW w:w="1465" w:type="pct"/>
            <w:hideMark/>
          </w:tcPr>
          <w:p w14:paraId="1DB41B03" w14:textId="77777777" w:rsidR="00254F87" w:rsidRDefault="00254F87">
            <w:pPr>
              <w:pStyle w:val="TableTextLeft"/>
            </w:pPr>
            <w:r>
              <w:t>670*</w:t>
            </w:r>
          </w:p>
        </w:tc>
        <w:tc>
          <w:tcPr>
            <w:tcW w:w="977" w:type="pct"/>
            <w:hideMark/>
          </w:tcPr>
          <w:p w14:paraId="217D10EB" w14:textId="77777777" w:rsidR="00254F87" w:rsidRDefault="00254F87">
            <w:pPr>
              <w:pStyle w:val="TableTextLeft"/>
            </w:pPr>
            <w:r>
              <w:t>-</w:t>
            </w:r>
          </w:p>
        </w:tc>
        <w:tc>
          <w:tcPr>
            <w:tcW w:w="1139" w:type="pct"/>
            <w:hideMark/>
          </w:tcPr>
          <w:p w14:paraId="55FEBE25" w14:textId="77777777" w:rsidR="00254F87" w:rsidRDefault="00254F87">
            <w:pPr>
              <w:pStyle w:val="TableTextLeft"/>
            </w:pPr>
            <w:r>
              <w:t>1,675*</w:t>
            </w:r>
          </w:p>
        </w:tc>
      </w:tr>
      <w:tr w:rsidR="00254F87" w14:paraId="2FD19E3C" w14:textId="77777777" w:rsidTr="00F27BC3">
        <w:trPr>
          <w:cnfStyle w:val="000000100000" w:firstRow="0" w:lastRow="0" w:firstColumn="0" w:lastColumn="0" w:oddVBand="0" w:evenVBand="0" w:oddHBand="1" w:evenHBand="0" w:firstRowFirstColumn="0" w:firstRowLastColumn="0" w:lastRowFirstColumn="0" w:lastRowLastColumn="0"/>
        </w:trPr>
        <w:tc>
          <w:tcPr>
            <w:tcW w:w="1419" w:type="pct"/>
            <w:hideMark/>
          </w:tcPr>
          <w:p w14:paraId="03C8A972" w14:textId="77777777" w:rsidR="00254F87" w:rsidRDefault="00254F87">
            <w:pPr>
              <w:pStyle w:val="TableTextLeft"/>
            </w:pPr>
            <w:r>
              <w:t>Clarence River alluvium</w:t>
            </w:r>
          </w:p>
        </w:tc>
        <w:tc>
          <w:tcPr>
            <w:tcW w:w="1465" w:type="pct"/>
          </w:tcPr>
          <w:p w14:paraId="441932C3" w14:textId="77777777" w:rsidR="00254F87" w:rsidRDefault="00254F87">
            <w:pPr>
              <w:pStyle w:val="TableTextLeft"/>
            </w:pPr>
          </w:p>
        </w:tc>
        <w:tc>
          <w:tcPr>
            <w:tcW w:w="977" w:type="pct"/>
            <w:hideMark/>
          </w:tcPr>
          <w:p w14:paraId="15BD2D19" w14:textId="77777777" w:rsidR="00254F87" w:rsidRDefault="00254F87">
            <w:pPr>
              <w:pStyle w:val="TableTextLeft"/>
            </w:pPr>
            <w:r>
              <w:t>544</w:t>
            </w:r>
          </w:p>
        </w:tc>
        <w:tc>
          <w:tcPr>
            <w:tcW w:w="1139" w:type="pct"/>
          </w:tcPr>
          <w:p w14:paraId="1577CBC9" w14:textId="77777777" w:rsidR="00254F87" w:rsidRDefault="00254F87">
            <w:pPr>
              <w:pStyle w:val="TableTextLeft"/>
            </w:pPr>
          </w:p>
        </w:tc>
      </w:tr>
      <w:tr w:rsidR="00254F87" w14:paraId="407359AD" w14:textId="77777777" w:rsidTr="00F27BC3">
        <w:trPr>
          <w:cnfStyle w:val="000000010000" w:firstRow="0" w:lastRow="0" w:firstColumn="0" w:lastColumn="0" w:oddVBand="0" w:evenVBand="0" w:oddHBand="0" w:evenHBand="1" w:firstRowFirstColumn="0" w:firstRowLastColumn="0" w:lastRowFirstColumn="0" w:lastRowLastColumn="0"/>
        </w:trPr>
        <w:tc>
          <w:tcPr>
            <w:tcW w:w="1419" w:type="pct"/>
            <w:hideMark/>
          </w:tcPr>
          <w:p w14:paraId="17B030D3" w14:textId="77777777" w:rsidR="00254F87" w:rsidRDefault="00254F87">
            <w:pPr>
              <w:pStyle w:val="TableTextLeft"/>
            </w:pPr>
            <w:r>
              <w:t>Tweed River alluvium</w:t>
            </w:r>
          </w:p>
        </w:tc>
        <w:tc>
          <w:tcPr>
            <w:tcW w:w="1465" w:type="pct"/>
          </w:tcPr>
          <w:p w14:paraId="5D4DDE00" w14:textId="77777777" w:rsidR="00254F87" w:rsidRDefault="00254F87">
            <w:pPr>
              <w:pStyle w:val="TableTextLeft"/>
            </w:pPr>
          </w:p>
        </w:tc>
        <w:tc>
          <w:tcPr>
            <w:tcW w:w="977" w:type="pct"/>
            <w:hideMark/>
          </w:tcPr>
          <w:p w14:paraId="0F4A8D8E" w14:textId="77777777" w:rsidR="00254F87" w:rsidRDefault="00254F87">
            <w:pPr>
              <w:pStyle w:val="TableTextLeft"/>
            </w:pPr>
            <w:r>
              <w:t>427</w:t>
            </w:r>
          </w:p>
        </w:tc>
        <w:tc>
          <w:tcPr>
            <w:tcW w:w="1139" w:type="pct"/>
          </w:tcPr>
          <w:p w14:paraId="3A25351D" w14:textId="77777777" w:rsidR="00254F87" w:rsidRDefault="00254F87">
            <w:pPr>
              <w:pStyle w:val="TableTextLeft"/>
            </w:pPr>
          </w:p>
        </w:tc>
      </w:tr>
      <w:tr w:rsidR="00254F87" w14:paraId="1B349FF9" w14:textId="77777777" w:rsidTr="00F27BC3">
        <w:trPr>
          <w:cnfStyle w:val="000000100000" w:firstRow="0" w:lastRow="0" w:firstColumn="0" w:lastColumn="0" w:oddVBand="0" w:evenVBand="0" w:oddHBand="1" w:evenHBand="0" w:firstRowFirstColumn="0" w:firstRowLastColumn="0" w:lastRowFirstColumn="0" w:lastRowLastColumn="0"/>
        </w:trPr>
        <w:tc>
          <w:tcPr>
            <w:tcW w:w="1419" w:type="pct"/>
            <w:hideMark/>
          </w:tcPr>
          <w:p w14:paraId="244407E8" w14:textId="77777777" w:rsidR="00254F87" w:rsidRDefault="00254F87">
            <w:pPr>
              <w:pStyle w:val="TableTextLeft"/>
            </w:pPr>
            <w:r>
              <w:t>Main Range Volcanics</w:t>
            </w:r>
          </w:p>
        </w:tc>
        <w:tc>
          <w:tcPr>
            <w:tcW w:w="1465" w:type="pct"/>
            <w:hideMark/>
          </w:tcPr>
          <w:p w14:paraId="60F022C0" w14:textId="77777777" w:rsidR="00254F87" w:rsidRDefault="00254F87">
            <w:pPr>
              <w:pStyle w:val="TableTextLeft"/>
            </w:pPr>
            <w:r>
              <w:t>220</w:t>
            </w:r>
          </w:p>
        </w:tc>
        <w:tc>
          <w:tcPr>
            <w:tcW w:w="977" w:type="pct"/>
          </w:tcPr>
          <w:p w14:paraId="777206EC" w14:textId="77777777" w:rsidR="00254F87" w:rsidRDefault="00254F87">
            <w:pPr>
              <w:pStyle w:val="TableTextLeft"/>
            </w:pPr>
          </w:p>
        </w:tc>
        <w:tc>
          <w:tcPr>
            <w:tcW w:w="1139" w:type="pct"/>
            <w:hideMark/>
          </w:tcPr>
          <w:p w14:paraId="6C809081" w14:textId="77777777" w:rsidR="00254F87" w:rsidRDefault="00254F87">
            <w:pPr>
              <w:pStyle w:val="TableTextLeft"/>
            </w:pPr>
            <w:r>
              <w:t>1,900</w:t>
            </w:r>
          </w:p>
        </w:tc>
      </w:tr>
      <w:tr w:rsidR="00254F87" w14:paraId="0456537A" w14:textId="77777777" w:rsidTr="00F27BC3">
        <w:trPr>
          <w:cnfStyle w:val="000000010000" w:firstRow="0" w:lastRow="0" w:firstColumn="0" w:lastColumn="0" w:oddVBand="0" w:evenVBand="0" w:oddHBand="0" w:evenHBand="1" w:firstRowFirstColumn="0" w:firstRowLastColumn="0" w:lastRowFirstColumn="0" w:lastRowLastColumn="0"/>
        </w:trPr>
        <w:tc>
          <w:tcPr>
            <w:tcW w:w="1419" w:type="pct"/>
            <w:hideMark/>
          </w:tcPr>
          <w:p w14:paraId="4CE9D7B7" w14:textId="77777777" w:rsidR="00254F87" w:rsidRDefault="00254F87">
            <w:pPr>
              <w:pStyle w:val="TableTextLeft"/>
            </w:pPr>
            <w:r>
              <w:t>Lamington Volcanics</w:t>
            </w:r>
          </w:p>
        </w:tc>
        <w:tc>
          <w:tcPr>
            <w:tcW w:w="1465" w:type="pct"/>
          </w:tcPr>
          <w:p w14:paraId="42057387" w14:textId="77777777" w:rsidR="00254F87" w:rsidRDefault="00254F87">
            <w:pPr>
              <w:pStyle w:val="TableTextLeft"/>
            </w:pPr>
          </w:p>
        </w:tc>
        <w:tc>
          <w:tcPr>
            <w:tcW w:w="977" w:type="pct"/>
            <w:hideMark/>
          </w:tcPr>
          <w:p w14:paraId="662DD908" w14:textId="77777777" w:rsidR="00254F87" w:rsidRDefault="00254F87">
            <w:pPr>
              <w:pStyle w:val="TableTextLeft"/>
            </w:pPr>
            <w:r>
              <w:t>~580**</w:t>
            </w:r>
          </w:p>
        </w:tc>
        <w:tc>
          <w:tcPr>
            <w:tcW w:w="1139" w:type="pct"/>
          </w:tcPr>
          <w:p w14:paraId="07EC03B1" w14:textId="77777777" w:rsidR="00254F87" w:rsidRDefault="00254F87">
            <w:pPr>
              <w:pStyle w:val="TableTextLeft"/>
            </w:pPr>
          </w:p>
        </w:tc>
      </w:tr>
      <w:tr w:rsidR="00254F87" w14:paraId="4F80B3C2" w14:textId="77777777" w:rsidTr="00F27BC3">
        <w:trPr>
          <w:cnfStyle w:val="000000100000" w:firstRow="0" w:lastRow="0" w:firstColumn="0" w:lastColumn="0" w:oddVBand="0" w:evenVBand="0" w:oddHBand="1" w:evenHBand="0" w:firstRowFirstColumn="0" w:firstRowLastColumn="0" w:lastRowFirstColumn="0" w:lastRowLastColumn="0"/>
        </w:trPr>
        <w:tc>
          <w:tcPr>
            <w:tcW w:w="1419" w:type="pct"/>
            <w:hideMark/>
          </w:tcPr>
          <w:p w14:paraId="7ECD2F4E" w14:textId="77777777" w:rsidR="00254F87" w:rsidRDefault="00254F87">
            <w:pPr>
              <w:pStyle w:val="TableTextLeft"/>
            </w:pPr>
            <w:r>
              <w:t>Grafton Formation</w:t>
            </w:r>
          </w:p>
        </w:tc>
        <w:tc>
          <w:tcPr>
            <w:tcW w:w="1465" w:type="pct"/>
            <w:hideMark/>
          </w:tcPr>
          <w:p w14:paraId="209CC830" w14:textId="77777777" w:rsidR="00254F87" w:rsidRDefault="00254F87">
            <w:pPr>
              <w:pStyle w:val="TableTextLeft"/>
            </w:pPr>
            <w:r>
              <w:t>360*</w:t>
            </w:r>
          </w:p>
        </w:tc>
        <w:tc>
          <w:tcPr>
            <w:tcW w:w="977" w:type="pct"/>
          </w:tcPr>
          <w:p w14:paraId="39B88EDD" w14:textId="77777777" w:rsidR="00254F87" w:rsidRDefault="00254F87">
            <w:pPr>
              <w:pStyle w:val="TableTextLeft"/>
            </w:pPr>
          </w:p>
        </w:tc>
        <w:tc>
          <w:tcPr>
            <w:tcW w:w="1139" w:type="pct"/>
            <w:hideMark/>
          </w:tcPr>
          <w:p w14:paraId="784D7B50" w14:textId="77777777" w:rsidR="00254F87" w:rsidRDefault="00254F87">
            <w:pPr>
              <w:pStyle w:val="TableTextLeft"/>
            </w:pPr>
            <w:r>
              <w:t>2,278*</w:t>
            </w:r>
          </w:p>
        </w:tc>
      </w:tr>
      <w:tr w:rsidR="00254F87" w14:paraId="1EC859F9" w14:textId="77777777" w:rsidTr="00F27BC3">
        <w:trPr>
          <w:cnfStyle w:val="000000010000" w:firstRow="0" w:lastRow="0" w:firstColumn="0" w:lastColumn="0" w:oddVBand="0" w:evenVBand="0" w:oddHBand="0" w:evenHBand="1" w:firstRowFirstColumn="0" w:firstRowLastColumn="0" w:lastRowFirstColumn="0" w:lastRowLastColumn="0"/>
        </w:trPr>
        <w:tc>
          <w:tcPr>
            <w:tcW w:w="1419" w:type="pct"/>
            <w:hideMark/>
          </w:tcPr>
          <w:p w14:paraId="177CF185" w14:textId="77777777" w:rsidR="00254F87" w:rsidRDefault="00254F87">
            <w:pPr>
              <w:pStyle w:val="TableTextLeft"/>
              <w:rPr>
                <w:highlight w:val="cyan"/>
              </w:rPr>
            </w:pPr>
            <w:r>
              <w:t>Orara Formation</w:t>
            </w:r>
          </w:p>
        </w:tc>
        <w:tc>
          <w:tcPr>
            <w:tcW w:w="1465" w:type="pct"/>
            <w:hideMark/>
          </w:tcPr>
          <w:p w14:paraId="2F4A3F34" w14:textId="77777777" w:rsidR="00254F87" w:rsidRDefault="00254F87">
            <w:pPr>
              <w:pStyle w:val="TableTextLeft"/>
            </w:pPr>
            <w:r>
              <w:t>1,500</w:t>
            </w:r>
          </w:p>
        </w:tc>
        <w:tc>
          <w:tcPr>
            <w:tcW w:w="977" w:type="pct"/>
          </w:tcPr>
          <w:p w14:paraId="4E677718" w14:textId="77777777" w:rsidR="00254F87" w:rsidRDefault="00254F87">
            <w:pPr>
              <w:pStyle w:val="TableTextLeft"/>
            </w:pPr>
          </w:p>
        </w:tc>
        <w:tc>
          <w:tcPr>
            <w:tcW w:w="1139" w:type="pct"/>
            <w:hideMark/>
          </w:tcPr>
          <w:p w14:paraId="7250BF50" w14:textId="77777777" w:rsidR="00254F87" w:rsidRDefault="00254F87">
            <w:pPr>
              <w:pStyle w:val="TableTextLeft"/>
            </w:pPr>
            <w:r>
              <w:t>2,000</w:t>
            </w:r>
          </w:p>
        </w:tc>
      </w:tr>
      <w:tr w:rsidR="00254F87" w14:paraId="7AD9E72F" w14:textId="77777777" w:rsidTr="00F27BC3">
        <w:trPr>
          <w:cnfStyle w:val="000000100000" w:firstRow="0" w:lastRow="0" w:firstColumn="0" w:lastColumn="0" w:oddVBand="0" w:evenVBand="0" w:oddHBand="1" w:evenHBand="0" w:firstRowFirstColumn="0" w:firstRowLastColumn="0" w:lastRowFirstColumn="0" w:lastRowLastColumn="0"/>
        </w:trPr>
        <w:tc>
          <w:tcPr>
            <w:tcW w:w="1419" w:type="pct"/>
            <w:hideMark/>
          </w:tcPr>
          <w:p w14:paraId="07306D51" w14:textId="77777777" w:rsidR="00254F87" w:rsidRDefault="00254F87">
            <w:pPr>
              <w:pStyle w:val="TableTextLeft"/>
              <w:rPr>
                <w:highlight w:val="cyan"/>
              </w:rPr>
            </w:pPr>
            <w:r>
              <w:t>Walloon Coal Measures</w:t>
            </w:r>
          </w:p>
        </w:tc>
        <w:tc>
          <w:tcPr>
            <w:tcW w:w="1465" w:type="pct"/>
            <w:hideMark/>
          </w:tcPr>
          <w:p w14:paraId="67DE7751" w14:textId="77777777" w:rsidR="00254F87" w:rsidRDefault="00254F87">
            <w:pPr>
              <w:pStyle w:val="TableTextLeft"/>
            </w:pPr>
            <w:r>
              <w:t>1,500</w:t>
            </w:r>
          </w:p>
        </w:tc>
        <w:tc>
          <w:tcPr>
            <w:tcW w:w="977" w:type="pct"/>
          </w:tcPr>
          <w:p w14:paraId="5C9455C9" w14:textId="77777777" w:rsidR="00254F87" w:rsidRDefault="00254F87">
            <w:pPr>
              <w:pStyle w:val="TableTextLeft"/>
            </w:pPr>
          </w:p>
        </w:tc>
        <w:tc>
          <w:tcPr>
            <w:tcW w:w="1139" w:type="pct"/>
            <w:hideMark/>
          </w:tcPr>
          <w:p w14:paraId="41ABE76C" w14:textId="77777777" w:rsidR="00254F87" w:rsidRDefault="00254F87">
            <w:pPr>
              <w:pStyle w:val="TableTextLeft"/>
            </w:pPr>
            <w:r>
              <w:t>19,475</w:t>
            </w:r>
          </w:p>
        </w:tc>
      </w:tr>
      <w:tr w:rsidR="00254F87" w14:paraId="3B95EAB0" w14:textId="77777777" w:rsidTr="00F27BC3">
        <w:trPr>
          <w:cnfStyle w:val="000000010000" w:firstRow="0" w:lastRow="0" w:firstColumn="0" w:lastColumn="0" w:oddVBand="0" w:evenVBand="0" w:oddHBand="0" w:evenHBand="1" w:firstRowFirstColumn="0" w:firstRowLastColumn="0" w:lastRowFirstColumn="0" w:lastRowLastColumn="0"/>
        </w:trPr>
        <w:tc>
          <w:tcPr>
            <w:tcW w:w="1419" w:type="pct"/>
            <w:hideMark/>
          </w:tcPr>
          <w:p w14:paraId="1486E4D2" w14:textId="77777777" w:rsidR="00254F87" w:rsidRDefault="00254F87">
            <w:pPr>
              <w:pStyle w:val="TableTextLeft"/>
              <w:rPr>
                <w:highlight w:val="cyan"/>
              </w:rPr>
            </w:pPr>
            <w:r>
              <w:t>Koukandowie Formation</w:t>
            </w:r>
          </w:p>
        </w:tc>
        <w:tc>
          <w:tcPr>
            <w:tcW w:w="1465" w:type="pct"/>
            <w:hideMark/>
          </w:tcPr>
          <w:p w14:paraId="1605119A" w14:textId="77777777" w:rsidR="00254F87" w:rsidRDefault="00254F87">
            <w:pPr>
              <w:pStyle w:val="TableTextLeft"/>
            </w:pPr>
            <w:r>
              <w:t>359</w:t>
            </w:r>
          </w:p>
        </w:tc>
        <w:tc>
          <w:tcPr>
            <w:tcW w:w="977" w:type="pct"/>
            <w:hideMark/>
          </w:tcPr>
          <w:p w14:paraId="5B80F518" w14:textId="77777777" w:rsidR="00254F87" w:rsidRDefault="00254F87">
            <w:pPr>
              <w:pStyle w:val="TableTextLeft"/>
            </w:pPr>
            <w:r>
              <w:t>4,248</w:t>
            </w:r>
          </w:p>
        </w:tc>
        <w:tc>
          <w:tcPr>
            <w:tcW w:w="1139" w:type="pct"/>
            <w:hideMark/>
          </w:tcPr>
          <w:p w14:paraId="7D4783BD" w14:textId="77777777" w:rsidR="00254F87" w:rsidRDefault="00254F87">
            <w:pPr>
              <w:pStyle w:val="TableTextLeft"/>
            </w:pPr>
            <w:r>
              <w:t>14,496</w:t>
            </w:r>
          </w:p>
        </w:tc>
      </w:tr>
      <w:tr w:rsidR="00254F87" w14:paraId="4E366EC9" w14:textId="77777777" w:rsidTr="00F27BC3">
        <w:trPr>
          <w:cnfStyle w:val="000000100000" w:firstRow="0" w:lastRow="0" w:firstColumn="0" w:lastColumn="0" w:oddVBand="0" w:evenVBand="0" w:oddHBand="1" w:evenHBand="0" w:firstRowFirstColumn="0" w:firstRowLastColumn="0" w:lastRowFirstColumn="0" w:lastRowLastColumn="0"/>
        </w:trPr>
        <w:tc>
          <w:tcPr>
            <w:tcW w:w="1419" w:type="pct"/>
            <w:hideMark/>
          </w:tcPr>
          <w:p w14:paraId="0159338A" w14:textId="77777777" w:rsidR="00254F87" w:rsidRDefault="00254F87">
            <w:pPr>
              <w:pStyle w:val="TableTextLeft"/>
              <w:rPr>
                <w:highlight w:val="cyan"/>
              </w:rPr>
            </w:pPr>
            <w:r>
              <w:t>Gatton Sandstone</w:t>
            </w:r>
          </w:p>
        </w:tc>
        <w:tc>
          <w:tcPr>
            <w:tcW w:w="1465" w:type="pct"/>
            <w:hideMark/>
          </w:tcPr>
          <w:p w14:paraId="561AE131" w14:textId="77777777" w:rsidR="00254F87" w:rsidRDefault="00254F87">
            <w:pPr>
              <w:pStyle w:val="TableTextLeft"/>
            </w:pPr>
            <w:r>
              <w:t>333</w:t>
            </w:r>
          </w:p>
        </w:tc>
        <w:tc>
          <w:tcPr>
            <w:tcW w:w="977" w:type="pct"/>
            <w:hideMark/>
          </w:tcPr>
          <w:p w14:paraId="603DE726" w14:textId="77777777" w:rsidR="00254F87" w:rsidRDefault="00254F87">
            <w:pPr>
              <w:pStyle w:val="TableTextLeft"/>
            </w:pPr>
            <w:r>
              <w:t>6,452</w:t>
            </w:r>
          </w:p>
        </w:tc>
        <w:tc>
          <w:tcPr>
            <w:tcW w:w="1139" w:type="pct"/>
            <w:hideMark/>
          </w:tcPr>
          <w:p w14:paraId="41D973A6" w14:textId="77777777" w:rsidR="00254F87" w:rsidRDefault="00254F87">
            <w:pPr>
              <w:pStyle w:val="TableTextLeft"/>
            </w:pPr>
            <w:r>
              <w:t>24,294</w:t>
            </w:r>
          </w:p>
        </w:tc>
      </w:tr>
      <w:tr w:rsidR="00254F87" w14:paraId="2EF0A82F" w14:textId="77777777" w:rsidTr="00F27BC3">
        <w:trPr>
          <w:cnfStyle w:val="000000010000" w:firstRow="0" w:lastRow="0" w:firstColumn="0" w:lastColumn="0" w:oddVBand="0" w:evenVBand="0" w:oddHBand="0" w:evenHBand="1" w:firstRowFirstColumn="0" w:firstRowLastColumn="0" w:lastRowFirstColumn="0" w:lastRowLastColumn="0"/>
        </w:trPr>
        <w:tc>
          <w:tcPr>
            <w:tcW w:w="1419" w:type="pct"/>
            <w:hideMark/>
          </w:tcPr>
          <w:p w14:paraId="1944F9CD" w14:textId="77777777" w:rsidR="00254F87" w:rsidRDefault="00254F87">
            <w:pPr>
              <w:pStyle w:val="TableTextLeft"/>
              <w:rPr>
                <w:highlight w:val="cyan"/>
              </w:rPr>
            </w:pPr>
            <w:r>
              <w:t>Woogaroo Subgroup</w:t>
            </w:r>
          </w:p>
        </w:tc>
        <w:tc>
          <w:tcPr>
            <w:tcW w:w="1465" w:type="pct"/>
            <w:hideMark/>
          </w:tcPr>
          <w:p w14:paraId="062FECB7" w14:textId="77777777" w:rsidR="00254F87" w:rsidRDefault="00254F87">
            <w:pPr>
              <w:pStyle w:val="TableTextLeft"/>
            </w:pPr>
            <w:r>
              <w:t>961</w:t>
            </w:r>
          </w:p>
        </w:tc>
        <w:tc>
          <w:tcPr>
            <w:tcW w:w="977" w:type="pct"/>
            <w:hideMark/>
          </w:tcPr>
          <w:p w14:paraId="7798E7A4" w14:textId="77777777" w:rsidR="00254F87" w:rsidRDefault="00254F87">
            <w:pPr>
              <w:pStyle w:val="TableTextLeft"/>
            </w:pPr>
            <w:r>
              <w:t>2,518</w:t>
            </w:r>
          </w:p>
        </w:tc>
        <w:tc>
          <w:tcPr>
            <w:tcW w:w="1139" w:type="pct"/>
            <w:hideMark/>
          </w:tcPr>
          <w:p w14:paraId="3FFB8380" w14:textId="77777777" w:rsidR="00254F87" w:rsidRDefault="00254F87">
            <w:pPr>
              <w:pStyle w:val="TableTextLeft"/>
            </w:pPr>
            <w:r>
              <w:t>4,147</w:t>
            </w:r>
          </w:p>
        </w:tc>
      </w:tr>
    </w:tbl>
    <w:p w14:paraId="6170CF04" w14:textId="77777777" w:rsidR="00254F87" w:rsidRDefault="00254F87" w:rsidP="008B38C1">
      <w:pPr>
        <w:pStyle w:val="TableEmptyParaAfter"/>
      </w:pPr>
      <w:r>
        <w:t>* EC µS/cm converted TDS mg/l using 0.67 conversion factor</w:t>
      </w:r>
    </w:p>
    <w:p w14:paraId="3FC2B248" w14:textId="5702DBBA" w:rsidR="00254F87" w:rsidRDefault="00254F87" w:rsidP="008B38C1">
      <w:pPr>
        <w:pStyle w:val="TableSource"/>
      </w:pPr>
      <w:r>
        <w:t>** Approximate value based on Raiber et al. (2016)</w:t>
      </w:r>
    </w:p>
    <w:p w14:paraId="2B3E483A" w14:textId="77777777" w:rsidR="00254F87" w:rsidRDefault="00254F87" w:rsidP="00D15FEC">
      <w:pPr>
        <w:pStyle w:val="AppendixHeading4"/>
      </w:pPr>
      <w:r>
        <w:lastRenderedPageBreak/>
        <w:t>Groundwater flow</w:t>
      </w:r>
    </w:p>
    <w:p w14:paraId="0F65AB45" w14:textId="77777777" w:rsidR="00254F87" w:rsidRDefault="00254F87" w:rsidP="00C9623F">
      <w:pPr>
        <w:pStyle w:val="BodyText"/>
      </w:pPr>
      <w:r>
        <w:t>Generally, flow in the alluvial aquifers is topographically driven, following that of associated creeks and rivers, with groundwater water levels responding to recharge (Rassam et al., 2014). However, pumping and irrigation stresses that significantly alter water levels can impact groundwater flow directions, as is evident in the Condamine Alluvium (Figure C.30).</w:t>
      </w:r>
    </w:p>
    <w:p w14:paraId="4A683382" w14:textId="77777777" w:rsidR="00254F87" w:rsidRDefault="00254F87" w:rsidP="00C9623F">
      <w:pPr>
        <w:pStyle w:val="BodyText"/>
      </w:pPr>
      <w:r>
        <w:t>Groundwater flow in the Lockyer Valley, Bremer, and Logan-Albert rivers alluvial groundwater systems is to the northeast, and east in the Richmond River alluvium (Raiber et al., 2016).</w:t>
      </w:r>
    </w:p>
    <w:p w14:paraId="1A8CD9F8" w14:textId="77777777" w:rsidR="00254F87" w:rsidRDefault="00254F87" w:rsidP="00C9623F">
      <w:pPr>
        <w:pStyle w:val="BodyText"/>
      </w:pPr>
      <w:r>
        <w:t>The spatial coverage of groundwater levels within the sedimentary rock aquifer system is generally inadequate for determining groundwater flow across the basin. An exception is the norther part of the basin where sufficient data exist for the Walloon Coal Measures, Gatton Sandstone, and Woogaroo Subgroup. All three aquifers are similar, exhibiting northeasterly flow, apart from the northern portion of the Woogaroo Subgroup adjacent to the northern margin of the basin, where groundwater flow is to the southeast (Raiber et al., 2016).</w:t>
      </w:r>
    </w:p>
    <w:p w14:paraId="2892CD78" w14:textId="77777777" w:rsidR="00254F87" w:rsidRDefault="00254F87" w:rsidP="00F27BC3">
      <w:pPr>
        <w:pStyle w:val="FiguresImagesCentred"/>
      </w:pPr>
      <w:r>
        <w:rPr>
          <w:noProof/>
        </w:rPr>
        <w:drawing>
          <wp:inline distT="0" distB="0" distL="0" distR="0" wp14:anchorId="014B61D4" wp14:editId="2C7647B4">
            <wp:extent cx="5891618" cy="446283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5883995" cy="4457061"/>
                    </a:xfrm>
                    <a:prstGeom prst="rect">
                      <a:avLst/>
                    </a:prstGeom>
                    <a:noFill/>
                    <a:ln>
                      <a:noFill/>
                    </a:ln>
                  </pic:spPr>
                </pic:pic>
              </a:graphicData>
            </a:graphic>
          </wp:inline>
        </w:drawing>
      </w:r>
    </w:p>
    <w:p w14:paraId="22E14E49" w14:textId="1A8750BF" w:rsidR="00254F87" w:rsidRDefault="00254F87" w:rsidP="00923166">
      <w:pPr>
        <w:pStyle w:val="Caption"/>
      </w:pPr>
      <w:bookmarkStart w:id="150" w:name="_Toc499547590"/>
      <w:bookmarkStart w:id="151" w:name="_Toc508972101"/>
      <w:r w:rsidRPr="00923166">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923166">
        <w:t>.</w:t>
      </w:r>
      <w:r w:rsidR="008079F1">
        <w:fldChar w:fldCharType="begin"/>
      </w:r>
      <w:r w:rsidR="008079F1">
        <w:instrText xml:space="preserve"> SEQ Apx_Figure \* ARABIC \s 9 </w:instrText>
      </w:r>
      <w:r w:rsidR="008079F1">
        <w:fldChar w:fldCharType="separate"/>
      </w:r>
      <w:r w:rsidR="00640CCB">
        <w:rPr>
          <w:noProof/>
        </w:rPr>
        <w:t>30</w:t>
      </w:r>
      <w:r w:rsidR="008079F1">
        <w:rPr>
          <w:noProof/>
        </w:rPr>
        <w:fldChar w:fldCharType="end"/>
      </w:r>
      <w:r w:rsidRPr="00923166">
        <w:t xml:space="preserve"> Changes in groundwater flow (Source Figure 2 in Department of Natural Resources and Mines (2012)</w:t>
      </w:r>
      <w:r w:rsidR="00C04254">
        <w:t>)</w:t>
      </w:r>
      <w:r w:rsidRPr="00923166">
        <w:t>.</w:t>
      </w:r>
      <w:bookmarkEnd w:id="150"/>
      <w:bookmarkEnd w:id="151"/>
    </w:p>
    <w:p w14:paraId="50A98175" w14:textId="77777777" w:rsidR="00F27BC3" w:rsidRPr="00F27BC3" w:rsidRDefault="00F27BC3" w:rsidP="00F27BC3">
      <w:pPr>
        <w:pStyle w:val="BodyText"/>
      </w:pPr>
    </w:p>
    <w:p w14:paraId="38850A41" w14:textId="77777777" w:rsidR="00254F87" w:rsidRPr="00923166" w:rsidRDefault="00254F87" w:rsidP="00923166">
      <w:pPr>
        <w:pStyle w:val="BodyText"/>
      </w:pPr>
      <w:r w:rsidRPr="00923166">
        <w:t>Toward the northwestern portion of the basin near Toowoomba, Ransley and Smerdon (2012) identified a subtle</w:t>
      </w:r>
      <w:r w:rsidRPr="005450A3">
        <w:t xml:space="preserve"> </w:t>
      </w:r>
      <w:r w:rsidRPr="00923166">
        <w:t xml:space="preserve">north-northeast to south-southwest trending basement ridge over which the </w:t>
      </w:r>
      <w:r w:rsidRPr="00923166">
        <w:lastRenderedPageBreak/>
        <w:t>Clarence-Moreton sedimentary succession drapes. The ridge is thought to produce a potential groundwater divide resulting in westerly groundwater in flow in every horizon from basement up to the Walloon Coal Measures (Ransley and Smerdon, 2012). Within the Koukandowie Formation and Walloon Coal Measures the groundwater divide aligns generally with the edge of the escarpment of the Great Dividing Range (Ransley and Smerdon, 2012).</w:t>
      </w:r>
    </w:p>
    <w:p w14:paraId="62E7413E" w14:textId="77777777" w:rsidR="00254F87" w:rsidRDefault="00254F87" w:rsidP="00D15FEC">
      <w:pPr>
        <w:pStyle w:val="AppendixHeading4"/>
      </w:pPr>
      <w:r>
        <w:t>Groundwater Planning and Use</w:t>
      </w:r>
    </w:p>
    <w:p w14:paraId="5CBEDB5C" w14:textId="252FF15D" w:rsidR="00EC1E50" w:rsidRDefault="00254F87" w:rsidP="00923166">
      <w:pPr>
        <w:pStyle w:val="BodyText"/>
      </w:pPr>
      <w:r w:rsidRPr="00923166">
        <w:t xml:space="preserve">Groundwater planning and management is undertaken by the New South Wales and Queensland state governments for respective groundwater resources in the basin. Major groundwater resources and their respective water management plans are shown in </w:t>
      </w:r>
      <w:r>
        <w:t>Table C</w:t>
      </w:r>
      <w:r w:rsidRPr="00923166">
        <w:t>.18.</w:t>
      </w:r>
    </w:p>
    <w:p w14:paraId="3B4B3060" w14:textId="77777777" w:rsidR="00EC1E50" w:rsidRDefault="00EC1E50" w:rsidP="00147CAE">
      <w:pPr>
        <w:pStyle w:val="BodyText"/>
      </w:pPr>
      <w:r>
        <w:br w:type="page"/>
      </w:r>
    </w:p>
    <w:p w14:paraId="20F25195" w14:textId="77777777" w:rsidR="00254F87" w:rsidRDefault="00254F87" w:rsidP="00B92BE0">
      <w:pPr>
        <w:pStyle w:val="Caption"/>
      </w:pPr>
      <w:bookmarkStart w:id="152" w:name="_Toc499547488"/>
      <w:bookmarkStart w:id="153" w:name="_Toc508972167"/>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18</w:t>
      </w:r>
      <w:r w:rsidR="008079F1">
        <w:rPr>
          <w:noProof/>
        </w:rPr>
        <w:fldChar w:fldCharType="end"/>
      </w:r>
      <w:r>
        <w:t xml:space="preserve"> Water sharing plans and Water resource plans for various groundwater systems in and overlying the Clarence-Moreton basin</w:t>
      </w:r>
      <w:bookmarkEnd w:id="152"/>
      <w:bookmarkEnd w:id="153"/>
    </w:p>
    <w:tbl>
      <w:tblPr>
        <w:tblStyle w:val="TableBAHeaderRow"/>
        <w:tblW w:w="5000" w:type="pct"/>
        <w:tblInd w:w="0" w:type="dxa"/>
        <w:tblLook w:val="04A0" w:firstRow="1" w:lastRow="0" w:firstColumn="1" w:lastColumn="0" w:noHBand="0" w:noVBand="1"/>
      </w:tblPr>
      <w:tblGrid>
        <w:gridCol w:w="4233"/>
        <w:gridCol w:w="5406"/>
      </w:tblGrid>
      <w:tr w:rsidR="00254F87" w14:paraId="260083AB" w14:textId="77777777" w:rsidTr="00F27BC3">
        <w:trPr>
          <w:cnfStyle w:val="100000000000" w:firstRow="1" w:lastRow="0" w:firstColumn="0" w:lastColumn="0" w:oddVBand="0" w:evenVBand="0" w:oddHBand="0" w:evenHBand="0" w:firstRowFirstColumn="0" w:firstRowLastColumn="0" w:lastRowFirstColumn="0" w:lastRowLastColumn="0"/>
        </w:trPr>
        <w:tc>
          <w:tcPr>
            <w:tcW w:w="2196" w:type="pct"/>
            <w:hideMark/>
          </w:tcPr>
          <w:p w14:paraId="0B308FF5" w14:textId="77777777" w:rsidR="00254F87" w:rsidRDefault="00254F87">
            <w:pPr>
              <w:pStyle w:val="TableTextLeft"/>
            </w:pPr>
            <w:r>
              <w:t>Groundwater system</w:t>
            </w:r>
          </w:p>
        </w:tc>
        <w:tc>
          <w:tcPr>
            <w:tcW w:w="2804" w:type="pct"/>
            <w:hideMark/>
          </w:tcPr>
          <w:p w14:paraId="610F60C6" w14:textId="77777777" w:rsidR="00254F87" w:rsidRDefault="00254F87">
            <w:pPr>
              <w:pStyle w:val="TableTextLeft"/>
            </w:pPr>
            <w:r>
              <w:t>Water sharing plan/Water resource plan</w:t>
            </w:r>
          </w:p>
        </w:tc>
      </w:tr>
      <w:tr w:rsidR="00254F87" w14:paraId="376953C3" w14:textId="77777777" w:rsidTr="00F27BC3">
        <w:trPr>
          <w:cnfStyle w:val="000000100000" w:firstRow="0" w:lastRow="0" w:firstColumn="0" w:lastColumn="0" w:oddVBand="0" w:evenVBand="0" w:oddHBand="1" w:evenHBand="0" w:firstRowFirstColumn="0" w:firstRowLastColumn="0" w:lastRowFirstColumn="0" w:lastRowLastColumn="0"/>
        </w:trPr>
        <w:tc>
          <w:tcPr>
            <w:tcW w:w="2196" w:type="pct"/>
            <w:hideMark/>
          </w:tcPr>
          <w:p w14:paraId="7CC7F4A2" w14:textId="77777777" w:rsidR="00254F87" w:rsidRDefault="00254F87">
            <w:pPr>
              <w:pStyle w:val="TableTextLeft"/>
            </w:pPr>
            <w:r>
              <w:t>Lockyer Valley Alluvial Aquifer</w:t>
            </w:r>
          </w:p>
        </w:tc>
        <w:tc>
          <w:tcPr>
            <w:tcW w:w="2804" w:type="pct"/>
            <w:hideMark/>
          </w:tcPr>
          <w:p w14:paraId="1E00EFED" w14:textId="024053A5" w:rsidR="00254F87" w:rsidRDefault="00254F87">
            <w:pPr>
              <w:pStyle w:val="TableTextLeft"/>
            </w:pPr>
            <w:r>
              <w:t>Water Plan (Moreton) 2007 (Qld)</w:t>
            </w:r>
          </w:p>
          <w:p w14:paraId="2501215B" w14:textId="77777777" w:rsidR="00254F87" w:rsidRDefault="00254F87">
            <w:pPr>
              <w:pStyle w:val="TableTextLeft"/>
            </w:pPr>
            <w:r>
              <w:t>(Queensland Government, 2007a)</w:t>
            </w:r>
          </w:p>
        </w:tc>
      </w:tr>
      <w:tr w:rsidR="00254F87" w14:paraId="5F7026A7" w14:textId="77777777" w:rsidTr="00F27BC3">
        <w:trPr>
          <w:cnfStyle w:val="000000010000" w:firstRow="0" w:lastRow="0" w:firstColumn="0" w:lastColumn="0" w:oddVBand="0" w:evenVBand="0" w:oddHBand="0" w:evenHBand="1" w:firstRowFirstColumn="0" w:firstRowLastColumn="0" w:lastRowFirstColumn="0" w:lastRowLastColumn="0"/>
        </w:trPr>
        <w:tc>
          <w:tcPr>
            <w:tcW w:w="2196" w:type="pct"/>
            <w:hideMark/>
          </w:tcPr>
          <w:p w14:paraId="5EBF200D" w14:textId="77777777" w:rsidR="00254F87" w:rsidRDefault="00254F87">
            <w:pPr>
              <w:pStyle w:val="TableTextLeft"/>
            </w:pPr>
            <w:r>
              <w:t>Bremer/Warrill Alluvium</w:t>
            </w:r>
          </w:p>
        </w:tc>
        <w:tc>
          <w:tcPr>
            <w:tcW w:w="2804" w:type="pct"/>
          </w:tcPr>
          <w:p w14:paraId="653D861C" w14:textId="77777777" w:rsidR="00254F87" w:rsidRDefault="00254F87" w:rsidP="00D15FEC">
            <w:pPr>
              <w:pStyle w:val="TableTextLeft"/>
            </w:pPr>
            <w:r>
              <w:t>Water Plan (Moreton) 2007 (Qld)</w:t>
            </w:r>
          </w:p>
          <w:p w14:paraId="044ED5E3" w14:textId="77777777" w:rsidR="00254F87" w:rsidRDefault="00254F87" w:rsidP="00D15FEC">
            <w:pPr>
              <w:pStyle w:val="TableTextLeft"/>
            </w:pPr>
            <w:r>
              <w:t>(Queensland Government, 2007a)</w:t>
            </w:r>
          </w:p>
        </w:tc>
      </w:tr>
      <w:tr w:rsidR="00254F87" w14:paraId="107B96FB" w14:textId="77777777" w:rsidTr="00F27BC3">
        <w:trPr>
          <w:cnfStyle w:val="000000100000" w:firstRow="0" w:lastRow="0" w:firstColumn="0" w:lastColumn="0" w:oddVBand="0" w:evenVBand="0" w:oddHBand="1" w:evenHBand="0" w:firstRowFirstColumn="0" w:firstRowLastColumn="0" w:lastRowFirstColumn="0" w:lastRowLastColumn="0"/>
        </w:trPr>
        <w:tc>
          <w:tcPr>
            <w:tcW w:w="2196" w:type="pct"/>
            <w:hideMark/>
          </w:tcPr>
          <w:p w14:paraId="6C87AF8E" w14:textId="77777777" w:rsidR="00254F87" w:rsidRDefault="00254F87">
            <w:pPr>
              <w:pStyle w:val="TableTextLeft"/>
            </w:pPr>
            <w:r>
              <w:t>Richmond River Alluvium</w:t>
            </w:r>
          </w:p>
        </w:tc>
        <w:tc>
          <w:tcPr>
            <w:tcW w:w="2804" w:type="pct"/>
            <w:hideMark/>
          </w:tcPr>
          <w:p w14:paraId="2C66C117" w14:textId="77777777" w:rsidR="00254F87" w:rsidRDefault="00254F87">
            <w:pPr>
              <w:pStyle w:val="TableTextLeft"/>
            </w:pPr>
            <w:r>
              <w:t>Water Sharing Plan for the Richmond River Area Unregulated, Regulated and Alluvial Water Sources 2010 (NSW)</w:t>
            </w:r>
          </w:p>
          <w:p w14:paraId="7D0A5569" w14:textId="77777777" w:rsidR="00254F87" w:rsidRDefault="00254F87">
            <w:pPr>
              <w:pStyle w:val="TableTextLeft"/>
            </w:pPr>
            <w:r>
              <w:t>(NSW Legislation, 2010a)</w:t>
            </w:r>
          </w:p>
        </w:tc>
      </w:tr>
      <w:tr w:rsidR="00254F87" w14:paraId="4DC710FE" w14:textId="77777777" w:rsidTr="00F27BC3">
        <w:trPr>
          <w:cnfStyle w:val="000000010000" w:firstRow="0" w:lastRow="0" w:firstColumn="0" w:lastColumn="0" w:oddVBand="0" w:evenVBand="0" w:oddHBand="0" w:evenHBand="1" w:firstRowFirstColumn="0" w:firstRowLastColumn="0" w:lastRowFirstColumn="0" w:lastRowLastColumn="0"/>
        </w:trPr>
        <w:tc>
          <w:tcPr>
            <w:tcW w:w="2196" w:type="pct"/>
            <w:hideMark/>
          </w:tcPr>
          <w:p w14:paraId="705BDBFE" w14:textId="77777777" w:rsidR="00254F87" w:rsidRDefault="00254F87">
            <w:pPr>
              <w:pStyle w:val="TableTextLeft"/>
            </w:pPr>
            <w:r>
              <w:t>Clarence River Alluvium</w:t>
            </w:r>
          </w:p>
        </w:tc>
        <w:tc>
          <w:tcPr>
            <w:tcW w:w="2804" w:type="pct"/>
            <w:hideMark/>
          </w:tcPr>
          <w:p w14:paraId="0F13A40D" w14:textId="77777777" w:rsidR="00254F87" w:rsidRDefault="00254F87">
            <w:pPr>
              <w:pStyle w:val="TableTextLeft"/>
            </w:pPr>
            <w:r>
              <w:t>Water Sharing Plan for the Clarence Unregulated and Alluvial Water Sources 2016 (NSW)</w:t>
            </w:r>
          </w:p>
          <w:p w14:paraId="7F89351A" w14:textId="77777777" w:rsidR="00254F87" w:rsidRDefault="00254F87">
            <w:pPr>
              <w:pStyle w:val="TableTextLeft"/>
            </w:pPr>
            <w:r>
              <w:t>(NSW Legislation, 2016a)</w:t>
            </w:r>
          </w:p>
        </w:tc>
      </w:tr>
      <w:tr w:rsidR="00254F87" w14:paraId="7CA48494" w14:textId="77777777" w:rsidTr="00F27BC3">
        <w:trPr>
          <w:cnfStyle w:val="000000100000" w:firstRow="0" w:lastRow="0" w:firstColumn="0" w:lastColumn="0" w:oddVBand="0" w:evenVBand="0" w:oddHBand="1" w:evenHBand="0" w:firstRowFirstColumn="0" w:firstRowLastColumn="0" w:lastRowFirstColumn="0" w:lastRowLastColumn="0"/>
        </w:trPr>
        <w:tc>
          <w:tcPr>
            <w:tcW w:w="2196" w:type="pct"/>
            <w:hideMark/>
          </w:tcPr>
          <w:p w14:paraId="68E3C559" w14:textId="77777777" w:rsidR="00254F87" w:rsidRDefault="00254F87">
            <w:pPr>
              <w:pStyle w:val="TableTextLeft"/>
            </w:pPr>
            <w:r>
              <w:t>Tweed River Alluvium</w:t>
            </w:r>
          </w:p>
        </w:tc>
        <w:tc>
          <w:tcPr>
            <w:tcW w:w="2804" w:type="pct"/>
            <w:hideMark/>
          </w:tcPr>
          <w:p w14:paraId="0516E8D0" w14:textId="78D5965D" w:rsidR="00254F87" w:rsidRDefault="00254F87">
            <w:pPr>
              <w:pStyle w:val="TableTextLeft"/>
            </w:pPr>
            <w:r>
              <w:t>Water Sharing Plan for the Tweed River Area Unregulated and Alluvial Water Sources 2010 (NSW)</w:t>
            </w:r>
          </w:p>
          <w:p w14:paraId="5AEE223E" w14:textId="77777777" w:rsidR="00254F87" w:rsidRDefault="00254F87">
            <w:pPr>
              <w:pStyle w:val="TableTextLeft"/>
            </w:pPr>
            <w:r>
              <w:t>(NSW Legislation, 2010b)</w:t>
            </w:r>
          </w:p>
        </w:tc>
      </w:tr>
      <w:tr w:rsidR="00254F87" w14:paraId="58032124" w14:textId="77777777" w:rsidTr="00F27BC3">
        <w:trPr>
          <w:cnfStyle w:val="000000010000" w:firstRow="0" w:lastRow="0" w:firstColumn="0" w:lastColumn="0" w:oddVBand="0" w:evenVBand="0" w:oddHBand="0" w:evenHBand="1" w:firstRowFirstColumn="0" w:firstRowLastColumn="0" w:lastRowFirstColumn="0" w:lastRowLastColumn="0"/>
        </w:trPr>
        <w:tc>
          <w:tcPr>
            <w:tcW w:w="2196" w:type="pct"/>
            <w:hideMark/>
          </w:tcPr>
          <w:p w14:paraId="4E7F1CB9" w14:textId="77777777" w:rsidR="00254F87" w:rsidRDefault="00254F87">
            <w:pPr>
              <w:pStyle w:val="TableTextLeft"/>
            </w:pPr>
            <w:r>
              <w:t xml:space="preserve">Main Range Volcanics </w:t>
            </w:r>
          </w:p>
        </w:tc>
        <w:tc>
          <w:tcPr>
            <w:tcW w:w="2804" w:type="pct"/>
            <w:hideMark/>
          </w:tcPr>
          <w:p w14:paraId="7D7DC1E4" w14:textId="3FAD7763" w:rsidR="00254F87" w:rsidRDefault="00254F87" w:rsidP="00D15FEC">
            <w:pPr>
              <w:pStyle w:val="TableTextLeft"/>
            </w:pPr>
            <w:r>
              <w:t>Water Plan (Condamine and Balonne) 2004 (Qld)</w:t>
            </w:r>
          </w:p>
          <w:p w14:paraId="5C843C1E" w14:textId="77777777" w:rsidR="00254F87" w:rsidRDefault="00254F87" w:rsidP="00D15FEC">
            <w:pPr>
              <w:pStyle w:val="TableTextLeft"/>
            </w:pPr>
            <w:r>
              <w:t>(Queensland Government, 2004)</w:t>
            </w:r>
          </w:p>
        </w:tc>
      </w:tr>
      <w:tr w:rsidR="00254F87" w14:paraId="1B18179A" w14:textId="77777777" w:rsidTr="00F27BC3">
        <w:trPr>
          <w:cnfStyle w:val="000000100000" w:firstRow="0" w:lastRow="0" w:firstColumn="0" w:lastColumn="0" w:oddVBand="0" w:evenVBand="0" w:oddHBand="1" w:evenHBand="0" w:firstRowFirstColumn="0" w:firstRowLastColumn="0" w:lastRowFirstColumn="0" w:lastRowLastColumn="0"/>
        </w:trPr>
        <w:tc>
          <w:tcPr>
            <w:tcW w:w="2196" w:type="pct"/>
            <w:hideMark/>
          </w:tcPr>
          <w:p w14:paraId="0B1B3E8B" w14:textId="77777777" w:rsidR="00254F87" w:rsidRDefault="00254F87">
            <w:pPr>
              <w:pStyle w:val="TableTextLeft"/>
            </w:pPr>
            <w:r>
              <w:t>Lamington Volcanics</w:t>
            </w:r>
          </w:p>
          <w:p w14:paraId="2F3B1385" w14:textId="77777777" w:rsidR="00254F87" w:rsidRDefault="00254F87">
            <w:pPr>
              <w:pStyle w:val="TableTextLeft"/>
            </w:pPr>
            <w:r>
              <w:t>Grafton Formation</w:t>
            </w:r>
          </w:p>
          <w:p w14:paraId="08689190" w14:textId="77777777" w:rsidR="00254F87" w:rsidRDefault="00254F87">
            <w:pPr>
              <w:pStyle w:val="TableTextLeft"/>
            </w:pPr>
            <w:r>
              <w:t>Orara Formation</w:t>
            </w:r>
          </w:p>
          <w:p w14:paraId="2EA4F64A" w14:textId="77777777" w:rsidR="00254F87" w:rsidRDefault="00254F87">
            <w:pPr>
              <w:pStyle w:val="TableTextLeft"/>
            </w:pPr>
            <w:r>
              <w:t>Walloon Coal Measures</w:t>
            </w:r>
          </w:p>
        </w:tc>
        <w:tc>
          <w:tcPr>
            <w:tcW w:w="2804" w:type="pct"/>
            <w:hideMark/>
          </w:tcPr>
          <w:p w14:paraId="09893879" w14:textId="7CC9F930" w:rsidR="00254F87" w:rsidRDefault="00254F87">
            <w:pPr>
              <w:pStyle w:val="TableTextLeft"/>
            </w:pPr>
            <w:r>
              <w:t>Water Sharing Plan for the North Coast Fractured and Porous Rock Groundwater sources 2016 (NSW), in particular the Clarence Moreton Basin, Alstonville Plateau and North Coast Volcanics groundwater sources.</w:t>
            </w:r>
          </w:p>
          <w:p w14:paraId="70482749" w14:textId="77777777" w:rsidR="00254F87" w:rsidRDefault="00254F87">
            <w:pPr>
              <w:pStyle w:val="TableTextLeft"/>
            </w:pPr>
            <w:r>
              <w:t>(NSW Legislation, 2016b)</w:t>
            </w:r>
          </w:p>
        </w:tc>
      </w:tr>
      <w:tr w:rsidR="00254F87" w14:paraId="4CCE0F1B" w14:textId="77777777" w:rsidTr="00F27BC3">
        <w:trPr>
          <w:cnfStyle w:val="000000010000" w:firstRow="0" w:lastRow="0" w:firstColumn="0" w:lastColumn="0" w:oddVBand="0" w:evenVBand="0" w:oddHBand="0" w:evenHBand="1" w:firstRowFirstColumn="0" w:firstRowLastColumn="0" w:lastRowFirstColumn="0" w:lastRowLastColumn="0"/>
        </w:trPr>
        <w:tc>
          <w:tcPr>
            <w:tcW w:w="2196" w:type="pct"/>
            <w:hideMark/>
          </w:tcPr>
          <w:p w14:paraId="064E40FF" w14:textId="77777777" w:rsidR="00254F87" w:rsidRDefault="00254F87">
            <w:pPr>
              <w:pStyle w:val="TableTextLeft"/>
            </w:pPr>
            <w:r>
              <w:t>Walloon Coal Measures</w:t>
            </w:r>
          </w:p>
          <w:p w14:paraId="03202625" w14:textId="77777777" w:rsidR="00254F87" w:rsidRDefault="00254F87">
            <w:pPr>
              <w:pStyle w:val="TableTextLeft"/>
            </w:pPr>
            <w:r>
              <w:t>Koukandowie Formation</w:t>
            </w:r>
          </w:p>
          <w:p w14:paraId="03641311" w14:textId="77777777" w:rsidR="00254F87" w:rsidRDefault="00254F87">
            <w:pPr>
              <w:pStyle w:val="TableTextLeft"/>
            </w:pPr>
            <w:r>
              <w:t>Gatton Sandstone</w:t>
            </w:r>
          </w:p>
        </w:tc>
        <w:tc>
          <w:tcPr>
            <w:tcW w:w="2804" w:type="pct"/>
            <w:hideMark/>
          </w:tcPr>
          <w:p w14:paraId="313C1A71" w14:textId="4D39699F" w:rsidR="00254F87" w:rsidRDefault="00254F87">
            <w:pPr>
              <w:pStyle w:val="TableTextLeft"/>
            </w:pPr>
            <w:r>
              <w:t>Water Plan (Great Artesian Basin) 2006 (Qld)</w:t>
            </w:r>
          </w:p>
          <w:p w14:paraId="69CF326A" w14:textId="77777777" w:rsidR="00254F87" w:rsidRDefault="00254F87">
            <w:pPr>
              <w:pStyle w:val="TableTextLeft"/>
            </w:pPr>
            <w:r>
              <w:t>(Queensland Government, 2006a)</w:t>
            </w:r>
          </w:p>
        </w:tc>
      </w:tr>
    </w:tbl>
    <w:p w14:paraId="18266FA7" w14:textId="77777777" w:rsidR="00254F87" w:rsidRPr="005450A3" w:rsidRDefault="00254F87" w:rsidP="00C9623F">
      <w:pPr>
        <w:pStyle w:val="BodyText"/>
      </w:pPr>
      <w:r w:rsidRPr="00C9623F">
        <w:rPr>
          <w:rStyle w:val="BodyTextChar"/>
        </w:rPr>
        <w:t>The New South Wales Government has developed Water Sharing Plans to manage rivers and groundwater</w:t>
      </w:r>
      <w:r>
        <w:t xml:space="preserve"> systems, which provide a legal basis for sharing water between the environment and consumptive purposes. For alluvial groundwater systems, water sharing plans consider the linkages between surface water and groundwater resources.</w:t>
      </w:r>
    </w:p>
    <w:p w14:paraId="15962247" w14:textId="77777777" w:rsidR="00254F87" w:rsidRDefault="00254F87" w:rsidP="00C9623F">
      <w:pPr>
        <w:pStyle w:val="BodyText"/>
      </w:pPr>
      <w:r>
        <w:t>Sedimentary rock aquifers in New South Wales (Grafton Formation, Orara Formation and Walloon Coal Measures) are included in the Clarence-Moreton Basin groundwater source. This source has an estimated volume of 2,341 ML/yr for basic landholder rights (stock and domestic use) and a total licenced groundwater entitlement of 2,221 ML/yr.</w:t>
      </w:r>
    </w:p>
    <w:p w14:paraId="3BADB1A5" w14:textId="77777777" w:rsidR="00254F87" w:rsidRDefault="00254F87" w:rsidP="00C9623F">
      <w:pPr>
        <w:pStyle w:val="BodyText"/>
      </w:pPr>
      <w:r>
        <w:t>The Alstonville Plateau groundwater source (Lismore Basalt) has basic landholder rights (stock and domestic use) of 2,014 ML/yr and a total licenced groundwater entitlement of 7,065 ML/yr.</w:t>
      </w:r>
    </w:p>
    <w:p w14:paraId="1184D518" w14:textId="77777777" w:rsidR="00254F87" w:rsidRDefault="00254F87" w:rsidP="00C9623F">
      <w:pPr>
        <w:pStyle w:val="BodyText"/>
      </w:pPr>
      <w:r>
        <w:t>North Coast volcanics groundwater source (Lamington Volcanics) has basic landholder rights (stock and domestic use) of 3402 ML/yr and a total licenced groundwater entitlement of 2505 ML/yr.</w:t>
      </w:r>
    </w:p>
    <w:p w14:paraId="2FEFBE81" w14:textId="480A4998" w:rsidR="00254F87" w:rsidRDefault="00254F87" w:rsidP="00C9623F">
      <w:pPr>
        <w:pStyle w:val="BodyText"/>
      </w:pPr>
      <w:r>
        <w:t xml:space="preserve">The Queensland Government’s groundwater management and planning is covered by Water Resource Plans which are implemented through Resource Operation Plans. </w:t>
      </w:r>
    </w:p>
    <w:p w14:paraId="1B6C2AF7" w14:textId="77777777" w:rsidR="00254F87" w:rsidRDefault="00254F87" w:rsidP="00C9623F">
      <w:pPr>
        <w:pStyle w:val="BodyText"/>
      </w:pPr>
      <w:r>
        <w:t xml:space="preserve">Both the Main Range Volcanics and Condamine Alluvium are included as Groundwater Sustainable Diversion Limit (SDL) resource units in the Commonwealth’s Basin Plan 2012 for the Murray Darling Basin (Federal Register of Legislation, 2012). Under the Basin Plan, the Condamine Alluvium is divided into the Upper Condamine Alluvium (Central Condamine Alluvium) and the </w:t>
      </w:r>
      <w:r>
        <w:lastRenderedPageBreak/>
        <w:t xml:space="preserve">Upper Condamine Alluvium (Tributaries) which have SDL and Base Diversion Limits (BDL) of 81.4 GL/yr and 46 GL/yr, and 45.5 GL/yr and 40.5 GL/yr respectively. The Main Range Volcanics is referred to as the Upper Condamine Basalts and has an SDL and BDL of 79 GL/yr (Welsh et al., 2014). </w:t>
      </w:r>
    </w:p>
    <w:p w14:paraId="1FB8FFE1" w14:textId="68D5DC11" w:rsidR="00254F87" w:rsidRDefault="00254F87" w:rsidP="00C9623F">
      <w:pPr>
        <w:pStyle w:val="BodyText"/>
      </w:pPr>
      <w:r>
        <w:t xml:space="preserve">Table C.19 presents information from the NGIS (BoM, 2016) showing summary information of registered bores in the basin. </w:t>
      </w:r>
    </w:p>
    <w:p w14:paraId="173D0C6B" w14:textId="77777777" w:rsidR="00254F87" w:rsidRDefault="00254F87" w:rsidP="00C9623F">
      <w:pPr>
        <w:pStyle w:val="Caption"/>
      </w:pPr>
      <w:bookmarkStart w:id="154" w:name="_Toc499547489"/>
      <w:bookmarkStart w:id="155" w:name="_Toc508972168"/>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19</w:t>
      </w:r>
      <w:r w:rsidR="008079F1">
        <w:rPr>
          <w:noProof/>
        </w:rPr>
        <w:fldChar w:fldCharType="end"/>
      </w:r>
      <w:r>
        <w:t>: Summary of groundwater bores and water use in and above the Clarence-Moreton Basin.</w:t>
      </w:r>
      <w:bookmarkEnd w:id="154"/>
      <w:bookmarkEnd w:id="155"/>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254F87" w14:paraId="7FB263AE"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1C1228C2" w14:textId="77777777" w:rsidR="00254F87" w:rsidRDefault="00254F87">
            <w:pPr>
              <w:pStyle w:val="TableTextLeft"/>
            </w:pPr>
            <w:r>
              <w:t>GROUNDWATER BORES AND WATER USE</w:t>
            </w:r>
          </w:p>
        </w:tc>
      </w:tr>
      <w:tr w:rsidR="00254F87" w14:paraId="0E1E3C3F"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79A6F5CE" w14:textId="77777777" w:rsidR="00254F87" w:rsidRDefault="00254F87">
            <w:pPr>
              <w:pStyle w:val="TableTextLeft"/>
              <w:rPr>
                <w:szCs w:val="18"/>
              </w:rPr>
            </w:pPr>
            <w:r>
              <w:rPr>
                <w:szCs w:val="18"/>
              </w:rPr>
              <w:t>Number of bores (Density of Registered Bores - bores/km</w:t>
            </w:r>
            <w:r>
              <w:rPr>
                <w:szCs w:val="18"/>
                <w:vertAlign w:val="superscript"/>
              </w:rPr>
              <w:t>2</w:t>
            </w:r>
            <w:r>
              <w:rPr>
                <w:szCs w:val="18"/>
              </w:rPr>
              <w:t>)</w:t>
            </w:r>
          </w:p>
        </w:tc>
        <w:tc>
          <w:tcPr>
            <w:tcW w:w="2421" w:type="pct"/>
            <w:hideMark/>
          </w:tcPr>
          <w:p w14:paraId="1530D9BF"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36,480 (0.95)</w:t>
            </w:r>
          </w:p>
        </w:tc>
      </w:tr>
      <w:tr w:rsidR="00254F87" w14:paraId="0D0F8AFF"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38F9F7C8" w14:textId="77777777" w:rsidR="00254F87" w:rsidRDefault="00254F87">
            <w:pPr>
              <w:pStyle w:val="TableTextLeft"/>
              <w:rPr>
                <w:szCs w:val="18"/>
              </w:rPr>
            </w:pPr>
            <w:r>
              <w:rPr>
                <w:szCs w:val="18"/>
              </w:rPr>
              <w:t>Purposes of registered bores</w:t>
            </w:r>
          </w:p>
          <w:p w14:paraId="68A384A7" w14:textId="77777777" w:rsidR="00254F87" w:rsidRDefault="00254F87">
            <w:pPr>
              <w:pStyle w:val="TableTextLeft"/>
              <w:rPr>
                <w:szCs w:val="18"/>
              </w:rPr>
            </w:pPr>
            <w:r>
              <w:rPr>
                <w:szCs w:val="18"/>
              </w:rPr>
              <w:t>(Top 5, number)</w:t>
            </w:r>
          </w:p>
        </w:tc>
        <w:tc>
          <w:tcPr>
            <w:tcW w:w="2421" w:type="pct"/>
            <w:hideMark/>
          </w:tcPr>
          <w:tbl>
            <w:tblPr>
              <w:tblW w:w="4200" w:type="dxa"/>
              <w:tblLook w:val="04A0" w:firstRow="1" w:lastRow="0" w:firstColumn="1" w:lastColumn="0" w:noHBand="0" w:noVBand="1"/>
            </w:tblPr>
            <w:tblGrid>
              <w:gridCol w:w="2639"/>
              <w:gridCol w:w="1561"/>
            </w:tblGrid>
            <w:tr w:rsidR="00254F87" w14:paraId="366A3F28" w14:textId="77777777" w:rsidTr="00A409C0">
              <w:trPr>
                <w:trHeight w:val="300"/>
              </w:trPr>
              <w:tc>
                <w:tcPr>
                  <w:tcW w:w="2636" w:type="dxa"/>
                  <w:noWrap/>
                  <w:vAlign w:val="bottom"/>
                  <w:hideMark/>
                </w:tcPr>
                <w:p w14:paraId="6424E211" w14:textId="77777777" w:rsidR="00254F87" w:rsidRDefault="00254F87">
                  <w:pPr>
                    <w:pStyle w:val="TableTextLeft"/>
                    <w:rPr>
                      <w:szCs w:val="18"/>
                    </w:rPr>
                  </w:pPr>
                  <w:r>
                    <w:rPr>
                      <w:szCs w:val="18"/>
                    </w:rPr>
                    <w:t>Unknown</w:t>
                  </w:r>
                </w:p>
              </w:tc>
              <w:tc>
                <w:tcPr>
                  <w:tcW w:w="1560" w:type="dxa"/>
                  <w:noWrap/>
                  <w:vAlign w:val="bottom"/>
                  <w:hideMark/>
                </w:tcPr>
                <w:p w14:paraId="7601997D" w14:textId="77777777" w:rsidR="00254F87" w:rsidRDefault="00254F87" w:rsidP="000350BE">
                  <w:pPr>
                    <w:pStyle w:val="TableTextRight0"/>
                  </w:pPr>
                  <w:r>
                    <w:t>26,506</w:t>
                  </w:r>
                </w:p>
              </w:tc>
            </w:tr>
            <w:tr w:rsidR="00254F87" w14:paraId="422D776C" w14:textId="77777777" w:rsidTr="00A409C0">
              <w:trPr>
                <w:trHeight w:val="300"/>
              </w:trPr>
              <w:tc>
                <w:tcPr>
                  <w:tcW w:w="2636" w:type="dxa"/>
                  <w:noWrap/>
                  <w:vAlign w:val="bottom"/>
                  <w:hideMark/>
                </w:tcPr>
                <w:p w14:paraId="2505A6D8" w14:textId="77777777" w:rsidR="00254F87" w:rsidRDefault="00254F87">
                  <w:pPr>
                    <w:pStyle w:val="TableTextLeft"/>
                    <w:rPr>
                      <w:szCs w:val="18"/>
                    </w:rPr>
                  </w:pPr>
                  <w:r>
                    <w:rPr>
                      <w:szCs w:val="18"/>
                    </w:rPr>
                    <w:t>Irrigated Agriculture</w:t>
                  </w:r>
                </w:p>
              </w:tc>
              <w:tc>
                <w:tcPr>
                  <w:tcW w:w="1560" w:type="dxa"/>
                  <w:noWrap/>
                  <w:vAlign w:val="bottom"/>
                  <w:hideMark/>
                </w:tcPr>
                <w:p w14:paraId="64DE609E" w14:textId="77777777" w:rsidR="00254F87" w:rsidRDefault="00254F87" w:rsidP="000350BE">
                  <w:pPr>
                    <w:pStyle w:val="TableTextRight0"/>
                  </w:pPr>
                  <w:r>
                    <w:t>4,889</w:t>
                  </w:r>
                </w:p>
              </w:tc>
            </w:tr>
            <w:tr w:rsidR="00254F87" w14:paraId="55629397" w14:textId="77777777" w:rsidTr="00A409C0">
              <w:trPr>
                <w:trHeight w:val="300"/>
              </w:trPr>
              <w:tc>
                <w:tcPr>
                  <w:tcW w:w="2636" w:type="dxa"/>
                  <w:noWrap/>
                  <w:vAlign w:val="bottom"/>
                  <w:hideMark/>
                </w:tcPr>
                <w:p w14:paraId="654B44E5" w14:textId="77777777" w:rsidR="00254F87" w:rsidRDefault="00254F87">
                  <w:pPr>
                    <w:pStyle w:val="TableTextLeft"/>
                    <w:rPr>
                      <w:szCs w:val="18"/>
                    </w:rPr>
                  </w:pPr>
                  <w:r>
                    <w:rPr>
                      <w:szCs w:val="18"/>
                    </w:rPr>
                    <w:t>Household</w:t>
                  </w:r>
                </w:p>
              </w:tc>
              <w:tc>
                <w:tcPr>
                  <w:tcW w:w="1560" w:type="dxa"/>
                  <w:noWrap/>
                  <w:vAlign w:val="bottom"/>
                  <w:hideMark/>
                </w:tcPr>
                <w:p w14:paraId="139EFD28" w14:textId="77777777" w:rsidR="00254F87" w:rsidRDefault="00254F87" w:rsidP="000350BE">
                  <w:pPr>
                    <w:pStyle w:val="TableTextRight0"/>
                  </w:pPr>
                  <w:r>
                    <w:t>2,635</w:t>
                  </w:r>
                </w:p>
              </w:tc>
            </w:tr>
            <w:tr w:rsidR="00254F87" w14:paraId="1E56CE91" w14:textId="77777777" w:rsidTr="00A409C0">
              <w:trPr>
                <w:trHeight w:val="300"/>
              </w:trPr>
              <w:tc>
                <w:tcPr>
                  <w:tcW w:w="2636" w:type="dxa"/>
                  <w:noWrap/>
                  <w:vAlign w:val="bottom"/>
                  <w:hideMark/>
                </w:tcPr>
                <w:p w14:paraId="41C4DA34" w14:textId="77777777" w:rsidR="00254F87" w:rsidRDefault="00254F87">
                  <w:pPr>
                    <w:pStyle w:val="TableTextLeft"/>
                    <w:rPr>
                      <w:szCs w:val="18"/>
                    </w:rPr>
                  </w:pPr>
                  <w:r>
                    <w:rPr>
                      <w:szCs w:val="18"/>
                    </w:rPr>
                    <w:t>Stock</w:t>
                  </w:r>
                </w:p>
              </w:tc>
              <w:tc>
                <w:tcPr>
                  <w:tcW w:w="1560" w:type="dxa"/>
                  <w:noWrap/>
                  <w:vAlign w:val="bottom"/>
                  <w:hideMark/>
                </w:tcPr>
                <w:p w14:paraId="37F3C845" w14:textId="77777777" w:rsidR="00254F87" w:rsidRDefault="00254F87" w:rsidP="000350BE">
                  <w:pPr>
                    <w:pStyle w:val="TableTextRight0"/>
                  </w:pPr>
                  <w:r>
                    <w:t>1,888</w:t>
                  </w:r>
                </w:p>
              </w:tc>
            </w:tr>
            <w:tr w:rsidR="00254F87" w14:paraId="27697C27" w14:textId="77777777" w:rsidTr="00A409C0">
              <w:trPr>
                <w:trHeight w:val="300"/>
              </w:trPr>
              <w:tc>
                <w:tcPr>
                  <w:tcW w:w="2636" w:type="dxa"/>
                  <w:noWrap/>
                  <w:vAlign w:val="bottom"/>
                  <w:hideMark/>
                </w:tcPr>
                <w:p w14:paraId="033F5FCE" w14:textId="77777777" w:rsidR="00254F87" w:rsidRDefault="00254F87">
                  <w:pPr>
                    <w:pStyle w:val="TableTextLeft"/>
                    <w:rPr>
                      <w:szCs w:val="18"/>
                    </w:rPr>
                  </w:pPr>
                  <w:r>
                    <w:rPr>
                      <w:szCs w:val="18"/>
                    </w:rPr>
                    <w:t>Community water supply</w:t>
                  </w:r>
                </w:p>
              </w:tc>
              <w:tc>
                <w:tcPr>
                  <w:tcW w:w="1560" w:type="dxa"/>
                  <w:noWrap/>
                  <w:vAlign w:val="bottom"/>
                  <w:hideMark/>
                </w:tcPr>
                <w:p w14:paraId="314B0E1F" w14:textId="77777777" w:rsidR="00254F87" w:rsidRDefault="00254F87" w:rsidP="000350BE">
                  <w:pPr>
                    <w:pStyle w:val="TableTextRight0"/>
                  </w:pPr>
                  <w:r>
                    <w:t>443</w:t>
                  </w:r>
                </w:p>
              </w:tc>
            </w:tr>
          </w:tbl>
          <w:p w14:paraId="14CCBA30"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254F87" w14:paraId="581AEE90"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8541E06" w14:textId="77777777" w:rsidR="00254F87" w:rsidRDefault="00254F87">
            <w:pPr>
              <w:pStyle w:val="TableTextLeft"/>
              <w:rPr>
                <w:szCs w:val="18"/>
              </w:rPr>
            </w:pPr>
            <w:r>
              <w:rPr>
                <w:szCs w:val="18"/>
              </w:rPr>
              <w:t>Depth (m) of registered bores below ground level (10th and 90th Percentile and median)</w:t>
            </w:r>
          </w:p>
        </w:tc>
        <w:tc>
          <w:tcPr>
            <w:tcW w:w="2421" w:type="pct"/>
            <w:hideMark/>
          </w:tcPr>
          <w:p w14:paraId="3E10874C" w14:textId="6F6866B1"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10</w:t>
            </w:r>
            <w:r>
              <w:rPr>
                <w:rStyle w:val="Superscript"/>
                <w:szCs w:val="18"/>
              </w:rPr>
              <w:t>th</w:t>
            </w:r>
            <w:r>
              <w:rPr>
                <w:szCs w:val="18"/>
              </w:rPr>
              <w:t xml:space="preserve"> Percentile</w:t>
            </w:r>
            <w:r w:rsidRPr="004059C5">
              <w:rPr>
                <w:szCs w:val="18"/>
              </w:rPr>
              <w:t xml:space="preserve">: </w:t>
            </w:r>
            <w:r w:rsidRPr="004059C5">
              <w:rPr>
                <w:szCs w:val="18"/>
              </w:rPr>
              <w:tab/>
            </w:r>
            <w:r>
              <w:rPr>
                <w:szCs w:val="18"/>
              </w:rPr>
              <w:t xml:space="preserve"> 4.9</w:t>
            </w:r>
          </w:p>
          <w:p w14:paraId="1B235484" w14:textId="1338916F"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Median</w:t>
            </w:r>
            <w:r w:rsidRPr="004059C5">
              <w:rPr>
                <w:szCs w:val="18"/>
              </w:rPr>
              <w:t xml:space="preserve">:  </w:t>
            </w:r>
            <w:r w:rsidRPr="004059C5">
              <w:rPr>
                <w:szCs w:val="18"/>
              </w:rPr>
              <w:tab/>
            </w:r>
            <w:r>
              <w:rPr>
                <w:szCs w:val="18"/>
              </w:rPr>
              <w:t>33</w:t>
            </w:r>
          </w:p>
          <w:p w14:paraId="356E00A1" w14:textId="7C300FD6"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90</w:t>
            </w:r>
            <w:r>
              <w:rPr>
                <w:rStyle w:val="Superscript"/>
                <w:szCs w:val="18"/>
              </w:rPr>
              <w:t>th</w:t>
            </w:r>
            <w:r>
              <w:rPr>
                <w:szCs w:val="18"/>
              </w:rPr>
              <w:t xml:space="preserve"> Percentile</w:t>
            </w:r>
            <w:r w:rsidRPr="004059C5">
              <w:rPr>
                <w:szCs w:val="18"/>
              </w:rPr>
              <w:t xml:space="preserve">: </w:t>
            </w:r>
            <w:r w:rsidRPr="004059C5">
              <w:rPr>
                <w:szCs w:val="18"/>
              </w:rPr>
              <w:tab/>
            </w:r>
            <w:r>
              <w:rPr>
                <w:szCs w:val="18"/>
              </w:rPr>
              <w:t>80</w:t>
            </w:r>
          </w:p>
        </w:tc>
      </w:tr>
    </w:tbl>
    <w:p w14:paraId="35502BFE" w14:textId="77777777" w:rsidR="00254F87" w:rsidRDefault="00254F87" w:rsidP="00D15FEC">
      <w:pPr>
        <w:pStyle w:val="AppendixHeading3"/>
      </w:pPr>
      <w:bookmarkStart w:id="156" w:name="_Toc517161146"/>
      <w:r>
        <w:t>Surface water hydrology and water quality</w:t>
      </w:r>
      <w:bookmarkEnd w:id="156"/>
    </w:p>
    <w:p w14:paraId="5FB48F68" w14:textId="77777777" w:rsidR="00254F87" w:rsidRDefault="00254F87" w:rsidP="00D15FEC">
      <w:pPr>
        <w:pStyle w:val="AppendixHeading4"/>
      </w:pPr>
      <w:r>
        <w:t>Surface Water Systems</w:t>
      </w:r>
    </w:p>
    <w:p w14:paraId="2CEE6458" w14:textId="77487379" w:rsidR="00254F87" w:rsidRPr="00C9623F" w:rsidRDefault="00254F87" w:rsidP="00C9623F">
      <w:pPr>
        <w:pStyle w:val="BodyText"/>
      </w:pPr>
      <w:r w:rsidRPr="00C9623F">
        <w:t>According to the Bureau of Meteorology’s Geofabric, the Clarence-Moreton Basin is covered by parts of three drainage divisions: the North East Coast, the South East Coast and easternmost portion of the Murray-Darling Basin (B</w:t>
      </w:r>
      <w:r>
        <w:t>o</w:t>
      </w:r>
      <w:r w:rsidRPr="00C9623F">
        <w:t>M, 2014). A summary of the river regions within each</w:t>
      </w:r>
      <w:r>
        <w:t xml:space="preserve"> division is included in Table C.20 and presented in Figure B</w:t>
      </w:r>
      <w:r w:rsidR="00C04254">
        <w:t>.13.</w:t>
      </w:r>
    </w:p>
    <w:p w14:paraId="508C5C75" w14:textId="6E22F4E2" w:rsidR="00254F87" w:rsidRPr="00B92BE0" w:rsidRDefault="00254F87" w:rsidP="00B92BE0">
      <w:pPr>
        <w:pStyle w:val="Caption"/>
      </w:pPr>
      <w:bookmarkStart w:id="157" w:name="_Toc499547490"/>
      <w:bookmarkStart w:id="158" w:name="_Toc508972169"/>
      <w:r w:rsidRPr="00B92BE0">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92BE0">
        <w:t>.</w:t>
      </w:r>
      <w:r w:rsidR="008079F1">
        <w:fldChar w:fldCharType="begin"/>
      </w:r>
      <w:r w:rsidR="008079F1">
        <w:instrText xml:space="preserve"> SEQ Apx_Table \* ARABIC \s 9 </w:instrText>
      </w:r>
      <w:r w:rsidR="008079F1">
        <w:fldChar w:fldCharType="separate"/>
      </w:r>
      <w:r w:rsidR="00640CCB">
        <w:rPr>
          <w:noProof/>
        </w:rPr>
        <w:t>20</w:t>
      </w:r>
      <w:r w:rsidR="008079F1">
        <w:rPr>
          <w:noProof/>
        </w:rPr>
        <w:fldChar w:fldCharType="end"/>
      </w:r>
      <w:r w:rsidRPr="00B92BE0">
        <w:t xml:space="preserve"> River regions overlying the Clarence-Moreton Basin, grouped by drainage division, as classified in the Bureau of Meteorology’s Geofabric (B</w:t>
      </w:r>
      <w:r>
        <w:t>o</w:t>
      </w:r>
      <w:r w:rsidRPr="00B92BE0">
        <w:t>M</w:t>
      </w:r>
      <w:r>
        <w:t>,</w:t>
      </w:r>
      <w:r w:rsidRPr="00B92BE0">
        <w:t xml:space="preserve"> 2014)</w:t>
      </w:r>
      <w:bookmarkEnd w:id="157"/>
      <w:bookmarkEnd w:id="158"/>
    </w:p>
    <w:tbl>
      <w:tblPr>
        <w:tblStyle w:val="TableBAHeaderRow"/>
        <w:tblW w:w="5000" w:type="pct"/>
        <w:tblInd w:w="0" w:type="dxa"/>
        <w:tblLook w:val="04A0" w:firstRow="1" w:lastRow="0" w:firstColumn="1" w:lastColumn="0" w:noHBand="0" w:noVBand="1"/>
      </w:tblPr>
      <w:tblGrid>
        <w:gridCol w:w="3145"/>
        <w:gridCol w:w="3246"/>
        <w:gridCol w:w="3248"/>
      </w:tblGrid>
      <w:tr w:rsidR="00254F87" w14:paraId="6EBC090D" w14:textId="77777777" w:rsidTr="00DC345C">
        <w:trPr>
          <w:cnfStyle w:val="100000000000" w:firstRow="1" w:lastRow="0" w:firstColumn="0" w:lastColumn="0" w:oddVBand="0" w:evenVBand="0" w:oddHBand="0" w:evenHBand="0" w:firstRowFirstColumn="0" w:firstRowLastColumn="0" w:lastRowFirstColumn="0" w:lastRowLastColumn="0"/>
        </w:trPr>
        <w:tc>
          <w:tcPr>
            <w:tcW w:w="1631" w:type="pct"/>
            <w:hideMark/>
          </w:tcPr>
          <w:p w14:paraId="33C3E233" w14:textId="77777777" w:rsidR="00254F87" w:rsidRDefault="00254F87">
            <w:pPr>
              <w:pStyle w:val="TableTextLeft"/>
            </w:pPr>
            <w:r>
              <w:t>North East Coast</w:t>
            </w:r>
          </w:p>
        </w:tc>
        <w:tc>
          <w:tcPr>
            <w:tcW w:w="1684" w:type="pct"/>
            <w:hideMark/>
          </w:tcPr>
          <w:p w14:paraId="7CC9955E" w14:textId="77777777" w:rsidR="00254F87" w:rsidRDefault="00254F87">
            <w:pPr>
              <w:pStyle w:val="TableTextLeft"/>
            </w:pPr>
            <w:r>
              <w:t>South East Coast</w:t>
            </w:r>
          </w:p>
        </w:tc>
        <w:tc>
          <w:tcPr>
            <w:tcW w:w="1685" w:type="pct"/>
            <w:hideMark/>
          </w:tcPr>
          <w:p w14:paraId="5C7424FE" w14:textId="77777777" w:rsidR="00254F87" w:rsidRDefault="00254F87">
            <w:pPr>
              <w:pStyle w:val="TableTextLeft"/>
            </w:pPr>
            <w:r>
              <w:t>Murray-Darling Basin</w:t>
            </w:r>
          </w:p>
        </w:tc>
      </w:tr>
      <w:tr w:rsidR="00254F87" w14:paraId="7CE7433E" w14:textId="77777777" w:rsidTr="00DC345C">
        <w:trPr>
          <w:cnfStyle w:val="000000100000" w:firstRow="0" w:lastRow="0" w:firstColumn="0" w:lastColumn="0" w:oddVBand="0" w:evenVBand="0" w:oddHBand="1" w:evenHBand="0" w:firstRowFirstColumn="0" w:firstRowLastColumn="0" w:lastRowFirstColumn="0" w:lastRowLastColumn="0"/>
        </w:trPr>
        <w:tc>
          <w:tcPr>
            <w:tcW w:w="1631" w:type="pct"/>
            <w:hideMark/>
          </w:tcPr>
          <w:p w14:paraId="3EB41D53" w14:textId="77777777" w:rsidR="00254F87" w:rsidRDefault="00254F87">
            <w:pPr>
              <w:pStyle w:val="TableTextLeft"/>
            </w:pPr>
            <w:r>
              <w:t>Brisbane River</w:t>
            </w:r>
          </w:p>
        </w:tc>
        <w:tc>
          <w:tcPr>
            <w:tcW w:w="1684" w:type="pct"/>
            <w:hideMark/>
          </w:tcPr>
          <w:p w14:paraId="1ED5DEAF" w14:textId="77777777" w:rsidR="00254F87" w:rsidRDefault="00254F87">
            <w:pPr>
              <w:pStyle w:val="TableTextLeft"/>
            </w:pPr>
            <w:r>
              <w:t>Bellinger River*</w:t>
            </w:r>
          </w:p>
        </w:tc>
        <w:tc>
          <w:tcPr>
            <w:tcW w:w="1685" w:type="pct"/>
            <w:hideMark/>
          </w:tcPr>
          <w:p w14:paraId="0DCC97C6" w14:textId="77777777" w:rsidR="00254F87" w:rsidRDefault="00254F87">
            <w:pPr>
              <w:pStyle w:val="TableTextLeft"/>
            </w:pPr>
            <w:r>
              <w:t>Condamine-Culgoa rivers*</w:t>
            </w:r>
          </w:p>
        </w:tc>
      </w:tr>
      <w:tr w:rsidR="00254F87" w14:paraId="70BE1B25" w14:textId="77777777" w:rsidTr="00DC345C">
        <w:trPr>
          <w:cnfStyle w:val="000000010000" w:firstRow="0" w:lastRow="0" w:firstColumn="0" w:lastColumn="0" w:oddVBand="0" w:evenVBand="0" w:oddHBand="0" w:evenHBand="1" w:firstRowFirstColumn="0" w:firstRowLastColumn="0" w:lastRowFirstColumn="0" w:lastRowLastColumn="0"/>
        </w:trPr>
        <w:tc>
          <w:tcPr>
            <w:tcW w:w="1631" w:type="pct"/>
            <w:hideMark/>
          </w:tcPr>
          <w:p w14:paraId="4F0BAA31" w14:textId="77777777" w:rsidR="00254F87" w:rsidRDefault="00254F87">
            <w:pPr>
              <w:pStyle w:val="TableTextLeft"/>
            </w:pPr>
            <w:r>
              <w:t>Burnett River*</w:t>
            </w:r>
          </w:p>
        </w:tc>
        <w:tc>
          <w:tcPr>
            <w:tcW w:w="1684" w:type="pct"/>
            <w:hideMark/>
          </w:tcPr>
          <w:p w14:paraId="0D8CFFA2" w14:textId="77777777" w:rsidR="00254F87" w:rsidRDefault="00254F87">
            <w:pPr>
              <w:pStyle w:val="TableTextLeft"/>
            </w:pPr>
            <w:r>
              <w:t>Brunswick River*</w:t>
            </w:r>
          </w:p>
        </w:tc>
        <w:tc>
          <w:tcPr>
            <w:tcW w:w="1685" w:type="pct"/>
          </w:tcPr>
          <w:p w14:paraId="7537978E" w14:textId="77777777" w:rsidR="00254F87" w:rsidRDefault="00254F87">
            <w:pPr>
              <w:pStyle w:val="TableTextLeft"/>
            </w:pPr>
          </w:p>
        </w:tc>
      </w:tr>
      <w:tr w:rsidR="00254F87" w14:paraId="274AE612" w14:textId="77777777" w:rsidTr="00DC345C">
        <w:trPr>
          <w:cnfStyle w:val="000000100000" w:firstRow="0" w:lastRow="0" w:firstColumn="0" w:lastColumn="0" w:oddVBand="0" w:evenVBand="0" w:oddHBand="1" w:evenHBand="0" w:firstRowFirstColumn="0" w:firstRowLastColumn="0" w:lastRowFirstColumn="0" w:lastRowLastColumn="0"/>
        </w:trPr>
        <w:tc>
          <w:tcPr>
            <w:tcW w:w="1631" w:type="pct"/>
            <w:hideMark/>
          </w:tcPr>
          <w:p w14:paraId="48243E52" w14:textId="77777777" w:rsidR="00254F87" w:rsidRDefault="00254F87">
            <w:pPr>
              <w:pStyle w:val="TableTextLeft"/>
            </w:pPr>
            <w:r>
              <w:t>Logan-Albert rivers</w:t>
            </w:r>
          </w:p>
        </w:tc>
        <w:tc>
          <w:tcPr>
            <w:tcW w:w="1684" w:type="pct"/>
            <w:hideMark/>
          </w:tcPr>
          <w:p w14:paraId="3177AE93" w14:textId="77777777" w:rsidR="00254F87" w:rsidRDefault="00254F87">
            <w:pPr>
              <w:pStyle w:val="TableTextLeft"/>
            </w:pPr>
            <w:r>
              <w:t>Clarence River</w:t>
            </w:r>
          </w:p>
        </w:tc>
        <w:tc>
          <w:tcPr>
            <w:tcW w:w="1685" w:type="pct"/>
          </w:tcPr>
          <w:p w14:paraId="57710EA0" w14:textId="77777777" w:rsidR="00254F87" w:rsidRDefault="00254F87">
            <w:pPr>
              <w:pStyle w:val="TableTextLeft"/>
            </w:pPr>
          </w:p>
        </w:tc>
      </w:tr>
      <w:tr w:rsidR="00254F87" w14:paraId="6256D31B" w14:textId="77777777" w:rsidTr="00DC345C">
        <w:trPr>
          <w:cnfStyle w:val="000000010000" w:firstRow="0" w:lastRow="0" w:firstColumn="0" w:lastColumn="0" w:oddVBand="0" w:evenVBand="0" w:oddHBand="0" w:evenHBand="1" w:firstRowFirstColumn="0" w:firstRowLastColumn="0" w:lastRowFirstColumn="0" w:lastRowLastColumn="0"/>
        </w:trPr>
        <w:tc>
          <w:tcPr>
            <w:tcW w:w="1631" w:type="pct"/>
            <w:hideMark/>
          </w:tcPr>
          <w:p w14:paraId="7F690120" w14:textId="77777777" w:rsidR="00254F87" w:rsidRDefault="00254F87">
            <w:pPr>
              <w:pStyle w:val="TableTextLeft"/>
            </w:pPr>
            <w:r>
              <w:t>South Coast*</w:t>
            </w:r>
          </w:p>
        </w:tc>
        <w:tc>
          <w:tcPr>
            <w:tcW w:w="1684" w:type="pct"/>
            <w:hideMark/>
          </w:tcPr>
          <w:p w14:paraId="7A5D187D" w14:textId="77777777" w:rsidR="00254F87" w:rsidRDefault="00254F87">
            <w:pPr>
              <w:pStyle w:val="TableTextLeft"/>
            </w:pPr>
            <w:r>
              <w:t>Richmond River</w:t>
            </w:r>
          </w:p>
        </w:tc>
        <w:tc>
          <w:tcPr>
            <w:tcW w:w="1685" w:type="pct"/>
          </w:tcPr>
          <w:p w14:paraId="60817AF4" w14:textId="77777777" w:rsidR="00254F87" w:rsidRDefault="00254F87">
            <w:pPr>
              <w:pStyle w:val="TableTextLeft"/>
            </w:pPr>
          </w:p>
        </w:tc>
      </w:tr>
      <w:tr w:rsidR="00254F87" w14:paraId="7597BD8D" w14:textId="77777777" w:rsidTr="00DC345C">
        <w:trPr>
          <w:cnfStyle w:val="000000100000" w:firstRow="0" w:lastRow="0" w:firstColumn="0" w:lastColumn="0" w:oddVBand="0" w:evenVBand="0" w:oddHBand="1" w:evenHBand="0" w:firstRowFirstColumn="0" w:firstRowLastColumn="0" w:lastRowFirstColumn="0" w:lastRowLastColumn="0"/>
        </w:trPr>
        <w:tc>
          <w:tcPr>
            <w:tcW w:w="1631" w:type="pct"/>
          </w:tcPr>
          <w:p w14:paraId="37EDA54D" w14:textId="77777777" w:rsidR="00254F87" w:rsidRDefault="00254F87">
            <w:pPr>
              <w:pStyle w:val="TableTextLeft"/>
            </w:pPr>
          </w:p>
        </w:tc>
        <w:tc>
          <w:tcPr>
            <w:tcW w:w="1684" w:type="pct"/>
            <w:hideMark/>
          </w:tcPr>
          <w:p w14:paraId="32EB436E" w14:textId="77777777" w:rsidR="00254F87" w:rsidRDefault="00254F87">
            <w:pPr>
              <w:pStyle w:val="TableTextLeft"/>
            </w:pPr>
            <w:r>
              <w:t>Tweed River</w:t>
            </w:r>
          </w:p>
        </w:tc>
        <w:tc>
          <w:tcPr>
            <w:tcW w:w="1685" w:type="pct"/>
          </w:tcPr>
          <w:p w14:paraId="06869F3E" w14:textId="77777777" w:rsidR="00254F87" w:rsidRDefault="00254F87">
            <w:pPr>
              <w:pStyle w:val="TableTextLeft"/>
            </w:pPr>
          </w:p>
        </w:tc>
      </w:tr>
    </w:tbl>
    <w:p w14:paraId="594FB49F" w14:textId="77777777" w:rsidR="00254F87" w:rsidRPr="005450A3" w:rsidRDefault="00254F87" w:rsidP="005450A3">
      <w:pPr>
        <w:pStyle w:val="TableSource"/>
      </w:pPr>
      <w:r w:rsidRPr="005450A3">
        <w:t>* River regions with the majority of area outside the boundary of the Clarence-Moreton Basin</w:t>
      </w:r>
    </w:p>
    <w:p w14:paraId="61D10EE7" w14:textId="77777777" w:rsidR="00254F87" w:rsidRDefault="00254F87" w:rsidP="00C9623F">
      <w:pPr>
        <w:pStyle w:val="BodyText"/>
      </w:pPr>
      <w:r>
        <w:t xml:space="preserve">Many of the river regions within the basin are subject to extreme rainfall events, commonly associated with cyclonic activity. Consequently, a number of rivers in the basin are susceptible to periodic flooding. </w:t>
      </w:r>
    </w:p>
    <w:p w14:paraId="2C359746" w14:textId="77777777" w:rsidR="00254F87" w:rsidRDefault="00254F87" w:rsidP="00C9623F">
      <w:pPr>
        <w:pStyle w:val="BodyText"/>
      </w:pPr>
      <w:r>
        <w:lastRenderedPageBreak/>
        <w:t>River regions in which significant licensed water harvesting by instream interception for irrigation include: Condamine-Culgoa rivers, Richmond River, Logan-Albert rivers and the Brisbane River.</w:t>
      </w:r>
    </w:p>
    <w:p w14:paraId="1EF92CBA" w14:textId="77777777" w:rsidR="00254F87" w:rsidRDefault="00254F87" w:rsidP="00D15FEC">
      <w:pPr>
        <w:pStyle w:val="AppendixHeading4"/>
      </w:pPr>
      <w:r>
        <w:t>Surface Water Quality</w:t>
      </w:r>
    </w:p>
    <w:p w14:paraId="58359C4F" w14:textId="47685903" w:rsidR="00254F87" w:rsidRPr="00C9623F" w:rsidRDefault="00254F87" w:rsidP="00C9623F">
      <w:pPr>
        <w:pStyle w:val="BodyText"/>
      </w:pPr>
      <w:r w:rsidRPr="00C9623F">
        <w:t xml:space="preserve">Summary water quality information </w:t>
      </w:r>
      <w:r>
        <w:t xml:space="preserve">including </w:t>
      </w:r>
      <w:r w:rsidRPr="00C9623F">
        <w:t>sediment</w:t>
      </w:r>
      <w:r>
        <w:t xml:space="preserve"> loading</w:t>
      </w:r>
      <w:r w:rsidRPr="00C9623F">
        <w:t xml:space="preserve">, nutrient and phosphorus export for river regions are </w:t>
      </w:r>
      <w:r>
        <w:t>presented</w:t>
      </w:r>
      <w:r w:rsidRPr="00C9623F">
        <w:t xml:space="preserve"> in Rassam et al. (2014). Electrical conductivity (salinity) measurements are monitored at a number gauging station throughout the region. However, there is no comprehensive monitoring program that covers all key rivers and tributaries (Rassam et al., 2014). A limited amount of salinity information for each river region is available in Rassam et al. (2014) and is reported below:</w:t>
      </w:r>
    </w:p>
    <w:p w14:paraId="1BBA5A25" w14:textId="77777777" w:rsidR="00254F87" w:rsidRDefault="00254F87" w:rsidP="00C9623F">
      <w:pPr>
        <w:pStyle w:val="ListBullet"/>
        <w:rPr>
          <w:rFonts w:eastAsia="Times"/>
        </w:rPr>
      </w:pPr>
      <w:r>
        <w:rPr>
          <w:rFonts w:eastAsia="Times"/>
        </w:rPr>
        <w:t>Brisbane River—mean salinity in Laidley, Lockyer and Tenthill Creeks between 1995 and 2003 was 470, 1,700 and 1,378 μS/cm.</w:t>
      </w:r>
    </w:p>
    <w:p w14:paraId="25A1DABA" w14:textId="77777777" w:rsidR="00254F87" w:rsidRDefault="00254F87" w:rsidP="00C9623F">
      <w:pPr>
        <w:pStyle w:val="ListBullet"/>
        <w:rPr>
          <w:rFonts w:eastAsia="Times"/>
        </w:rPr>
      </w:pPr>
      <w:r>
        <w:rPr>
          <w:rFonts w:eastAsia="Times"/>
        </w:rPr>
        <w:t>Tweed River—median salinity, as inferred from electrical conductivity, was very low (0–200 μS/cm) and that values remained below 400 μS/cm for 80% of the time.</w:t>
      </w:r>
    </w:p>
    <w:p w14:paraId="4D50D3CE" w14:textId="77777777" w:rsidR="00254F87" w:rsidRDefault="00254F87" w:rsidP="00C9623F">
      <w:pPr>
        <w:pStyle w:val="ListBullet"/>
        <w:rPr>
          <w:rFonts w:eastAsia="Times"/>
        </w:rPr>
      </w:pPr>
      <w:r>
        <w:rPr>
          <w:rFonts w:eastAsia="Times"/>
        </w:rPr>
        <w:t xml:space="preserve">Brunswick River—low salinity (electrical conductivity of 0–200 μS/cm). </w:t>
      </w:r>
    </w:p>
    <w:p w14:paraId="30DA758E" w14:textId="16CE3CDE" w:rsidR="00254F87" w:rsidRDefault="00254F87" w:rsidP="00C9623F">
      <w:pPr>
        <w:pStyle w:val="ListBullet"/>
        <w:rPr>
          <w:rFonts w:eastAsia="Times"/>
        </w:rPr>
      </w:pPr>
      <w:r>
        <w:rPr>
          <w:rFonts w:eastAsia="Times"/>
        </w:rPr>
        <w:t>Richmond River—at most of the locations, median electrical conductivity values were less than 400 μS/cm. Some steams have median electrical conductivity of between 400 and 800 μS/cm.</w:t>
      </w:r>
    </w:p>
    <w:p w14:paraId="47DC9BC2" w14:textId="77777777" w:rsidR="00254F87" w:rsidRDefault="00254F87" w:rsidP="00C9623F">
      <w:pPr>
        <w:pStyle w:val="ListBullet"/>
        <w:rPr>
          <w:rFonts w:eastAsia="Times"/>
        </w:rPr>
      </w:pPr>
      <w:r>
        <w:rPr>
          <w:rFonts w:eastAsia="Times"/>
        </w:rPr>
        <w:t>Clarence River—median salinity values in much of the upper parts of the river basin were less than 200 μS/cm.</w:t>
      </w:r>
    </w:p>
    <w:p w14:paraId="75502CC7" w14:textId="77777777" w:rsidR="00254F87" w:rsidRDefault="00254F87" w:rsidP="00D15FEC">
      <w:pPr>
        <w:pStyle w:val="AppendixHeading4"/>
      </w:pPr>
      <w:r>
        <w:t>Surface Water Flow</w:t>
      </w:r>
    </w:p>
    <w:p w14:paraId="1FD2BD30" w14:textId="77777777" w:rsidR="00254F87" w:rsidRDefault="00254F87" w:rsidP="00C9623F">
      <w:pPr>
        <w:pStyle w:val="BodyText"/>
      </w:pPr>
      <w:r>
        <w:t>With the exception of the Tweed and Brunswick river regions, all river regions have multiple gauging stations measuring stream flow. However, not all river region gauging sites are within the Clarence-Moreton Basin. Table C.21 shows the maximum mean daily flow at a representative gauge within each river region.</w:t>
      </w:r>
    </w:p>
    <w:p w14:paraId="72B0ADAE" w14:textId="77777777" w:rsidR="00254F87" w:rsidRDefault="00254F87" w:rsidP="00C9623F">
      <w:pPr>
        <w:pStyle w:val="Caption"/>
      </w:pPr>
      <w:bookmarkStart w:id="159" w:name="_Toc499547491"/>
      <w:bookmarkStart w:id="160" w:name="_Toc508972170"/>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21</w:t>
      </w:r>
      <w:r w:rsidR="008079F1">
        <w:rPr>
          <w:noProof/>
        </w:rPr>
        <w:fldChar w:fldCharType="end"/>
      </w:r>
      <w:r>
        <w:t xml:space="preserve"> Mean daily flow at stream gauge sites for some locations within the extent of the Clarence-Moreton Basin</w:t>
      </w:r>
      <w:bookmarkEnd w:id="159"/>
      <w:bookmarkEnd w:id="160"/>
    </w:p>
    <w:tbl>
      <w:tblPr>
        <w:tblStyle w:val="TableBAHeaderRow"/>
        <w:tblW w:w="5000" w:type="pct"/>
        <w:tblLook w:val="04A0" w:firstRow="1" w:lastRow="0" w:firstColumn="1" w:lastColumn="0" w:noHBand="0" w:noVBand="1"/>
      </w:tblPr>
      <w:tblGrid>
        <w:gridCol w:w="3035"/>
        <w:gridCol w:w="4612"/>
        <w:gridCol w:w="1992"/>
      </w:tblGrid>
      <w:tr w:rsidR="00254F87" w14:paraId="6838E50F" w14:textId="77777777" w:rsidTr="00DC345C">
        <w:trPr>
          <w:cnfStyle w:val="100000000000" w:firstRow="1" w:lastRow="0" w:firstColumn="0" w:lastColumn="0" w:oddVBand="0" w:evenVBand="0" w:oddHBand="0" w:evenHBand="0" w:firstRowFirstColumn="0" w:firstRowLastColumn="0" w:lastRowFirstColumn="0" w:lastRowLastColumn="0"/>
        </w:trPr>
        <w:tc>
          <w:tcPr>
            <w:tcW w:w="1574" w:type="pct"/>
            <w:hideMark/>
          </w:tcPr>
          <w:p w14:paraId="7F03E4D8" w14:textId="77777777" w:rsidR="00254F87" w:rsidRDefault="00254F87">
            <w:pPr>
              <w:pStyle w:val="TableTextLeft"/>
            </w:pPr>
            <w:r>
              <w:t>River Region</w:t>
            </w:r>
          </w:p>
        </w:tc>
        <w:tc>
          <w:tcPr>
            <w:tcW w:w="2392" w:type="pct"/>
            <w:hideMark/>
          </w:tcPr>
          <w:p w14:paraId="536F1D3E" w14:textId="77777777" w:rsidR="00254F87" w:rsidRDefault="00254F87">
            <w:pPr>
              <w:pStyle w:val="TableTextLeft"/>
            </w:pPr>
            <w:r>
              <w:t>Gauging Station</w:t>
            </w:r>
          </w:p>
        </w:tc>
        <w:tc>
          <w:tcPr>
            <w:tcW w:w="1033" w:type="pct"/>
            <w:hideMark/>
          </w:tcPr>
          <w:p w14:paraId="68C1A737" w14:textId="77777777" w:rsidR="00254F87" w:rsidRDefault="00254F87">
            <w:pPr>
              <w:pStyle w:val="TableTextRight0"/>
            </w:pPr>
            <w:r>
              <w:t>Mean daily flow (ML)</w:t>
            </w:r>
          </w:p>
        </w:tc>
      </w:tr>
      <w:tr w:rsidR="00254F87" w14:paraId="556E51C6" w14:textId="77777777" w:rsidTr="00DC345C">
        <w:trPr>
          <w:cnfStyle w:val="000000100000" w:firstRow="0" w:lastRow="0" w:firstColumn="0" w:lastColumn="0" w:oddVBand="0" w:evenVBand="0" w:oddHBand="1" w:evenHBand="0" w:firstRowFirstColumn="0" w:firstRowLastColumn="0" w:lastRowFirstColumn="0" w:lastRowLastColumn="0"/>
        </w:trPr>
        <w:tc>
          <w:tcPr>
            <w:tcW w:w="1574" w:type="pct"/>
            <w:hideMark/>
          </w:tcPr>
          <w:p w14:paraId="69B868DB" w14:textId="77777777" w:rsidR="00254F87" w:rsidRDefault="00254F87">
            <w:pPr>
              <w:pStyle w:val="TableTextLeft"/>
            </w:pPr>
            <w:r>
              <w:t>Brisbane River</w:t>
            </w:r>
          </w:p>
        </w:tc>
        <w:tc>
          <w:tcPr>
            <w:tcW w:w="2392" w:type="pct"/>
            <w:hideMark/>
          </w:tcPr>
          <w:p w14:paraId="629B95CA" w14:textId="77777777" w:rsidR="00254F87" w:rsidRDefault="00254F87">
            <w:pPr>
              <w:pStyle w:val="TableTextLeft"/>
            </w:pPr>
            <w:r>
              <w:t>Lockyer Creek at O'Reillys Weir</w:t>
            </w:r>
          </w:p>
        </w:tc>
        <w:tc>
          <w:tcPr>
            <w:tcW w:w="1033" w:type="pct"/>
            <w:hideMark/>
          </w:tcPr>
          <w:p w14:paraId="05CE465F" w14:textId="77777777" w:rsidR="00254F87" w:rsidRDefault="00254F87">
            <w:pPr>
              <w:pStyle w:val="TableTextRight0"/>
            </w:pPr>
            <w:r>
              <w:t>619</w:t>
            </w:r>
          </w:p>
        </w:tc>
      </w:tr>
      <w:tr w:rsidR="00254F87" w14:paraId="04F6B41B" w14:textId="77777777" w:rsidTr="00DC345C">
        <w:trPr>
          <w:cnfStyle w:val="000000010000" w:firstRow="0" w:lastRow="0" w:firstColumn="0" w:lastColumn="0" w:oddVBand="0" w:evenVBand="0" w:oddHBand="0" w:evenHBand="1" w:firstRowFirstColumn="0" w:firstRowLastColumn="0" w:lastRowFirstColumn="0" w:lastRowLastColumn="0"/>
        </w:trPr>
        <w:tc>
          <w:tcPr>
            <w:tcW w:w="1574" w:type="pct"/>
            <w:hideMark/>
          </w:tcPr>
          <w:p w14:paraId="0443F9AB" w14:textId="77777777" w:rsidR="00254F87" w:rsidRDefault="00254F87">
            <w:pPr>
              <w:pStyle w:val="TableTextLeft"/>
            </w:pPr>
            <w:r>
              <w:t>Logan-Albert rivers</w:t>
            </w:r>
          </w:p>
        </w:tc>
        <w:tc>
          <w:tcPr>
            <w:tcW w:w="2392" w:type="pct"/>
            <w:hideMark/>
          </w:tcPr>
          <w:p w14:paraId="3ECDB557" w14:textId="77777777" w:rsidR="00254F87" w:rsidRDefault="00254F87">
            <w:pPr>
              <w:pStyle w:val="TableTextLeft"/>
            </w:pPr>
            <w:r>
              <w:t>Logan River at Yarrahappini</w:t>
            </w:r>
          </w:p>
        </w:tc>
        <w:tc>
          <w:tcPr>
            <w:tcW w:w="1033" w:type="pct"/>
            <w:hideMark/>
          </w:tcPr>
          <w:p w14:paraId="74B2A87D" w14:textId="77777777" w:rsidR="00254F87" w:rsidRDefault="00254F87">
            <w:pPr>
              <w:pStyle w:val="TableTextRight0"/>
            </w:pPr>
            <w:r>
              <w:t>869</w:t>
            </w:r>
          </w:p>
        </w:tc>
      </w:tr>
      <w:tr w:rsidR="00254F87" w14:paraId="1490077F" w14:textId="77777777" w:rsidTr="00DC345C">
        <w:trPr>
          <w:cnfStyle w:val="000000100000" w:firstRow="0" w:lastRow="0" w:firstColumn="0" w:lastColumn="0" w:oddVBand="0" w:evenVBand="0" w:oddHBand="1" w:evenHBand="0" w:firstRowFirstColumn="0" w:firstRowLastColumn="0" w:lastRowFirstColumn="0" w:lastRowLastColumn="0"/>
        </w:trPr>
        <w:tc>
          <w:tcPr>
            <w:tcW w:w="1574" w:type="pct"/>
            <w:hideMark/>
          </w:tcPr>
          <w:p w14:paraId="07682A7B" w14:textId="77777777" w:rsidR="00254F87" w:rsidRDefault="00254F87">
            <w:pPr>
              <w:pStyle w:val="TableTextLeft"/>
            </w:pPr>
            <w:r>
              <w:t>South Coast Basin</w:t>
            </w:r>
          </w:p>
        </w:tc>
        <w:tc>
          <w:tcPr>
            <w:tcW w:w="2392" w:type="pct"/>
            <w:hideMark/>
          </w:tcPr>
          <w:p w14:paraId="42326CC7" w14:textId="77777777" w:rsidR="00254F87" w:rsidRDefault="00254F87">
            <w:pPr>
              <w:pStyle w:val="TableTextLeft"/>
            </w:pPr>
            <w:r>
              <w:t>Back Creek at Beechmont</w:t>
            </w:r>
          </w:p>
        </w:tc>
        <w:tc>
          <w:tcPr>
            <w:tcW w:w="1033" w:type="pct"/>
            <w:hideMark/>
          </w:tcPr>
          <w:p w14:paraId="2383DBB2" w14:textId="77777777" w:rsidR="00254F87" w:rsidRDefault="00254F87">
            <w:pPr>
              <w:pStyle w:val="TableTextRight0"/>
            </w:pPr>
            <w:r>
              <w:t>13</w:t>
            </w:r>
          </w:p>
        </w:tc>
      </w:tr>
      <w:tr w:rsidR="00254F87" w14:paraId="13BF7204" w14:textId="77777777" w:rsidTr="00DC345C">
        <w:trPr>
          <w:cnfStyle w:val="000000010000" w:firstRow="0" w:lastRow="0" w:firstColumn="0" w:lastColumn="0" w:oddVBand="0" w:evenVBand="0" w:oddHBand="0" w:evenHBand="1" w:firstRowFirstColumn="0" w:firstRowLastColumn="0" w:lastRowFirstColumn="0" w:lastRowLastColumn="0"/>
        </w:trPr>
        <w:tc>
          <w:tcPr>
            <w:tcW w:w="1574" w:type="pct"/>
            <w:hideMark/>
          </w:tcPr>
          <w:p w14:paraId="747C3FB7" w14:textId="77777777" w:rsidR="00254F87" w:rsidRDefault="00254F87">
            <w:pPr>
              <w:pStyle w:val="TableTextLeft"/>
            </w:pPr>
            <w:r>
              <w:t>Richmond River</w:t>
            </w:r>
          </w:p>
        </w:tc>
        <w:tc>
          <w:tcPr>
            <w:tcW w:w="2392" w:type="pct"/>
            <w:hideMark/>
          </w:tcPr>
          <w:p w14:paraId="5DA5529A" w14:textId="77777777" w:rsidR="00254F87" w:rsidRDefault="00254F87">
            <w:pPr>
              <w:pStyle w:val="TableTextLeft"/>
            </w:pPr>
            <w:r>
              <w:t>Richmond River at Casino</w:t>
            </w:r>
          </w:p>
        </w:tc>
        <w:tc>
          <w:tcPr>
            <w:tcW w:w="1033" w:type="pct"/>
            <w:hideMark/>
          </w:tcPr>
          <w:p w14:paraId="2A5ED934" w14:textId="77777777" w:rsidR="00254F87" w:rsidRDefault="00254F87">
            <w:pPr>
              <w:pStyle w:val="TableTextRight0"/>
            </w:pPr>
            <w:r>
              <w:t>1,617</w:t>
            </w:r>
          </w:p>
        </w:tc>
      </w:tr>
      <w:tr w:rsidR="00254F87" w14:paraId="3BCA465C" w14:textId="77777777" w:rsidTr="00DC345C">
        <w:trPr>
          <w:cnfStyle w:val="000000100000" w:firstRow="0" w:lastRow="0" w:firstColumn="0" w:lastColumn="0" w:oddVBand="0" w:evenVBand="0" w:oddHBand="1" w:evenHBand="0" w:firstRowFirstColumn="0" w:firstRowLastColumn="0" w:lastRowFirstColumn="0" w:lastRowLastColumn="0"/>
        </w:trPr>
        <w:tc>
          <w:tcPr>
            <w:tcW w:w="1574" w:type="pct"/>
            <w:hideMark/>
          </w:tcPr>
          <w:p w14:paraId="3285B9ED" w14:textId="77777777" w:rsidR="00254F87" w:rsidRDefault="00254F87">
            <w:pPr>
              <w:pStyle w:val="TableTextLeft"/>
            </w:pPr>
            <w:r>
              <w:t>Clarence River</w:t>
            </w:r>
          </w:p>
        </w:tc>
        <w:tc>
          <w:tcPr>
            <w:tcW w:w="2392" w:type="pct"/>
            <w:hideMark/>
          </w:tcPr>
          <w:p w14:paraId="4F3A94F6" w14:textId="77777777" w:rsidR="00254F87" w:rsidRDefault="00254F87">
            <w:pPr>
              <w:pStyle w:val="TableTextLeft"/>
            </w:pPr>
            <w:r>
              <w:t>Clarence River at Lilydale</w:t>
            </w:r>
          </w:p>
        </w:tc>
        <w:tc>
          <w:tcPr>
            <w:tcW w:w="1033" w:type="pct"/>
            <w:hideMark/>
          </w:tcPr>
          <w:p w14:paraId="15716F5F" w14:textId="77777777" w:rsidR="00254F87" w:rsidRDefault="00254F87">
            <w:pPr>
              <w:pStyle w:val="TableTextRight0"/>
            </w:pPr>
            <w:r>
              <w:t>9,295</w:t>
            </w:r>
          </w:p>
        </w:tc>
      </w:tr>
      <w:tr w:rsidR="00254F87" w14:paraId="11CEA5DB" w14:textId="77777777" w:rsidTr="00DC345C">
        <w:trPr>
          <w:cnfStyle w:val="000000010000" w:firstRow="0" w:lastRow="0" w:firstColumn="0" w:lastColumn="0" w:oddVBand="0" w:evenVBand="0" w:oddHBand="0" w:evenHBand="1" w:firstRowFirstColumn="0" w:firstRowLastColumn="0" w:lastRowFirstColumn="0" w:lastRowLastColumn="0"/>
        </w:trPr>
        <w:tc>
          <w:tcPr>
            <w:tcW w:w="1574" w:type="pct"/>
            <w:hideMark/>
          </w:tcPr>
          <w:p w14:paraId="59FA0FC3" w14:textId="77777777" w:rsidR="00254F87" w:rsidRDefault="00254F87">
            <w:pPr>
              <w:pStyle w:val="TableTextLeft"/>
            </w:pPr>
            <w:r>
              <w:t>Condamine-Culgoa rivers</w:t>
            </w:r>
          </w:p>
        </w:tc>
        <w:tc>
          <w:tcPr>
            <w:tcW w:w="2392" w:type="pct"/>
            <w:hideMark/>
          </w:tcPr>
          <w:p w14:paraId="693B8B99" w14:textId="77777777" w:rsidR="00254F87" w:rsidRDefault="00254F87">
            <w:pPr>
              <w:pStyle w:val="TableTextLeft"/>
            </w:pPr>
            <w:r>
              <w:t>Condamine River at Loudouns Bridge</w:t>
            </w:r>
          </w:p>
        </w:tc>
        <w:tc>
          <w:tcPr>
            <w:tcW w:w="1033" w:type="pct"/>
            <w:hideMark/>
          </w:tcPr>
          <w:p w14:paraId="2C674BAB" w14:textId="77777777" w:rsidR="00254F87" w:rsidRDefault="00254F87">
            <w:pPr>
              <w:pStyle w:val="TableTextRight0"/>
            </w:pPr>
            <w:r>
              <w:t>12,380</w:t>
            </w:r>
          </w:p>
        </w:tc>
      </w:tr>
    </w:tbl>
    <w:p w14:paraId="3FBD8804" w14:textId="77777777" w:rsidR="00254F87" w:rsidRDefault="00254F87" w:rsidP="00D15FEC">
      <w:pPr>
        <w:pStyle w:val="AppendixHeading4"/>
      </w:pPr>
      <w:r>
        <w:t>Surface water Planning and Use</w:t>
      </w:r>
    </w:p>
    <w:p w14:paraId="6517E9E7" w14:textId="60C33B4D" w:rsidR="00254F87" w:rsidRPr="00C9623F" w:rsidRDefault="00254F87" w:rsidP="00C9623F">
      <w:pPr>
        <w:pStyle w:val="BodyText"/>
        <w:rPr>
          <w:rStyle w:val="BodyTextChar"/>
        </w:rPr>
      </w:pPr>
      <w:r w:rsidRPr="00C9623F">
        <w:rPr>
          <w:rStyle w:val="BodyTextChar"/>
        </w:rPr>
        <w:t>A number of river basin</w:t>
      </w:r>
      <w:r>
        <w:rPr>
          <w:rStyle w:val="BodyTextChar"/>
        </w:rPr>
        <w:t>s have management plans, these are presented in Table C.22</w:t>
      </w:r>
      <w:r w:rsidRPr="00C9623F">
        <w:rPr>
          <w:rStyle w:val="BodyTextChar"/>
        </w:rPr>
        <w:t>.</w:t>
      </w:r>
    </w:p>
    <w:p w14:paraId="660DC270" w14:textId="77777777" w:rsidR="00254F87" w:rsidRDefault="00254F87" w:rsidP="00C9623F">
      <w:pPr>
        <w:pStyle w:val="Caption"/>
      </w:pPr>
      <w:bookmarkStart w:id="161" w:name="_Toc499547492"/>
      <w:bookmarkStart w:id="162" w:name="_Toc508972171"/>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22</w:t>
      </w:r>
      <w:r w:rsidR="008079F1">
        <w:rPr>
          <w:noProof/>
        </w:rPr>
        <w:fldChar w:fldCharType="end"/>
      </w:r>
      <w:r>
        <w:t xml:space="preserve"> Management plans for various river basins overlying the Clarence-Moreton Basin</w:t>
      </w:r>
      <w:bookmarkEnd w:id="161"/>
      <w:bookmarkEnd w:id="162"/>
    </w:p>
    <w:tbl>
      <w:tblPr>
        <w:tblStyle w:val="TableBAHeaderRow"/>
        <w:tblW w:w="5000" w:type="pct"/>
        <w:tblInd w:w="0" w:type="dxa"/>
        <w:tblLook w:val="04A0" w:firstRow="1" w:lastRow="0" w:firstColumn="1" w:lastColumn="0" w:noHBand="0" w:noVBand="1"/>
      </w:tblPr>
      <w:tblGrid>
        <w:gridCol w:w="4814"/>
        <w:gridCol w:w="4825"/>
      </w:tblGrid>
      <w:tr w:rsidR="00254F87" w14:paraId="375C0432" w14:textId="77777777" w:rsidTr="00A409C0">
        <w:trPr>
          <w:cnfStyle w:val="100000000000" w:firstRow="1" w:lastRow="0" w:firstColumn="0" w:lastColumn="0" w:oddVBand="0" w:evenVBand="0" w:oddHBand="0" w:evenHBand="0" w:firstRowFirstColumn="0" w:firstRowLastColumn="0" w:lastRowFirstColumn="0" w:lastRowLastColumn="0"/>
        </w:trPr>
        <w:tc>
          <w:tcPr>
            <w:tcW w:w="2497" w:type="pct"/>
            <w:hideMark/>
          </w:tcPr>
          <w:p w14:paraId="38E9339B" w14:textId="77777777" w:rsidR="00254F87" w:rsidRDefault="00254F87">
            <w:pPr>
              <w:pStyle w:val="TableTextLeft"/>
            </w:pPr>
            <w:r>
              <w:t>River Basin</w:t>
            </w:r>
          </w:p>
        </w:tc>
        <w:tc>
          <w:tcPr>
            <w:tcW w:w="2503" w:type="pct"/>
            <w:hideMark/>
          </w:tcPr>
          <w:p w14:paraId="656D90E1" w14:textId="77777777" w:rsidR="00254F87" w:rsidRDefault="00254F87">
            <w:pPr>
              <w:pStyle w:val="TableTextLeft"/>
            </w:pPr>
            <w:r>
              <w:t>Management plan</w:t>
            </w:r>
          </w:p>
        </w:tc>
      </w:tr>
      <w:tr w:rsidR="00254F87" w14:paraId="1CDEB101" w14:textId="77777777" w:rsidTr="00A409C0">
        <w:trPr>
          <w:cnfStyle w:val="000000100000" w:firstRow="0" w:lastRow="0" w:firstColumn="0" w:lastColumn="0" w:oddVBand="0" w:evenVBand="0" w:oddHBand="1" w:evenHBand="0" w:firstRowFirstColumn="0" w:firstRowLastColumn="0" w:lastRowFirstColumn="0" w:lastRowLastColumn="0"/>
        </w:trPr>
        <w:tc>
          <w:tcPr>
            <w:tcW w:w="2497" w:type="pct"/>
            <w:hideMark/>
          </w:tcPr>
          <w:p w14:paraId="6019C0B0" w14:textId="77777777" w:rsidR="00254F87" w:rsidRDefault="00254F87">
            <w:pPr>
              <w:pStyle w:val="TableTextLeft"/>
            </w:pPr>
            <w:r>
              <w:t>Brisbane River basin</w:t>
            </w:r>
          </w:p>
        </w:tc>
        <w:tc>
          <w:tcPr>
            <w:tcW w:w="2503" w:type="pct"/>
            <w:hideMark/>
          </w:tcPr>
          <w:p w14:paraId="57020790" w14:textId="349D6FB3" w:rsidR="00254F87" w:rsidRDefault="00254F87">
            <w:pPr>
              <w:pStyle w:val="TableTextLeft"/>
            </w:pPr>
            <w:r>
              <w:t>Water Plan (Moreton) 2007 (Qld)</w:t>
            </w:r>
          </w:p>
          <w:p w14:paraId="03E9012C" w14:textId="77777777" w:rsidR="00254F87" w:rsidRDefault="00254F87">
            <w:pPr>
              <w:pStyle w:val="TableTextLeft"/>
            </w:pPr>
            <w:r>
              <w:t>(Queensland Government, 2007a)</w:t>
            </w:r>
          </w:p>
        </w:tc>
      </w:tr>
      <w:tr w:rsidR="00254F87" w14:paraId="1543391A" w14:textId="77777777" w:rsidTr="00A409C0">
        <w:trPr>
          <w:cnfStyle w:val="000000010000" w:firstRow="0" w:lastRow="0" w:firstColumn="0" w:lastColumn="0" w:oddVBand="0" w:evenVBand="0" w:oddHBand="0" w:evenHBand="1" w:firstRowFirstColumn="0" w:firstRowLastColumn="0" w:lastRowFirstColumn="0" w:lastRowLastColumn="0"/>
        </w:trPr>
        <w:tc>
          <w:tcPr>
            <w:tcW w:w="2497" w:type="pct"/>
            <w:hideMark/>
          </w:tcPr>
          <w:p w14:paraId="263939CC" w14:textId="77777777" w:rsidR="00254F87" w:rsidRDefault="00254F87">
            <w:pPr>
              <w:pStyle w:val="TableTextLeft"/>
            </w:pPr>
            <w:r>
              <w:t>Logan-Albert rivers basin</w:t>
            </w:r>
          </w:p>
        </w:tc>
        <w:tc>
          <w:tcPr>
            <w:tcW w:w="2503" w:type="pct"/>
            <w:hideMark/>
          </w:tcPr>
          <w:p w14:paraId="7C6B170E" w14:textId="77777777" w:rsidR="00254F87" w:rsidRDefault="00254F87">
            <w:pPr>
              <w:pStyle w:val="TableTextLeft"/>
            </w:pPr>
            <w:r>
              <w:t>Water Resource (Logan Basin) Plan 2007 (Qld)</w:t>
            </w:r>
          </w:p>
          <w:p w14:paraId="33606D05" w14:textId="77777777" w:rsidR="00254F87" w:rsidRDefault="00254F87">
            <w:pPr>
              <w:pStyle w:val="TableTextLeft"/>
            </w:pPr>
            <w:r>
              <w:t>(Queensland Government, 2007b)</w:t>
            </w:r>
          </w:p>
        </w:tc>
      </w:tr>
      <w:tr w:rsidR="00254F87" w14:paraId="289A9B97" w14:textId="77777777" w:rsidTr="00A409C0">
        <w:trPr>
          <w:cnfStyle w:val="000000100000" w:firstRow="0" w:lastRow="0" w:firstColumn="0" w:lastColumn="0" w:oddVBand="0" w:evenVBand="0" w:oddHBand="1" w:evenHBand="0" w:firstRowFirstColumn="0" w:firstRowLastColumn="0" w:lastRowFirstColumn="0" w:lastRowLastColumn="0"/>
        </w:trPr>
        <w:tc>
          <w:tcPr>
            <w:tcW w:w="2497" w:type="pct"/>
            <w:hideMark/>
          </w:tcPr>
          <w:p w14:paraId="4EF25D95" w14:textId="77777777" w:rsidR="00254F87" w:rsidRDefault="00254F87">
            <w:pPr>
              <w:pStyle w:val="TableTextLeft"/>
            </w:pPr>
            <w:r>
              <w:t>South Coast basin</w:t>
            </w:r>
          </w:p>
        </w:tc>
        <w:tc>
          <w:tcPr>
            <w:tcW w:w="2503" w:type="pct"/>
            <w:hideMark/>
          </w:tcPr>
          <w:p w14:paraId="42FCED61" w14:textId="16D2EA4A" w:rsidR="00254F87" w:rsidRDefault="00254F87">
            <w:pPr>
              <w:pStyle w:val="TableTextLeft"/>
            </w:pPr>
            <w:r>
              <w:t>Water Resource (Gold Coast) Plan 2006 (Qld)</w:t>
            </w:r>
          </w:p>
          <w:p w14:paraId="7C2B6A51" w14:textId="77777777" w:rsidR="00254F87" w:rsidRDefault="00254F87">
            <w:pPr>
              <w:pStyle w:val="TableTextLeft"/>
            </w:pPr>
            <w:r>
              <w:t>(Queensland Government, 2006b)</w:t>
            </w:r>
          </w:p>
        </w:tc>
      </w:tr>
      <w:tr w:rsidR="00254F87" w14:paraId="26F4E2E6" w14:textId="77777777" w:rsidTr="00A409C0">
        <w:trPr>
          <w:cnfStyle w:val="000000010000" w:firstRow="0" w:lastRow="0" w:firstColumn="0" w:lastColumn="0" w:oddVBand="0" w:evenVBand="0" w:oddHBand="0" w:evenHBand="1" w:firstRowFirstColumn="0" w:firstRowLastColumn="0" w:lastRowFirstColumn="0" w:lastRowLastColumn="0"/>
        </w:trPr>
        <w:tc>
          <w:tcPr>
            <w:tcW w:w="2497" w:type="pct"/>
            <w:hideMark/>
          </w:tcPr>
          <w:p w14:paraId="4E4FB490" w14:textId="77777777" w:rsidR="00254F87" w:rsidRDefault="00254F87">
            <w:pPr>
              <w:pStyle w:val="TableTextLeft"/>
            </w:pPr>
            <w:r>
              <w:t>Tweed River basin</w:t>
            </w:r>
          </w:p>
        </w:tc>
        <w:tc>
          <w:tcPr>
            <w:tcW w:w="2503" w:type="pct"/>
            <w:hideMark/>
          </w:tcPr>
          <w:p w14:paraId="62CEE7CE" w14:textId="77777777" w:rsidR="00254F87" w:rsidRDefault="00254F87">
            <w:pPr>
              <w:pStyle w:val="TableTextLeft"/>
            </w:pPr>
            <w:r>
              <w:t>Water Sharing Plan for the Tweed River Area Unregulated and Alluvial Water Sources 2010 (NSW)</w:t>
            </w:r>
          </w:p>
          <w:p w14:paraId="369FAE77" w14:textId="77777777" w:rsidR="00254F87" w:rsidRDefault="00254F87" w:rsidP="00D15FEC">
            <w:pPr>
              <w:pStyle w:val="TableTextLeft"/>
            </w:pPr>
            <w:r>
              <w:t>(NSW Legislation, 2010b)</w:t>
            </w:r>
          </w:p>
        </w:tc>
      </w:tr>
      <w:tr w:rsidR="00254F87" w14:paraId="11752AC5" w14:textId="77777777" w:rsidTr="00A409C0">
        <w:trPr>
          <w:cnfStyle w:val="000000100000" w:firstRow="0" w:lastRow="0" w:firstColumn="0" w:lastColumn="0" w:oddVBand="0" w:evenVBand="0" w:oddHBand="1" w:evenHBand="0" w:firstRowFirstColumn="0" w:firstRowLastColumn="0" w:lastRowFirstColumn="0" w:lastRowLastColumn="0"/>
        </w:trPr>
        <w:tc>
          <w:tcPr>
            <w:tcW w:w="2497" w:type="pct"/>
            <w:hideMark/>
          </w:tcPr>
          <w:p w14:paraId="1BB158F7" w14:textId="77777777" w:rsidR="00254F87" w:rsidRDefault="00254F87">
            <w:pPr>
              <w:pStyle w:val="TableTextLeft"/>
            </w:pPr>
            <w:r>
              <w:t>Brunswick River basin</w:t>
            </w:r>
          </w:p>
        </w:tc>
        <w:tc>
          <w:tcPr>
            <w:tcW w:w="2503" w:type="pct"/>
            <w:hideMark/>
          </w:tcPr>
          <w:p w14:paraId="7DAEB32D" w14:textId="3651708A" w:rsidR="00254F87" w:rsidRDefault="00254F87">
            <w:pPr>
              <w:pStyle w:val="TableTextLeft"/>
            </w:pPr>
            <w:r>
              <w:t>Water Sharing Plan for the Brunswick Unregulated and Alluvial Water Sources 2016 (NSW)</w:t>
            </w:r>
          </w:p>
          <w:p w14:paraId="321CAF13" w14:textId="77777777" w:rsidR="00254F87" w:rsidRDefault="00254F87">
            <w:pPr>
              <w:pStyle w:val="TableTextLeft"/>
            </w:pPr>
            <w:r>
              <w:t>(NSW Legislation, 2016c)</w:t>
            </w:r>
          </w:p>
        </w:tc>
      </w:tr>
      <w:tr w:rsidR="00254F87" w14:paraId="24B2D3FB" w14:textId="77777777" w:rsidTr="00A409C0">
        <w:trPr>
          <w:cnfStyle w:val="000000010000" w:firstRow="0" w:lastRow="0" w:firstColumn="0" w:lastColumn="0" w:oddVBand="0" w:evenVBand="0" w:oddHBand="0" w:evenHBand="1" w:firstRowFirstColumn="0" w:firstRowLastColumn="0" w:lastRowFirstColumn="0" w:lastRowLastColumn="0"/>
        </w:trPr>
        <w:tc>
          <w:tcPr>
            <w:tcW w:w="2497" w:type="pct"/>
            <w:hideMark/>
          </w:tcPr>
          <w:p w14:paraId="56F68A40" w14:textId="77777777" w:rsidR="00254F87" w:rsidRDefault="00254F87">
            <w:pPr>
              <w:pStyle w:val="TableTextLeft"/>
            </w:pPr>
            <w:r>
              <w:t>Richmond River basin</w:t>
            </w:r>
          </w:p>
        </w:tc>
        <w:tc>
          <w:tcPr>
            <w:tcW w:w="2503" w:type="pct"/>
            <w:hideMark/>
          </w:tcPr>
          <w:p w14:paraId="4B22AC6A" w14:textId="77777777" w:rsidR="00254F87" w:rsidRDefault="00254F87">
            <w:pPr>
              <w:pStyle w:val="TableTextLeft"/>
            </w:pPr>
            <w:r>
              <w:t>Water Sharing Plan for the Richmond River Area Unregulated, Regulated and Alluvial Water Sources 2010 (NSW)</w:t>
            </w:r>
          </w:p>
          <w:p w14:paraId="0C3D3F52" w14:textId="77777777" w:rsidR="00254F87" w:rsidRDefault="00254F87">
            <w:pPr>
              <w:pStyle w:val="TableTextLeft"/>
            </w:pPr>
            <w:r>
              <w:t>(NSW Legislation, 2010a)</w:t>
            </w:r>
          </w:p>
        </w:tc>
      </w:tr>
      <w:tr w:rsidR="00254F87" w14:paraId="5A11A991" w14:textId="77777777" w:rsidTr="00A409C0">
        <w:trPr>
          <w:cnfStyle w:val="000000100000" w:firstRow="0" w:lastRow="0" w:firstColumn="0" w:lastColumn="0" w:oddVBand="0" w:evenVBand="0" w:oddHBand="1" w:evenHBand="0" w:firstRowFirstColumn="0" w:firstRowLastColumn="0" w:lastRowFirstColumn="0" w:lastRowLastColumn="0"/>
        </w:trPr>
        <w:tc>
          <w:tcPr>
            <w:tcW w:w="2497" w:type="pct"/>
            <w:hideMark/>
          </w:tcPr>
          <w:p w14:paraId="7B7AF795" w14:textId="77777777" w:rsidR="00254F87" w:rsidRDefault="00254F87">
            <w:pPr>
              <w:pStyle w:val="TableTextLeft"/>
            </w:pPr>
            <w:r>
              <w:t>Clarence River basin</w:t>
            </w:r>
          </w:p>
        </w:tc>
        <w:tc>
          <w:tcPr>
            <w:tcW w:w="2503" w:type="pct"/>
            <w:hideMark/>
          </w:tcPr>
          <w:p w14:paraId="37790032" w14:textId="6D573AAB" w:rsidR="00254F87" w:rsidRDefault="00254F87">
            <w:pPr>
              <w:pStyle w:val="TableTextLeft"/>
            </w:pPr>
            <w:r w:rsidRPr="00B068DD">
              <w:t>Water Sharing Plan for the Clarence River Unregulated and Alluvial Water Sources 2016</w:t>
            </w:r>
            <w:r>
              <w:t xml:space="preserve"> (NSW) </w:t>
            </w:r>
          </w:p>
          <w:p w14:paraId="38095BC0" w14:textId="77777777" w:rsidR="00254F87" w:rsidRDefault="00254F87">
            <w:pPr>
              <w:pStyle w:val="TableTextLeft"/>
            </w:pPr>
            <w:r>
              <w:t>(NSW Legislation, 2016a)</w:t>
            </w:r>
          </w:p>
        </w:tc>
      </w:tr>
      <w:tr w:rsidR="00254F87" w14:paraId="4AD2D7F0" w14:textId="77777777" w:rsidTr="00A409C0">
        <w:trPr>
          <w:cnfStyle w:val="000000010000" w:firstRow="0" w:lastRow="0" w:firstColumn="0" w:lastColumn="0" w:oddVBand="0" w:evenVBand="0" w:oddHBand="0" w:evenHBand="1" w:firstRowFirstColumn="0" w:firstRowLastColumn="0" w:lastRowFirstColumn="0" w:lastRowLastColumn="0"/>
        </w:trPr>
        <w:tc>
          <w:tcPr>
            <w:tcW w:w="2497" w:type="pct"/>
            <w:hideMark/>
          </w:tcPr>
          <w:p w14:paraId="72A31130" w14:textId="77777777" w:rsidR="00254F87" w:rsidRDefault="00254F87">
            <w:pPr>
              <w:pStyle w:val="TableTextLeft"/>
            </w:pPr>
            <w:r>
              <w:t>Condamine-Culgoa rivers basin</w:t>
            </w:r>
          </w:p>
        </w:tc>
        <w:tc>
          <w:tcPr>
            <w:tcW w:w="2503" w:type="pct"/>
            <w:hideMark/>
          </w:tcPr>
          <w:p w14:paraId="06679EF8" w14:textId="46729879" w:rsidR="00254F87" w:rsidRDefault="00254F87">
            <w:pPr>
              <w:pStyle w:val="TableTextLeft"/>
            </w:pPr>
            <w:r>
              <w:t>Water Plan (Condamine and Balonne) 2004 (Qld)</w:t>
            </w:r>
          </w:p>
          <w:p w14:paraId="504A3B54" w14:textId="77777777" w:rsidR="00254F87" w:rsidRDefault="00254F87">
            <w:pPr>
              <w:pStyle w:val="TableTextLeft"/>
            </w:pPr>
            <w:r>
              <w:t>(Queensland Government, 2004)</w:t>
            </w:r>
          </w:p>
        </w:tc>
      </w:tr>
    </w:tbl>
    <w:p w14:paraId="78326391" w14:textId="51560608" w:rsidR="00EC1E50" w:rsidRDefault="00EC1E50" w:rsidP="00EC1E50">
      <w:pPr>
        <w:pStyle w:val="BodyText"/>
      </w:pPr>
    </w:p>
    <w:p w14:paraId="15B2E489" w14:textId="77777777" w:rsidR="00254F87" w:rsidRDefault="00254F87" w:rsidP="00D15FEC">
      <w:pPr>
        <w:pStyle w:val="AppendixHeading3"/>
      </w:pPr>
      <w:bookmarkStart w:id="163" w:name="_Toc517161147"/>
      <w:r>
        <w:t>Groundwater–Surface Water Interactions</w:t>
      </w:r>
      <w:bookmarkEnd w:id="163"/>
    </w:p>
    <w:p w14:paraId="6C3235CC" w14:textId="5D46CB98" w:rsidR="00EC1E50" w:rsidRDefault="00254F87" w:rsidP="00C9623F">
      <w:pPr>
        <w:pStyle w:val="BodyText"/>
      </w:pPr>
      <w:r>
        <w:t>The unconfined alluvial aquifer systems are typically in direct connection with surface water features such as streams and wetlands, and there is likely connection between rivers that have incised into rock aquifers such as the Main Range Volcanics and Walloon Coal Measures. Acid sulfate soils are associated with coastal sediments in the Tweed, Clarence and Richmond River catchments, as a result of falling groundwater levels producing oxidising conditions (Rassam et al., 2014).</w:t>
      </w:r>
    </w:p>
    <w:p w14:paraId="2048AC4E" w14:textId="77777777" w:rsidR="00254F87" w:rsidRDefault="00254F87" w:rsidP="00D15FEC">
      <w:pPr>
        <w:pStyle w:val="AppendixHeading3"/>
      </w:pPr>
      <w:bookmarkStart w:id="164" w:name="_Toc517161148"/>
      <w:r>
        <w:t>Environmentally sensitive areas</w:t>
      </w:r>
      <w:bookmarkEnd w:id="164"/>
    </w:p>
    <w:p w14:paraId="1F06FB76" w14:textId="5F382712" w:rsidR="00EC1E50" w:rsidRDefault="00254F87" w:rsidP="00C9623F">
      <w:pPr>
        <w:pStyle w:val="BodyText"/>
      </w:pPr>
      <w:r>
        <w:t>Within the Clarence-Moreton Basin there are 331 km</w:t>
      </w:r>
      <w:r w:rsidRPr="000350BE">
        <w:rPr>
          <w:rStyle w:val="Superscript"/>
        </w:rPr>
        <w:t>2</w:t>
      </w:r>
      <w:r>
        <w:t xml:space="preserve"> of Listed Nationally Important Wetlands, 2770 km</w:t>
      </w:r>
      <w:r w:rsidRPr="000721A9">
        <w:rPr>
          <w:rStyle w:val="Superscript"/>
        </w:rPr>
        <w:t>2</w:t>
      </w:r>
      <w:r>
        <w:t xml:space="preserve"> of Groundwater Dependant Ecosystems (of at least moderate potential), and the Ramsar listed Moreton Bay wetland. A total of 3</w:t>
      </w:r>
      <w:r w:rsidR="00147CAE">
        <w:t>,</w:t>
      </w:r>
      <w:r>
        <w:t>587 km</w:t>
      </w:r>
      <w:r w:rsidRPr="000350BE">
        <w:rPr>
          <w:rStyle w:val="Superscript"/>
        </w:rPr>
        <w:t>2</w:t>
      </w:r>
      <w:r>
        <w:t xml:space="preserve"> of protected areas (such as national parks) are listed. Table C.23 provides details of these assets.</w:t>
      </w:r>
    </w:p>
    <w:p w14:paraId="7C162264" w14:textId="77777777" w:rsidR="00EC1E50" w:rsidRDefault="00EC1E50" w:rsidP="00147CAE">
      <w:pPr>
        <w:pStyle w:val="BodyText"/>
      </w:pPr>
      <w:r>
        <w:br w:type="page"/>
      </w:r>
    </w:p>
    <w:p w14:paraId="69E9B083" w14:textId="77777777" w:rsidR="00254F87" w:rsidRDefault="00254F87" w:rsidP="00C9623F">
      <w:pPr>
        <w:pStyle w:val="Caption"/>
      </w:pPr>
      <w:bookmarkStart w:id="165" w:name="_Toc499547493"/>
      <w:bookmarkStart w:id="166" w:name="_Toc508972172"/>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23</w:t>
      </w:r>
      <w:r w:rsidR="008079F1">
        <w:rPr>
          <w:noProof/>
        </w:rPr>
        <w:fldChar w:fldCharType="end"/>
      </w:r>
      <w:r>
        <w:t xml:space="preserve"> Environmental Assets occurring above the Clarence-Moreton Basin.</w:t>
      </w:r>
      <w:bookmarkEnd w:id="165"/>
      <w:bookmarkEnd w:id="166"/>
    </w:p>
    <w:tbl>
      <w:tblPr>
        <w:tblStyle w:val="TableBAHeaderColumn"/>
        <w:tblW w:w="5000" w:type="pct"/>
        <w:tblInd w:w="0" w:type="dxa"/>
        <w:tblLook w:val="04A0" w:firstRow="1" w:lastRow="0" w:firstColumn="1" w:lastColumn="0" w:noHBand="0" w:noVBand="1"/>
      </w:tblPr>
      <w:tblGrid>
        <w:gridCol w:w="4885"/>
        <w:gridCol w:w="4754"/>
      </w:tblGrid>
      <w:tr w:rsidR="00254F87" w14:paraId="4999B57C"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452578D7" w14:textId="77777777" w:rsidR="00254F87" w:rsidRDefault="00254F87">
            <w:pPr>
              <w:pStyle w:val="TableTextLeft"/>
            </w:pPr>
            <w:r>
              <w:t>ENVIRONMENTAL ASSETS</w:t>
            </w:r>
          </w:p>
        </w:tc>
      </w:tr>
      <w:tr w:rsidR="00254F87" w14:paraId="3950DC8E"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8D426AC" w14:textId="77777777" w:rsidR="00254F87" w:rsidRDefault="00254F87">
            <w:pPr>
              <w:pStyle w:val="TableTextLeft"/>
              <w:rPr>
                <w:szCs w:val="18"/>
              </w:rPr>
            </w:pPr>
            <w:r>
              <w:rPr>
                <w:szCs w:val="18"/>
              </w:rPr>
              <w:t>Ramsar Wetlands</w:t>
            </w:r>
          </w:p>
        </w:tc>
        <w:tc>
          <w:tcPr>
            <w:tcW w:w="2421" w:type="pct"/>
            <w:hideMark/>
          </w:tcPr>
          <w:p w14:paraId="6DDC590B"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Moreton Bay</w:t>
            </w:r>
          </w:p>
        </w:tc>
      </w:tr>
      <w:tr w:rsidR="00254F87" w14:paraId="4ABA1D3C"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6E29FA17" w14:textId="77777777" w:rsidR="00254F87" w:rsidRDefault="00254F87">
            <w:pPr>
              <w:pStyle w:val="TableTextLeft"/>
              <w:rPr>
                <w:szCs w:val="18"/>
              </w:rPr>
            </w:pPr>
            <w:r>
              <w:rPr>
                <w:szCs w:val="18"/>
              </w:rPr>
              <w:t>Nationally Important Wetlands</w:t>
            </w:r>
          </w:p>
          <w:p w14:paraId="5B6C41A2" w14:textId="77777777" w:rsidR="00254F87" w:rsidRDefault="00254F87">
            <w:pPr>
              <w:pStyle w:val="TableTextLeft"/>
              <w:rPr>
                <w:szCs w:val="18"/>
              </w:rPr>
            </w:pPr>
            <w:r>
              <w:rPr>
                <w:szCs w:val="18"/>
              </w:rPr>
              <w:t>Top 5 by area</w:t>
            </w:r>
          </w:p>
          <w:p w14:paraId="631ED8AA" w14:textId="77777777" w:rsidR="00254F87" w:rsidRDefault="00254F87">
            <w:pPr>
              <w:pStyle w:val="TableTextLeft"/>
              <w:rPr>
                <w:szCs w:val="18"/>
              </w:rPr>
            </w:pPr>
            <w:r>
              <w:rPr>
                <w:szCs w:val="18"/>
              </w:rPr>
              <w:t>(area</w:t>
            </w:r>
            <w:r>
              <w:rPr>
                <w:rStyle w:val="Emphasis"/>
                <w:rFonts w:eastAsia="Calibri"/>
                <w:szCs w:val="18"/>
              </w:rPr>
              <w:t> km</w:t>
            </w:r>
            <w:r>
              <w:rPr>
                <w:szCs w:val="18"/>
                <w:vertAlign w:val="superscript"/>
              </w:rPr>
              <w:t>2</w:t>
            </w:r>
            <w:r>
              <w:rPr>
                <w:szCs w:val="18"/>
              </w:rPr>
              <w:t>)</w:t>
            </w:r>
          </w:p>
        </w:tc>
        <w:tc>
          <w:tcPr>
            <w:tcW w:w="2421" w:type="pct"/>
            <w:hideMark/>
          </w:tcPr>
          <w:tbl>
            <w:tblPr>
              <w:tblW w:w="4200" w:type="dxa"/>
              <w:tblLook w:val="04A0" w:firstRow="1" w:lastRow="0" w:firstColumn="1" w:lastColumn="0" w:noHBand="0" w:noVBand="1"/>
            </w:tblPr>
            <w:tblGrid>
              <w:gridCol w:w="3490"/>
              <w:gridCol w:w="710"/>
            </w:tblGrid>
            <w:tr w:rsidR="00254F87" w14:paraId="122D010E" w14:textId="77777777" w:rsidTr="00A409C0">
              <w:trPr>
                <w:trHeight w:val="300"/>
              </w:trPr>
              <w:tc>
                <w:tcPr>
                  <w:tcW w:w="3487" w:type="dxa"/>
                  <w:vAlign w:val="center"/>
                  <w:hideMark/>
                </w:tcPr>
                <w:p w14:paraId="316AD26B" w14:textId="77777777" w:rsidR="00254F87" w:rsidRDefault="00254F87">
                  <w:pPr>
                    <w:pStyle w:val="TableTextLeft"/>
                    <w:rPr>
                      <w:szCs w:val="18"/>
                    </w:rPr>
                  </w:pPr>
                  <w:r>
                    <w:rPr>
                      <w:szCs w:val="18"/>
                    </w:rPr>
                    <w:t>Upper Coldstream</w:t>
                  </w:r>
                </w:p>
              </w:tc>
              <w:tc>
                <w:tcPr>
                  <w:tcW w:w="709" w:type="dxa"/>
                  <w:noWrap/>
                  <w:vAlign w:val="center"/>
                  <w:hideMark/>
                </w:tcPr>
                <w:p w14:paraId="6A17127C" w14:textId="77777777" w:rsidR="00254F87" w:rsidRDefault="00254F87" w:rsidP="000350BE">
                  <w:pPr>
                    <w:pStyle w:val="TableTextRight0"/>
                  </w:pPr>
                  <w:r>
                    <w:t>98</w:t>
                  </w:r>
                </w:p>
              </w:tc>
            </w:tr>
            <w:tr w:rsidR="00254F87" w14:paraId="02169624" w14:textId="77777777" w:rsidTr="00A409C0">
              <w:trPr>
                <w:trHeight w:val="300"/>
              </w:trPr>
              <w:tc>
                <w:tcPr>
                  <w:tcW w:w="3487" w:type="dxa"/>
                  <w:vAlign w:val="center"/>
                  <w:hideMark/>
                </w:tcPr>
                <w:p w14:paraId="638E400A" w14:textId="77777777" w:rsidR="00254F87" w:rsidRDefault="00254F87">
                  <w:pPr>
                    <w:pStyle w:val="TableTextLeft"/>
                    <w:rPr>
                      <w:szCs w:val="18"/>
                    </w:rPr>
                  </w:pPr>
                  <w:r>
                    <w:rPr>
                      <w:szCs w:val="18"/>
                    </w:rPr>
                    <w:t>Clarence River Estuary</w:t>
                  </w:r>
                </w:p>
              </w:tc>
              <w:tc>
                <w:tcPr>
                  <w:tcW w:w="709" w:type="dxa"/>
                  <w:noWrap/>
                  <w:vAlign w:val="center"/>
                  <w:hideMark/>
                </w:tcPr>
                <w:p w14:paraId="633BA42F" w14:textId="77777777" w:rsidR="00254F87" w:rsidRDefault="00254F87" w:rsidP="000350BE">
                  <w:pPr>
                    <w:pStyle w:val="TableTextRight0"/>
                  </w:pPr>
                  <w:r>
                    <w:t>55</w:t>
                  </w:r>
                </w:p>
              </w:tc>
            </w:tr>
            <w:tr w:rsidR="00254F87" w14:paraId="1634AE41" w14:textId="77777777" w:rsidTr="00A409C0">
              <w:trPr>
                <w:trHeight w:val="300"/>
              </w:trPr>
              <w:tc>
                <w:tcPr>
                  <w:tcW w:w="3487" w:type="dxa"/>
                  <w:vAlign w:val="center"/>
                  <w:hideMark/>
                </w:tcPr>
                <w:p w14:paraId="378A883E" w14:textId="77777777" w:rsidR="00254F87" w:rsidRDefault="00254F87">
                  <w:pPr>
                    <w:pStyle w:val="TableTextLeft"/>
                    <w:rPr>
                      <w:szCs w:val="18"/>
                    </w:rPr>
                  </w:pPr>
                  <w:r>
                    <w:rPr>
                      <w:szCs w:val="18"/>
                    </w:rPr>
                    <w:t>Greenbank Army Training Area C</w:t>
                  </w:r>
                </w:p>
              </w:tc>
              <w:tc>
                <w:tcPr>
                  <w:tcW w:w="709" w:type="dxa"/>
                  <w:noWrap/>
                  <w:vAlign w:val="center"/>
                  <w:hideMark/>
                </w:tcPr>
                <w:p w14:paraId="58998FF6" w14:textId="77777777" w:rsidR="00254F87" w:rsidRDefault="00254F87" w:rsidP="000350BE">
                  <w:pPr>
                    <w:pStyle w:val="TableTextRight0"/>
                  </w:pPr>
                  <w:r>
                    <w:t>40</w:t>
                  </w:r>
                </w:p>
              </w:tc>
            </w:tr>
            <w:tr w:rsidR="00254F87" w14:paraId="61F5E1A8" w14:textId="77777777" w:rsidTr="00A409C0">
              <w:trPr>
                <w:trHeight w:val="300"/>
              </w:trPr>
              <w:tc>
                <w:tcPr>
                  <w:tcW w:w="3487" w:type="dxa"/>
                  <w:vAlign w:val="center"/>
                  <w:hideMark/>
                </w:tcPr>
                <w:p w14:paraId="7E0DBDF0" w14:textId="77777777" w:rsidR="00254F87" w:rsidRDefault="00254F87">
                  <w:pPr>
                    <w:pStyle w:val="TableTextLeft"/>
                    <w:rPr>
                      <w:szCs w:val="18"/>
                    </w:rPr>
                  </w:pPr>
                  <w:r>
                    <w:rPr>
                      <w:szCs w:val="18"/>
                    </w:rPr>
                    <w:t>Bundjalung National Park</w:t>
                  </w:r>
                </w:p>
              </w:tc>
              <w:tc>
                <w:tcPr>
                  <w:tcW w:w="709" w:type="dxa"/>
                  <w:noWrap/>
                  <w:vAlign w:val="center"/>
                  <w:hideMark/>
                </w:tcPr>
                <w:p w14:paraId="703CA795" w14:textId="77777777" w:rsidR="00254F87" w:rsidRDefault="00254F87" w:rsidP="000350BE">
                  <w:pPr>
                    <w:pStyle w:val="TableTextRight0"/>
                  </w:pPr>
                  <w:r>
                    <w:t>28</w:t>
                  </w:r>
                </w:p>
              </w:tc>
            </w:tr>
            <w:tr w:rsidR="00254F87" w14:paraId="32BEF9DB" w14:textId="77777777" w:rsidTr="00A409C0">
              <w:trPr>
                <w:trHeight w:val="300"/>
              </w:trPr>
              <w:tc>
                <w:tcPr>
                  <w:tcW w:w="3487" w:type="dxa"/>
                  <w:vAlign w:val="center"/>
                  <w:hideMark/>
                </w:tcPr>
                <w:p w14:paraId="30DEE4D7" w14:textId="77777777" w:rsidR="00254F87" w:rsidRDefault="00254F87">
                  <w:pPr>
                    <w:pStyle w:val="TableTextLeft"/>
                    <w:rPr>
                      <w:szCs w:val="18"/>
                    </w:rPr>
                  </w:pPr>
                  <w:r>
                    <w:rPr>
                      <w:szCs w:val="18"/>
                    </w:rPr>
                    <w:t>Everlasting Swamp</w:t>
                  </w:r>
                </w:p>
              </w:tc>
              <w:tc>
                <w:tcPr>
                  <w:tcW w:w="709" w:type="dxa"/>
                  <w:noWrap/>
                  <w:vAlign w:val="center"/>
                  <w:hideMark/>
                </w:tcPr>
                <w:p w14:paraId="71FDDAC7" w14:textId="77777777" w:rsidR="00254F87" w:rsidRDefault="00254F87" w:rsidP="000350BE">
                  <w:pPr>
                    <w:pStyle w:val="TableTextRight0"/>
                  </w:pPr>
                  <w:r>
                    <w:t>26</w:t>
                  </w:r>
                </w:p>
              </w:tc>
            </w:tr>
            <w:tr w:rsidR="00254F87" w14:paraId="520A772D" w14:textId="77777777" w:rsidTr="00A409C0">
              <w:trPr>
                <w:trHeight w:val="300"/>
              </w:trPr>
              <w:tc>
                <w:tcPr>
                  <w:tcW w:w="3487" w:type="dxa"/>
                  <w:vAlign w:val="center"/>
                  <w:hideMark/>
                </w:tcPr>
                <w:p w14:paraId="6384203F" w14:textId="77777777" w:rsidR="00254F87" w:rsidRDefault="00254F87">
                  <w:pPr>
                    <w:pStyle w:val="TableTextLeft"/>
                    <w:rPr>
                      <w:szCs w:val="18"/>
                    </w:rPr>
                  </w:pPr>
                  <w:r>
                    <w:rPr>
                      <w:szCs w:val="18"/>
                    </w:rPr>
                    <w:t xml:space="preserve">TOTAL WETLAND AREA </w:t>
                  </w:r>
                </w:p>
              </w:tc>
              <w:tc>
                <w:tcPr>
                  <w:tcW w:w="709" w:type="dxa"/>
                  <w:noWrap/>
                  <w:vAlign w:val="center"/>
                  <w:hideMark/>
                </w:tcPr>
                <w:p w14:paraId="5ED5FAFC" w14:textId="619222C3" w:rsidR="00254F87" w:rsidRDefault="00254F87">
                  <w:pPr>
                    <w:pStyle w:val="TableTextRight0"/>
                  </w:pPr>
                  <w:r>
                    <w:t xml:space="preserve">331 </w:t>
                  </w:r>
                </w:p>
              </w:tc>
            </w:tr>
          </w:tbl>
          <w:p w14:paraId="768AED2F"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254F87" w14:paraId="39A22822"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610055B2" w14:textId="77777777" w:rsidR="00254F87" w:rsidRDefault="00254F87">
            <w:pPr>
              <w:pStyle w:val="TableTextLeft"/>
              <w:rPr>
                <w:szCs w:val="18"/>
              </w:rPr>
            </w:pPr>
            <w:r>
              <w:rPr>
                <w:szCs w:val="18"/>
              </w:rPr>
              <w:t>Protected areas (CAPAD 2016)</w:t>
            </w:r>
          </w:p>
          <w:p w14:paraId="64E471C4" w14:textId="77777777" w:rsidR="00254F87" w:rsidRDefault="00254F87">
            <w:pPr>
              <w:pStyle w:val="TableTextLeft"/>
              <w:rPr>
                <w:szCs w:val="18"/>
              </w:rPr>
            </w:pPr>
            <w:r>
              <w:rPr>
                <w:szCs w:val="18"/>
              </w:rPr>
              <w:t>Top 5 by area (area km</w:t>
            </w:r>
            <w:r>
              <w:rPr>
                <w:szCs w:val="18"/>
                <w:vertAlign w:val="superscript"/>
              </w:rPr>
              <w:t>2</w:t>
            </w:r>
            <w:r>
              <w:rPr>
                <w:szCs w:val="18"/>
              </w:rPr>
              <w:t>)</w:t>
            </w:r>
          </w:p>
        </w:tc>
        <w:tc>
          <w:tcPr>
            <w:tcW w:w="2421" w:type="pct"/>
            <w:hideMark/>
          </w:tcPr>
          <w:tbl>
            <w:tblPr>
              <w:tblW w:w="4200" w:type="dxa"/>
              <w:tblLook w:val="04A0" w:firstRow="1" w:lastRow="0" w:firstColumn="1" w:lastColumn="0" w:noHBand="0" w:noVBand="1"/>
            </w:tblPr>
            <w:tblGrid>
              <w:gridCol w:w="3629"/>
              <w:gridCol w:w="1011"/>
            </w:tblGrid>
            <w:tr w:rsidR="00254F87" w14:paraId="5EA9F4E6" w14:textId="77777777" w:rsidTr="00A409C0">
              <w:trPr>
                <w:trHeight w:val="300"/>
              </w:trPr>
              <w:tc>
                <w:tcPr>
                  <w:tcW w:w="3629" w:type="dxa"/>
                  <w:noWrap/>
                  <w:vAlign w:val="bottom"/>
                  <w:hideMark/>
                </w:tcPr>
                <w:p w14:paraId="2AED5FD2" w14:textId="77777777" w:rsidR="00254F87" w:rsidRDefault="00254F87">
                  <w:pPr>
                    <w:pStyle w:val="TableTextLeft"/>
                    <w:rPr>
                      <w:szCs w:val="18"/>
                    </w:rPr>
                  </w:pPr>
                  <w:r>
                    <w:rPr>
                      <w:szCs w:val="18"/>
                    </w:rPr>
                    <w:t>National Park</w:t>
                  </w:r>
                </w:p>
              </w:tc>
              <w:tc>
                <w:tcPr>
                  <w:tcW w:w="1011" w:type="dxa"/>
                  <w:noWrap/>
                  <w:vAlign w:val="bottom"/>
                  <w:hideMark/>
                </w:tcPr>
                <w:p w14:paraId="6F81B92D" w14:textId="77777777" w:rsidR="00254F87" w:rsidRDefault="00254F87" w:rsidP="000350BE">
                  <w:pPr>
                    <w:pStyle w:val="TableTextRight0"/>
                  </w:pPr>
                  <w:r>
                    <w:t>2,455</w:t>
                  </w:r>
                </w:p>
              </w:tc>
            </w:tr>
            <w:tr w:rsidR="00254F87" w14:paraId="78A032E4" w14:textId="77777777" w:rsidTr="00A409C0">
              <w:trPr>
                <w:trHeight w:val="300"/>
              </w:trPr>
              <w:tc>
                <w:tcPr>
                  <w:tcW w:w="3629" w:type="dxa"/>
                  <w:noWrap/>
                  <w:vAlign w:val="bottom"/>
                  <w:hideMark/>
                </w:tcPr>
                <w:p w14:paraId="3924F7A4" w14:textId="77777777" w:rsidR="00254F87" w:rsidRDefault="00254F87">
                  <w:pPr>
                    <w:pStyle w:val="TableTextLeft"/>
                    <w:rPr>
                      <w:szCs w:val="18"/>
                    </w:rPr>
                  </w:pPr>
                  <w:r>
                    <w:rPr>
                      <w:szCs w:val="18"/>
                    </w:rPr>
                    <w:t>Nature Reserve</w:t>
                  </w:r>
                </w:p>
              </w:tc>
              <w:tc>
                <w:tcPr>
                  <w:tcW w:w="1011" w:type="dxa"/>
                  <w:noWrap/>
                  <w:vAlign w:val="bottom"/>
                  <w:hideMark/>
                </w:tcPr>
                <w:p w14:paraId="5A3D317B" w14:textId="77777777" w:rsidR="00254F87" w:rsidRDefault="00254F87" w:rsidP="000350BE">
                  <w:pPr>
                    <w:pStyle w:val="TableTextRight0"/>
                  </w:pPr>
                  <w:r>
                    <w:t>413</w:t>
                  </w:r>
                </w:p>
              </w:tc>
            </w:tr>
            <w:tr w:rsidR="00254F87" w14:paraId="546B26B3" w14:textId="77777777" w:rsidTr="00A409C0">
              <w:trPr>
                <w:trHeight w:val="300"/>
              </w:trPr>
              <w:tc>
                <w:tcPr>
                  <w:tcW w:w="3629" w:type="dxa"/>
                  <w:noWrap/>
                  <w:vAlign w:val="bottom"/>
                  <w:hideMark/>
                </w:tcPr>
                <w:p w14:paraId="34CD54A8" w14:textId="77777777" w:rsidR="00254F87" w:rsidRDefault="00254F87">
                  <w:pPr>
                    <w:pStyle w:val="TableTextLeft"/>
                    <w:rPr>
                      <w:szCs w:val="18"/>
                    </w:rPr>
                  </w:pPr>
                  <w:r>
                    <w:rPr>
                      <w:szCs w:val="18"/>
                    </w:rPr>
                    <w:t>Protected Area</w:t>
                  </w:r>
                </w:p>
              </w:tc>
              <w:tc>
                <w:tcPr>
                  <w:tcW w:w="1011" w:type="dxa"/>
                  <w:noWrap/>
                  <w:vAlign w:val="bottom"/>
                  <w:hideMark/>
                </w:tcPr>
                <w:p w14:paraId="4435863A" w14:textId="77777777" w:rsidR="00254F87" w:rsidRDefault="00254F87" w:rsidP="000350BE">
                  <w:pPr>
                    <w:pStyle w:val="TableTextRight0"/>
                  </w:pPr>
                  <w:r>
                    <w:t>357</w:t>
                  </w:r>
                </w:p>
              </w:tc>
            </w:tr>
            <w:tr w:rsidR="00254F87" w14:paraId="73563EE0" w14:textId="77777777" w:rsidTr="00A409C0">
              <w:trPr>
                <w:trHeight w:val="300"/>
              </w:trPr>
              <w:tc>
                <w:tcPr>
                  <w:tcW w:w="3629" w:type="dxa"/>
                  <w:noWrap/>
                  <w:vAlign w:val="bottom"/>
                  <w:hideMark/>
                </w:tcPr>
                <w:p w14:paraId="2DB893BE" w14:textId="77777777" w:rsidR="00254F87" w:rsidRDefault="00254F87">
                  <w:pPr>
                    <w:pStyle w:val="TableTextLeft"/>
                    <w:rPr>
                      <w:szCs w:val="18"/>
                    </w:rPr>
                  </w:pPr>
                  <w:r>
                    <w:rPr>
                      <w:szCs w:val="18"/>
                    </w:rPr>
                    <w:t>State Conservation Area</w:t>
                  </w:r>
                </w:p>
              </w:tc>
              <w:tc>
                <w:tcPr>
                  <w:tcW w:w="1011" w:type="dxa"/>
                  <w:noWrap/>
                  <w:vAlign w:val="bottom"/>
                  <w:hideMark/>
                </w:tcPr>
                <w:p w14:paraId="1D08BD63" w14:textId="77777777" w:rsidR="00254F87" w:rsidRDefault="00254F87" w:rsidP="000350BE">
                  <w:pPr>
                    <w:pStyle w:val="TableTextRight0"/>
                  </w:pPr>
                  <w:r>
                    <w:t>215</w:t>
                  </w:r>
                </w:p>
              </w:tc>
            </w:tr>
            <w:tr w:rsidR="00254F87" w14:paraId="70E38177" w14:textId="77777777" w:rsidTr="00A409C0">
              <w:trPr>
                <w:trHeight w:val="300"/>
              </w:trPr>
              <w:tc>
                <w:tcPr>
                  <w:tcW w:w="3629" w:type="dxa"/>
                  <w:noWrap/>
                  <w:vAlign w:val="bottom"/>
                  <w:hideMark/>
                </w:tcPr>
                <w:p w14:paraId="4EB71541" w14:textId="77777777" w:rsidR="00254F87" w:rsidRDefault="00254F87">
                  <w:pPr>
                    <w:pStyle w:val="TableTextLeft"/>
                    <w:rPr>
                      <w:szCs w:val="18"/>
                    </w:rPr>
                  </w:pPr>
                  <w:r>
                    <w:rPr>
                      <w:szCs w:val="18"/>
                    </w:rPr>
                    <w:t>Nature Refuge</w:t>
                  </w:r>
                </w:p>
              </w:tc>
              <w:tc>
                <w:tcPr>
                  <w:tcW w:w="1011" w:type="dxa"/>
                  <w:noWrap/>
                  <w:vAlign w:val="bottom"/>
                  <w:hideMark/>
                </w:tcPr>
                <w:p w14:paraId="60B73E72" w14:textId="77777777" w:rsidR="00254F87" w:rsidRDefault="00254F87" w:rsidP="000350BE">
                  <w:pPr>
                    <w:pStyle w:val="TableTextRight0"/>
                  </w:pPr>
                  <w:r>
                    <w:t>112</w:t>
                  </w:r>
                </w:p>
              </w:tc>
            </w:tr>
            <w:tr w:rsidR="00254F87" w14:paraId="08663ECC" w14:textId="77777777" w:rsidTr="00A409C0">
              <w:trPr>
                <w:trHeight w:val="300"/>
              </w:trPr>
              <w:tc>
                <w:tcPr>
                  <w:tcW w:w="3629" w:type="dxa"/>
                  <w:noWrap/>
                  <w:vAlign w:val="bottom"/>
                  <w:hideMark/>
                </w:tcPr>
                <w:p w14:paraId="62EA9B34" w14:textId="77777777" w:rsidR="00254F87" w:rsidRDefault="00254F87">
                  <w:pPr>
                    <w:pStyle w:val="TableTextLeft"/>
                    <w:rPr>
                      <w:szCs w:val="18"/>
                    </w:rPr>
                  </w:pPr>
                  <w:r>
                    <w:rPr>
                      <w:szCs w:val="18"/>
                    </w:rPr>
                    <w:t>TOTAL PROTECTED AREA</w:t>
                  </w:r>
                </w:p>
              </w:tc>
              <w:tc>
                <w:tcPr>
                  <w:tcW w:w="1011" w:type="dxa"/>
                  <w:noWrap/>
                  <w:vAlign w:val="bottom"/>
                  <w:hideMark/>
                </w:tcPr>
                <w:p w14:paraId="5D510629" w14:textId="77777777" w:rsidR="00254F87" w:rsidRDefault="00254F87" w:rsidP="000350BE">
                  <w:pPr>
                    <w:pStyle w:val="TableTextRight0"/>
                  </w:pPr>
                  <w:r>
                    <w:t>3,587</w:t>
                  </w:r>
                </w:p>
              </w:tc>
            </w:tr>
          </w:tbl>
          <w:p w14:paraId="5583BACD"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254F87" w14:paraId="35E1A74C"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1CEA7C24" w14:textId="77777777" w:rsidR="00254F87" w:rsidRDefault="00254F87">
            <w:pPr>
              <w:pStyle w:val="TableTextLeft"/>
              <w:rPr>
                <w:szCs w:val="18"/>
              </w:rPr>
            </w:pPr>
            <w:r>
              <w:rPr>
                <w:szCs w:val="18"/>
              </w:rPr>
              <w:t>Aquatic and Terrestrial Groundwater Dependant Ecosystems, of known, high potential and moderate potential (area km</w:t>
            </w:r>
            <w:r w:rsidRPr="008A10D6">
              <w:rPr>
                <w:rStyle w:val="Superscript"/>
              </w:rPr>
              <w:t>2</w:t>
            </w:r>
            <w:r>
              <w:rPr>
                <w:szCs w:val="18"/>
              </w:rPr>
              <w:t>).</w:t>
            </w:r>
          </w:p>
          <w:p w14:paraId="6AA9381C" w14:textId="77777777" w:rsidR="00254F87" w:rsidRDefault="00254F87">
            <w:pPr>
              <w:pStyle w:val="TableTextLeft"/>
              <w:rPr>
                <w:szCs w:val="18"/>
              </w:rPr>
            </w:pPr>
          </w:p>
        </w:tc>
        <w:tc>
          <w:tcPr>
            <w:tcW w:w="2421" w:type="pct"/>
          </w:tcPr>
          <w:p w14:paraId="78DA6B80"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2770</w:t>
            </w:r>
          </w:p>
          <w:p w14:paraId="6E5B0BD4"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rPr>
                <w:szCs w:val="18"/>
              </w:rPr>
            </w:pPr>
          </w:p>
        </w:tc>
      </w:tr>
    </w:tbl>
    <w:p w14:paraId="2CDBDC03" w14:textId="77777777" w:rsidR="00254F87" w:rsidRPr="008A10D6" w:rsidRDefault="00254F87" w:rsidP="005450A3">
      <w:pPr>
        <w:pStyle w:val="BodyText"/>
      </w:pPr>
    </w:p>
    <w:p w14:paraId="09942AEC" w14:textId="77777777" w:rsidR="00254F87" w:rsidRDefault="00254F87" w:rsidP="00D15FEC">
      <w:pPr>
        <w:pStyle w:val="AppendixHeading3"/>
      </w:pPr>
      <w:bookmarkStart w:id="167" w:name="_Toc517161149"/>
      <w:r>
        <w:t>Social factors/constraints</w:t>
      </w:r>
      <w:bookmarkEnd w:id="167"/>
    </w:p>
    <w:p w14:paraId="143F4C52" w14:textId="77777777" w:rsidR="00254F87" w:rsidRDefault="00254F87" w:rsidP="00C9623F">
      <w:pPr>
        <w:pStyle w:val="BodyText"/>
      </w:pPr>
      <w:r>
        <w:t>Information on population, land use type and areas listed as either Indigenous Protected Areas (CAPAD, 2016) or where Native Title exists is presented in the table below (Table C.24).</w:t>
      </w:r>
    </w:p>
    <w:p w14:paraId="5B5F9C30" w14:textId="77777777" w:rsidR="00254F87" w:rsidRDefault="00254F87" w:rsidP="00C9623F">
      <w:pPr>
        <w:pStyle w:val="Caption"/>
      </w:pPr>
      <w:bookmarkStart w:id="168" w:name="_Toc499547494"/>
      <w:bookmarkStart w:id="169" w:name="_Toc508972173"/>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24</w:t>
      </w:r>
      <w:r w:rsidR="008079F1">
        <w:rPr>
          <w:noProof/>
        </w:rPr>
        <w:fldChar w:fldCharType="end"/>
      </w:r>
      <w:r>
        <w:t xml:space="preserve"> General and social characteristics of the land overlying the Clarence-Moreton Basin.</w:t>
      </w:r>
      <w:bookmarkEnd w:id="168"/>
      <w:bookmarkEnd w:id="169"/>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254F87" w14:paraId="22813901"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7DF7B254" w14:textId="77777777" w:rsidR="00254F87" w:rsidRDefault="00254F87">
            <w:pPr>
              <w:pStyle w:val="TableTextLeft"/>
            </w:pPr>
            <w:r>
              <w:t>GENERAL CHARACTERISTICS</w:t>
            </w:r>
          </w:p>
        </w:tc>
      </w:tr>
      <w:tr w:rsidR="00254F87" w14:paraId="552D85E9"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527491D6" w14:textId="77777777" w:rsidR="00254F87" w:rsidRDefault="00254F87">
            <w:pPr>
              <w:pStyle w:val="TableTextLeft"/>
            </w:pPr>
            <w:r>
              <w:t>Population</w:t>
            </w:r>
          </w:p>
        </w:tc>
        <w:tc>
          <w:tcPr>
            <w:tcW w:w="2421" w:type="pct"/>
          </w:tcPr>
          <w:p w14:paraId="5D0B9A9A"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pPr>
            <w:r>
              <w:t>1,000,378</w:t>
            </w:r>
          </w:p>
          <w:p w14:paraId="2136FA50"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pPr>
          </w:p>
        </w:tc>
      </w:tr>
      <w:tr w:rsidR="00254F87" w14:paraId="3234B16C"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4E7713FC" w14:textId="77777777" w:rsidR="00254F87" w:rsidRDefault="00254F87">
            <w:pPr>
              <w:pStyle w:val="TableTextLeft"/>
            </w:pPr>
            <w:r>
              <w:t>Major population centres (Top two)</w:t>
            </w:r>
          </w:p>
        </w:tc>
        <w:tc>
          <w:tcPr>
            <w:tcW w:w="2421" w:type="pct"/>
            <w:hideMark/>
          </w:tcPr>
          <w:p w14:paraId="49468A4E"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pPr>
            <w:r>
              <w:t>Brisbane suburbs, Toowoomba</w:t>
            </w:r>
          </w:p>
        </w:tc>
      </w:tr>
      <w:tr w:rsidR="00254F87" w14:paraId="1E0AE150"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A8742F8" w14:textId="77777777" w:rsidR="00254F87" w:rsidRDefault="00254F87">
            <w:pPr>
              <w:pStyle w:val="TableTextLeft"/>
            </w:pPr>
            <w:r>
              <w:t>Land use types</w:t>
            </w:r>
          </w:p>
          <w:p w14:paraId="2220E98E" w14:textId="77777777" w:rsidR="00254F87" w:rsidRDefault="00254F87">
            <w:pPr>
              <w:pStyle w:val="TableTextLeft"/>
            </w:pPr>
            <w:r>
              <w:t>Top five by area</w:t>
            </w:r>
          </w:p>
          <w:p w14:paraId="63ACAEAC" w14:textId="77777777" w:rsidR="00254F87" w:rsidRDefault="00254F87">
            <w:pPr>
              <w:pStyle w:val="TableTextLeft"/>
            </w:pPr>
            <w:r>
              <w:t>(area</w:t>
            </w:r>
            <w:r>
              <w:rPr>
                <w:rStyle w:val="Emphasis"/>
                <w:rFonts w:eastAsia="Calibri"/>
              </w:rPr>
              <w:t> km</w:t>
            </w:r>
            <w:r>
              <w:rPr>
                <w:vertAlign w:val="superscript"/>
              </w:rPr>
              <w:t>2</w:t>
            </w:r>
            <w:r>
              <w:t>)</w:t>
            </w:r>
          </w:p>
        </w:tc>
        <w:tc>
          <w:tcPr>
            <w:tcW w:w="2421" w:type="pct"/>
            <w:hideMark/>
          </w:tcPr>
          <w:tbl>
            <w:tblPr>
              <w:tblW w:w="4200" w:type="dxa"/>
              <w:tblLook w:val="04A0" w:firstRow="1" w:lastRow="0" w:firstColumn="1" w:lastColumn="0" w:noHBand="0" w:noVBand="1"/>
            </w:tblPr>
            <w:tblGrid>
              <w:gridCol w:w="2622"/>
              <w:gridCol w:w="1578"/>
            </w:tblGrid>
            <w:tr w:rsidR="00254F87" w14:paraId="55E9F373" w14:textId="77777777" w:rsidTr="00A409C0">
              <w:trPr>
                <w:trHeight w:val="300"/>
              </w:trPr>
              <w:tc>
                <w:tcPr>
                  <w:tcW w:w="2620" w:type="dxa"/>
                  <w:tcBorders>
                    <w:top w:val="single" w:sz="4" w:space="0" w:color="auto"/>
                    <w:left w:val="nil"/>
                    <w:bottom w:val="nil"/>
                    <w:right w:val="nil"/>
                  </w:tcBorders>
                  <w:noWrap/>
                  <w:vAlign w:val="center"/>
                  <w:hideMark/>
                </w:tcPr>
                <w:p w14:paraId="72B5DE43" w14:textId="77777777" w:rsidR="00254F87" w:rsidRDefault="00254F87">
                  <w:pPr>
                    <w:pStyle w:val="TableTextLeft"/>
                  </w:pPr>
                  <w:r>
                    <w:t>Grazing native vegetation</w:t>
                  </w:r>
                </w:p>
              </w:tc>
              <w:tc>
                <w:tcPr>
                  <w:tcW w:w="1576" w:type="dxa"/>
                  <w:tcBorders>
                    <w:top w:val="single" w:sz="4" w:space="0" w:color="auto"/>
                    <w:left w:val="nil"/>
                    <w:bottom w:val="nil"/>
                    <w:right w:val="nil"/>
                  </w:tcBorders>
                  <w:noWrap/>
                  <w:vAlign w:val="center"/>
                  <w:hideMark/>
                </w:tcPr>
                <w:p w14:paraId="461CB21E" w14:textId="77777777" w:rsidR="00254F87" w:rsidRDefault="00254F87" w:rsidP="000350BE">
                  <w:pPr>
                    <w:pStyle w:val="TableTextRight0"/>
                  </w:pPr>
                  <w:r>
                    <w:t>12,515</w:t>
                  </w:r>
                </w:p>
              </w:tc>
            </w:tr>
            <w:tr w:rsidR="00254F87" w14:paraId="52DA07ED" w14:textId="77777777" w:rsidTr="00A409C0">
              <w:trPr>
                <w:trHeight w:val="300"/>
              </w:trPr>
              <w:tc>
                <w:tcPr>
                  <w:tcW w:w="2620" w:type="dxa"/>
                  <w:noWrap/>
                  <w:vAlign w:val="center"/>
                  <w:hideMark/>
                </w:tcPr>
                <w:p w14:paraId="0B2D78B8" w14:textId="77777777" w:rsidR="00254F87" w:rsidRDefault="00254F87">
                  <w:pPr>
                    <w:pStyle w:val="TableTextLeft"/>
                  </w:pPr>
                  <w:r>
                    <w:t>Grazing modified pastures</w:t>
                  </w:r>
                </w:p>
              </w:tc>
              <w:tc>
                <w:tcPr>
                  <w:tcW w:w="1576" w:type="dxa"/>
                  <w:noWrap/>
                  <w:vAlign w:val="center"/>
                  <w:hideMark/>
                </w:tcPr>
                <w:p w14:paraId="6A7CDA92" w14:textId="77777777" w:rsidR="00254F87" w:rsidRDefault="00254F87" w:rsidP="000350BE">
                  <w:pPr>
                    <w:pStyle w:val="TableTextRight0"/>
                  </w:pPr>
                  <w:r>
                    <w:t>6,230</w:t>
                  </w:r>
                </w:p>
              </w:tc>
            </w:tr>
            <w:tr w:rsidR="00254F87" w14:paraId="258EBD32" w14:textId="77777777" w:rsidTr="00A409C0">
              <w:trPr>
                <w:trHeight w:val="300"/>
              </w:trPr>
              <w:tc>
                <w:tcPr>
                  <w:tcW w:w="2620" w:type="dxa"/>
                  <w:noWrap/>
                  <w:vAlign w:val="center"/>
                  <w:hideMark/>
                </w:tcPr>
                <w:p w14:paraId="116EF6BA" w14:textId="77777777" w:rsidR="00254F87" w:rsidRDefault="00254F87">
                  <w:pPr>
                    <w:pStyle w:val="TableTextLeft"/>
                  </w:pPr>
                  <w:r>
                    <w:t>Dryland cropping</w:t>
                  </w:r>
                </w:p>
              </w:tc>
              <w:tc>
                <w:tcPr>
                  <w:tcW w:w="1576" w:type="dxa"/>
                  <w:noWrap/>
                  <w:vAlign w:val="center"/>
                  <w:hideMark/>
                </w:tcPr>
                <w:p w14:paraId="68FBF910" w14:textId="77777777" w:rsidR="00254F87" w:rsidRDefault="00254F87" w:rsidP="000350BE">
                  <w:pPr>
                    <w:pStyle w:val="TableTextRight0"/>
                  </w:pPr>
                  <w:r>
                    <w:t>5,413</w:t>
                  </w:r>
                </w:p>
              </w:tc>
            </w:tr>
            <w:tr w:rsidR="00254F87" w14:paraId="40B9F20D" w14:textId="77777777" w:rsidTr="00A409C0">
              <w:trPr>
                <w:trHeight w:val="300"/>
              </w:trPr>
              <w:tc>
                <w:tcPr>
                  <w:tcW w:w="2620" w:type="dxa"/>
                  <w:noWrap/>
                  <w:vAlign w:val="center"/>
                  <w:hideMark/>
                </w:tcPr>
                <w:p w14:paraId="6FFCED98" w14:textId="77777777" w:rsidR="00254F87" w:rsidRDefault="00254F87">
                  <w:pPr>
                    <w:pStyle w:val="TableTextLeft"/>
                  </w:pPr>
                  <w:r>
                    <w:t>Minimal use</w:t>
                  </w:r>
                </w:p>
              </w:tc>
              <w:tc>
                <w:tcPr>
                  <w:tcW w:w="1576" w:type="dxa"/>
                  <w:noWrap/>
                  <w:vAlign w:val="center"/>
                  <w:hideMark/>
                </w:tcPr>
                <w:p w14:paraId="5533D688" w14:textId="77777777" w:rsidR="00254F87" w:rsidRDefault="00254F87" w:rsidP="000350BE">
                  <w:pPr>
                    <w:pStyle w:val="TableTextRight0"/>
                  </w:pPr>
                  <w:r>
                    <w:t>3,901</w:t>
                  </w:r>
                </w:p>
              </w:tc>
            </w:tr>
            <w:tr w:rsidR="00254F87" w14:paraId="0AD73E5E" w14:textId="77777777" w:rsidTr="00A409C0">
              <w:trPr>
                <w:trHeight w:val="300"/>
              </w:trPr>
              <w:tc>
                <w:tcPr>
                  <w:tcW w:w="2620" w:type="dxa"/>
                  <w:noWrap/>
                  <w:vAlign w:val="center"/>
                  <w:hideMark/>
                </w:tcPr>
                <w:p w14:paraId="3887C3FA" w14:textId="77777777" w:rsidR="00254F87" w:rsidRDefault="00254F87">
                  <w:pPr>
                    <w:pStyle w:val="TableTextLeft"/>
                  </w:pPr>
                  <w:r>
                    <w:t>Nature Conservation</w:t>
                  </w:r>
                </w:p>
              </w:tc>
              <w:tc>
                <w:tcPr>
                  <w:tcW w:w="1576" w:type="dxa"/>
                  <w:noWrap/>
                  <w:vAlign w:val="center"/>
                  <w:hideMark/>
                </w:tcPr>
                <w:p w14:paraId="4B760CD6" w14:textId="77777777" w:rsidR="00254F87" w:rsidRDefault="00254F87" w:rsidP="000350BE">
                  <w:pPr>
                    <w:pStyle w:val="TableTextRight0"/>
                  </w:pPr>
                  <w:r>
                    <w:t>2,879</w:t>
                  </w:r>
                </w:p>
              </w:tc>
            </w:tr>
          </w:tbl>
          <w:p w14:paraId="7E8060B4"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pPr>
          </w:p>
        </w:tc>
      </w:tr>
      <w:tr w:rsidR="00254F87" w14:paraId="6E72C2CC"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2728092" w14:textId="77777777" w:rsidR="00254F87" w:rsidRDefault="00254F87">
            <w:pPr>
              <w:pStyle w:val="TableTextLeft"/>
            </w:pPr>
            <w:r>
              <w:t>Aboriginal Protected Area (CAPAD 2016) and Native title (area km</w:t>
            </w:r>
            <w:r>
              <w:rPr>
                <w:vertAlign w:val="superscript"/>
              </w:rPr>
              <w:t>2</w:t>
            </w:r>
            <w:r>
              <w:t>)</w:t>
            </w:r>
          </w:p>
        </w:tc>
        <w:tc>
          <w:tcPr>
            <w:tcW w:w="2421" w:type="pct"/>
          </w:tcPr>
          <w:p w14:paraId="1DBB37F5"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pPr>
            <w:r>
              <w:t>1,954</w:t>
            </w:r>
          </w:p>
          <w:p w14:paraId="325E8074" w14:textId="77777777" w:rsidR="00254F87" w:rsidRDefault="00254F87">
            <w:pPr>
              <w:pStyle w:val="TableTextLeft"/>
              <w:cnfStyle w:val="100000000000" w:firstRow="1" w:lastRow="0" w:firstColumn="0" w:lastColumn="0" w:oddVBand="0" w:evenVBand="0" w:oddHBand="0" w:evenHBand="0" w:firstRowFirstColumn="0" w:firstRowLastColumn="0" w:lastRowFirstColumn="0" w:lastRowLastColumn="0"/>
            </w:pPr>
          </w:p>
        </w:tc>
      </w:tr>
    </w:tbl>
    <w:p w14:paraId="43A7F216" w14:textId="77777777" w:rsidR="00254F87" w:rsidRDefault="00254F87" w:rsidP="000520F9">
      <w:pPr>
        <w:pStyle w:val="BodyText"/>
      </w:pPr>
    </w:p>
    <w:p w14:paraId="1B82333A" w14:textId="77777777" w:rsidR="008B38C1" w:rsidRDefault="008B38C1" w:rsidP="000520F9">
      <w:pPr>
        <w:pStyle w:val="BodyText"/>
      </w:pPr>
      <w:r>
        <w:br w:type="page"/>
      </w:r>
    </w:p>
    <w:p w14:paraId="6CF3F476" w14:textId="77777777" w:rsidR="008B38C1" w:rsidRDefault="008B38C1" w:rsidP="00035C4A">
      <w:pPr>
        <w:pStyle w:val="Heading3notnumbered"/>
      </w:pPr>
      <w:bookmarkStart w:id="170" w:name="_Toc517161150"/>
      <w:r>
        <w:lastRenderedPageBreak/>
        <w:t>Key references</w:t>
      </w:r>
      <w:bookmarkEnd w:id="170"/>
    </w:p>
    <w:p w14:paraId="5A5EF1B0" w14:textId="77777777" w:rsidR="00727542" w:rsidRDefault="00727542" w:rsidP="00727542">
      <w:pPr>
        <w:pStyle w:val="References"/>
      </w:pPr>
      <w:r>
        <w:t>AER (Australian Energy Regulator) (2017) State of the energy market, May 2017. Viewed 16/01/2018, &lt;</w:t>
      </w:r>
      <w:hyperlink r:id="rId202" w:history="1">
        <w:r w:rsidRPr="00165029">
          <w:rPr>
            <w:rStyle w:val="Hyperlink"/>
          </w:rPr>
          <w:t>https://www.aer.gov.au/publications/state-of-the-energy-market-reports/state-of-the-energy-market-may-2017</w:t>
        </w:r>
      </w:hyperlink>
      <w:r>
        <w:t>&gt;.</w:t>
      </w:r>
    </w:p>
    <w:p w14:paraId="6C381588" w14:textId="77777777" w:rsidR="00727542" w:rsidRDefault="00727542" w:rsidP="00727542">
      <w:pPr>
        <w:pStyle w:val="References"/>
      </w:pPr>
      <w:r>
        <w:t>APPEA (2017) Shale g</w:t>
      </w:r>
      <w:r w:rsidRPr="00985702">
        <w:t>as in Australia</w:t>
      </w:r>
      <w:r>
        <w:t>. Viewed 15/01/2018,</w:t>
      </w:r>
      <w:r w:rsidRPr="00985702">
        <w:t xml:space="preserve"> </w:t>
      </w:r>
      <w:r>
        <w:t>&lt;</w:t>
      </w:r>
      <w:hyperlink r:id="rId203" w:history="1">
        <w:r w:rsidRPr="000E4EFC">
          <w:rPr>
            <w:rStyle w:val="Hyperlink"/>
          </w:rPr>
          <w:t>https://www.shale-gas.com.au/environment/regulation-and-licensing/</w:t>
        </w:r>
      </w:hyperlink>
      <w:r>
        <w:t>&gt;.</w:t>
      </w:r>
    </w:p>
    <w:p w14:paraId="716E261B" w14:textId="77777777" w:rsidR="00727542" w:rsidRPr="00150F31" w:rsidRDefault="00727542" w:rsidP="00727542">
      <w:pPr>
        <w:pStyle w:val="References"/>
      </w:pPr>
      <w:r w:rsidRPr="00150F31">
        <w:t>AWT International</w:t>
      </w:r>
      <w:r>
        <w:t xml:space="preserve"> (</w:t>
      </w:r>
      <w:r w:rsidRPr="00150F31">
        <w:t>2013</w:t>
      </w:r>
      <w:r>
        <w:t xml:space="preserve">) </w:t>
      </w:r>
      <w:r w:rsidRPr="00150F31">
        <w:t>Shale Gas Prospectivity Potential Report prepared for the Australian Council of Learned Academies (ACOLA</w:t>
      </w:r>
      <w:r>
        <w:t xml:space="preserve">) </w:t>
      </w:r>
      <w:r w:rsidRPr="00150F31">
        <w:t>54 p.</w:t>
      </w:r>
    </w:p>
    <w:p w14:paraId="44B8EFDD" w14:textId="77777777" w:rsidR="00923F1B" w:rsidRDefault="00923F1B" w:rsidP="00923F1B">
      <w:pPr>
        <w:pStyle w:val="References"/>
      </w:pPr>
      <w:r>
        <w:t>BoM (Bureau of Meteorology) (2014) Australian Hydrological Geospatial Fabric (“Geofabric”), version 2.1.1. Viewed 02/08/2017, &lt;</w:t>
      </w:r>
      <w:hyperlink r:id="rId204" w:history="1">
        <w:r w:rsidRPr="00DA1EAB">
          <w:rPr>
            <w:rStyle w:val="Hyperlink"/>
          </w:rPr>
          <w:t>http://www.bom.gov.au/water/geofabric/download.shtml</w:t>
        </w:r>
      </w:hyperlink>
      <w:r>
        <w:t>&gt;.</w:t>
      </w:r>
    </w:p>
    <w:p w14:paraId="5FBF57F0" w14:textId="6A3F2F63" w:rsidR="00B221F1" w:rsidRDefault="00B221F1" w:rsidP="00B221F1">
      <w:pPr>
        <w:pStyle w:val="References"/>
      </w:pPr>
      <w:r>
        <w:t>BoM</w:t>
      </w:r>
      <w:r w:rsidR="006B4EAA">
        <w:t xml:space="preserve"> (Bureau of Meteorology) (2016)</w:t>
      </w:r>
      <w:r>
        <w:t xml:space="preserve"> National Groundwater Information System, v.1.3. Viewed 07/07/2017, &lt;</w:t>
      </w:r>
      <w:hyperlink r:id="rId205" w:history="1">
        <w:r w:rsidRPr="00DA1EAB">
          <w:rPr>
            <w:rStyle w:val="Hyperlink"/>
          </w:rPr>
          <w:t>http://www.bom.gov.au/water/groundwater/ngis/</w:t>
        </w:r>
      </w:hyperlink>
      <w:r>
        <w:t>&gt;.</w:t>
      </w:r>
    </w:p>
    <w:p w14:paraId="6E5258A5" w14:textId="2C95A464" w:rsidR="008B38C1" w:rsidRDefault="008B38C1" w:rsidP="008B38C1">
      <w:pPr>
        <w:pStyle w:val="References"/>
      </w:pPr>
      <w:r>
        <w:t xml:space="preserve">Brodie RS, Green R </w:t>
      </w:r>
      <w:r w:rsidR="00DD43E4">
        <w:t xml:space="preserve">and </w:t>
      </w:r>
      <w:r>
        <w:t xml:space="preserve">Graham M </w:t>
      </w:r>
      <w:r w:rsidR="00923F1B">
        <w:t>(</w:t>
      </w:r>
      <w:r>
        <w:t>2002</w:t>
      </w:r>
      <w:r w:rsidR="00923F1B">
        <w:t>)</w:t>
      </w:r>
      <w:r>
        <w:t xml:space="preserve"> Mapping groundwater-dependent ecosystems: a case study in the fractured basalt aquifers of the Alstonville Plateau. In New South Wales, Australia. Proceedings of the IAH 2002 Conference, Darwin.</w:t>
      </w:r>
    </w:p>
    <w:p w14:paraId="0137B4C5" w14:textId="77777777" w:rsidR="00923F1B" w:rsidRPr="00356E9E" w:rsidRDefault="00923F1B" w:rsidP="00923F1B">
      <w:pPr>
        <w:pStyle w:val="References"/>
      </w:pPr>
      <w:r>
        <w:t xml:space="preserve">CAPAD (2016) </w:t>
      </w:r>
      <w:r w:rsidRPr="00356E9E">
        <w:t>Collaborative Australia</w:t>
      </w:r>
      <w:r>
        <w:t>n Protected Area Database, 2016 S</w:t>
      </w:r>
      <w:r w:rsidRPr="00356E9E">
        <w:t>patial dataset provided from the Departmen</w:t>
      </w:r>
      <w:r>
        <w:t>t of the Environment and Energy.</w:t>
      </w:r>
      <w:r w:rsidRPr="00356E9E">
        <w:t xml:space="preserve"> </w:t>
      </w:r>
      <w:r>
        <w:t>Viewed 18/07/2017, &lt;</w:t>
      </w:r>
      <w:hyperlink r:id="rId206" w:history="1">
        <w:r w:rsidRPr="00456161">
          <w:rPr>
            <w:rStyle w:val="Hyperlink"/>
          </w:rPr>
          <w:t>https://www.environment.gov.au/land/nrs/science/capad/2016</w:t>
        </w:r>
      </w:hyperlink>
      <w:r>
        <w:t>&gt;.</w:t>
      </w:r>
      <w:r w:rsidRPr="00356E9E">
        <w:t xml:space="preserve"> </w:t>
      </w:r>
    </w:p>
    <w:p w14:paraId="1F53319C" w14:textId="5BB79138" w:rsidR="008B38C1" w:rsidRDefault="008B38C1" w:rsidP="008B38C1">
      <w:pPr>
        <w:pStyle w:val="References"/>
      </w:pPr>
      <w:r>
        <w:t xml:space="preserve">Core </w:t>
      </w:r>
      <w:r w:rsidR="00923F1B">
        <w:t>(</w:t>
      </w:r>
      <w:r>
        <w:t>2014</w:t>
      </w:r>
      <w:r w:rsidR="00923F1B">
        <w:t>)</w:t>
      </w:r>
      <w:r>
        <w:t xml:space="preserve"> Gas reserves and resources, eastern and southeastern Australia. Core Energy Group report to the Australian Energy Market Operator.</w:t>
      </w:r>
      <w:r w:rsidR="00923F1B">
        <w:t xml:space="preserve"> Viewed 09/08/2017, </w:t>
      </w:r>
      <w:r>
        <w:t xml:space="preserve"> </w:t>
      </w:r>
      <w:r w:rsidR="00923F1B">
        <w:t>&lt;</w:t>
      </w:r>
      <w:hyperlink r:id="rId207" w:history="1">
        <w:r w:rsidR="00923F1B" w:rsidRPr="003E47FE">
          <w:rPr>
            <w:rStyle w:val="Hyperlink"/>
          </w:rPr>
          <w:t>https://www.aemo.com.au/-/media/Files/Gas/National_Planning_and_Forecasting/GSOO/2015/Core--Gas-Reserves-and-Resources.pdf</w:t>
        </w:r>
      </w:hyperlink>
      <w:r w:rsidR="00923F1B">
        <w:rPr>
          <w:rStyle w:val="Hyperlink"/>
        </w:rPr>
        <w:t>&gt;.</w:t>
      </w:r>
    </w:p>
    <w:p w14:paraId="55A2F0A8" w14:textId="2EA7420C" w:rsidR="008B38C1" w:rsidRDefault="00A51CEF" w:rsidP="008B38C1">
      <w:pPr>
        <w:pStyle w:val="References"/>
      </w:pPr>
      <w:r>
        <w:t>DNRM (</w:t>
      </w:r>
      <w:r w:rsidR="008B38C1">
        <w:t>Department of Natural Resources and Mines</w:t>
      </w:r>
      <w:r>
        <w:t>)</w:t>
      </w:r>
      <w:r w:rsidR="008B38C1">
        <w:t xml:space="preserve"> </w:t>
      </w:r>
      <w:r w:rsidR="00923F1B">
        <w:t>(</w:t>
      </w:r>
      <w:r w:rsidR="008B38C1">
        <w:t>2012</w:t>
      </w:r>
      <w:r w:rsidR="00923F1B">
        <w:t>)</w:t>
      </w:r>
      <w:r w:rsidR="008B38C1">
        <w:t xml:space="preserve"> Upper Condamine Alluviums groundwater system, Background summary. </w:t>
      </w:r>
      <w:r w:rsidR="00923F1B">
        <w:t>Viewed 18/07/2017, &lt;</w:t>
      </w:r>
      <w:hyperlink r:id="rId208" w:history="1">
        <w:r w:rsidR="008B38C1" w:rsidRPr="00A576A0">
          <w:rPr>
            <w:rStyle w:val="Hyperlink"/>
          </w:rPr>
          <w:t>https://www.dnrm.qld.gov.au/__data/assets/pdf_file/0003/104844/upper-condamine-alluvium-</w:t>
        </w:r>
      </w:hyperlink>
      <w:r w:rsidR="008B38C1" w:rsidRPr="00A576A0">
        <w:rPr>
          <w:rStyle w:val="Hyperlink"/>
        </w:rPr>
        <w:t>factsheet.pdf</w:t>
      </w:r>
      <w:r w:rsidR="00923F1B">
        <w:rPr>
          <w:rStyle w:val="Hyperlink"/>
        </w:rPr>
        <w:t>&gt;.</w:t>
      </w:r>
    </w:p>
    <w:p w14:paraId="2F75EEB6" w14:textId="77777777" w:rsidR="00B221F1" w:rsidRDefault="00B221F1" w:rsidP="00B221F1">
      <w:pPr>
        <w:pStyle w:val="References"/>
      </w:pPr>
      <w:r>
        <w:t>DNRME (Department of Natural Resources, Mines and Energy) (2017a) Petroleum well locations – Queensland. Viewed 23/07/2017, &lt;</w:t>
      </w:r>
      <w:hyperlink r:id="rId209" w:history="1">
        <w:r w:rsidRPr="00E46720">
          <w:rPr>
            <w:rStyle w:val="Hyperlink"/>
          </w:rPr>
          <w:t>http://qldspatial.information.qld.gov.au/catalogue/custom/detail.page?fid=%7bCBBE665F-60A8-4116-87C8-AEBF0D21B97C%7d</w:t>
        </w:r>
      </w:hyperlink>
      <w:r>
        <w:t>&gt;.</w:t>
      </w:r>
    </w:p>
    <w:p w14:paraId="5A538313" w14:textId="77777777" w:rsidR="00B221F1" w:rsidRDefault="00B221F1" w:rsidP="00B221F1">
      <w:pPr>
        <w:pStyle w:val="References"/>
      </w:pPr>
      <w:r>
        <w:t>DNRME (Department of Natural Resources, Mines and Energy) (2017b) Seismic survey 2D – Queensland</w:t>
      </w:r>
      <w:r>
        <w:rPr>
          <w:b/>
        </w:rPr>
        <w:t xml:space="preserve">. </w:t>
      </w:r>
      <w:r>
        <w:t>Viewed 23/07/2017, &lt;</w:t>
      </w:r>
      <w:hyperlink r:id="rId210" w:history="1">
        <w:r w:rsidRPr="0065740D">
          <w:rPr>
            <w:rStyle w:val="Hyperlink"/>
          </w:rPr>
          <w:t>http://qldspatial.information.qld.gov.au/catalogue/custom/index.page</w:t>
        </w:r>
      </w:hyperlink>
      <w:r>
        <w:t>&gt;.</w:t>
      </w:r>
    </w:p>
    <w:p w14:paraId="3D8C0A8B" w14:textId="77777777" w:rsidR="00B221F1" w:rsidRDefault="00B221F1" w:rsidP="00B221F1">
      <w:pPr>
        <w:pStyle w:val="References"/>
      </w:pPr>
      <w:r>
        <w:lastRenderedPageBreak/>
        <w:t>DNRME (Department of Natural Resources, Mines and Energy) (2017c) Seismic survey 3D – Queensland. Viewed 23/07/2017, &lt;</w:t>
      </w:r>
      <w:hyperlink r:id="rId211" w:history="1">
        <w:r w:rsidRPr="0065740D">
          <w:rPr>
            <w:rStyle w:val="Hyperlink"/>
          </w:rPr>
          <w:t>http://qldspatial.information.qld.gov.au/catalogue/custom/index.page</w:t>
        </w:r>
      </w:hyperlink>
      <w:r>
        <w:rPr>
          <w:rStyle w:val="Hyperlink"/>
        </w:rPr>
        <w:t>&gt;</w:t>
      </w:r>
      <w:r>
        <w:t>.</w:t>
      </w:r>
    </w:p>
    <w:p w14:paraId="407D5DBF" w14:textId="77777777" w:rsidR="00B221F1" w:rsidRDefault="00B221F1" w:rsidP="00B221F1">
      <w:pPr>
        <w:pStyle w:val="References"/>
      </w:pPr>
      <w:r>
        <w:t>DNRME (Department of Natural Resources, Mines and Energy) (2017d) Seismic survey deep – Queensland. Viewed 23/07/2017, &lt;</w:t>
      </w:r>
      <w:hyperlink r:id="rId212" w:history="1">
        <w:r w:rsidRPr="0065740D">
          <w:rPr>
            <w:rStyle w:val="Hyperlink"/>
          </w:rPr>
          <w:t>http://qldspatial.information.qld.gov.au/catalogue/custom/index.page</w:t>
        </w:r>
      </w:hyperlink>
      <w:r>
        <w:rPr>
          <w:rStyle w:val="Hyperlink"/>
        </w:rPr>
        <w:t>&gt;</w:t>
      </w:r>
      <w:r>
        <w:t>.</w:t>
      </w:r>
    </w:p>
    <w:p w14:paraId="49BFB045" w14:textId="77777777" w:rsidR="00261E97" w:rsidRDefault="00261E97" w:rsidP="00261E97">
      <w:pPr>
        <w:pStyle w:val="References"/>
      </w:pPr>
      <w:r>
        <w:t>DREMP (Division of Resources and Energy, Minerals and Petroleum, New South Wales) (2017) Drillholes and wells. Viewed 16/01/2018, &lt;</w:t>
      </w:r>
      <w:hyperlink r:id="rId213" w:history="1">
        <w:r w:rsidRPr="0065740D">
          <w:rPr>
            <w:rStyle w:val="Hyperlink"/>
          </w:rPr>
          <w:t>http://dwh.minerals.nsw.gov.au/CI/warehouse</w:t>
        </w:r>
      </w:hyperlink>
      <w:r>
        <w:rPr>
          <w:rStyle w:val="Hyperlink"/>
        </w:rPr>
        <w:t>&gt;.</w:t>
      </w:r>
    </w:p>
    <w:p w14:paraId="66F745B4" w14:textId="02529E30" w:rsidR="008B38C1" w:rsidRDefault="008B38C1" w:rsidP="008B38C1">
      <w:pPr>
        <w:pStyle w:val="References"/>
      </w:pPr>
      <w:r>
        <w:t xml:space="preserve">Doig A and Stanmore P </w:t>
      </w:r>
      <w:r w:rsidR="00261E97">
        <w:t>(</w:t>
      </w:r>
      <w:r>
        <w:t>2012</w:t>
      </w:r>
      <w:r w:rsidR="00261E97">
        <w:t>)</w:t>
      </w:r>
      <w:r>
        <w:t xml:space="preserve"> The Clarence-Moreton Basin in New South Wales; geology, stratigraphy and coal </w:t>
      </w:r>
      <w:r w:rsidR="00F63931">
        <w:t>seam characteristics. In: Mares</w:t>
      </w:r>
      <w:r>
        <w:t xml:space="preserve"> T (ed</w:t>
      </w:r>
      <w:r w:rsidR="00F63931">
        <w:t>.</w:t>
      </w:r>
      <w:r>
        <w:t>) Eastern Australasian Basins Symposium IV. Petroleum Exploration Society of Australia, Special Publication.</w:t>
      </w:r>
    </w:p>
    <w:p w14:paraId="373A0114" w14:textId="59F57D38" w:rsidR="008B38C1" w:rsidRDefault="008B38C1" w:rsidP="008B38C1">
      <w:pPr>
        <w:pStyle w:val="References"/>
      </w:pPr>
      <w:r>
        <w:t xml:space="preserve">Environmental Hydrology Associates </w:t>
      </w:r>
      <w:r w:rsidR="00261E97">
        <w:t>(</w:t>
      </w:r>
      <w:r>
        <w:t>2008</w:t>
      </w:r>
      <w:r w:rsidR="00261E97">
        <w:t>)</w:t>
      </w:r>
      <w:r>
        <w:t xml:space="preserve"> Tweed District Water Supply Augmentation Options Study: Input to Stage 1 – Identification of Feasible Options – Groundwater Supply. Report prepared for MWH Australia Pty Ltd. Report Number GW-08-02-REP-001 Rev A, 22 July 2008.</w:t>
      </w:r>
    </w:p>
    <w:p w14:paraId="69FFDA5C" w14:textId="07B43D04" w:rsidR="00254F87" w:rsidRDefault="00254F87" w:rsidP="00D15FEC">
      <w:pPr>
        <w:pStyle w:val="References"/>
      </w:pPr>
      <w:r w:rsidRPr="00636FF4">
        <w:t>F</w:t>
      </w:r>
      <w:r w:rsidR="00261E97">
        <w:t>ederal Register of Legislation</w:t>
      </w:r>
      <w:r>
        <w:t xml:space="preserve"> </w:t>
      </w:r>
      <w:r w:rsidR="00261E97">
        <w:t>(</w:t>
      </w:r>
      <w:r w:rsidRPr="00636FF4">
        <w:t>2012</w:t>
      </w:r>
      <w:r w:rsidR="00261E97">
        <w:t>)</w:t>
      </w:r>
      <w:r>
        <w:t xml:space="preserve"> </w:t>
      </w:r>
      <w:r w:rsidRPr="00636FF4">
        <w:t>"Basin Plan 2012", instrument under the Water Act 2007</w:t>
      </w:r>
      <w:r>
        <w:t xml:space="preserve"> (Cwlth)</w:t>
      </w:r>
      <w:r w:rsidRPr="00636FF4">
        <w:t xml:space="preserve">, affecting the Murray-Darling </w:t>
      </w:r>
      <w:r w:rsidR="00261E97">
        <w:t>Basin, compiled 23 January 2017. Viewed 29/09/2017, &lt;</w:t>
      </w:r>
      <w:r w:rsidRPr="00636FF4">
        <w:t xml:space="preserve"> </w:t>
      </w:r>
      <w:hyperlink r:id="rId214" w:history="1">
        <w:r w:rsidRPr="00495DBB">
          <w:rPr>
            <w:rStyle w:val="Hyperlink"/>
          </w:rPr>
          <w:t>https://www.legislation.gov.au/Details/F2017C00078</w:t>
        </w:r>
      </w:hyperlink>
      <w:r w:rsidR="00261E97">
        <w:t>&gt;.</w:t>
      </w:r>
    </w:p>
    <w:p w14:paraId="5F92D184" w14:textId="77777777" w:rsidR="00FE4817" w:rsidRDefault="00FE4817" w:rsidP="00FE4817">
      <w:pPr>
        <w:pStyle w:val="References"/>
      </w:pPr>
      <w:r>
        <w:t xml:space="preserve">GA (Geoscience Australia) (2015a) </w:t>
      </w:r>
      <w:r w:rsidRPr="00093164">
        <w:t>Oil and Gas Infrastructure</w:t>
      </w:r>
      <w:r>
        <w:t>. Viewed 16/01/2018, &lt;</w:t>
      </w:r>
      <w:hyperlink r:id="rId215" w:history="1">
        <w:r w:rsidRPr="0065740D">
          <w:rPr>
            <w:rStyle w:val="Hyperlink"/>
          </w:rPr>
          <w:t>http://services.ga.gov.au/site_9/rest/services/Oil_Gas_Infrastructure/MapServer</w:t>
        </w:r>
      </w:hyperlink>
      <w:r>
        <w:rPr>
          <w:rStyle w:val="Hyperlink"/>
        </w:rPr>
        <w:t>&gt;.</w:t>
      </w:r>
    </w:p>
    <w:p w14:paraId="1E7C94F0" w14:textId="77777777" w:rsidR="00FE4817" w:rsidRDefault="00FE4817" w:rsidP="00FE4817">
      <w:pPr>
        <w:pStyle w:val="References"/>
      </w:pPr>
      <w:r>
        <w:t xml:space="preserve">GA (Geoscience Australia) (2015b) </w:t>
      </w:r>
      <w:r w:rsidRPr="00093164">
        <w:t xml:space="preserve">Oil and Gas </w:t>
      </w:r>
      <w:r>
        <w:t xml:space="preserve">platforms. </w:t>
      </w:r>
      <w:r w:rsidRPr="000C32BC">
        <w:t>Viewed 16/01/2018</w:t>
      </w:r>
      <w:r>
        <w:t>, &lt;</w:t>
      </w:r>
      <w:hyperlink r:id="rId216" w:anchor="!0a4a79dc-978a-0e89-e054-00144fdd4fa6" w:history="1">
        <w:r w:rsidRPr="00743C84">
          <w:rPr>
            <w:rStyle w:val="Hyperlink"/>
          </w:rPr>
          <w:t>https://ecat.ga.gov.au/geonetwork/srv/eng/search#!0a4a79dc-978a-0e89-e054-00144fdd4fa6</w:t>
        </w:r>
      </w:hyperlink>
      <w:r>
        <w:rPr>
          <w:rStyle w:val="Hyperlink"/>
        </w:rPr>
        <w:t>&gt;.</w:t>
      </w:r>
      <w:r>
        <w:t xml:space="preserve"> </w:t>
      </w:r>
    </w:p>
    <w:p w14:paraId="70DC5AED" w14:textId="77777777" w:rsidR="009E0AD8" w:rsidRDefault="009E0AD8" w:rsidP="009E0AD8">
      <w:pPr>
        <w:pStyle w:val="References"/>
      </w:pPr>
      <w:r>
        <w:t>GSNSW (Geological Survey New South Wales) (2017) NSW seismic lines. Viewed 11/08/2017, &lt;</w:t>
      </w:r>
      <w:r w:rsidRPr="00714E8F">
        <w:rPr>
          <w:rStyle w:val="Hyperlink"/>
        </w:rPr>
        <w:t>https://geonetwork.geoscience.nsw.gov.au/geonetwork/srv/eng/catalog.search#/metadata/f8bff11246816b6d8f31305b0b66a7997ff6870b</w:t>
      </w:r>
      <w:r>
        <w:rPr>
          <w:rStyle w:val="Hyperlink"/>
        </w:rPr>
        <w:t>&gt;.</w:t>
      </w:r>
    </w:p>
    <w:p w14:paraId="36B28E1B" w14:textId="5E89D832" w:rsidR="008B38C1" w:rsidRDefault="008B38C1" w:rsidP="008B38C1">
      <w:pPr>
        <w:pStyle w:val="References"/>
      </w:pPr>
      <w:r>
        <w:t xml:space="preserve">Haselwood R, Deighton </w:t>
      </w:r>
      <w:r w:rsidR="009E0AD8">
        <w:t>I</w:t>
      </w:r>
      <w:r>
        <w:t xml:space="preserve"> and Hamilton L </w:t>
      </w:r>
      <w:r w:rsidR="009E0AD8">
        <w:t>(</w:t>
      </w:r>
      <w:r>
        <w:t>2004</w:t>
      </w:r>
      <w:r w:rsidR="009E0AD8">
        <w:t>)</w:t>
      </w:r>
      <w:r>
        <w:t xml:space="preserve"> An appraisal of the hydrocarbon potential of the southeast Clarence-Moreton Basin in Queensland. In: Boult PJ, Johns DR </w:t>
      </w:r>
      <w:r w:rsidR="00AC06BF">
        <w:t xml:space="preserve">and </w:t>
      </w:r>
      <w:r>
        <w:t>Lang SC (</w:t>
      </w:r>
      <w:r w:rsidR="00F52403">
        <w:t>eds</w:t>
      </w:r>
      <w:r>
        <w:t xml:space="preserve">), Eastern Australasian Basins Symposium II. Petroleum Exploration Society of Australia, Special Publication, 331–337. </w:t>
      </w:r>
    </w:p>
    <w:p w14:paraId="7B0266D0" w14:textId="4AB15623" w:rsidR="008B38C1" w:rsidRDefault="008B38C1" w:rsidP="008B38C1">
      <w:pPr>
        <w:pStyle w:val="References"/>
      </w:pPr>
      <w:r>
        <w:t xml:space="preserve">Ingram FT and Robinson VA </w:t>
      </w:r>
      <w:r w:rsidR="009E0AD8">
        <w:t>(</w:t>
      </w:r>
      <w:r>
        <w:t>1996</w:t>
      </w:r>
      <w:r w:rsidR="009E0AD8">
        <w:t>)</w:t>
      </w:r>
      <w:r>
        <w:t xml:space="preserve"> Petroleum prospectivity of the Clarence-Moreton Basin in New South Wales. New South Wales Department of Mineral Resources, Petroleum Bulletin, 3, Sydney.</w:t>
      </w:r>
    </w:p>
    <w:p w14:paraId="262F44EE" w14:textId="182724BB" w:rsidR="008B38C1" w:rsidRDefault="008B38C1" w:rsidP="008B38C1">
      <w:pPr>
        <w:pStyle w:val="References"/>
      </w:pPr>
      <w:r>
        <w:t xml:space="preserve">Jeffrey R </w:t>
      </w:r>
      <w:r w:rsidR="009E0AD8">
        <w:t>(</w:t>
      </w:r>
      <w:r>
        <w:t>2012</w:t>
      </w:r>
      <w:r w:rsidR="009E0AD8">
        <w:t>)</w:t>
      </w:r>
      <w:r>
        <w:t xml:space="preserve"> Hydraulic fracturing for coal seam gas (CSG) stimulation in New South Wales. Report prepared by CSIRO for the Office of the NSW Chief Scientist &amp; Engineer.</w:t>
      </w:r>
      <w:r w:rsidR="004868B7">
        <w:t xml:space="preserve"> Viewed 16/01/2018, &lt;</w:t>
      </w:r>
      <w:hyperlink r:id="rId217" w:history="1">
        <w:r w:rsidRPr="00A576A0">
          <w:rPr>
            <w:rStyle w:val="Hyperlink"/>
          </w:rPr>
          <w:t>http://www.chiefscientist.nsw.gov.au/__data/assets/pdf_file/0005/56849/Report_NSW_OCSE_May2012_FracturingCoal.pdf</w:t>
        </w:r>
      </w:hyperlink>
      <w:r w:rsidR="004868B7">
        <w:rPr>
          <w:rStyle w:val="Hyperlink"/>
        </w:rPr>
        <w:t>&gt;.</w:t>
      </w:r>
    </w:p>
    <w:p w14:paraId="7E74329A" w14:textId="68911CDC" w:rsidR="008B38C1" w:rsidRDefault="008B38C1" w:rsidP="008B38C1">
      <w:pPr>
        <w:pStyle w:val="References"/>
      </w:pPr>
      <w:r>
        <w:lastRenderedPageBreak/>
        <w:t xml:space="preserve">Korsch RJ, O’Brien PE, Sexton MJ, Wake-Dyster KD and Wells AT </w:t>
      </w:r>
      <w:r w:rsidR="004868B7">
        <w:t>(</w:t>
      </w:r>
      <w:r>
        <w:t>1989</w:t>
      </w:r>
      <w:r w:rsidR="004868B7">
        <w:t>)</w:t>
      </w:r>
      <w:r>
        <w:t xml:space="preserve"> Development of Mesozoic transtensional basins in easternmost Australia. Australian Journal of Earth Sciences, 36, 13–28.</w:t>
      </w:r>
    </w:p>
    <w:p w14:paraId="4AC63D79" w14:textId="6CCD2F6B" w:rsidR="008B38C1" w:rsidRDefault="004868B7" w:rsidP="008B38C1">
      <w:pPr>
        <w:pStyle w:val="References"/>
      </w:pPr>
      <w:r>
        <w:t>Metgasco</w:t>
      </w:r>
      <w:r w:rsidR="008B38C1">
        <w:t xml:space="preserve"> </w:t>
      </w:r>
      <w:r>
        <w:t>(</w:t>
      </w:r>
      <w:r w:rsidR="008B38C1">
        <w:t>2011</w:t>
      </w:r>
      <w:r>
        <w:t>)</w:t>
      </w:r>
      <w:r w:rsidR="008B38C1">
        <w:t xml:space="preserve"> Quarterly activities report: quarter ended 31 December 2010. ASX/Media release</w:t>
      </w:r>
      <w:r w:rsidR="00F36407">
        <w:t>. Viewed 22/01/2018,</w:t>
      </w:r>
      <w:r w:rsidR="008B38C1">
        <w:t xml:space="preserve"> </w:t>
      </w:r>
      <w:r w:rsidR="00F36407">
        <w:t>&lt;</w:t>
      </w:r>
      <w:hyperlink r:id="rId218" w:history="1">
        <w:r w:rsidR="008B38C1" w:rsidRPr="00A576A0">
          <w:rPr>
            <w:rStyle w:val="Hyperlink"/>
          </w:rPr>
          <w:t>http://www.asx.com.au/asxpdf/20110131/pdf/41whjc35hlh7cz.pdf</w:t>
        </w:r>
      </w:hyperlink>
      <w:r w:rsidR="00F36407">
        <w:rPr>
          <w:rStyle w:val="Hyperlink"/>
        </w:rPr>
        <w:t>&gt;.</w:t>
      </w:r>
    </w:p>
    <w:p w14:paraId="1FE1304A" w14:textId="3E5290A2" w:rsidR="00254F87" w:rsidRDefault="00254F87" w:rsidP="008B38C1">
      <w:pPr>
        <w:pStyle w:val="References"/>
      </w:pPr>
      <w:r>
        <w:t xml:space="preserve">Metgasco </w:t>
      </w:r>
      <w:r w:rsidR="004868B7">
        <w:t>(</w:t>
      </w:r>
      <w:r>
        <w:t>2014</w:t>
      </w:r>
      <w:r w:rsidR="004868B7">
        <w:t>)</w:t>
      </w:r>
      <w:r>
        <w:t xml:space="preserve"> Metgasco selects rig contractor for Rosella E01. ASX/Media release. </w:t>
      </w:r>
      <w:r w:rsidR="00F36407">
        <w:t>Viewed 22/01/2018, &lt;</w:t>
      </w:r>
      <w:hyperlink r:id="rId219" w:history="1">
        <w:r w:rsidRPr="00A576A0">
          <w:rPr>
            <w:rStyle w:val="Hyperlink"/>
          </w:rPr>
          <w:t>http://www.asx.com.au/asxpdf/20140214/pdf/42mqk629mcldfg.pdf</w:t>
        </w:r>
      </w:hyperlink>
      <w:r w:rsidR="00F36407">
        <w:rPr>
          <w:rStyle w:val="Hyperlink"/>
        </w:rPr>
        <w:t>&gt;.</w:t>
      </w:r>
    </w:p>
    <w:p w14:paraId="6637487E" w14:textId="728F4E7E" w:rsidR="00A576A0" w:rsidRPr="00A576A0" w:rsidRDefault="00A576A0" w:rsidP="00A576A0">
      <w:pPr>
        <w:pStyle w:val="References"/>
      </w:pPr>
      <w:r w:rsidRPr="00A576A0">
        <w:t xml:space="preserve">NSW Chief Scientist and Engineer </w:t>
      </w:r>
      <w:r w:rsidR="00F36407">
        <w:t>(2014)</w:t>
      </w:r>
      <w:r w:rsidRPr="00A576A0">
        <w:t xml:space="preserve"> Independent Review of Coal Seam Gas Activities in NSW. Information paper: Fracture stimulation activities. </w:t>
      </w:r>
      <w:r w:rsidR="00F36407">
        <w:t>Viewed 22/01/2018, &lt;</w:t>
      </w:r>
      <w:hyperlink r:id="rId220" w:history="1">
        <w:r w:rsidR="00F36407" w:rsidRPr="003E47FE">
          <w:rPr>
            <w:rStyle w:val="Hyperlink"/>
          </w:rPr>
          <w:t>http://www.chiefscientist.nsw.gov.au/__data/assets/pdf_file/0008/56924/140930-Final-Fracture-Stimulation.pdf</w:t>
        </w:r>
      </w:hyperlink>
      <w:r w:rsidR="00F36407">
        <w:rPr>
          <w:rStyle w:val="Hyperlink"/>
        </w:rPr>
        <w:t>&gt;.</w:t>
      </w:r>
    </w:p>
    <w:p w14:paraId="0C352681" w14:textId="77777777" w:rsidR="00F36407" w:rsidRDefault="00F36407" w:rsidP="00F36407">
      <w:pPr>
        <w:pStyle w:val="References"/>
        <w:rPr>
          <w:rStyle w:val="Hyperlink"/>
        </w:rPr>
      </w:pPr>
      <w:r>
        <w:t>NSW Government (2012a) NSW Gas Plan: protecting what’s valuable, securing our future. Viewed 16/01/2018, &lt;</w:t>
      </w:r>
      <w:hyperlink r:id="rId221" w:history="1">
        <w:r w:rsidRPr="00A576A0">
          <w:rPr>
            <w:rStyle w:val="Hyperlink"/>
          </w:rPr>
          <w:t>http://www.resourcesandenergy.nsw.gov.au/__data/assets/pdf_file/0005/534830/NSW-Gas-Plan.pdf</w:t>
        </w:r>
      </w:hyperlink>
      <w:r>
        <w:rPr>
          <w:rStyle w:val="Hyperlink"/>
        </w:rPr>
        <w:t>&gt;.</w:t>
      </w:r>
    </w:p>
    <w:p w14:paraId="6E12E70C" w14:textId="77777777" w:rsidR="00F36407" w:rsidRPr="002C2CD1" w:rsidRDefault="00F36407" w:rsidP="00F36407">
      <w:pPr>
        <w:pStyle w:val="References"/>
      </w:pPr>
      <w:r>
        <w:t>NSW Government (2012b) Code of practice for coal seam gas: Fracture stimulation activities. Viewed 16/01/2018, &lt;</w:t>
      </w:r>
      <w:hyperlink r:id="rId222" w:history="1">
        <w:r w:rsidRPr="0065740D">
          <w:rPr>
            <w:rStyle w:val="Hyperlink"/>
          </w:rPr>
          <w:t>http://www.resourcesandenergy.nsw.gov.au/__data/assets/pdf_file/0018/516114/Code-of-Practice-for-Coal-Seam-Gas-Fracture-Stimulation.pdf</w:t>
        </w:r>
      </w:hyperlink>
      <w:r>
        <w:rPr>
          <w:rStyle w:val="Hyperlink"/>
        </w:rPr>
        <w:t>&gt;</w:t>
      </w:r>
      <w:r>
        <w:t>.</w:t>
      </w:r>
    </w:p>
    <w:p w14:paraId="30DF7628" w14:textId="330546BE" w:rsidR="00254F87" w:rsidRDefault="00254F87" w:rsidP="00D15FEC">
      <w:pPr>
        <w:pStyle w:val="References"/>
      </w:pPr>
      <w:r>
        <w:t>NSW Legislation</w:t>
      </w:r>
      <w:r w:rsidR="00F36407">
        <w:t xml:space="preserve"> (20</w:t>
      </w:r>
      <w:r>
        <w:t>10a</w:t>
      </w:r>
      <w:r w:rsidR="00F36407">
        <w:t>)</w:t>
      </w:r>
      <w:r>
        <w:t xml:space="preserve"> "Water Sharing Plan for the Richmond River Area Unregulated, Regulated and Alluvial Water Sources 2010", subordiante legislation under the Water Management Act 2000 (NSW),</w:t>
      </w:r>
      <w:r w:rsidR="00F36407">
        <w:t xml:space="preserve"> current as of 19 February 2016. Viewed 29/09/2017, &lt;</w:t>
      </w:r>
      <w:hyperlink r:id="rId223" w:anchor="/view/subordleg/2010/702/full" w:history="1">
        <w:r w:rsidRPr="00495DBB">
          <w:rPr>
            <w:rStyle w:val="Hyperlink"/>
          </w:rPr>
          <w:t>https://legislation.nsw.gov.au/#/view/subordleg/2010/702/full</w:t>
        </w:r>
      </w:hyperlink>
      <w:r w:rsidR="00F36407">
        <w:t>&gt;.</w:t>
      </w:r>
    </w:p>
    <w:p w14:paraId="07C4B4E0" w14:textId="6C77C6C8" w:rsidR="00254F87" w:rsidRDefault="00254F87" w:rsidP="00D15FEC">
      <w:pPr>
        <w:pStyle w:val="References"/>
      </w:pPr>
      <w:r>
        <w:t>NSW Legislation</w:t>
      </w:r>
      <w:r w:rsidR="00F36407">
        <w:t xml:space="preserve"> (20</w:t>
      </w:r>
      <w:r>
        <w:t>10b</w:t>
      </w:r>
      <w:r w:rsidR="00F36407">
        <w:t>)</w:t>
      </w:r>
      <w:r>
        <w:t xml:space="preserve"> "Water Sharing Plan for the Tweed River Area Unregulated and Alluvial Water Sources 2010", subordinate legislation under the Water Management Act 2000 (NSW)</w:t>
      </w:r>
      <w:r w:rsidR="00F36407">
        <w:t>, current as of 1 October 2011. Viewed 29/09/2017, &lt;</w:t>
      </w:r>
      <w:hyperlink r:id="rId224" w:anchor="/view/regulation/2010/704/full" w:history="1">
        <w:r w:rsidRPr="00495DBB">
          <w:rPr>
            <w:rStyle w:val="Hyperlink"/>
          </w:rPr>
          <w:t>https://legislation.nsw.gov.au/#/view/regulation/2010/704/full</w:t>
        </w:r>
      </w:hyperlink>
      <w:r w:rsidR="00F36407">
        <w:t>&gt;.</w:t>
      </w:r>
    </w:p>
    <w:p w14:paraId="205BAEC6" w14:textId="035693A9" w:rsidR="00254F87" w:rsidRDefault="00254F87" w:rsidP="00D15FEC">
      <w:pPr>
        <w:pStyle w:val="References"/>
      </w:pPr>
      <w:r>
        <w:t>NSW Legislation</w:t>
      </w:r>
      <w:r w:rsidR="00F36407">
        <w:t xml:space="preserve"> (20</w:t>
      </w:r>
      <w:r>
        <w:t>16a</w:t>
      </w:r>
      <w:r w:rsidR="00F36407">
        <w:t>)</w:t>
      </w:r>
      <w:r>
        <w:t>. "Water Sharing Plan for the Clarence River Unregulated and Alluvial Water Sources 2016", subordinate legislation under the Water Management Act 2000 (NSW</w:t>
      </w:r>
      <w:r w:rsidR="00F36407">
        <w:t xml:space="preserve">), current as of 6 January 2017. Viewed 29/09/2017, </w:t>
      </w:r>
      <w:r>
        <w:t xml:space="preserve"> </w:t>
      </w:r>
      <w:r w:rsidR="00F36407">
        <w:t>&lt;</w:t>
      </w:r>
      <w:hyperlink r:id="rId225" w:anchor="/view/subordleg/2016/381/full" w:history="1">
        <w:r w:rsidRPr="00495DBB">
          <w:rPr>
            <w:rStyle w:val="Hyperlink"/>
          </w:rPr>
          <w:t>https://www.legislation.nsw.gov.au/#/view/subordleg/2016/381/full</w:t>
        </w:r>
      </w:hyperlink>
      <w:r w:rsidR="00F36407">
        <w:t>&gt;.</w:t>
      </w:r>
    </w:p>
    <w:p w14:paraId="784C9AA6" w14:textId="4A11C5BD" w:rsidR="00254F87" w:rsidRDefault="00254F87" w:rsidP="00D15FEC">
      <w:pPr>
        <w:pStyle w:val="References"/>
      </w:pPr>
      <w:r>
        <w:t>NSW Legislation</w:t>
      </w:r>
      <w:r w:rsidR="00F36407">
        <w:t xml:space="preserve"> (20</w:t>
      </w:r>
      <w:r>
        <w:t>16b</w:t>
      </w:r>
      <w:r w:rsidR="00F36407">
        <w:t>)</w:t>
      </w:r>
      <w:r>
        <w:t xml:space="preserve"> "Water Sharing Plan for the North Coast Fractured and Porous Rock Groundwater Sources 2016", subordinate legislation under the Water Management Act 2000 (</w:t>
      </w:r>
      <w:r w:rsidR="00F36407">
        <w:t>NSW), current as of 1 July 2016. Viewed 29/09/2017,  &lt;</w:t>
      </w:r>
      <w:hyperlink r:id="rId226" w:anchor="/view/regulation/2016/375/full" w:history="1">
        <w:r w:rsidRPr="00495DBB">
          <w:rPr>
            <w:rStyle w:val="Hyperlink"/>
          </w:rPr>
          <w:t>https://legislation.nsw.gov.au/#/view/regulation/2016/375/full</w:t>
        </w:r>
      </w:hyperlink>
      <w:r w:rsidR="00F36407">
        <w:t>&gt;.</w:t>
      </w:r>
    </w:p>
    <w:p w14:paraId="2DD5BF67" w14:textId="26DBD0D5" w:rsidR="00254F87" w:rsidRDefault="00254F87" w:rsidP="00D15FEC">
      <w:pPr>
        <w:pStyle w:val="References"/>
      </w:pPr>
      <w:r>
        <w:lastRenderedPageBreak/>
        <w:t>NSW Legislation</w:t>
      </w:r>
      <w:r w:rsidR="00F36407">
        <w:t xml:space="preserve"> (20</w:t>
      </w:r>
      <w:r>
        <w:t>16c</w:t>
      </w:r>
      <w:r w:rsidR="00F36407">
        <w:t>)</w:t>
      </w:r>
      <w:r>
        <w:t xml:space="preserve"> "Water Sharing Plan for the Brunswick Unregulated and Alluvial Water Sources 2016", subordinate legislation under the Water Management Act 2000 (NSW</w:t>
      </w:r>
      <w:r w:rsidR="00F36407">
        <w:t>), Current as at 6 January 2017. Viewed 05/12/2017,  &lt;</w:t>
      </w:r>
      <w:hyperlink r:id="rId227" w:anchor="/view/subordleg/2016/386/full" w:history="1">
        <w:r w:rsidRPr="00495DBB">
          <w:rPr>
            <w:rStyle w:val="Hyperlink"/>
          </w:rPr>
          <w:t>https://www.legislation.nsw.gov.au/#/view/subordleg/2016/386/full</w:t>
        </w:r>
      </w:hyperlink>
      <w:r w:rsidR="00F36407">
        <w:t>&gt;.</w:t>
      </w:r>
    </w:p>
    <w:p w14:paraId="7C1C97E0" w14:textId="290E260C" w:rsidR="00254F87" w:rsidRDefault="00254F87" w:rsidP="00D15FEC">
      <w:pPr>
        <w:pStyle w:val="References"/>
      </w:pPr>
      <w:r>
        <w:t>NSW Trade and Investment</w:t>
      </w:r>
      <w:r w:rsidR="00F36407">
        <w:t xml:space="preserve"> (20</w:t>
      </w:r>
      <w:r>
        <w:t>14</w:t>
      </w:r>
      <w:r w:rsidR="00F36407">
        <w:t>)</w:t>
      </w:r>
      <w:r>
        <w:t xml:space="preserve"> PEL 16 Rosella E01 Gas Exploration Well - Suspension of Activity Approval. </w:t>
      </w:r>
      <w:r w:rsidR="00F36407">
        <w:t>Viewed 29/08/2017,  &lt;</w:t>
      </w:r>
      <w:hyperlink r:id="rId228" w:history="1">
        <w:r w:rsidRPr="00A576A0">
          <w:rPr>
            <w:rStyle w:val="Hyperlink"/>
          </w:rPr>
          <w:t>http://www.resourcesandenergy.nsw.gov.au/__data/assets/pdf_file/0006/520368/metgasco-26-jun-2014.pdf</w:t>
        </w:r>
      </w:hyperlink>
      <w:r w:rsidR="00F36407">
        <w:rPr>
          <w:rStyle w:val="Hyperlink"/>
        </w:rPr>
        <w:t>&gt;.</w:t>
      </w:r>
    </w:p>
    <w:p w14:paraId="1204BAC4" w14:textId="3D7BE539" w:rsidR="008B38C1" w:rsidRDefault="008B38C1" w:rsidP="008B38C1">
      <w:pPr>
        <w:pStyle w:val="References"/>
      </w:pPr>
      <w:r>
        <w:t xml:space="preserve">O’Brien PE, Korsch RJ, Wells AT, Sexton MJ </w:t>
      </w:r>
      <w:r w:rsidR="00AC06BF">
        <w:t xml:space="preserve">and </w:t>
      </w:r>
      <w:r>
        <w:t xml:space="preserve">Wake-Dyster K </w:t>
      </w:r>
      <w:r w:rsidR="00F36407">
        <w:t>(</w:t>
      </w:r>
      <w:r>
        <w:t>1994a</w:t>
      </w:r>
      <w:r w:rsidR="00F36407">
        <w:t>)</w:t>
      </w:r>
      <w:r>
        <w:t xml:space="preserve"> Structure and tectonics of the Clarence-Moreton Basin. In: Wells AJ </w:t>
      </w:r>
      <w:r w:rsidR="00AC06BF">
        <w:t xml:space="preserve">and </w:t>
      </w:r>
      <w:r>
        <w:t>O’Brien PE (</w:t>
      </w:r>
      <w:r w:rsidR="00F36407">
        <w:t>eds</w:t>
      </w:r>
      <w:r>
        <w:t>), Geology and petroleum potential of the Clarence-Moreton Basin, New South Wales and Queensland. Australian Geological Survey Organisation, Bulletin, 241, 195–216.</w:t>
      </w:r>
    </w:p>
    <w:p w14:paraId="6C147119" w14:textId="0F1DE194" w:rsidR="00254F87" w:rsidRPr="00960B30" w:rsidRDefault="00254F87" w:rsidP="008B38C1">
      <w:pPr>
        <w:pStyle w:val="References"/>
      </w:pPr>
      <w:r>
        <w:t xml:space="preserve">O’Brien PE, Powell TG and Wells AT </w:t>
      </w:r>
      <w:r w:rsidR="006843F2">
        <w:t>(</w:t>
      </w:r>
      <w:r>
        <w:t>1994b</w:t>
      </w:r>
      <w:r w:rsidR="006843F2">
        <w:t>)</w:t>
      </w:r>
      <w:r>
        <w:t xml:space="preserve"> Petroleum potential of the Clarence-Moreton Basin. In: </w:t>
      </w:r>
      <w:r w:rsidR="006843F2">
        <w:t xml:space="preserve">Wells AJ and O’Brien PE (eds), </w:t>
      </w:r>
      <w:r w:rsidRPr="00960B30">
        <w:t>Geology and petroleum potential of the Clarence-Moreton Basin, New South Wales and Queensland. Australian Geological Survey Organisation, Bulletin, 241, 277–290.</w:t>
      </w:r>
    </w:p>
    <w:p w14:paraId="6743ABC3" w14:textId="5F09B475" w:rsidR="00254F87" w:rsidRDefault="009E619D" w:rsidP="00D15FEC">
      <w:pPr>
        <w:pStyle w:val="References"/>
      </w:pPr>
      <w:r>
        <w:t>OGIA (</w:t>
      </w:r>
      <w:r w:rsidR="00254F87">
        <w:t>Office of Groundwater Impact Assessment</w:t>
      </w:r>
      <w:r>
        <w:t>)</w:t>
      </w:r>
      <w:r w:rsidR="00F36407">
        <w:t xml:space="preserve"> (20</w:t>
      </w:r>
      <w:r w:rsidR="00254F87">
        <w:t>16a</w:t>
      </w:r>
      <w:r w:rsidR="006843F2">
        <w:t>)</w:t>
      </w:r>
      <w:r w:rsidR="00254F87">
        <w:t xml:space="preserve"> Department of Natural Resources Hydrogeological conceptualisation report for the Surat Cumulative Management Area August 2016</w:t>
      </w:r>
      <w:r w:rsidR="00C04254">
        <w:t>.</w:t>
      </w:r>
    </w:p>
    <w:p w14:paraId="2A215665" w14:textId="39E4BFFC" w:rsidR="00254F87" w:rsidRDefault="009E619D" w:rsidP="00D15FEC">
      <w:pPr>
        <w:pStyle w:val="References"/>
      </w:pPr>
      <w:r>
        <w:t>OGIA (</w:t>
      </w:r>
      <w:r w:rsidR="00254F87">
        <w:t>Office of Groundwater Impact Assessment</w:t>
      </w:r>
      <w:r>
        <w:t>)</w:t>
      </w:r>
      <w:r w:rsidR="00F36407">
        <w:t xml:space="preserve"> (20</w:t>
      </w:r>
      <w:r w:rsidR="00254F87">
        <w:t>16b</w:t>
      </w:r>
      <w:r w:rsidR="006843F2">
        <w:t>)</w:t>
      </w:r>
      <w:r w:rsidR="00254F87">
        <w:t xml:space="preserve"> Underground Water Impact Report for the Surat Cumulative Management Area Department of Natural Resources and Mines</w:t>
      </w:r>
      <w:r w:rsidR="00C04254">
        <w:t>.</w:t>
      </w:r>
      <w:r w:rsidR="00254F87">
        <w:t xml:space="preserve"> </w:t>
      </w:r>
    </w:p>
    <w:p w14:paraId="5BFC3283" w14:textId="64BDBDB7" w:rsidR="00254F87" w:rsidRPr="00960B30" w:rsidRDefault="00254F87" w:rsidP="00960B30">
      <w:pPr>
        <w:pStyle w:val="References"/>
      </w:pPr>
      <w:r w:rsidRPr="00960B30">
        <w:t>Pearce BR, McMahon GA and Hansen JWL</w:t>
      </w:r>
      <w:r w:rsidR="00F36407">
        <w:t xml:space="preserve"> (20</w:t>
      </w:r>
      <w:r w:rsidRPr="00960B30">
        <w:t>07</w:t>
      </w:r>
      <w:r w:rsidR="006843F2">
        <w:t>)</w:t>
      </w:r>
      <w:r w:rsidRPr="00960B30">
        <w:t xml:space="preserve"> Hydrogeological investigation of the Bremer River sub-Catchment, southeast Queensland Australia. Water Assessment Group, Department of Natural Resources and Water, Brisbane. QNRM06251.</w:t>
      </w:r>
    </w:p>
    <w:p w14:paraId="752AB2EA" w14:textId="18325D82" w:rsidR="00254F87" w:rsidRDefault="00254F87" w:rsidP="008B38C1">
      <w:pPr>
        <w:pStyle w:val="References"/>
      </w:pPr>
      <w:r w:rsidRPr="00960B30">
        <w:t xml:space="preserve">Powell TG, O’Brien PE and Wells AT </w:t>
      </w:r>
      <w:r w:rsidR="006843F2">
        <w:t>(</w:t>
      </w:r>
      <w:r w:rsidRPr="00960B30">
        <w:t>1993</w:t>
      </w:r>
      <w:r w:rsidR="006843F2">
        <w:t>)</w:t>
      </w:r>
      <w:r w:rsidRPr="00960B30">
        <w:t xml:space="preserve"> Petroleum prospectivity of the Clarence-Moreton Basin, eastern </w:t>
      </w:r>
      <w:r>
        <w:t>Australia: a geochemical perspective. Australian Journal of Earth Sciences, 40(1), 31–44.</w:t>
      </w:r>
    </w:p>
    <w:p w14:paraId="4492CB40" w14:textId="2D1EBA07" w:rsidR="00254F87" w:rsidRDefault="00254F87" w:rsidP="00D15FEC">
      <w:pPr>
        <w:pStyle w:val="References"/>
      </w:pPr>
      <w:r>
        <w:t>Queensland Government</w:t>
      </w:r>
      <w:r w:rsidR="00F36407">
        <w:t xml:space="preserve"> (20</w:t>
      </w:r>
      <w:r>
        <w:t>04</w:t>
      </w:r>
      <w:r w:rsidR="006843F2">
        <w:t>)</w:t>
      </w:r>
      <w:r>
        <w:t xml:space="preserve"> "Water Plan (Condamine and Balonne) 2004", legislation under the Water Act 2000 (Qld), </w:t>
      </w:r>
      <w:r w:rsidR="006843F2">
        <w:t>Current as at 2 September 2017. Viewed 29/09/2017, &lt;</w:t>
      </w:r>
      <w:hyperlink r:id="rId229" w:history="1">
        <w:r w:rsidRPr="00495DBB">
          <w:rPr>
            <w:rStyle w:val="Hyperlink"/>
          </w:rPr>
          <w:t>https://www.legislation.qld.gov.au/view/pdf/inforce/current/sl-2004-0151</w:t>
        </w:r>
      </w:hyperlink>
      <w:r w:rsidR="006843F2">
        <w:t>&gt;.</w:t>
      </w:r>
    </w:p>
    <w:p w14:paraId="4E8C24D9" w14:textId="54F0F4FC" w:rsidR="00254F87" w:rsidRDefault="00254F87" w:rsidP="00D15FEC">
      <w:pPr>
        <w:pStyle w:val="References"/>
      </w:pPr>
      <w:r>
        <w:t>Queensland Government</w:t>
      </w:r>
      <w:r w:rsidR="00F36407">
        <w:t xml:space="preserve"> (20</w:t>
      </w:r>
      <w:r>
        <w:t>06a</w:t>
      </w:r>
      <w:r w:rsidR="006843F2">
        <w:t>)</w:t>
      </w:r>
      <w:r>
        <w:t xml:space="preserve"> “Water Plan (Great Artesian Basin) 2006”, legislation under the Water Act 2000 (</w:t>
      </w:r>
      <w:r w:rsidR="006843F2">
        <w:t xml:space="preserve">Qld), current as at 3 July 2017. Viewed 04/08/2017, </w:t>
      </w:r>
      <w:r>
        <w:t xml:space="preserve"> </w:t>
      </w:r>
      <w:r w:rsidR="006843F2">
        <w:t>&lt;</w:t>
      </w:r>
      <w:hyperlink r:id="rId230" w:history="1">
        <w:r w:rsidRPr="00495DBB">
          <w:rPr>
            <w:rStyle w:val="Hyperlink"/>
          </w:rPr>
          <w:t>https://www.legislation.qld.gov.au/LEGISLTN/CURRENT/W/WaterReGABP06.pdf</w:t>
        </w:r>
      </w:hyperlink>
      <w:r w:rsidR="006843F2">
        <w:t>&gt;.</w:t>
      </w:r>
    </w:p>
    <w:p w14:paraId="716E876C" w14:textId="479DA3B3" w:rsidR="00254F87" w:rsidRDefault="00254F87" w:rsidP="00D15FEC">
      <w:pPr>
        <w:pStyle w:val="References"/>
      </w:pPr>
      <w:r>
        <w:t>Queensland Government</w:t>
      </w:r>
      <w:r w:rsidR="00F36407">
        <w:t xml:space="preserve"> (20</w:t>
      </w:r>
      <w:r>
        <w:t>06b</w:t>
      </w:r>
      <w:r w:rsidR="006843F2">
        <w:t>)</w:t>
      </w:r>
      <w:r>
        <w:t xml:space="preserve"> "Water Resource (Gold Coast) Plan 2006", legislation under the Water Act 2000 (Qld), Reprinted as in force on 4 May 2007, Reprint No. 1A.</w:t>
      </w:r>
      <w:r w:rsidR="006843F2">
        <w:t xml:space="preserve"> Viewed 29/09/2017, &lt;</w:t>
      </w:r>
      <w:hyperlink r:id="rId231" w:history="1">
        <w:r w:rsidRPr="00495DBB">
          <w:rPr>
            <w:rStyle w:val="Hyperlink"/>
          </w:rPr>
          <w:t>https://www.legislation.qld.gov.au/view/pdf/inforce/2007-05-04/sl-2006-0321</w:t>
        </w:r>
      </w:hyperlink>
      <w:r w:rsidR="006843F2">
        <w:t>&gt;.</w:t>
      </w:r>
    </w:p>
    <w:p w14:paraId="384E3E55" w14:textId="3A7B3BF8" w:rsidR="00254F87" w:rsidRDefault="00254F87" w:rsidP="00D15FEC">
      <w:pPr>
        <w:pStyle w:val="References"/>
      </w:pPr>
      <w:r>
        <w:lastRenderedPageBreak/>
        <w:t>Queensland Government</w:t>
      </w:r>
      <w:r w:rsidR="00F36407">
        <w:t xml:space="preserve"> (20</w:t>
      </w:r>
      <w:r>
        <w:t>07a</w:t>
      </w:r>
      <w:r w:rsidR="006843F2">
        <w:t>)</w:t>
      </w:r>
      <w:r>
        <w:t xml:space="preserve"> "Water Plan (Moreton) 2007", legislation under the Water Act 2000 (Qld), </w:t>
      </w:r>
      <w:r w:rsidR="006843F2">
        <w:t xml:space="preserve">current as at 29 September 2017. Viewed 29/09/2017, </w:t>
      </w:r>
      <w:r>
        <w:t xml:space="preserve"> </w:t>
      </w:r>
      <w:r w:rsidR="006843F2">
        <w:t>&lt;</w:t>
      </w:r>
      <w:hyperlink r:id="rId232" w:history="1">
        <w:r w:rsidRPr="00495DBB">
          <w:rPr>
            <w:rStyle w:val="Hyperlink"/>
          </w:rPr>
          <w:t>https://www.legislation.qld.gov.au/view/pdf/inforce/current/sl-2007-0031</w:t>
        </w:r>
      </w:hyperlink>
      <w:r w:rsidR="006843F2">
        <w:t>&gt;.</w:t>
      </w:r>
    </w:p>
    <w:p w14:paraId="2CBA25B6" w14:textId="6F741BF6" w:rsidR="00254F87" w:rsidRDefault="00254F87" w:rsidP="00D15FEC">
      <w:pPr>
        <w:pStyle w:val="References"/>
      </w:pPr>
      <w:r>
        <w:t>Queensland Government</w:t>
      </w:r>
      <w:r w:rsidR="00F36407">
        <w:t xml:space="preserve"> (20</w:t>
      </w:r>
      <w:r>
        <w:t>07b</w:t>
      </w:r>
      <w:r w:rsidR="006843F2">
        <w:t>)</w:t>
      </w:r>
      <w:r>
        <w:t xml:space="preserve"> "Water Resource (Logan Basin) Plan 2007", legislation under the Water Act 2000 (Q</w:t>
      </w:r>
      <w:r w:rsidR="006843F2">
        <w:t>ld), current as at 27 June 2014.</w:t>
      </w:r>
      <w:r>
        <w:t xml:space="preserve"> </w:t>
      </w:r>
      <w:r w:rsidR="006843F2">
        <w:t>Viewed 29/09/2017, &lt;</w:t>
      </w:r>
      <w:hyperlink r:id="rId233" w:history="1">
        <w:r w:rsidRPr="00495DBB">
          <w:rPr>
            <w:rStyle w:val="Hyperlink"/>
          </w:rPr>
          <w:t>https://www.legislation.qld.gov.au/view/pdf/2014-06-27/sl-2007-0025</w:t>
        </w:r>
      </w:hyperlink>
      <w:r w:rsidR="006843F2">
        <w:t>&gt;.</w:t>
      </w:r>
    </w:p>
    <w:p w14:paraId="734BE31E" w14:textId="26AC9641" w:rsidR="00456161" w:rsidRPr="00456161" w:rsidRDefault="00456161" w:rsidP="00456161">
      <w:pPr>
        <w:pStyle w:val="References"/>
      </w:pPr>
      <w:r w:rsidRPr="00456161">
        <w:t>Queensland Government</w:t>
      </w:r>
      <w:r w:rsidR="00F36407">
        <w:t xml:space="preserve"> (20</w:t>
      </w:r>
      <w:r w:rsidR="006843F2">
        <w:t>17)</w:t>
      </w:r>
      <w:r w:rsidRPr="00456161">
        <w:t xml:space="preserve"> Drilling, completion and abandonment of petroleum wells. </w:t>
      </w:r>
      <w:r w:rsidR="00267121">
        <w:t>Viewed 22/01/2018, &lt;</w:t>
      </w:r>
      <w:hyperlink r:id="rId234" w:history="1">
        <w:r w:rsidR="00A61D56" w:rsidRPr="003E47FE">
          <w:rPr>
            <w:rStyle w:val="Hyperlink"/>
          </w:rPr>
          <w:t>https://www.business.qld.gov.au/industries/mining-energy-water/resources/applications-compliance/lodging-statutory-reports/petroleum-gas-reporting/petroleum-wells</w:t>
        </w:r>
      </w:hyperlink>
      <w:r w:rsidR="00267121">
        <w:t>&gt;.</w:t>
      </w:r>
    </w:p>
    <w:p w14:paraId="7C4580FE" w14:textId="70199A24" w:rsidR="00254F87" w:rsidRDefault="00254F87" w:rsidP="00D15FEC">
      <w:pPr>
        <w:pStyle w:val="References"/>
      </w:pPr>
      <w:r>
        <w:t>Raiber M and Cox ME</w:t>
      </w:r>
      <w:r w:rsidR="00F36407">
        <w:t xml:space="preserve"> (20</w:t>
      </w:r>
      <w:r>
        <w:t>12</w:t>
      </w:r>
      <w:r w:rsidR="00BE5956">
        <w:t>)</w:t>
      </w:r>
      <w:r>
        <w:t xml:space="preserve"> Linking three-dimensional geological modelling and multivariate statistical analysis to define groundwater chemistry baseline and identify inter-aquifer connectivity within the Clarence-Moreton Basin, southeast Queensland, Australia. In: Mares, T (ed</w:t>
      </w:r>
      <w:r w:rsidR="00F63931">
        <w:t>.</w:t>
      </w:r>
      <w:r>
        <w:t xml:space="preserve">), Eastern Australasian Basins Symposium IV. Petroleum Exploration Society of Australia, Special Publication. </w:t>
      </w:r>
    </w:p>
    <w:p w14:paraId="05E4D701" w14:textId="7DE91765" w:rsidR="008B38C1" w:rsidRDefault="008B38C1" w:rsidP="008B38C1">
      <w:pPr>
        <w:pStyle w:val="References"/>
      </w:pPr>
      <w:r>
        <w:t>Raiber M, Cui T, Pagendam D, Rassam D, Gilfedder M, Crosbie R, Marvanek S and Hartcher M</w:t>
      </w:r>
      <w:r w:rsidR="00F36407">
        <w:t xml:space="preserve"> (20</w:t>
      </w:r>
      <w:r>
        <w:t>16</w:t>
      </w:r>
      <w:r w:rsidR="00BE5956">
        <w:t>)</w:t>
      </w:r>
      <w:r>
        <w:t xml:space="preserve"> Observations analysis, statistical analysis and interpolation for the Clarence-Moreton bioregion. Product 2.1-2.2 from the Clarence-Moreton Bioregional Assessment. Department of the Environment and Energy, Bureau of Meteorology, CSIRO and Geoscience Australia, Australia. </w:t>
      </w:r>
    </w:p>
    <w:p w14:paraId="08FABBFC" w14:textId="227F02EF" w:rsidR="00254F87" w:rsidRPr="00960B30" w:rsidRDefault="00254F87" w:rsidP="00960B30">
      <w:pPr>
        <w:pStyle w:val="References"/>
      </w:pPr>
      <w:r w:rsidRPr="00960B30">
        <w:t>Ransley TR and Smerdon BD (eds)</w:t>
      </w:r>
      <w:r w:rsidR="00F36407">
        <w:t xml:space="preserve"> (20</w:t>
      </w:r>
      <w:r w:rsidRPr="00960B30">
        <w:t>12</w:t>
      </w:r>
      <w:r w:rsidR="00BE5956">
        <w:t>)</w:t>
      </w:r>
      <w:r w:rsidRPr="00960B30">
        <w:t xml:space="preserve"> Hydrostratigraphy, hydrogeology and system conceptualisation of the Great Artesian Basin. A technical report to the Australian Government from the CSIRO Great Artesian Basin Water Resource Assessment. CSIRO Water for a Healthy Country Flagship, Australia. 285 pp.</w:t>
      </w:r>
    </w:p>
    <w:p w14:paraId="3718F238" w14:textId="342EA1AC" w:rsidR="008B38C1" w:rsidRPr="00960B30" w:rsidRDefault="008B38C1" w:rsidP="00960B30">
      <w:pPr>
        <w:pStyle w:val="References"/>
      </w:pPr>
      <w:r w:rsidRPr="00960B30">
        <w:t>Rassam D, Raiber M, McJannet D, Janardhanan S, Murray J, Gilfedder M, Cui T, Matveev V, Doody T, Hodgen M and Ahmad ME</w:t>
      </w:r>
      <w:r w:rsidR="00F36407">
        <w:t xml:space="preserve"> (20</w:t>
      </w:r>
      <w:r w:rsidRPr="00960B30">
        <w:t>14</w:t>
      </w:r>
      <w:r w:rsidR="00BE5956">
        <w:t>)</w:t>
      </w:r>
      <w:r w:rsidRPr="00960B30">
        <w:t xml:space="preserve"> Context statement for the Clarence-Moreton bioregion. Product 1.1 from the Clarence-Moreton Bioregional Assessment. Department of the Environment, Bureau of Meteorology, CSIRO and G</w:t>
      </w:r>
      <w:r w:rsidR="00C04254" w:rsidRPr="00960B30">
        <w:t>eoscience Australia, Australia.</w:t>
      </w:r>
    </w:p>
    <w:p w14:paraId="64E434B9" w14:textId="1362010B" w:rsidR="00CB0530" w:rsidRDefault="00CB0530" w:rsidP="00CB0530">
      <w:pPr>
        <w:pStyle w:val="References"/>
      </w:pPr>
      <w:r>
        <w:t>Raymond OL, Gallagher R and Highet LM (2012) Surface geology of Australia, 1:2 500 00 scale</w:t>
      </w:r>
      <w:r w:rsidR="00F36407">
        <w:t xml:space="preserve"> (20</w:t>
      </w:r>
      <w:r>
        <w:t>12 edition. Geoscience Australia, Canberra. Viewed 16/01/2018, &lt;</w:t>
      </w:r>
      <w:hyperlink r:id="rId235" w:anchor="!b4088aa1-f875-2444-e044-00144fdd4fa6" w:history="1">
        <w:r w:rsidRPr="00A576A0">
          <w:rPr>
            <w:rStyle w:val="Hyperlink"/>
          </w:rPr>
          <w:t>https://ecat.ga.gov.au/geonetwork/srv/eng/search#!b4088aa1-f875-2444-e044-00144fdd4fa6</w:t>
        </w:r>
      </w:hyperlink>
      <w:r>
        <w:rPr>
          <w:rStyle w:val="Hyperlink"/>
        </w:rPr>
        <w:t>&gt;.</w:t>
      </w:r>
      <w:r>
        <w:t xml:space="preserve">   </w:t>
      </w:r>
    </w:p>
    <w:p w14:paraId="3985CB42" w14:textId="1949FCCB" w:rsidR="00A448A5" w:rsidRDefault="00A448A5" w:rsidP="00A448A5">
      <w:pPr>
        <w:pStyle w:val="References"/>
      </w:pPr>
      <w:r>
        <w:t>Rudorfer V</w:t>
      </w:r>
      <w:r w:rsidR="00F36407">
        <w:t xml:space="preserve"> (20</w:t>
      </w:r>
      <w:r>
        <w:t>09</w:t>
      </w:r>
      <w:r w:rsidR="00BE5956">
        <w:t>)</w:t>
      </w:r>
      <w:r>
        <w:t xml:space="preserve"> Groundwater Flow Model of the Logan River Alluvial Aquifer System, Josephville, South East Queensland. Queensland University of Technology, thesis for Master of Applied Science. </w:t>
      </w:r>
      <w:hyperlink r:id="rId236" w:history="1">
        <w:r w:rsidRPr="00BE5956">
          <w:rPr>
            <w:rStyle w:val="Hyperlink"/>
          </w:rPr>
          <w:t>https://eprints.qut.edu.au/29322/1/Vivien_Rudorfer_Thesis.pdf</w:t>
        </w:r>
      </w:hyperlink>
    </w:p>
    <w:p w14:paraId="56B804B4" w14:textId="0528A40A" w:rsidR="008B38C1" w:rsidRDefault="008B38C1" w:rsidP="00672502">
      <w:pPr>
        <w:pStyle w:val="References"/>
        <w:keepLines/>
      </w:pPr>
      <w:r>
        <w:lastRenderedPageBreak/>
        <w:t xml:space="preserve">Russell NJ </w:t>
      </w:r>
      <w:r w:rsidR="00BE5956">
        <w:t>(</w:t>
      </w:r>
      <w:r>
        <w:t>199</w:t>
      </w:r>
      <w:r w:rsidR="000E4281">
        <w:t>4</w:t>
      </w:r>
      <w:r w:rsidR="00BE5956">
        <w:t>)</w:t>
      </w:r>
      <w:r>
        <w:t xml:space="preserve"> A palaeogeothermal study of the Clarence-Moreton Basin. In: </w:t>
      </w:r>
      <w:r w:rsidR="00BE5956">
        <w:t xml:space="preserve">Wells AJ and O’Brien PE </w:t>
      </w:r>
      <w:r>
        <w:t>(eds) Geology and petroleum potential of the Clarence-Moreton Basin, New South Wales and Queensland. Australian Geological Survey Organisation Bulletin 241, 237–276.</w:t>
      </w:r>
    </w:p>
    <w:p w14:paraId="25E0BC20" w14:textId="77777777" w:rsidR="00BE5956" w:rsidRPr="00E70BDF" w:rsidRDefault="00BE5956" w:rsidP="00BE5956">
      <w:pPr>
        <w:pStyle w:val="References"/>
        <w:rPr>
          <w:rStyle w:val="Hyperlink"/>
        </w:rPr>
      </w:pPr>
      <w:r>
        <w:t>Stewart AJ, Raymond OL, Totterdell JM, Zhang W and Gallagher R (2013) Australian Geological Provinces, 2013.01 edition, scale 1:2 500 000. Geoscience Australia, Canberra. Viewed 16/01/2018, &lt;</w:t>
      </w:r>
      <w:hyperlink r:id="rId237" w:anchor="!2680f4bb-8494-14fc-e053-10a3070a4107" w:history="1">
        <w:r w:rsidRPr="0065740D">
          <w:rPr>
            <w:rStyle w:val="Hyperlink"/>
          </w:rPr>
          <w:t>https://ecat.ga.gov.au/geonetwork/srv/eng/search#!2680f4bb-8494-14fc-e053-10a3070a4107</w:t>
        </w:r>
      </w:hyperlink>
      <w:r>
        <w:rPr>
          <w:rStyle w:val="Hyperlink"/>
        </w:rPr>
        <w:t>&gt;.</w:t>
      </w:r>
      <w:r>
        <w:t xml:space="preserve"> </w:t>
      </w:r>
    </w:p>
    <w:p w14:paraId="4E6B5E52" w14:textId="0CDAC428" w:rsidR="008B38C1" w:rsidRDefault="008B38C1" w:rsidP="008B38C1">
      <w:pPr>
        <w:pStyle w:val="References"/>
      </w:pPr>
      <w:r>
        <w:t xml:space="preserve">Stewart JR and Alder JD </w:t>
      </w:r>
      <w:r w:rsidR="00BE5956">
        <w:t>(</w:t>
      </w:r>
      <w:r>
        <w:t>1995</w:t>
      </w:r>
      <w:r w:rsidR="00BE5956">
        <w:t>)</w:t>
      </w:r>
      <w:r>
        <w:t xml:space="preserve"> New South Wales Petroleum Potential. New South Wales Department of Mineral Resources, Coal and Petroleum Branch, Bulletin, 1, Sydney.</w:t>
      </w:r>
    </w:p>
    <w:p w14:paraId="080E5BEA" w14:textId="44D6920F" w:rsidR="008B38C1" w:rsidRDefault="00BE5956" w:rsidP="008B38C1">
      <w:pPr>
        <w:pStyle w:val="References"/>
      </w:pPr>
      <w:r>
        <w:t>Stephenso</w:t>
      </w:r>
      <w:r w:rsidR="008B38C1">
        <w:t>, AE</w:t>
      </w:r>
      <w:r>
        <w:t xml:space="preserve"> and Burc</w:t>
      </w:r>
      <w:r w:rsidR="008B38C1">
        <w:t>, GJ</w:t>
      </w:r>
      <w:r w:rsidR="00F36407">
        <w:t xml:space="preserve"> (20</w:t>
      </w:r>
      <w:r w:rsidR="008B38C1">
        <w:t>04</w:t>
      </w:r>
      <w:r>
        <w:t>)</w:t>
      </w:r>
      <w:r w:rsidR="008B38C1">
        <w:t xml:space="preserve"> Preliminary evaluation of the petroleum potential of Australia’s central eastern margin. Geoscience Australia, Record, 2004/06, Canberra</w:t>
      </w:r>
    </w:p>
    <w:p w14:paraId="29E8D79B" w14:textId="5E3BFFFF" w:rsidR="008B38C1" w:rsidRDefault="008B38C1" w:rsidP="008B38C1">
      <w:pPr>
        <w:pStyle w:val="References"/>
      </w:pPr>
      <w:r>
        <w:t>Totterdell JM, Hall L, Hashimoto T, Owen K and Bradshaw MT</w:t>
      </w:r>
      <w:r w:rsidR="00F36407">
        <w:t xml:space="preserve"> (20</w:t>
      </w:r>
      <w:r>
        <w:t>14</w:t>
      </w:r>
      <w:r w:rsidR="00BE5956">
        <w:t>)</w:t>
      </w:r>
      <w:r>
        <w:t xml:space="preserve"> Petroleum geology inventory of Australia’s offshore frontier basins. Record 2014/09. Geoscience Australia</w:t>
      </w:r>
      <w:r w:rsidR="00BE5956">
        <w:t>.</w:t>
      </w:r>
    </w:p>
    <w:p w14:paraId="64A4269B" w14:textId="1D95A8AE" w:rsidR="008B38C1" w:rsidRDefault="00BE5956" w:rsidP="008B38C1">
      <w:pPr>
        <w:pStyle w:val="References"/>
      </w:pPr>
      <w:r>
        <w:t xml:space="preserve">Wells AJ and O’Brien PE (eds) (1994) </w:t>
      </w:r>
      <w:r w:rsidR="008B38C1">
        <w:t xml:space="preserve">Lithostratigraphic framework of the Clarence-Moreton. In: </w:t>
      </w:r>
      <w:r>
        <w:t xml:space="preserve">Wells AJ and O’Brien PE </w:t>
      </w:r>
      <w:r w:rsidR="008B38C1">
        <w:t>(eds) Geology and petroleum potential of the Clarence-Moreton Basin, New South Wales and Queensland. Australian Geological Survey Organisation Bulletin 241, 4–47.</w:t>
      </w:r>
    </w:p>
    <w:p w14:paraId="0869E539" w14:textId="6BE92DD8" w:rsidR="008B38C1" w:rsidRDefault="008B38C1" w:rsidP="008B38C1">
      <w:pPr>
        <w:pStyle w:val="References"/>
      </w:pPr>
      <w:r>
        <w:t>Welsh W, Herron N, Rohead-O’Brien H, Ransley T, Aryal S, Mitchell P, Buckerfield S and Marshall S</w:t>
      </w:r>
      <w:r w:rsidR="00F36407">
        <w:t xml:space="preserve"> (20</w:t>
      </w:r>
      <w:r>
        <w:t>14</w:t>
      </w:r>
      <w:r w:rsidR="00BE5956">
        <w:t>)</w:t>
      </w:r>
      <w:r>
        <w:t xml:space="preserve"> Context statement for the Maranoa-Balonne-Condamine subregion. Product 1.1 for the Maranoa-Balonne-Condamine from the Northern Inland Catchments Bioregional Assessment. Department of the Environment, Bureau of Meteorology, CSIRO and Geoscience Australia, Australia.</w:t>
      </w:r>
    </w:p>
    <w:p w14:paraId="618B782C" w14:textId="72E311A8" w:rsidR="008B38C1" w:rsidRDefault="008B38C1" w:rsidP="008B38C1">
      <w:pPr>
        <w:pStyle w:val="References"/>
      </w:pPr>
      <w:r>
        <w:t xml:space="preserve">Willis IL </w:t>
      </w:r>
      <w:r w:rsidR="00BE5956">
        <w:t>(</w:t>
      </w:r>
      <w:r>
        <w:t>1994</w:t>
      </w:r>
      <w:r w:rsidR="00BE5956">
        <w:t>)</w:t>
      </w:r>
      <w:r>
        <w:t xml:space="preserve"> Stratigraphic implications of regional reconnaissance observations in the Clarence-Moreton Basin, New South Wales. In: </w:t>
      </w:r>
      <w:r w:rsidR="00BE5956">
        <w:t xml:space="preserve">Wells AJ and O’Brien PE </w:t>
      </w:r>
      <w:r>
        <w:t>(</w:t>
      </w:r>
      <w:r w:rsidR="00BE5956">
        <w:t>eds</w:t>
      </w:r>
      <w:r>
        <w:t>), Geology and petroleum potential of the Clarence-Moreton Basin, New South Wales and Queensland. Australian Geological Survey Organisation, Bulletin, 241, 48–71</w:t>
      </w:r>
      <w:r w:rsidR="008A10D6">
        <w:t>.</w:t>
      </w:r>
    </w:p>
    <w:p w14:paraId="3E8E203A" w14:textId="77777777" w:rsidR="008B38C1" w:rsidRDefault="008B38C1" w:rsidP="008B38C1">
      <w:pPr>
        <w:pStyle w:val="References"/>
      </w:pPr>
    </w:p>
    <w:p w14:paraId="6D772EA7" w14:textId="77777777" w:rsidR="0094665C" w:rsidRDefault="0094665C" w:rsidP="000350BE">
      <w:pPr>
        <w:pStyle w:val="BodyText"/>
        <w:rPr>
          <w:rFonts w:asciiTheme="majorHAnsi" w:eastAsia="Times New Roman" w:hAnsiTheme="majorHAnsi"/>
          <w:color w:val="146692" w:themeColor="text2"/>
          <w:sz w:val="36"/>
          <w:szCs w:val="72"/>
        </w:rPr>
      </w:pPr>
      <w:r>
        <w:br w:type="page"/>
      </w:r>
    </w:p>
    <w:p w14:paraId="1045B7DA" w14:textId="77777777" w:rsidR="008B38C1" w:rsidRDefault="008B38C1" w:rsidP="00534A9C">
      <w:pPr>
        <w:pStyle w:val="AppendixHeading2"/>
        <w:keepNext/>
      </w:pPr>
      <w:bookmarkStart w:id="171" w:name="_Toc517161151"/>
      <w:r>
        <w:lastRenderedPageBreak/>
        <w:t>Cooper Basin</w:t>
      </w:r>
      <w:bookmarkEnd w:id="171"/>
    </w:p>
    <w:p w14:paraId="5DAAF159" w14:textId="77777777" w:rsidR="008B38C1" w:rsidRDefault="00096667" w:rsidP="009F3E8F">
      <w:pPr>
        <w:pStyle w:val="Caption"/>
      </w:pPr>
      <w:bookmarkStart w:id="172" w:name="_Toc508972174"/>
      <w:r w:rsidRPr="00096667">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096667">
        <w:t>.</w:t>
      </w:r>
      <w:r w:rsidR="008079F1">
        <w:fldChar w:fldCharType="begin"/>
      </w:r>
      <w:r w:rsidR="008079F1">
        <w:instrText xml:space="preserve"> SEQ Apx_Table \* ARABIC \s 9 </w:instrText>
      </w:r>
      <w:r w:rsidR="008079F1">
        <w:fldChar w:fldCharType="separate"/>
      </w:r>
      <w:r w:rsidR="00640CCB">
        <w:rPr>
          <w:noProof/>
        </w:rPr>
        <w:t>25</w:t>
      </w:r>
      <w:r w:rsidR="008079F1">
        <w:rPr>
          <w:noProof/>
        </w:rPr>
        <w:fldChar w:fldCharType="end"/>
      </w:r>
      <w:r w:rsidRPr="00096667">
        <w:t xml:space="preserve"> </w:t>
      </w:r>
      <w:r w:rsidR="008B38C1" w:rsidRPr="00096667">
        <w:t>Geology and petroleum prospectivity summary</w:t>
      </w:r>
      <w:r w:rsidR="00A24BC9">
        <w:t>.</w:t>
      </w:r>
      <w:bookmarkEnd w:id="172"/>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28" w:type="dxa"/>
          <w:right w:w="57" w:type="dxa"/>
        </w:tblCellMar>
        <w:tblLook w:val="04A0" w:firstRow="1" w:lastRow="0" w:firstColumn="1" w:lastColumn="0" w:noHBand="0" w:noVBand="1"/>
      </w:tblPr>
      <w:tblGrid>
        <w:gridCol w:w="4101"/>
        <w:gridCol w:w="5518"/>
      </w:tblGrid>
      <w:tr w:rsidR="00C31D48" w14:paraId="21D6ECA2" w14:textId="77777777" w:rsidTr="00CA7302">
        <w:tc>
          <w:tcPr>
            <w:tcW w:w="9619" w:type="dxa"/>
            <w:gridSpan w:val="2"/>
            <w:shd w:val="clear" w:color="auto" w:fill="146692"/>
          </w:tcPr>
          <w:p w14:paraId="6793880B" w14:textId="34EB824B" w:rsidR="00C31D48" w:rsidRPr="006564B8" w:rsidRDefault="00C31D48" w:rsidP="006564B8">
            <w:pPr>
              <w:pStyle w:val="BodyText"/>
              <w:spacing w:beforeLines="20" w:before="48" w:afterLines="20" w:after="48" w:line="120" w:lineRule="atLeast"/>
              <w:rPr>
                <w:b/>
              </w:rPr>
            </w:pPr>
            <w:r w:rsidRPr="006564B8">
              <w:rPr>
                <w:b/>
                <w:color w:val="FFFFFF" w:themeColor="background1"/>
              </w:rPr>
              <w:t>GENERAL</w:t>
            </w:r>
          </w:p>
        </w:tc>
      </w:tr>
      <w:tr w:rsidR="00C31D48" w14:paraId="54F4FFC2" w14:textId="77777777" w:rsidTr="00CA7302">
        <w:tc>
          <w:tcPr>
            <w:tcW w:w="4101" w:type="dxa"/>
            <w:shd w:val="clear" w:color="auto" w:fill="146692"/>
          </w:tcPr>
          <w:p w14:paraId="4D40C623" w14:textId="4AF13562"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Jurisdiction</w:t>
            </w:r>
          </w:p>
        </w:tc>
        <w:tc>
          <w:tcPr>
            <w:tcW w:w="5518" w:type="dxa"/>
            <w:shd w:val="clear" w:color="auto" w:fill="E1F2FB"/>
          </w:tcPr>
          <w:p w14:paraId="48FE0AE6" w14:textId="2299CAAB" w:rsidR="00C31D48" w:rsidRDefault="00C31D48" w:rsidP="006564B8">
            <w:pPr>
              <w:pStyle w:val="BodyText"/>
              <w:spacing w:beforeLines="20" w:before="48" w:afterLines="20" w:after="48" w:line="120" w:lineRule="atLeast"/>
            </w:pPr>
            <w:r w:rsidRPr="00A20862">
              <w:t>Queensland, South Australia</w:t>
            </w:r>
          </w:p>
        </w:tc>
      </w:tr>
      <w:tr w:rsidR="00C31D48" w14:paraId="558B9607" w14:textId="77777777" w:rsidTr="00CA7302">
        <w:tc>
          <w:tcPr>
            <w:tcW w:w="4101" w:type="dxa"/>
            <w:shd w:val="clear" w:color="auto" w:fill="146692"/>
          </w:tcPr>
          <w:p w14:paraId="56048606" w14:textId="0100C257"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Area</w:t>
            </w:r>
          </w:p>
        </w:tc>
        <w:tc>
          <w:tcPr>
            <w:tcW w:w="5518" w:type="dxa"/>
            <w:shd w:val="clear" w:color="auto" w:fill="E1F2FB"/>
          </w:tcPr>
          <w:p w14:paraId="06967823" w14:textId="152C2A45" w:rsidR="00C31D48" w:rsidRDefault="00C31D48" w:rsidP="006564B8">
            <w:pPr>
              <w:pStyle w:val="BodyText"/>
              <w:spacing w:beforeLines="20" w:before="48" w:afterLines="20" w:after="48" w:line="120" w:lineRule="atLeast"/>
            </w:pPr>
            <w:r w:rsidRPr="00A20862">
              <w:t>126,950 km2</w:t>
            </w:r>
          </w:p>
        </w:tc>
      </w:tr>
      <w:tr w:rsidR="00C31D48" w14:paraId="4159B698" w14:textId="77777777" w:rsidTr="00CA7302">
        <w:tc>
          <w:tcPr>
            <w:tcW w:w="4101" w:type="dxa"/>
            <w:shd w:val="clear" w:color="auto" w:fill="146692"/>
          </w:tcPr>
          <w:p w14:paraId="67077709" w14:textId="5A5E686A"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Maximum basin depth</w:t>
            </w:r>
          </w:p>
        </w:tc>
        <w:tc>
          <w:tcPr>
            <w:tcW w:w="5518" w:type="dxa"/>
            <w:shd w:val="clear" w:color="auto" w:fill="E1F2FB"/>
          </w:tcPr>
          <w:p w14:paraId="246E9513" w14:textId="72D89D8F" w:rsidR="00C31D48" w:rsidRDefault="00C31D48" w:rsidP="006564B8">
            <w:pPr>
              <w:pStyle w:val="BodyText"/>
              <w:spacing w:beforeLines="20" w:before="48" w:afterLines="20" w:after="48" w:line="120" w:lineRule="atLeast"/>
            </w:pPr>
            <w:r w:rsidRPr="00A20862">
              <w:t>&gt;4,500 m</w:t>
            </w:r>
          </w:p>
        </w:tc>
      </w:tr>
      <w:tr w:rsidR="00C31D48" w14:paraId="34FEEF70" w14:textId="77777777" w:rsidTr="00CA7302">
        <w:tc>
          <w:tcPr>
            <w:tcW w:w="4101" w:type="dxa"/>
            <w:shd w:val="clear" w:color="auto" w:fill="146692"/>
          </w:tcPr>
          <w:p w14:paraId="29BEC401" w14:textId="7B216072"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Maximum sediment thickness</w:t>
            </w:r>
          </w:p>
        </w:tc>
        <w:tc>
          <w:tcPr>
            <w:tcW w:w="5518" w:type="dxa"/>
            <w:shd w:val="clear" w:color="auto" w:fill="E1F2FB"/>
          </w:tcPr>
          <w:p w14:paraId="16722B97" w14:textId="4A7DEC06" w:rsidR="00C31D48" w:rsidRDefault="00C31D48" w:rsidP="006564B8">
            <w:pPr>
              <w:pStyle w:val="BodyText"/>
              <w:spacing w:beforeLines="20" w:before="48" w:afterLines="20" w:after="48" w:line="120" w:lineRule="atLeast"/>
            </w:pPr>
            <w:r w:rsidRPr="00A20862">
              <w:t>Up to 2,500 m</w:t>
            </w:r>
          </w:p>
        </w:tc>
      </w:tr>
      <w:tr w:rsidR="00C31D48" w14:paraId="6CD119B7" w14:textId="77777777" w:rsidTr="00CA7302">
        <w:tc>
          <w:tcPr>
            <w:tcW w:w="4101" w:type="dxa"/>
            <w:shd w:val="clear" w:color="auto" w:fill="146692"/>
          </w:tcPr>
          <w:p w14:paraId="33345C47" w14:textId="5BD490B3"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Age range</w:t>
            </w:r>
          </w:p>
        </w:tc>
        <w:tc>
          <w:tcPr>
            <w:tcW w:w="5518" w:type="dxa"/>
            <w:shd w:val="clear" w:color="auto" w:fill="E1F2FB"/>
          </w:tcPr>
          <w:p w14:paraId="7AC4D94B" w14:textId="04BFF9CC" w:rsidR="00C31D48" w:rsidRDefault="00C31D48" w:rsidP="006564B8">
            <w:pPr>
              <w:pStyle w:val="BodyText"/>
              <w:spacing w:beforeLines="20" w:before="48" w:afterLines="20" w:after="48" w:line="120" w:lineRule="atLeast"/>
            </w:pPr>
            <w:r w:rsidRPr="00A20862">
              <w:t>Late Carboniferous to Middle Triassic</w:t>
            </w:r>
          </w:p>
        </w:tc>
      </w:tr>
      <w:tr w:rsidR="00C31D48" w14:paraId="2562B363" w14:textId="77777777" w:rsidTr="00CA7302">
        <w:tc>
          <w:tcPr>
            <w:tcW w:w="4101" w:type="dxa"/>
            <w:shd w:val="clear" w:color="auto" w:fill="146692"/>
          </w:tcPr>
          <w:p w14:paraId="2CD46AE8" w14:textId="53DEC79F"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Depositional setting</w:t>
            </w:r>
          </w:p>
        </w:tc>
        <w:tc>
          <w:tcPr>
            <w:tcW w:w="5518" w:type="dxa"/>
            <w:shd w:val="clear" w:color="auto" w:fill="E1F2FB"/>
          </w:tcPr>
          <w:p w14:paraId="6C160FA2" w14:textId="249D07AA" w:rsidR="00C31D48" w:rsidRDefault="00C31D48" w:rsidP="006564B8">
            <w:pPr>
              <w:pStyle w:val="BodyText"/>
              <w:spacing w:beforeLines="20" w:before="48" w:afterLines="20" w:after="48" w:line="120" w:lineRule="atLeast"/>
            </w:pPr>
            <w:r w:rsidRPr="00A20862">
              <w:t>Glacial, meandering fluvial to flood basin and lacustrine environments</w:t>
            </w:r>
          </w:p>
        </w:tc>
      </w:tr>
      <w:tr w:rsidR="00C31D48" w14:paraId="6B04BF9B" w14:textId="77777777" w:rsidTr="00CA7302">
        <w:tc>
          <w:tcPr>
            <w:tcW w:w="4101" w:type="dxa"/>
            <w:shd w:val="clear" w:color="auto" w:fill="146692"/>
          </w:tcPr>
          <w:p w14:paraId="5688A86B" w14:textId="373BC3A0"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Regional structure</w:t>
            </w:r>
          </w:p>
        </w:tc>
        <w:tc>
          <w:tcPr>
            <w:tcW w:w="5518" w:type="dxa"/>
            <w:shd w:val="clear" w:color="auto" w:fill="E1F2FB"/>
          </w:tcPr>
          <w:p w14:paraId="53B1E756" w14:textId="0ACC93D1" w:rsidR="00C31D48" w:rsidRDefault="00C31D48" w:rsidP="006564B8">
            <w:pPr>
              <w:pStyle w:val="BodyText"/>
              <w:spacing w:beforeLines="20" w:before="48" w:afterLines="20" w:after="48" w:line="120" w:lineRule="atLeast"/>
            </w:pPr>
            <w:r w:rsidRPr="00A20862">
              <w:t>Contractional and extensional events, producing faulted anticlines, ridges and basin depocentres</w:t>
            </w:r>
          </w:p>
        </w:tc>
      </w:tr>
      <w:tr w:rsidR="00C31D48" w14:paraId="217E4BAE" w14:textId="77777777" w:rsidTr="00CA7302">
        <w:tc>
          <w:tcPr>
            <w:tcW w:w="4101" w:type="dxa"/>
            <w:shd w:val="clear" w:color="auto" w:fill="146692"/>
          </w:tcPr>
          <w:p w14:paraId="303796B2" w14:textId="654F5F5D"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Overlying basins</w:t>
            </w:r>
          </w:p>
        </w:tc>
        <w:tc>
          <w:tcPr>
            <w:tcW w:w="5518" w:type="dxa"/>
            <w:shd w:val="clear" w:color="auto" w:fill="E1F2FB"/>
          </w:tcPr>
          <w:p w14:paraId="5F9CE807" w14:textId="310A5398" w:rsidR="00C31D48" w:rsidRDefault="00C31D48" w:rsidP="006564B8">
            <w:pPr>
              <w:pStyle w:val="BodyText"/>
              <w:spacing w:beforeLines="20" w:before="48" w:afterLines="20" w:after="48" w:line="120" w:lineRule="atLeast"/>
            </w:pPr>
            <w:r w:rsidRPr="00A20862">
              <w:t>Eromanga Basin, Eyre Basin</w:t>
            </w:r>
          </w:p>
        </w:tc>
      </w:tr>
      <w:tr w:rsidR="00C31D48" w14:paraId="6E3532CB" w14:textId="77777777" w:rsidTr="00CA7302">
        <w:tc>
          <w:tcPr>
            <w:tcW w:w="4101" w:type="dxa"/>
            <w:shd w:val="clear" w:color="auto" w:fill="146692"/>
          </w:tcPr>
          <w:p w14:paraId="052A24B6" w14:textId="7435BBC4"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Underlying basins</w:t>
            </w:r>
          </w:p>
        </w:tc>
        <w:tc>
          <w:tcPr>
            <w:tcW w:w="5518" w:type="dxa"/>
            <w:shd w:val="clear" w:color="auto" w:fill="E1F2FB"/>
          </w:tcPr>
          <w:p w14:paraId="3CCF0D12" w14:textId="4C714E55" w:rsidR="00C31D48" w:rsidRDefault="00C31D48" w:rsidP="006564B8">
            <w:pPr>
              <w:pStyle w:val="BodyText"/>
              <w:spacing w:beforeLines="20" w:before="48" w:afterLines="20" w:after="48" w:line="120" w:lineRule="atLeast"/>
            </w:pPr>
            <w:r w:rsidRPr="00A20862">
              <w:t>Warburton Basin, Warrabin Trough (Adavale Basin equivalent)</w:t>
            </w:r>
          </w:p>
        </w:tc>
      </w:tr>
      <w:tr w:rsidR="00C31D48" w14:paraId="24766BF4" w14:textId="77777777" w:rsidTr="00CA7302">
        <w:tc>
          <w:tcPr>
            <w:tcW w:w="9619" w:type="dxa"/>
            <w:gridSpan w:val="2"/>
            <w:shd w:val="clear" w:color="auto" w:fill="146692"/>
          </w:tcPr>
          <w:p w14:paraId="06090E4E" w14:textId="1D58A17B"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EXPLORATION STATUS</w:t>
            </w:r>
          </w:p>
        </w:tc>
      </w:tr>
      <w:tr w:rsidR="00C31D48" w14:paraId="5FF22726" w14:textId="77777777" w:rsidTr="00CA7302">
        <w:tc>
          <w:tcPr>
            <w:tcW w:w="4101" w:type="dxa"/>
            <w:shd w:val="clear" w:color="auto" w:fill="146692"/>
          </w:tcPr>
          <w:p w14:paraId="6E182A28" w14:textId="1B053A62"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Seismic lines</w:t>
            </w:r>
          </w:p>
        </w:tc>
        <w:tc>
          <w:tcPr>
            <w:tcW w:w="5518" w:type="dxa"/>
            <w:shd w:val="clear" w:color="auto" w:fill="E1F2FB"/>
          </w:tcPr>
          <w:p w14:paraId="30163B6A" w14:textId="329D8736" w:rsidR="00C31D48" w:rsidRDefault="00C31D48" w:rsidP="006564B8">
            <w:pPr>
              <w:pStyle w:val="BodyText"/>
              <w:spacing w:beforeLines="20" w:before="48" w:afterLines="20" w:after="48" w:line="120" w:lineRule="atLeast"/>
            </w:pPr>
            <w:r w:rsidRPr="00A20862">
              <w:t>&gt;81,000 line km of 2D seismic; &gt;10,000 km2 of 3D seismic</w:t>
            </w:r>
          </w:p>
        </w:tc>
      </w:tr>
      <w:tr w:rsidR="00C31D48" w14:paraId="156F10FD" w14:textId="77777777" w:rsidTr="00CA7302">
        <w:tc>
          <w:tcPr>
            <w:tcW w:w="4101" w:type="dxa"/>
            <w:shd w:val="clear" w:color="auto" w:fill="146692"/>
          </w:tcPr>
          <w:p w14:paraId="67D4CE3E" w14:textId="6058F2A4"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Number of petroleum wells</w:t>
            </w:r>
          </w:p>
        </w:tc>
        <w:tc>
          <w:tcPr>
            <w:tcW w:w="5518" w:type="dxa"/>
            <w:shd w:val="clear" w:color="auto" w:fill="E1F2FB"/>
          </w:tcPr>
          <w:p w14:paraId="69F920E0" w14:textId="4F61571E" w:rsidR="00C31D48" w:rsidRDefault="00C31D48" w:rsidP="006564B8">
            <w:pPr>
              <w:pStyle w:val="BodyText"/>
              <w:spacing w:beforeLines="20" w:before="48" w:afterLines="20" w:after="48" w:line="120" w:lineRule="atLeast"/>
            </w:pPr>
            <w:r w:rsidRPr="00A20862">
              <w:t>&gt;3000</w:t>
            </w:r>
          </w:p>
        </w:tc>
      </w:tr>
      <w:tr w:rsidR="00C31D48" w14:paraId="52648B49" w14:textId="77777777" w:rsidTr="00CA7302">
        <w:tc>
          <w:tcPr>
            <w:tcW w:w="4101" w:type="dxa"/>
            <w:shd w:val="clear" w:color="auto" w:fill="146692"/>
          </w:tcPr>
          <w:p w14:paraId="60EB64B1" w14:textId="6457F60F"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Exploration status – conventional</w:t>
            </w:r>
          </w:p>
        </w:tc>
        <w:tc>
          <w:tcPr>
            <w:tcW w:w="5518" w:type="dxa"/>
            <w:shd w:val="clear" w:color="auto" w:fill="E1F2FB"/>
          </w:tcPr>
          <w:p w14:paraId="4182CFA4" w14:textId="1D878753" w:rsidR="00C31D48" w:rsidRDefault="00C31D48" w:rsidP="006564B8">
            <w:pPr>
              <w:pStyle w:val="BodyText"/>
              <w:spacing w:beforeLines="20" w:before="48" w:afterLines="20" w:after="48" w:line="120" w:lineRule="atLeast"/>
            </w:pPr>
            <w:r w:rsidRPr="00A20862">
              <w:t>Producing/mature</w:t>
            </w:r>
          </w:p>
        </w:tc>
      </w:tr>
      <w:tr w:rsidR="00C31D48" w14:paraId="29989C96" w14:textId="77777777" w:rsidTr="00CA7302">
        <w:tc>
          <w:tcPr>
            <w:tcW w:w="4101" w:type="dxa"/>
            <w:shd w:val="clear" w:color="auto" w:fill="146692"/>
          </w:tcPr>
          <w:p w14:paraId="76405F03" w14:textId="735F47E0"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Exploration status – coal seam gas</w:t>
            </w:r>
          </w:p>
        </w:tc>
        <w:tc>
          <w:tcPr>
            <w:tcW w:w="5518" w:type="dxa"/>
            <w:shd w:val="clear" w:color="auto" w:fill="E1F2FB"/>
          </w:tcPr>
          <w:p w14:paraId="1E89DAB9" w14:textId="29555C94" w:rsidR="00C31D48" w:rsidRDefault="00C31D48" w:rsidP="006564B8">
            <w:pPr>
              <w:pStyle w:val="BodyText"/>
              <w:spacing w:beforeLines="20" w:before="48" w:afterLines="20" w:after="48" w:line="120" w:lineRule="atLeast"/>
            </w:pPr>
            <w:r w:rsidRPr="00A20862">
              <w:t>Under assessment</w:t>
            </w:r>
          </w:p>
        </w:tc>
      </w:tr>
      <w:tr w:rsidR="00C31D48" w14:paraId="04054758" w14:textId="77777777" w:rsidTr="00CA7302">
        <w:tc>
          <w:tcPr>
            <w:tcW w:w="4101" w:type="dxa"/>
            <w:shd w:val="clear" w:color="auto" w:fill="146692"/>
          </w:tcPr>
          <w:p w14:paraId="5EBBF4DE" w14:textId="4ACD6B83"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Exploration status – shale/ tight gas</w:t>
            </w:r>
          </w:p>
        </w:tc>
        <w:tc>
          <w:tcPr>
            <w:tcW w:w="5518" w:type="dxa"/>
            <w:shd w:val="clear" w:color="auto" w:fill="E1F2FB"/>
          </w:tcPr>
          <w:p w14:paraId="6BADC256" w14:textId="45A260F3" w:rsidR="00C31D48" w:rsidRDefault="00C31D48" w:rsidP="006564B8">
            <w:pPr>
              <w:pStyle w:val="BodyText"/>
              <w:spacing w:beforeLines="20" w:before="48" w:afterLines="20" w:after="48" w:line="120" w:lineRule="atLeast"/>
            </w:pPr>
            <w:r w:rsidRPr="00A20862">
              <w:t>Under-explored</w:t>
            </w:r>
          </w:p>
        </w:tc>
      </w:tr>
      <w:tr w:rsidR="00C31D48" w14:paraId="2B4EB303" w14:textId="77777777" w:rsidTr="00CA7302">
        <w:tc>
          <w:tcPr>
            <w:tcW w:w="9619" w:type="dxa"/>
            <w:gridSpan w:val="2"/>
            <w:shd w:val="clear" w:color="auto" w:fill="146692"/>
          </w:tcPr>
          <w:p w14:paraId="52F20FA3" w14:textId="16A60C18"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PETROLEUM PROSPECTIVITY -  GENERAL</w:t>
            </w:r>
          </w:p>
        </w:tc>
      </w:tr>
      <w:tr w:rsidR="00C31D48" w14:paraId="7B965ACF" w14:textId="77777777" w:rsidTr="00CA7302">
        <w:tc>
          <w:tcPr>
            <w:tcW w:w="4101" w:type="dxa"/>
            <w:shd w:val="clear" w:color="auto" w:fill="146692"/>
          </w:tcPr>
          <w:p w14:paraId="053648EB" w14:textId="7710BFBA"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Petroleum systems</w:t>
            </w:r>
          </w:p>
        </w:tc>
        <w:tc>
          <w:tcPr>
            <w:tcW w:w="5518" w:type="dxa"/>
            <w:shd w:val="clear" w:color="auto" w:fill="E1F2FB"/>
          </w:tcPr>
          <w:p w14:paraId="0E981626" w14:textId="58983164" w:rsidR="00C31D48" w:rsidRDefault="00C31D48" w:rsidP="006564B8">
            <w:pPr>
              <w:pStyle w:val="BodyText"/>
              <w:spacing w:beforeLines="20" w:before="48" w:afterLines="20" w:after="48" w:line="120" w:lineRule="atLeast"/>
            </w:pPr>
            <w:r w:rsidRPr="00A20862">
              <w:t>Proven (Gondwanan)</w:t>
            </w:r>
          </w:p>
        </w:tc>
      </w:tr>
      <w:tr w:rsidR="00C31D48" w14:paraId="7D58E4F6" w14:textId="77777777" w:rsidTr="00CA7302">
        <w:tc>
          <w:tcPr>
            <w:tcW w:w="4101" w:type="dxa"/>
            <w:shd w:val="clear" w:color="auto" w:fill="146692"/>
          </w:tcPr>
          <w:p w14:paraId="5226C171" w14:textId="61ABA138"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Prospectivity</w:t>
            </w:r>
          </w:p>
        </w:tc>
        <w:tc>
          <w:tcPr>
            <w:tcW w:w="5518" w:type="dxa"/>
            <w:shd w:val="clear" w:color="auto" w:fill="E1F2FB"/>
          </w:tcPr>
          <w:p w14:paraId="33D7EAD6" w14:textId="1054BDA9" w:rsidR="00C31D48" w:rsidRDefault="00C31D48" w:rsidP="006564B8">
            <w:pPr>
              <w:pStyle w:val="BodyText"/>
              <w:spacing w:beforeLines="20" w:before="48" w:afterLines="20" w:after="48" w:line="120" w:lineRule="atLeast"/>
            </w:pPr>
            <w:r w:rsidRPr="00A20862">
              <w:t>High</w:t>
            </w:r>
          </w:p>
        </w:tc>
      </w:tr>
      <w:tr w:rsidR="00C31D48" w14:paraId="15102011" w14:textId="77777777" w:rsidTr="00CA7302">
        <w:tc>
          <w:tcPr>
            <w:tcW w:w="4101" w:type="dxa"/>
            <w:shd w:val="clear" w:color="auto" w:fill="146692"/>
          </w:tcPr>
          <w:p w14:paraId="5654ADAC" w14:textId="1DFCA77B"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 xml:space="preserve">Conventional discoveries </w:t>
            </w:r>
          </w:p>
        </w:tc>
        <w:tc>
          <w:tcPr>
            <w:tcW w:w="5518" w:type="dxa"/>
            <w:shd w:val="clear" w:color="auto" w:fill="E1F2FB"/>
          </w:tcPr>
          <w:p w14:paraId="09978684" w14:textId="00B1DE2C" w:rsidR="00C31D48" w:rsidRDefault="00C31D48" w:rsidP="006564B8">
            <w:pPr>
              <w:pStyle w:val="BodyText"/>
              <w:spacing w:beforeLines="20" w:before="48" w:afterLines="20" w:after="48" w:line="120" w:lineRule="atLeast"/>
            </w:pPr>
            <w:r w:rsidRPr="00A20862">
              <w:t>256 gas fields and 166 oil fields currently in production</w:t>
            </w:r>
          </w:p>
        </w:tc>
      </w:tr>
      <w:tr w:rsidR="00C31D48" w14:paraId="1142D168" w14:textId="77777777" w:rsidTr="00CA7302">
        <w:tc>
          <w:tcPr>
            <w:tcW w:w="4101" w:type="dxa"/>
            <w:shd w:val="clear" w:color="auto" w:fill="146692"/>
          </w:tcPr>
          <w:p w14:paraId="26AAE2CD" w14:textId="42A4F236"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Hydrocarbon production – total to date</w:t>
            </w:r>
          </w:p>
        </w:tc>
        <w:tc>
          <w:tcPr>
            <w:tcW w:w="5518" w:type="dxa"/>
            <w:shd w:val="clear" w:color="auto" w:fill="E1F2FB"/>
          </w:tcPr>
          <w:p w14:paraId="04CB95E9" w14:textId="4CECCC3F" w:rsidR="00C31D48" w:rsidRDefault="00C31D48" w:rsidP="006564B8">
            <w:pPr>
              <w:pStyle w:val="BodyText"/>
              <w:spacing w:beforeLines="20" w:before="48" w:afterLines="20" w:after="48" w:line="120" w:lineRule="atLeast"/>
            </w:pPr>
            <w:r w:rsidRPr="00A20862">
              <w:t>6.54 Tcf cumulative conventional gas production; no CSG (includes overlying Eromanga Basin; current to 2014; AERA, 2018)</w:t>
            </w:r>
          </w:p>
        </w:tc>
      </w:tr>
      <w:tr w:rsidR="00C31D48" w14:paraId="7114A0AE" w14:textId="77777777" w:rsidTr="00CA7302">
        <w:tc>
          <w:tcPr>
            <w:tcW w:w="4101" w:type="dxa"/>
            <w:shd w:val="clear" w:color="auto" w:fill="146692"/>
          </w:tcPr>
          <w:p w14:paraId="4B683A61" w14:textId="33646EE5"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 xml:space="preserve">2P Reserves </w:t>
            </w:r>
          </w:p>
        </w:tc>
        <w:tc>
          <w:tcPr>
            <w:tcW w:w="5518" w:type="dxa"/>
            <w:shd w:val="clear" w:color="auto" w:fill="E1F2FB"/>
          </w:tcPr>
          <w:p w14:paraId="78946C88" w14:textId="2EFF1126" w:rsidR="00C31D48" w:rsidRDefault="00C31D48" w:rsidP="006564B8">
            <w:pPr>
              <w:pStyle w:val="BodyText"/>
              <w:spacing w:beforeLines="20" w:before="48" w:afterLines="20" w:after="48" w:line="120" w:lineRule="atLeast"/>
            </w:pPr>
            <w:r w:rsidRPr="00A20862">
              <w:t>1.54 Tcf conventional; no CSG (includes overlying Eromanga Basin; current to 2014; AERA, 2018)</w:t>
            </w:r>
          </w:p>
        </w:tc>
      </w:tr>
      <w:tr w:rsidR="00C31D48" w14:paraId="6585E7D4" w14:textId="77777777" w:rsidTr="00CA7302">
        <w:tc>
          <w:tcPr>
            <w:tcW w:w="4101" w:type="dxa"/>
            <w:shd w:val="clear" w:color="auto" w:fill="146692"/>
          </w:tcPr>
          <w:p w14:paraId="3F65160B" w14:textId="0A419D00"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Remaining resources (reserves + contingent resources)</w:t>
            </w:r>
          </w:p>
        </w:tc>
        <w:tc>
          <w:tcPr>
            <w:tcW w:w="5518" w:type="dxa"/>
            <w:shd w:val="clear" w:color="auto" w:fill="E1F2FB"/>
          </w:tcPr>
          <w:p w14:paraId="240B6DF4" w14:textId="1230B356" w:rsidR="00C31D48" w:rsidRDefault="00C31D48" w:rsidP="006564B8">
            <w:pPr>
              <w:pStyle w:val="BodyText"/>
              <w:spacing w:beforeLines="20" w:before="48" w:afterLines="20" w:after="48" w:line="120" w:lineRule="atLeast"/>
            </w:pPr>
            <w:r w:rsidRPr="00A20862">
              <w:t>3.2 Tcf conventional; 0.4 Tcf CSG; see below for shale/ tight gas (includes overlying Eromanga Basin; current to 2014; AERA, 2018)</w:t>
            </w:r>
          </w:p>
        </w:tc>
      </w:tr>
      <w:tr w:rsidR="00C31D48" w14:paraId="65E4CA2E" w14:textId="77777777" w:rsidTr="00CA7302">
        <w:tc>
          <w:tcPr>
            <w:tcW w:w="4101" w:type="dxa"/>
            <w:shd w:val="clear" w:color="auto" w:fill="146692"/>
          </w:tcPr>
          <w:p w14:paraId="5D1BA713" w14:textId="715CB5C4"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 xml:space="preserve">Undiscovered resource estimates </w:t>
            </w:r>
          </w:p>
        </w:tc>
        <w:tc>
          <w:tcPr>
            <w:tcW w:w="5518" w:type="dxa"/>
            <w:shd w:val="clear" w:color="auto" w:fill="E1F2FB"/>
          </w:tcPr>
          <w:p w14:paraId="40542831" w14:textId="77777777" w:rsidR="00C31D48" w:rsidRDefault="00C31D48" w:rsidP="006564B8">
            <w:pPr>
              <w:pStyle w:val="BodyText"/>
              <w:spacing w:beforeLines="20" w:before="48" w:afterLines="20" w:after="48" w:line="120" w:lineRule="atLeast"/>
            </w:pPr>
            <w:r w:rsidRPr="00A20862">
              <w:t>0.9 Tcf conventional; see below for shale and tight gas (at P50; AERA, 2018)</w:t>
            </w:r>
          </w:p>
          <w:p w14:paraId="6178E9D7" w14:textId="77777777" w:rsidR="00CA7302" w:rsidRDefault="00CA7302" w:rsidP="006564B8">
            <w:pPr>
              <w:pStyle w:val="BodyText"/>
              <w:spacing w:beforeLines="20" w:before="48" w:afterLines="20" w:after="48" w:line="120" w:lineRule="atLeast"/>
            </w:pPr>
          </w:p>
          <w:p w14:paraId="08E575CC" w14:textId="0CB62401" w:rsidR="00CA7302" w:rsidRDefault="00CA7302" w:rsidP="006564B8">
            <w:pPr>
              <w:pStyle w:val="BodyText"/>
              <w:spacing w:beforeLines="20" w:before="48" w:afterLines="20" w:after="48" w:line="120" w:lineRule="atLeast"/>
            </w:pPr>
          </w:p>
        </w:tc>
      </w:tr>
      <w:tr w:rsidR="00C31D48" w14:paraId="62BB5643" w14:textId="77777777" w:rsidTr="00CA7302">
        <w:tc>
          <w:tcPr>
            <w:tcW w:w="9619" w:type="dxa"/>
            <w:gridSpan w:val="2"/>
            <w:shd w:val="clear" w:color="auto" w:fill="146692"/>
          </w:tcPr>
          <w:p w14:paraId="022F1167" w14:textId="4E3413F5"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lastRenderedPageBreak/>
              <w:t>PETROLEUM PROSPECTIVITY – SHALE/ TIGHT GAS</w:t>
            </w:r>
          </w:p>
        </w:tc>
      </w:tr>
      <w:tr w:rsidR="00C31D48" w14:paraId="4BC8CC9B" w14:textId="77777777" w:rsidTr="00CA7302">
        <w:tc>
          <w:tcPr>
            <w:tcW w:w="4101" w:type="dxa"/>
            <w:shd w:val="clear" w:color="auto" w:fill="146692"/>
          </w:tcPr>
          <w:p w14:paraId="47E92ADF" w14:textId="298F8127"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Unconventional play types</w:t>
            </w:r>
          </w:p>
        </w:tc>
        <w:tc>
          <w:tcPr>
            <w:tcW w:w="5518" w:type="dxa"/>
            <w:shd w:val="clear" w:color="auto" w:fill="E1F2FB"/>
          </w:tcPr>
          <w:p w14:paraId="571E9862" w14:textId="015A9142" w:rsidR="00C31D48" w:rsidRDefault="00C31D48" w:rsidP="006564B8">
            <w:pPr>
              <w:pStyle w:val="BodyText"/>
              <w:spacing w:beforeLines="20" w:before="48" w:afterLines="20" w:after="48" w:line="120" w:lineRule="atLeast"/>
            </w:pPr>
            <w:r w:rsidRPr="00A20862">
              <w:t>Tight gas, shale gas, deep coal</w:t>
            </w:r>
          </w:p>
        </w:tc>
      </w:tr>
      <w:tr w:rsidR="00C31D48" w14:paraId="4FC6F92B" w14:textId="77777777" w:rsidTr="00CA7302">
        <w:tc>
          <w:tcPr>
            <w:tcW w:w="4101" w:type="dxa"/>
            <w:shd w:val="clear" w:color="auto" w:fill="146692"/>
          </w:tcPr>
          <w:p w14:paraId="715E2A73" w14:textId="0A834D86"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No of wells targeting shale/ tight gas plays</w:t>
            </w:r>
          </w:p>
        </w:tc>
        <w:tc>
          <w:tcPr>
            <w:tcW w:w="5518" w:type="dxa"/>
            <w:shd w:val="clear" w:color="auto" w:fill="E1F2FB"/>
          </w:tcPr>
          <w:p w14:paraId="448F7D4E" w14:textId="6A41B82A" w:rsidR="00C31D48" w:rsidRDefault="00C31D48" w:rsidP="006564B8">
            <w:pPr>
              <w:pStyle w:val="BodyText"/>
              <w:spacing w:beforeLines="20" w:before="48" w:afterLines="20" w:after="48" w:line="120" w:lineRule="atLeast"/>
            </w:pPr>
            <w:r w:rsidRPr="00A20862">
              <w:t>&gt;40</w:t>
            </w:r>
          </w:p>
        </w:tc>
      </w:tr>
      <w:tr w:rsidR="00C31D48" w14:paraId="64FB33B3" w14:textId="77777777" w:rsidTr="00CA7302">
        <w:tc>
          <w:tcPr>
            <w:tcW w:w="4101" w:type="dxa"/>
            <w:shd w:val="clear" w:color="auto" w:fill="146692"/>
          </w:tcPr>
          <w:p w14:paraId="1F51CCAD" w14:textId="76430838"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Production – shale/ tight gas</w:t>
            </w:r>
          </w:p>
        </w:tc>
        <w:tc>
          <w:tcPr>
            <w:tcW w:w="5518" w:type="dxa"/>
            <w:shd w:val="clear" w:color="auto" w:fill="E1F2FB"/>
          </w:tcPr>
          <w:p w14:paraId="2025CB76" w14:textId="049F5684" w:rsidR="00C31D48" w:rsidRDefault="00C31D48" w:rsidP="006564B8">
            <w:pPr>
              <w:pStyle w:val="BodyText"/>
              <w:spacing w:beforeLines="20" w:before="48" w:afterLines="20" w:after="48" w:line="120" w:lineRule="atLeast"/>
            </w:pPr>
            <w:r w:rsidRPr="00A20862">
              <w:t>Minor shale and tight gas production from Moomba 191, 193H and 194 (Santos, 2012, 2013a, b)</w:t>
            </w:r>
          </w:p>
        </w:tc>
      </w:tr>
      <w:tr w:rsidR="00C31D48" w14:paraId="44B263FF" w14:textId="77777777" w:rsidTr="00CA7302">
        <w:tc>
          <w:tcPr>
            <w:tcW w:w="4101" w:type="dxa"/>
            <w:shd w:val="clear" w:color="auto" w:fill="146692"/>
          </w:tcPr>
          <w:p w14:paraId="13FB3EF5" w14:textId="6FC6B754"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2P Reserves – shale/ tight gas</w:t>
            </w:r>
          </w:p>
        </w:tc>
        <w:tc>
          <w:tcPr>
            <w:tcW w:w="5518" w:type="dxa"/>
            <w:shd w:val="clear" w:color="auto" w:fill="E1F2FB"/>
          </w:tcPr>
          <w:p w14:paraId="28AB0A2F" w14:textId="35740641" w:rsidR="00C31D48" w:rsidRDefault="00C31D48" w:rsidP="006564B8">
            <w:pPr>
              <w:pStyle w:val="BodyText"/>
              <w:spacing w:beforeLines="20" w:before="48" w:afterLines="20" w:after="48" w:line="120" w:lineRule="atLeast"/>
            </w:pPr>
            <w:r w:rsidRPr="00A20862">
              <w:t>None currently reported</w:t>
            </w:r>
          </w:p>
        </w:tc>
      </w:tr>
      <w:tr w:rsidR="00C31D48" w14:paraId="5104AFAE" w14:textId="77777777" w:rsidTr="00CA7302">
        <w:tc>
          <w:tcPr>
            <w:tcW w:w="4101" w:type="dxa"/>
            <w:shd w:val="clear" w:color="auto" w:fill="146692"/>
          </w:tcPr>
          <w:p w14:paraId="0AB30CF3" w14:textId="3F20C574"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Remaining resources (reserves + contingent resources) – shale/ tight gas</w:t>
            </w:r>
          </w:p>
        </w:tc>
        <w:tc>
          <w:tcPr>
            <w:tcW w:w="5518" w:type="dxa"/>
            <w:shd w:val="clear" w:color="auto" w:fill="E1F2FB"/>
          </w:tcPr>
          <w:p w14:paraId="12047B8E" w14:textId="6743C4CF" w:rsidR="00C31D48" w:rsidRDefault="00C31D48" w:rsidP="006564B8">
            <w:pPr>
              <w:pStyle w:val="BodyText"/>
              <w:spacing w:beforeLines="20" w:before="48" w:afterLines="20" w:after="48" w:line="120" w:lineRule="atLeast"/>
            </w:pPr>
            <w:r w:rsidRPr="00A20862">
              <w:t>8.74 Tcf shale gas; 0.84 Tcf tight gas (includes overlying Eromanga Basin; AERA, 2018)</w:t>
            </w:r>
          </w:p>
        </w:tc>
      </w:tr>
      <w:tr w:rsidR="00C31D48" w14:paraId="72AC8D1E" w14:textId="77777777" w:rsidTr="00CA7302">
        <w:tc>
          <w:tcPr>
            <w:tcW w:w="4101" w:type="dxa"/>
            <w:shd w:val="clear" w:color="auto" w:fill="146692"/>
          </w:tcPr>
          <w:p w14:paraId="3BD48FC9" w14:textId="5E4EBCDB" w:rsidR="00C31D48" w:rsidRPr="006564B8" w:rsidRDefault="00C31D48" w:rsidP="006564B8">
            <w:pPr>
              <w:pStyle w:val="BodyText"/>
              <w:spacing w:beforeLines="20" w:before="48" w:afterLines="20" w:after="48" w:line="120" w:lineRule="atLeast"/>
              <w:rPr>
                <w:b/>
                <w:color w:val="FFFFFF" w:themeColor="background1"/>
              </w:rPr>
            </w:pPr>
            <w:r w:rsidRPr="006564B8">
              <w:rPr>
                <w:b/>
                <w:color w:val="FFFFFF" w:themeColor="background1"/>
              </w:rPr>
              <w:t>Undiscovered resource estimates – shale/ tight / deep coal gas</w:t>
            </w:r>
          </w:p>
        </w:tc>
        <w:tc>
          <w:tcPr>
            <w:tcW w:w="5518" w:type="dxa"/>
            <w:shd w:val="clear" w:color="auto" w:fill="E1F2FB"/>
          </w:tcPr>
          <w:p w14:paraId="1EA3917F" w14:textId="77777777" w:rsidR="00C31D48" w:rsidRDefault="00C31D48" w:rsidP="002D7618">
            <w:pPr>
              <w:pStyle w:val="TableBullet"/>
              <w:spacing w:beforeLines="20" w:before="48" w:afterLines="20" w:after="48"/>
              <w:ind w:left="459"/>
            </w:pPr>
            <w:r>
              <w:t>Technically recoverable shale gas in the REM of 92 Tcf, including 89 Tcf in the Nappamerri Trough (prospective area - associated gas 625 mi2, wet gas 555 mi</w:t>
            </w:r>
            <w:r w:rsidRPr="003D4B0D">
              <w:rPr>
                <w:vertAlign w:val="superscript"/>
              </w:rPr>
              <w:t>2</w:t>
            </w:r>
            <w:r>
              <w:t>, dry gas 3,525 mi</w:t>
            </w:r>
            <w:r w:rsidRPr="003D4B0D">
              <w:rPr>
                <w:vertAlign w:val="superscript"/>
              </w:rPr>
              <w:t>2</w:t>
            </w:r>
            <w:r>
              <w:t>) and 4 Tcf in the Patchawarra Trough (prospective area - associated gas 1,010 mi</w:t>
            </w:r>
            <w:r w:rsidRPr="003D4B0D">
              <w:rPr>
                <w:vertAlign w:val="superscript"/>
              </w:rPr>
              <w:t>2</w:t>
            </w:r>
            <w:r>
              <w:t>, wet gas 1,150 mi</w:t>
            </w:r>
            <w:r w:rsidRPr="003D4B0D">
              <w:rPr>
                <w:vertAlign w:val="superscript"/>
              </w:rPr>
              <w:t>2</w:t>
            </w:r>
            <w:r>
              <w:t>, dry gas 170 mi</w:t>
            </w:r>
            <w:r w:rsidRPr="003D4B0D">
              <w:rPr>
                <w:vertAlign w:val="superscript"/>
              </w:rPr>
              <w:t>2</w:t>
            </w:r>
            <w:r>
              <w:t>) (EIA, 2013)</w:t>
            </w:r>
          </w:p>
          <w:p w14:paraId="04116EB0" w14:textId="77777777" w:rsidR="00C31D48" w:rsidRDefault="00C31D48" w:rsidP="002D7618">
            <w:pPr>
              <w:pStyle w:val="TableBullet"/>
              <w:spacing w:beforeLines="20" w:before="48" w:afterLines="20" w:after="48"/>
              <w:ind w:left="459"/>
            </w:pPr>
            <w:r>
              <w:t>B</w:t>
            </w:r>
            <w:r w:rsidRPr="002019F4">
              <w:t xml:space="preserve">est estimates on recoverable shale gas in the REM </w:t>
            </w:r>
            <w:r>
              <w:t>of 14 Tcf over a prospective</w:t>
            </w:r>
            <w:r w:rsidRPr="002019F4">
              <w:t xml:space="preserve"> area of 3,604 km</w:t>
            </w:r>
            <w:r w:rsidRPr="002019F4">
              <w:rPr>
                <w:vertAlign w:val="superscript"/>
              </w:rPr>
              <w:t>2</w:t>
            </w:r>
            <w:r>
              <w:t xml:space="preserve"> for wet gas and 35 Tcf over a prospective</w:t>
            </w:r>
            <w:r w:rsidRPr="002019F4">
              <w:t xml:space="preserve"> area of 9,106 km</w:t>
            </w:r>
            <w:r w:rsidRPr="002019F4">
              <w:rPr>
                <w:vertAlign w:val="superscript"/>
              </w:rPr>
              <w:t>2</w:t>
            </w:r>
            <w:r w:rsidRPr="002019F4">
              <w:t xml:space="preserve"> for dry gas (AWT International, 2013)</w:t>
            </w:r>
          </w:p>
          <w:p w14:paraId="2BCFF63C" w14:textId="77777777" w:rsidR="00C31D48" w:rsidRDefault="00C31D48" w:rsidP="002D7618">
            <w:pPr>
              <w:pStyle w:val="TableBullet"/>
              <w:spacing w:beforeLines="20" w:before="48" w:afterLines="20" w:after="48"/>
              <w:ind w:left="459"/>
            </w:pPr>
            <w:r>
              <w:t>P</w:t>
            </w:r>
            <w:r w:rsidRPr="002019F4">
              <w:t xml:space="preserve">otentially recoverable shale gas-in-place (5% recovery factor at P50) </w:t>
            </w:r>
            <w:r>
              <w:t>of</w:t>
            </w:r>
            <w:r w:rsidRPr="002019F4">
              <w:t xml:space="preserve"> </w:t>
            </w:r>
            <w:r>
              <w:t>6.9 Tcf in the Roseneath Shale (prospective area wet gas 3,834 km</w:t>
            </w:r>
            <w:r w:rsidRPr="001559CD">
              <w:rPr>
                <w:vertAlign w:val="superscript"/>
              </w:rPr>
              <w:t>2</w:t>
            </w:r>
            <w:r>
              <w:t>, dry gas 3,403 km</w:t>
            </w:r>
            <w:r w:rsidRPr="001559CD">
              <w:rPr>
                <w:vertAlign w:val="superscript"/>
              </w:rPr>
              <w:t>2</w:t>
            </w:r>
            <w:r>
              <w:t>) and Murteree Shale (prospective area wet gas 3,454 km</w:t>
            </w:r>
            <w:r w:rsidRPr="001559CD">
              <w:rPr>
                <w:vertAlign w:val="superscript"/>
              </w:rPr>
              <w:t>2</w:t>
            </w:r>
            <w:r>
              <w:t>, dry gas 3,291 km</w:t>
            </w:r>
            <w:r w:rsidRPr="001559CD">
              <w:rPr>
                <w:vertAlign w:val="superscript"/>
              </w:rPr>
              <w:t>2</w:t>
            </w:r>
            <w:r>
              <w:t>)</w:t>
            </w:r>
            <w:r w:rsidRPr="002019F4">
              <w:t xml:space="preserve"> (AERA, 2018)</w:t>
            </w:r>
          </w:p>
          <w:p w14:paraId="64261A49" w14:textId="77777777" w:rsidR="00C31D48" w:rsidRDefault="00C31D48" w:rsidP="002D7618">
            <w:pPr>
              <w:pStyle w:val="TableBullet"/>
              <w:spacing w:beforeLines="20" w:before="48" w:afterLines="20" w:after="48"/>
              <w:ind w:left="459"/>
            </w:pPr>
            <w:r>
              <w:t>P</w:t>
            </w:r>
            <w:r w:rsidRPr="002019F4">
              <w:t>otentially recoverable</w:t>
            </w:r>
            <w:r>
              <w:t xml:space="preserve"> tight</w:t>
            </w:r>
            <w:r w:rsidRPr="002019F4">
              <w:t xml:space="preserve"> gas-in-pla</w:t>
            </w:r>
            <w:r>
              <w:t xml:space="preserve">ce (5% recovery factor at P50) of </w:t>
            </w:r>
            <w:r w:rsidRPr="001559CD">
              <w:t>50.9 Tcf in the Patchawarra Formation (prospective area wet gas 14,426</w:t>
            </w:r>
            <w:r>
              <w:t> </w:t>
            </w:r>
            <w:r w:rsidRPr="001559CD">
              <w:t>km</w:t>
            </w:r>
            <w:r w:rsidRPr="00C96650">
              <w:rPr>
                <w:vertAlign w:val="superscript"/>
              </w:rPr>
              <w:t>2</w:t>
            </w:r>
            <w:r w:rsidRPr="001559CD">
              <w:t>, dry gas 3,417 km</w:t>
            </w:r>
            <w:r w:rsidRPr="00C96650">
              <w:rPr>
                <w:vertAlign w:val="superscript"/>
              </w:rPr>
              <w:t>2</w:t>
            </w:r>
            <w:r w:rsidRPr="001559CD">
              <w:t>), Epsilon Formation (prospective area wet gas 5,413 km2, dry gas 3,401 km</w:t>
            </w:r>
            <w:r w:rsidRPr="00C96650">
              <w:rPr>
                <w:vertAlign w:val="superscript"/>
              </w:rPr>
              <w:t>2</w:t>
            </w:r>
            <w:r w:rsidRPr="001559CD">
              <w:t>), Daralingie Formation (prospective area wet gas 4,691 km</w:t>
            </w:r>
            <w:r w:rsidRPr="00C96650">
              <w:rPr>
                <w:vertAlign w:val="superscript"/>
              </w:rPr>
              <w:t>2</w:t>
            </w:r>
            <w:r w:rsidRPr="001559CD">
              <w:t>, dry gas 3,102 km</w:t>
            </w:r>
            <w:r w:rsidRPr="00C96650">
              <w:rPr>
                <w:vertAlign w:val="superscript"/>
              </w:rPr>
              <w:t>2</w:t>
            </w:r>
            <w:r w:rsidRPr="001559CD">
              <w:t>) and Toolachee Formation (prospective area wet gas 15,070 km</w:t>
            </w:r>
            <w:r w:rsidRPr="00F16948">
              <w:rPr>
                <w:vertAlign w:val="superscript"/>
              </w:rPr>
              <w:t>2</w:t>
            </w:r>
            <w:r w:rsidRPr="001559CD">
              <w:t>, dry gas 2,725 km</w:t>
            </w:r>
            <w:r w:rsidRPr="00C96650">
              <w:rPr>
                <w:vertAlign w:val="superscript"/>
              </w:rPr>
              <w:t>2</w:t>
            </w:r>
            <w:r w:rsidRPr="001559CD">
              <w:t>) (AERA, 2018)</w:t>
            </w:r>
          </w:p>
          <w:p w14:paraId="24CB4F18" w14:textId="77777777" w:rsidR="00C31D48" w:rsidRDefault="00C31D48" w:rsidP="002D7618">
            <w:pPr>
              <w:pStyle w:val="TableBullet"/>
              <w:spacing w:beforeLines="20" w:before="48" w:afterLines="20" w:after="48"/>
              <w:ind w:left="459"/>
            </w:pPr>
            <w:r w:rsidRPr="005450A3">
              <w:t>2C resources of 0.421 Tcf for Patchawarra Formation coals (PEL 90) in the</w:t>
            </w:r>
            <w:r>
              <w:t xml:space="preserve"> Arrabury Trough (Senex, 2013)</w:t>
            </w:r>
          </w:p>
          <w:p w14:paraId="649CE93C" w14:textId="26A606C4" w:rsidR="00C31D48" w:rsidRDefault="00C31D48" w:rsidP="002D7618">
            <w:pPr>
              <w:pStyle w:val="BodyText"/>
              <w:numPr>
                <w:ilvl w:val="0"/>
                <w:numId w:val="32"/>
              </w:numPr>
              <w:spacing w:beforeLines="20" w:before="48" w:afterLines="20" w:after="48" w:line="120" w:lineRule="atLeast"/>
              <w:ind w:left="459"/>
            </w:pPr>
            <w:r>
              <w:t>Deterministic sales of gas in place for Permian coal of 113.77 Tcf (Core Energy Group, 2016)</w:t>
            </w:r>
          </w:p>
        </w:tc>
      </w:tr>
      <w:tr w:rsidR="00C31D48" w14:paraId="08DEAF23" w14:textId="77777777" w:rsidTr="00CA7302">
        <w:tc>
          <w:tcPr>
            <w:tcW w:w="4101" w:type="dxa"/>
            <w:shd w:val="clear" w:color="auto" w:fill="146692"/>
          </w:tcPr>
          <w:p w14:paraId="60AEAE6F" w14:textId="53E70E31" w:rsidR="00C31D48" w:rsidRPr="006564B8" w:rsidRDefault="00C31D48" w:rsidP="006564B8">
            <w:pPr>
              <w:pStyle w:val="BodyText"/>
              <w:spacing w:beforeLines="20" w:before="48" w:afterLines="20" w:after="48" w:line="120" w:lineRule="atLeast"/>
              <w:rPr>
                <w:b/>
              </w:rPr>
            </w:pPr>
            <w:r w:rsidRPr="006564B8">
              <w:rPr>
                <w:b/>
                <w:color w:val="FFFFFF" w:themeColor="background1"/>
              </w:rPr>
              <w:t>Hydrocarbon shows, tests – shale/ tight gas</w:t>
            </w:r>
          </w:p>
        </w:tc>
        <w:tc>
          <w:tcPr>
            <w:tcW w:w="5518" w:type="dxa"/>
            <w:shd w:val="clear" w:color="auto" w:fill="E1F2FB"/>
          </w:tcPr>
          <w:p w14:paraId="2866BFF4" w14:textId="02E789F8" w:rsidR="00C31D48" w:rsidRDefault="00C31D48" w:rsidP="006564B8">
            <w:pPr>
              <w:pStyle w:val="BodyText"/>
              <w:spacing w:beforeLines="20" w:before="48" w:afterLines="20" w:after="48" w:line="120" w:lineRule="atLeast"/>
            </w:pPr>
            <w:r w:rsidRPr="00C31D48">
              <w:t>Production from Moomba 191, 193H and 194 (Santos, 2012, 2013a, b)</w:t>
            </w:r>
          </w:p>
        </w:tc>
      </w:tr>
    </w:tbl>
    <w:p w14:paraId="0AC174D2" w14:textId="275588F9" w:rsidR="008B38C1" w:rsidRDefault="008B38C1" w:rsidP="00E34CDE">
      <w:pPr>
        <w:pStyle w:val="AppendixHeading3"/>
      </w:pPr>
      <w:bookmarkStart w:id="173" w:name="_Toc517161152"/>
      <w:r>
        <w:t>Basin geology</w:t>
      </w:r>
      <w:bookmarkEnd w:id="173"/>
    </w:p>
    <w:p w14:paraId="3AAB528A" w14:textId="33A78BD3" w:rsidR="008B38C1" w:rsidRPr="00C9623F" w:rsidRDefault="008B38C1" w:rsidP="00C9623F">
      <w:pPr>
        <w:pStyle w:val="BodyText"/>
      </w:pPr>
      <w:r w:rsidRPr="00C9623F">
        <w:t>The Cooper Basin is a Late Carboniferous–Middle Triassic intracratonic basin in northeastern South Australia and southwestern Queensland covering an area of approximately 127,000</w:t>
      </w:r>
      <w:r w:rsidR="008232C9">
        <w:t> km</w:t>
      </w:r>
      <w:r w:rsidRPr="000350BE">
        <w:rPr>
          <w:rStyle w:val="Superscript"/>
        </w:rPr>
        <w:t>2</w:t>
      </w:r>
      <w:r w:rsidRPr="00C9623F">
        <w:t xml:space="preserve"> (</w:t>
      </w:r>
      <w:r w:rsidR="00611607">
        <w:t>Figure C</w:t>
      </w:r>
      <w:r w:rsidR="006A108D">
        <w:t>.31</w:t>
      </w:r>
      <w:r w:rsidRPr="00C9623F">
        <w:t xml:space="preserve">; </w:t>
      </w:r>
      <w:r w:rsidR="00611607">
        <w:t>Table C</w:t>
      </w:r>
      <w:r w:rsidR="006A108D">
        <w:t xml:space="preserve">.25; </w:t>
      </w:r>
      <w:r w:rsidRPr="00C9623F">
        <w:t>Gravestock et al.</w:t>
      </w:r>
      <w:r w:rsidR="00045970">
        <w:t>,</w:t>
      </w:r>
      <w:r w:rsidRPr="00C9623F">
        <w:t xml:space="preserve"> 1998; Carr et al., 2016; Jell, 2013). It unconformably overlies lower Paleozoic sediments of the Warburton Basin in the southwest and Devonian sediments associated with the Adavale Basin in the northeast (Gravestock and Jensen</w:t>
      </w:r>
      <w:r w:rsidRPr="00C9623F">
        <w:noBreakHyphen/>
        <w:t xml:space="preserve">Schmidt, 1998; Draper, 2002; </w:t>
      </w:r>
      <w:hyperlink r:id="rId238" w:anchor="_ENREF_29" w:tooltip="Radke, 2009 #130" w:history="1">
        <w:r w:rsidRPr="00C9623F">
          <w:rPr>
            <w:rStyle w:val="Hyperlink"/>
            <w:color w:val="000000"/>
          </w:rPr>
          <w:t>Radke, 2009</w:t>
        </w:r>
      </w:hyperlink>
      <w:r w:rsidRPr="00C9623F">
        <w:t xml:space="preserve">; </w:t>
      </w:r>
      <w:hyperlink r:id="rId239" w:anchor="_ENREF_41" w:tooltip="Stewart, 2013 #149" w:history="1">
        <w:r w:rsidRPr="00C9623F">
          <w:rPr>
            <w:rStyle w:val="Hyperlink"/>
            <w:color w:val="000000"/>
          </w:rPr>
          <w:t>Stewart et al., 2013</w:t>
        </w:r>
      </w:hyperlink>
      <w:r w:rsidRPr="00C9623F">
        <w:t xml:space="preserve">; Hall et al., 2015). The Cooper Basin is entirely and </w:t>
      </w:r>
      <w:r w:rsidRPr="00C9623F">
        <w:lastRenderedPageBreak/>
        <w:t xml:space="preserve">disconformably overlain by the Jurassic–Cretaceous Eromanga Basin, which in turn is unconformably overlain by the Cenozoic Lake Eyre Basin (Gravestock et al., 1998; Cook et al., 2013; Cook and Jell, 2013; </w:t>
      </w:r>
      <w:hyperlink r:id="rId240" w:anchor="_ENREF_41" w:tooltip="Stewart, 2013 #149" w:history="1">
        <w:r w:rsidRPr="00C9623F">
          <w:rPr>
            <w:rStyle w:val="Hyperlink"/>
            <w:color w:val="000000"/>
          </w:rPr>
          <w:t>Stewart et al., 2013</w:t>
        </w:r>
      </w:hyperlink>
      <w:r w:rsidRPr="00C9623F">
        <w:t>).</w:t>
      </w:r>
    </w:p>
    <w:p w14:paraId="598A3F17" w14:textId="116A6A45" w:rsidR="008B38C1" w:rsidRPr="00C9623F" w:rsidRDefault="008B38C1" w:rsidP="00C9623F">
      <w:pPr>
        <w:pStyle w:val="BodyText"/>
      </w:pPr>
      <w:r w:rsidRPr="00C9623F">
        <w:t xml:space="preserve">The Cooper Basin is divided </w:t>
      </w:r>
      <w:r w:rsidR="000D4188" w:rsidRPr="000D4188">
        <w:t xml:space="preserve">into two areas </w:t>
      </w:r>
      <w:r w:rsidR="00DC738C" w:rsidRPr="00DC738C">
        <w:t>by the Jackson Naccowlah Pepita (JNP) Trend</w:t>
      </w:r>
      <w:r w:rsidR="00A007FE">
        <w:t xml:space="preserve">, one in the </w:t>
      </w:r>
      <w:r w:rsidRPr="00C9623F">
        <w:t xml:space="preserve">northeast </w:t>
      </w:r>
      <w:r w:rsidR="00A007FE">
        <w:t xml:space="preserve">and the other in the </w:t>
      </w:r>
      <w:r w:rsidRPr="00C9623F">
        <w:t>southwest</w:t>
      </w:r>
      <w:r w:rsidR="00A007FE">
        <w:t xml:space="preserve"> </w:t>
      </w:r>
      <w:r w:rsidR="00A007FE" w:rsidRPr="00A007FE">
        <w:t>(Figure C.</w:t>
      </w:r>
      <w:r w:rsidR="003B4D8C" w:rsidRPr="00A007FE">
        <w:t>3</w:t>
      </w:r>
      <w:r w:rsidR="003B4D8C">
        <w:t>1</w:t>
      </w:r>
      <w:r w:rsidR="00A007FE" w:rsidRPr="00A007FE">
        <w:t>; McKellar, 2013; Hall et al., 2015)</w:t>
      </w:r>
      <w:r w:rsidR="00A007FE">
        <w:t xml:space="preserve">. These areas have distinctly </w:t>
      </w:r>
      <w:r w:rsidRPr="00C9623F">
        <w:t>different structural and sedimentary histories</w:t>
      </w:r>
      <w:r w:rsidR="00A007FE">
        <w:t>.</w:t>
      </w:r>
      <w:r w:rsidRPr="00C9623F">
        <w:t xml:space="preserve"> Depocentres in the southwestern Cooper Basin are generally deeper and contain a thicker and more complete Permian succession than the northern part of the basin (Hill and Gravestock, 1995; McKellar, 2013). The three major troughs in the southwest (Patchawarra, Nappamerri and Tenappera) are separated by the Gidgealpa</w:t>
      </w:r>
      <w:r w:rsidRPr="00C9623F">
        <w:noBreakHyphen/>
        <w:t>Merrimelia</w:t>
      </w:r>
      <w:r w:rsidRPr="00C9623F">
        <w:noBreakHyphen/>
        <w:t>Innamincka (GMI) and Murteree ridges</w:t>
      </w:r>
      <w:r w:rsidR="00AA272B">
        <w:t xml:space="preserve"> (</w:t>
      </w:r>
      <w:r w:rsidR="00B52EC9">
        <w:t>F</w:t>
      </w:r>
      <w:r w:rsidR="00AA272B">
        <w:t>igure</w:t>
      </w:r>
      <w:r w:rsidR="00B52EC9">
        <w:t xml:space="preserve"> C.31</w:t>
      </w:r>
      <w:r w:rsidR="00AA272B">
        <w:t>)</w:t>
      </w:r>
      <w:r w:rsidRPr="00C9623F">
        <w:t xml:space="preserve">, which </w:t>
      </w:r>
      <w:r w:rsidR="00AA272B">
        <w:t>strike</w:t>
      </w:r>
      <w:r w:rsidRPr="00C9623F">
        <w:t xml:space="preserve"> northeast</w:t>
      </w:r>
      <w:r w:rsidRPr="00C9623F">
        <w:noBreakHyphen/>
        <w:t xml:space="preserve">southwest, </w:t>
      </w:r>
      <w:r w:rsidR="00AA272B">
        <w:t xml:space="preserve">approximately </w:t>
      </w:r>
      <w:r w:rsidRPr="00C9623F">
        <w:t>parallel to the main depositional axis of the basin (Gravestock and Jensen</w:t>
      </w:r>
      <w:r w:rsidRPr="00C9623F">
        <w:noBreakHyphen/>
        <w:t xml:space="preserve">Schmidt, 1998). In the northeastern Cooper Basin, the Permian succession is thinner, and the major depocentres, including the Windorah Trough and Ullenbury Depression, are typically less well </w:t>
      </w:r>
      <w:r w:rsidR="003B4D8C">
        <w:t>mapped</w:t>
      </w:r>
      <w:r w:rsidR="003B4D8C" w:rsidRPr="00C9623F">
        <w:t xml:space="preserve"> </w:t>
      </w:r>
      <w:r w:rsidRPr="00C9623F">
        <w:t>(Draper, 2002; McKellar, 2013).</w:t>
      </w:r>
    </w:p>
    <w:p w14:paraId="27A32FB9" w14:textId="708BF5F9" w:rsidR="008B38C1" w:rsidRPr="00C9623F" w:rsidRDefault="008B38C1" w:rsidP="00C9623F">
      <w:pPr>
        <w:pStyle w:val="BodyText"/>
      </w:pPr>
      <w:r w:rsidRPr="00C9623F">
        <w:t xml:space="preserve">The stratigraphy of the Cooper Basin is divided into two groups—the Pennsylvanian to upper Permian Gidgealpa Group and the </w:t>
      </w:r>
      <w:r w:rsidR="00A448CD">
        <w:t>top</w:t>
      </w:r>
      <w:r w:rsidR="00A448CD" w:rsidRPr="00C9623F">
        <w:t xml:space="preserve"> </w:t>
      </w:r>
      <w:r w:rsidRPr="00C9623F">
        <w:t>Permian to Middle Triassic Nappamerri Group (</w:t>
      </w:r>
      <w:r w:rsidR="00611607">
        <w:t>Figure C</w:t>
      </w:r>
      <w:r w:rsidR="006A108D">
        <w:t>.32</w:t>
      </w:r>
      <w:r w:rsidRPr="00C9623F">
        <w:t>). The formations associated with the main unconventional play types all lie within the Gidgealpa Group and are discussed briefly below.</w:t>
      </w:r>
    </w:p>
    <w:p w14:paraId="3A6A81EE" w14:textId="77777777" w:rsidR="008B38C1" w:rsidRPr="00C9623F" w:rsidRDefault="008B38C1" w:rsidP="00C9623F">
      <w:pPr>
        <w:pStyle w:val="BodyText"/>
      </w:pPr>
      <w:r w:rsidRPr="00C9623F">
        <w:t>The Patchawarra Formation comprises interbedded sandstone, siltstone, shale and coal. The formation is present across the entire basin and is the thickest unit of the Gidgealpa Group, reaching 68</w:t>
      </w:r>
      <w:r w:rsidR="004C01AB">
        <w:t>0 m</w:t>
      </w:r>
      <w:r w:rsidRPr="00C9623F">
        <w:t xml:space="preserve"> in the Nappamerri Trough. Lithofacies distribution patterns suggest deposition within a high sinuosity fluvial system that included floodplains, peat swamps, and lakes.</w:t>
      </w:r>
    </w:p>
    <w:p w14:paraId="23076A5E" w14:textId="7C68D01B" w:rsidR="008B38C1" w:rsidRPr="00C9623F" w:rsidRDefault="008B38C1" w:rsidP="00C9623F">
      <w:pPr>
        <w:pStyle w:val="BodyText"/>
      </w:pPr>
      <w:r w:rsidRPr="00C9623F">
        <w:t>The Murteree Shale comprises black to dark grey</w:t>
      </w:r>
      <w:r w:rsidRPr="00C9623F">
        <w:noBreakHyphen/>
        <w:t>brown argillaceous siltstone with minor fine</w:t>
      </w:r>
      <w:r w:rsidRPr="00C9623F">
        <w:noBreakHyphen/>
        <w:t>grained sandstone and was deposited in a deep lake environment with restricted circulation (Alexander et al., 1998; Gray and McKellar, 2002). The Epsilon Formation comprises fine to medium</w:t>
      </w:r>
      <w:r w:rsidRPr="00C9623F">
        <w:noBreakHyphen/>
        <w:t>grained sandstone interbedded with carbonaceous siltstone and shale, and occasional coals (Gatehouse, 1972; Price, 1997; Alexander et al., 1998; Gray and McKellar, 2002). It consists of an aggradational lacustrine delta sequence, deposited under conditions of differential subsidence. The Roseneath Shale comprises light to dark brown</w:t>
      </w:r>
      <w:r w:rsidRPr="00C9623F">
        <w:noBreakHyphen/>
        <w:t>grey siltstone, mudstone and minor fine</w:t>
      </w:r>
      <w:r w:rsidRPr="00C9623F">
        <w:noBreakHyphen/>
        <w:t xml:space="preserve">grained sandstone and was deposited in a lacustrine environment similar to the Murteree Shale (Price, 1997; Alexander et al., 1998; Gray and McKellar, 2002). The Daralingie Formation comprises interbedded carbonaceous and micaceous siltstone, mudstone, coal and minor sandstone. All </w:t>
      </w:r>
      <w:r w:rsidR="003B4D8C">
        <w:t>four</w:t>
      </w:r>
      <w:r w:rsidRPr="00C9623F">
        <w:t xml:space="preserve"> formations are generally restricted to the southern Cooper Basin (Hall et al., 2015). </w:t>
      </w:r>
    </w:p>
    <w:p w14:paraId="6E8868FE" w14:textId="4CA1A35A" w:rsidR="008B38C1" w:rsidRPr="00C9623F" w:rsidRDefault="008B38C1" w:rsidP="00C9623F">
      <w:pPr>
        <w:pStyle w:val="BodyText"/>
      </w:pPr>
      <w:r w:rsidRPr="00C9623F">
        <w:t>The Toolachee Formation comprises interbedded fine to coarse</w:t>
      </w:r>
      <w:r w:rsidRPr="00C9623F">
        <w:noBreakHyphen/>
        <w:t xml:space="preserve">grained quartzose sandstone, mudstone, carbonaceous shale with thin coal seams and conglomerates (Price, 1997; Alexander et al., 1998; Gray and McKellar, 2002; Nakanishi and Lang, 2001). The Toolachee Formation was deposited in fluvial environments during an interval of renewed basin subsidence. Clastic deposition occurred in ephemeral lakes and on the floodplains, while coal formed in swamps. </w:t>
      </w:r>
    </w:p>
    <w:p w14:paraId="0230D81B" w14:textId="77777777" w:rsidR="008B38C1" w:rsidRPr="005450A3" w:rsidRDefault="008B38C1" w:rsidP="008B38C1">
      <w:pPr>
        <w:pStyle w:val="FiguresImagesCentred"/>
      </w:pPr>
      <w:r>
        <w:rPr>
          <w:noProof/>
        </w:rPr>
        <w:lastRenderedPageBreak/>
        <w:drawing>
          <wp:inline distT="0" distB="0" distL="0" distR="0" wp14:anchorId="394AD611" wp14:editId="07030FF0">
            <wp:extent cx="5762625" cy="6391275"/>
            <wp:effectExtent l="0" t="0" r="0" b="9525"/>
            <wp:docPr id="7209" name="Picture 7209" title="Cooper Basin structural elements map"/>
            <wp:cNvGraphicFramePr/>
            <a:graphic xmlns:a="http://schemas.openxmlformats.org/drawingml/2006/main">
              <a:graphicData uri="http://schemas.openxmlformats.org/drawingml/2006/picture">
                <pic:pic xmlns:pic="http://schemas.openxmlformats.org/drawingml/2006/picture">
                  <pic:nvPicPr>
                    <pic:cNvPr id="30" name="" title="Cooper Basin structural elements map"/>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5759450" cy="6396990"/>
                    </a:xfrm>
                    <a:prstGeom prst="rect">
                      <a:avLst/>
                    </a:prstGeom>
                    <a:noFill/>
                    <a:ln>
                      <a:noFill/>
                    </a:ln>
                  </pic:spPr>
                </pic:pic>
              </a:graphicData>
            </a:graphic>
          </wp:inline>
        </w:drawing>
      </w:r>
    </w:p>
    <w:p w14:paraId="26DF32CA" w14:textId="02AEE80F" w:rsidR="008B38C1" w:rsidRPr="0094665C" w:rsidRDefault="00E34CDE" w:rsidP="009F3E8F">
      <w:pPr>
        <w:pStyle w:val="Caption"/>
      </w:pPr>
      <w:bookmarkStart w:id="174" w:name="_Toc508972102"/>
      <w:r w:rsidRPr="0094665C">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94665C">
        <w:t>.</w:t>
      </w:r>
      <w:r w:rsidR="008079F1">
        <w:fldChar w:fldCharType="begin"/>
      </w:r>
      <w:r w:rsidR="008079F1">
        <w:instrText xml:space="preserve"> SEQ Apx_Figure \* ARABIC \s 9 </w:instrText>
      </w:r>
      <w:r w:rsidR="008079F1">
        <w:fldChar w:fldCharType="separate"/>
      </w:r>
      <w:r w:rsidR="00640CCB">
        <w:rPr>
          <w:noProof/>
        </w:rPr>
        <w:t>31</w:t>
      </w:r>
      <w:r w:rsidR="008079F1">
        <w:rPr>
          <w:noProof/>
        </w:rPr>
        <w:fldChar w:fldCharType="end"/>
      </w:r>
      <w:r w:rsidRPr="0094665C">
        <w:t xml:space="preserve"> </w:t>
      </w:r>
      <w:r w:rsidR="008B38C1" w:rsidRPr="0094665C">
        <w:t xml:space="preserve">Cooper Basin structural elements overlain on the top pre-Permian basement horizon (Hall et al., 2015; Carr et al., 2016), with the basin outline from </w:t>
      </w:r>
      <w:hyperlink r:id="rId242" w:anchor="_ENREF_41" w:tooltip="Stewart, 2013 #149" w:history="1">
        <w:r w:rsidR="008B38C1" w:rsidRPr="0094665C">
          <w:rPr>
            <w:rStyle w:val="Hyperlink"/>
            <w:color w:val="146692" w:themeColor="text2"/>
          </w:rPr>
          <w:t>Stewart et al., (2013</w:t>
        </w:r>
      </w:hyperlink>
      <w:r w:rsidR="008B38C1" w:rsidRPr="0094665C">
        <w:t>).</w:t>
      </w:r>
      <w:bookmarkEnd w:id="174"/>
      <w:r w:rsidR="008B38C1" w:rsidRPr="0094665C">
        <w:t xml:space="preserve"> </w:t>
      </w:r>
    </w:p>
    <w:p w14:paraId="5BAC44F4" w14:textId="77777777" w:rsidR="008B38C1" w:rsidRDefault="008B38C1" w:rsidP="000520F9">
      <w:pPr>
        <w:pStyle w:val="BodyText"/>
      </w:pPr>
    </w:p>
    <w:p w14:paraId="7ADE1FC0" w14:textId="77777777" w:rsidR="008B38C1" w:rsidRPr="005450A3" w:rsidRDefault="008B38C1" w:rsidP="008B38C1">
      <w:pPr>
        <w:pStyle w:val="FiguresImagesCentred"/>
      </w:pPr>
      <w:r>
        <w:rPr>
          <w:noProof/>
        </w:rPr>
        <w:lastRenderedPageBreak/>
        <w:drawing>
          <wp:inline distT="0" distB="0" distL="0" distR="0" wp14:anchorId="1B8721C9" wp14:editId="2A27ED52">
            <wp:extent cx="5514975" cy="7858125"/>
            <wp:effectExtent l="0" t="0" r="9525" b="9525"/>
            <wp:docPr id="7208" name="Picture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5514975" cy="7858125"/>
                    </a:xfrm>
                    <a:prstGeom prst="rect">
                      <a:avLst/>
                    </a:prstGeom>
                    <a:noFill/>
                    <a:ln>
                      <a:noFill/>
                    </a:ln>
                  </pic:spPr>
                </pic:pic>
              </a:graphicData>
            </a:graphic>
          </wp:inline>
        </w:drawing>
      </w:r>
    </w:p>
    <w:p w14:paraId="36750428" w14:textId="77777777" w:rsidR="008B38C1" w:rsidRDefault="00E01F8F" w:rsidP="009F3E8F">
      <w:pPr>
        <w:pStyle w:val="Caption"/>
      </w:pPr>
      <w:bookmarkStart w:id="175" w:name="_Toc508972103"/>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32</w:t>
      </w:r>
      <w:r w:rsidR="008079F1">
        <w:rPr>
          <w:noProof/>
        </w:rPr>
        <w:fldChar w:fldCharType="end"/>
      </w:r>
      <w:r>
        <w:rPr>
          <w:noProof/>
        </w:rPr>
        <w:t xml:space="preserve"> </w:t>
      </w:r>
      <w:r w:rsidR="008B38C1">
        <w:t>Stratigraphy of the Cooper Basin showing depositional facies, conventional petroleum occurrences and identified source rocks (Hall et al., 2015; Carr et al., 2016).</w:t>
      </w:r>
      <w:bookmarkEnd w:id="175"/>
    </w:p>
    <w:p w14:paraId="422D52AA" w14:textId="77777777" w:rsidR="000350BE" w:rsidRPr="000350BE" w:rsidRDefault="000350BE" w:rsidP="000350BE">
      <w:pPr>
        <w:pStyle w:val="BodyText"/>
      </w:pPr>
    </w:p>
    <w:p w14:paraId="5FC91F52" w14:textId="77777777" w:rsidR="008B38C1" w:rsidRDefault="008B38C1" w:rsidP="00E34CDE">
      <w:pPr>
        <w:pStyle w:val="AppendixHeading3"/>
      </w:pPr>
      <w:bookmarkStart w:id="176" w:name="_Toc517161153"/>
      <w:r>
        <w:lastRenderedPageBreak/>
        <w:t>Petroleum data coverage</w:t>
      </w:r>
      <w:bookmarkEnd w:id="176"/>
    </w:p>
    <w:p w14:paraId="41C36548" w14:textId="1B182226" w:rsidR="008B38C1" w:rsidRDefault="008B38C1" w:rsidP="0094665C">
      <w:pPr>
        <w:pStyle w:val="BodyText"/>
      </w:pPr>
      <w:r>
        <w:t>The Cooper Basin is extensively explored and has the richest datasets of any onshore sedimentary basin in Australia. Since 1959, there have been over 3000 petroleum wells drilled within the Cooper Basin, which have targeted oil and gas in Permian and Triassic formations (</w:t>
      </w:r>
      <w:r w:rsidR="00611607">
        <w:t>Figure</w:t>
      </w:r>
      <w:r w:rsidR="00224379">
        <w:t>s C.32 and</w:t>
      </w:r>
      <w:r w:rsidR="00611607">
        <w:t xml:space="preserve"> C</w:t>
      </w:r>
      <w:r w:rsidR="006A108D">
        <w:t>.33</w:t>
      </w:r>
      <w:r w:rsidR="005023A3">
        <w:t>; DNRME, 2017a; DPCSA, 2017d</w:t>
      </w:r>
      <w:r>
        <w:t xml:space="preserve">). </w:t>
      </w:r>
    </w:p>
    <w:p w14:paraId="0011427E" w14:textId="63E39909" w:rsidR="008B38C1" w:rsidRDefault="008B38C1" w:rsidP="0094665C">
      <w:pPr>
        <w:pStyle w:val="BodyText"/>
      </w:pPr>
      <w:r>
        <w:t>Seismic data coverage is extensive across the Cooper Basin, collected from the 1960s until the present. More than 81,000 line-kilometres of 2D and 10,000</w:t>
      </w:r>
      <w:r w:rsidR="008232C9">
        <w:t> km</w:t>
      </w:r>
      <w:r w:rsidRPr="000350BE">
        <w:rPr>
          <w:rStyle w:val="Superscript"/>
        </w:rPr>
        <w:t>2</w:t>
      </w:r>
      <w:r>
        <w:t xml:space="preserve"> of 3D seismic have been acquired (Carr et al., 2016</w:t>
      </w:r>
      <w:r w:rsidR="005023A3">
        <w:t>; DNRME, 2017b-d; DPCSA, 2017a, e</w:t>
      </w:r>
      <w:r>
        <w:t>). Over time, improvements in seismic technologies have greatly enhanced the understanding of subtle structural features and plays within the basin.</w:t>
      </w:r>
    </w:p>
    <w:p w14:paraId="2E816119" w14:textId="567E69FC" w:rsidR="008B38C1" w:rsidRPr="005450A3" w:rsidRDefault="008B38C1" w:rsidP="00CA7302">
      <w:pPr>
        <w:pStyle w:val="BodyText"/>
      </w:pPr>
      <w:r>
        <w:t>Geophysical data are available across most of the basin, including gravity (&gt;4</w:t>
      </w:r>
      <w:r w:rsidR="008232C9">
        <w:t> km</w:t>
      </w:r>
      <w:r>
        <w:t xml:space="preserve"> station spacing) and aeromagnetics (&lt;40</w:t>
      </w:r>
      <w:r w:rsidR="004C01AB">
        <w:t>0 m</w:t>
      </w:r>
      <w:r>
        <w:t xml:space="preserve"> line spacing</w:t>
      </w:r>
      <w:r w:rsidR="005023A3">
        <w:t>; Carr et al., 2016</w:t>
      </w:r>
      <w:r>
        <w:t>).</w:t>
      </w:r>
      <w:r>
        <w:rPr>
          <w:noProof/>
        </w:rPr>
        <w:drawing>
          <wp:inline distT="0" distB="0" distL="0" distR="0" wp14:anchorId="58C81956" wp14:editId="0266EFE9">
            <wp:extent cx="5437632" cy="5192937"/>
            <wp:effectExtent l="0" t="0" r="0" b="8255"/>
            <wp:docPr id="7207" name="Picture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244" cstate="screen">
                      <a:extLst>
                        <a:ext uri="{28A0092B-C50C-407E-A947-70E740481C1C}">
                          <a14:useLocalDpi xmlns:a14="http://schemas.microsoft.com/office/drawing/2010/main"/>
                        </a:ext>
                      </a:extLst>
                    </a:blip>
                    <a:srcRect/>
                    <a:stretch/>
                  </pic:blipFill>
                  <pic:spPr bwMode="auto">
                    <a:xfrm>
                      <a:off x="0" y="0"/>
                      <a:ext cx="5463660" cy="5217794"/>
                    </a:xfrm>
                    <a:prstGeom prst="rect">
                      <a:avLst/>
                    </a:prstGeom>
                    <a:noFill/>
                    <a:ln>
                      <a:noFill/>
                    </a:ln>
                    <a:extLst>
                      <a:ext uri="{53640926-AAD7-44D8-BBD7-CCE9431645EC}">
                        <a14:shadowObscured xmlns:a14="http://schemas.microsoft.com/office/drawing/2010/main"/>
                      </a:ext>
                    </a:extLst>
                  </pic:spPr>
                </pic:pic>
              </a:graphicData>
            </a:graphic>
          </wp:inline>
        </w:drawing>
      </w:r>
    </w:p>
    <w:p w14:paraId="3476C823" w14:textId="00B1DCA3" w:rsidR="008B38C1" w:rsidRDefault="00E01F8F" w:rsidP="009F3E8F">
      <w:pPr>
        <w:pStyle w:val="Caption"/>
      </w:pPr>
      <w:bookmarkStart w:id="177" w:name="_Toc508972104"/>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33</w:t>
      </w:r>
      <w:r w:rsidR="008079F1">
        <w:rPr>
          <w:noProof/>
        </w:rPr>
        <w:fldChar w:fldCharType="end"/>
      </w:r>
      <w:r>
        <w:rPr>
          <w:noProof/>
        </w:rPr>
        <w:t xml:space="preserve"> </w:t>
      </w:r>
      <w:r w:rsidR="008B38C1">
        <w:t xml:space="preserve">Cooper Basin petroleum exploration wells current to 2017 and seismic data coverage (2D and 3D). Cooper Basin outline from Stewart et al. (2013). </w:t>
      </w:r>
      <w:r w:rsidR="00B903F5">
        <w:t>Petroleum well data from DNRM</w:t>
      </w:r>
      <w:r w:rsidR="00E46720">
        <w:t>E</w:t>
      </w:r>
      <w:r w:rsidR="005023A3">
        <w:t xml:space="preserve"> (</w:t>
      </w:r>
      <w:r w:rsidR="00145FEF">
        <w:t>2017a</w:t>
      </w:r>
      <w:r w:rsidR="00B903F5">
        <w:t>)</w:t>
      </w:r>
      <w:r w:rsidR="005023A3">
        <w:t xml:space="preserve"> and DPCSA (2017d)</w:t>
      </w:r>
      <w:r w:rsidR="00B903F5">
        <w:t xml:space="preserve">. Seismic data coverage from </w:t>
      </w:r>
      <w:r w:rsidR="00E46720">
        <w:t>DNRME (2017b-d)</w:t>
      </w:r>
      <w:r w:rsidR="005023A3">
        <w:t xml:space="preserve"> and DPCSA (2017a, e)</w:t>
      </w:r>
      <w:r w:rsidR="00B903F5">
        <w:t>.</w:t>
      </w:r>
      <w:bookmarkEnd w:id="177"/>
    </w:p>
    <w:p w14:paraId="4BE8A834" w14:textId="77777777" w:rsidR="008B38C1" w:rsidRDefault="008B38C1" w:rsidP="000520F9">
      <w:pPr>
        <w:pStyle w:val="BodyText"/>
      </w:pPr>
      <w:r>
        <w:br w:type="page"/>
      </w:r>
    </w:p>
    <w:p w14:paraId="3789A34A" w14:textId="77777777" w:rsidR="008B38C1" w:rsidRDefault="008B38C1" w:rsidP="00E34CDE">
      <w:pPr>
        <w:pStyle w:val="AppendixHeading3"/>
      </w:pPr>
      <w:bookmarkStart w:id="178" w:name="_Toc517161154"/>
      <w:r>
        <w:lastRenderedPageBreak/>
        <w:t>Shale and tight gas prospectivity</w:t>
      </w:r>
      <w:bookmarkEnd w:id="178"/>
    </w:p>
    <w:p w14:paraId="364A23E7" w14:textId="44683C01" w:rsidR="008B38C1" w:rsidRDefault="008B38C1" w:rsidP="0094665C">
      <w:pPr>
        <w:pStyle w:val="BodyText"/>
      </w:pPr>
      <w:r>
        <w:t xml:space="preserve">The hydrocarbon prospectivity of the Cooper Basin is summarised in </w:t>
      </w:r>
      <w:r w:rsidR="0029674C">
        <w:t>Table C.2</w:t>
      </w:r>
      <w:r w:rsidR="003B3ECD">
        <w:t>5</w:t>
      </w:r>
      <w:r w:rsidR="0029674C">
        <w:t>.</w:t>
      </w:r>
    </w:p>
    <w:p w14:paraId="55501C79" w14:textId="33A32E2F" w:rsidR="008B38C1" w:rsidRDefault="008B38C1" w:rsidP="0094665C">
      <w:pPr>
        <w:pStyle w:val="BodyText"/>
      </w:pPr>
      <w:r>
        <w:t xml:space="preserve">The Cooper Basin, in conjunction with the overlying Eromanga Basin, forms Australia’s premier onshore conventional hydrocarbon producing province. It contains 256 gas fields and 166 oil fields currently in production, and is nationally significant in providing gas to the </w:t>
      </w:r>
      <w:r w:rsidR="006A6AF0">
        <w:t>East Coast Gas Market</w:t>
      </w:r>
      <w:r>
        <w:t xml:space="preserve"> (Hall et al., 2015). The Cooper Basin also hosts a range of unconventional play types within the Permian Gidgealpa Group, including basin</w:t>
      </w:r>
      <w:r>
        <w:noBreakHyphen/>
        <w:t>centred gas and tight gas accumulations</w:t>
      </w:r>
      <w:r w:rsidR="00575AEF">
        <w:t xml:space="preserve"> and</w:t>
      </w:r>
      <w:r>
        <w:t xml:space="preserve"> deep coal gas associated with the Patchawarra</w:t>
      </w:r>
      <w:r w:rsidR="00575AEF">
        <w:t xml:space="preserve">, </w:t>
      </w:r>
      <w:r>
        <w:t>Toolachee</w:t>
      </w:r>
      <w:r w:rsidR="00575AEF">
        <w:t xml:space="preserve"> and Epsilon</w:t>
      </w:r>
      <w:r>
        <w:t xml:space="preserve"> formations, and the Murteree and Roseneath shale gas plays (Goldstein et al., 2012). Data for the key unconventional hydrocarbon targets are summarised in </w:t>
      </w:r>
      <w:r w:rsidR="00611607">
        <w:t>Table C</w:t>
      </w:r>
      <w:r w:rsidR="00096667">
        <w:t>.26</w:t>
      </w:r>
      <w:r>
        <w:t>.</w:t>
      </w:r>
    </w:p>
    <w:p w14:paraId="7D6139B3" w14:textId="0670A58E" w:rsidR="008B38C1" w:rsidRDefault="008B38C1" w:rsidP="0094665C">
      <w:pPr>
        <w:pStyle w:val="BodyText"/>
      </w:pPr>
      <w:r>
        <w:t xml:space="preserve">The principal shale gas play is the Roseneath-Epsilon-Murteree (REM) play comprising Permian Murteree and Roseneath shales </w:t>
      </w:r>
      <w:r w:rsidR="00CD7A76">
        <w:t xml:space="preserve">separated </w:t>
      </w:r>
      <w:r>
        <w:t xml:space="preserve">by tight sands of the Epsilon Formation. These </w:t>
      </w:r>
      <w:r w:rsidR="00A448CD">
        <w:t xml:space="preserve">formations </w:t>
      </w:r>
      <w:r>
        <w:t>are generally restricted in extent to the southern part of the basin (</w:t>
      </w:r>
      <w:r w:rsidR="00611607">
        <w:t>Figure C</w:t>
      </w:r>
      <w:r w:rsidR="006A108D">
        <w:t>.34</w:t>
      </w:r>
      <w:r>
        <w:t xml:space="preserve">; Hall et al., 2015). </w:t>
      </w:r>
    </w:p>
    <w:p w14:paraId="15EF8FE0" w14:textId="162F96DF" w:rsidR="008B38C1" w:rsidRDefault="008B38C1" w:rsidP="0094665C">
      <w:pPr>
        <w:pStyle w:val="BodyText"/>
      </w:pPr>
      <w:r>
        <w:t>Tight/basin</w:t>
      </w:r>
      <w:r w:rsidR="00682494">
        <w:t>-</w:t>
      </w:r>
      <w:r>
        <w:t>centred gas plays are present in multiple depocentres across the Cooper Basin (</w:t>
      </w:r>
      <w:r w:rsidR="00611607">
        <w:t>Figure C</w:t>
      </w:r>
      <w:r w:rsidR="006A108D">
        <w:t>.34</w:t>
      </w:r>
      <w:r>
        <w:t xml:space="preserve">). The most extensive basin-centred/tight gas </w:t>
      </w:r>
      <w:r w:rsidR="00B0617D">
        <w:t xml:space="preserve">play </w:t>
      </w:r>
      <w:r>
        <w:t>lies within the Nappamerri Trough, where the Permian succession reaches over 1.3</w:t>
      </w:r>
      <w:r w:rsidR="008232C9">
        <w:t> km</w:t>
      </w:r>
      <w:r>
        <w:t xml:space="preserve"> thick and comprises very thermally mature, gas-prone source rocks with interbedded sands (DPCSA, 2017). Thick siltstones of the Nappamerri Group </w:t>
      </w:r>
      <w:r w:rsidR="00B0617D">
        <w:t>act as</w:t>
      </w:r>
      <w:r>
        <w:t xml:space="preserve"> a regional top seal for the pervasive gas accumulation, and the Roseneath and Murteree shales </w:t>
      </w:r>
      <w:r w:rsidR="00B0617D">
        <w:t>also</w:t>
      </w:r>
      <w:r>
        <w:t xml:space="preserve"> assist </w:t>
      </w:r>
      <w:r w:rsidR="00AA6384">
        <w:t xml:space="preserve">with </w:t>
      </w:r>
      <w:r>
        <w:t xml:space="preserve">gas containment. Generation and expulsion of hydrocarbons from the Cooper Basin source rocks occurred in the mid-Cretaceous, but overpressure has been retained in the Nappamerri Trough. </w:t>
      </w:r>
    </w:p>
    <w:p w14:paraId="226F43FE" w14:textId="615432E4" w:rsidR="008B38C1" w:rsidRDefault="008B38C1" w:rsidP="0094665C">
      <w:pPr>
        <w:pStyle w:val="BodyText"/>
      </w:pPr>
      <w:r>
        <w:t xml:space="preserve">The </w:t>
      </w:r>
      <w:r w:rsidR="00CD7A76">
        <w:t xml:space="preserve">early </w:t>
      </w:r>
      <w:r>
        <w:t xml:space="preserve">Permian successions in the Patchawarra, Wooloo, Allunga and Windorah troughs also have the necessary elements for basin-centred </w:t>
      </w:r>
      <w:r w:rsidR="00904E7D">
        <w:t xml:space="preserve">and deep coal </w:t>
      </w:r>
      <w:r>
        <w:t>gas accumulations, including gas-prone coal beds, sufficient maturity for thermal gas generation, low-porosity and permeability reservoirs interbedded with the source rocks and gas shows (DPCSA, 2017).</w:t>
      </w:r>
    </w:p>
    <w:p w14:paraId="219022EB" w14:textId="57AECCB1" w:rsidR="008B38C1" w:rsidRDefault="008B38C1" w:rsidP="0094665C">
      <w:pPr>
        <w:pStyle w:val="BodyText"/>
      </w:pPr>
      <w:r>
        <w:t xml:space="preserve">Since Santos first produced shale gas from Moomba 191 in 2010, at least 40 wells have been drilled to test shale and tight plays across the Cooper Basin (Santos, 2012; DPCSA, 2017; DNRM, 2017). Although three unconventional wells have since sustained production (Moomba 191, 193H and 194; Santos, 2013a, b), no reserves </w:t>
      </w:r>
      <w:r w:rsidR="00475534">
        <w:t xml:space="preserve">of </w:t>
      </w:r>
      <w:r>
        <w:t xml:space="preserve">unconventional </w:t>
      </w:r>
      <w:r w:rsidR="00475534">
        <w:t xml:space="preserve">gas </w:t>
      </w:r>
      <w:r>
        <w:t>are currently reported for the basin.</w:t>
      </w:r>
    </w:p>
    <w:p w14:paraId="31985B54" w14:textId="4289ADB2" w:rsidR="008B38C1" w:rsidRDefault="008B38C1" w:rsidP="0094665C">
      <w:pPr>
        <w:pStyle w:val="BodyText"/>
      </w:pPr>
      <w:r>
        <w:t>In South Australia, there has been extensive active exploration for both shale</w:t>
      </w:r>
      <w:r w:rsidR="003E6119">
        <w:t xml:space="preserve">, </w:t>
      </w:r>
      <w:r>
        <w:t>tight gas</w:t>
      </w:r>
      <w:r w:rsidR="003E6119">
        <w:t xml:space="preserve"> and deep coal</w:t>
      </w:r>
      <w:r>
        <w:t xml:space="preserve"> by Beach Energy, Drillsearch, Santos and Senex (Goldstein et al., 2012; Beach, 2014</w:t>
      </w:r>
      <w:r w:rsidR="003E6119">
        <w:t>; Core Energy, 2016</w:t>
      </w:r>
      <w:r>
        <w:t>). This activity has resulted in the following contingent resources:</w:t>
      </w:r>
    </w:p>
    <w:p w14:paraId="3CF463B5" w14:textId="77777777" w:rsidR="008B38C1" w:rsidRPr="0094665C" w:rsidRDefault="008B38C1" w:rsidP="0094665C">
      <w:pPr>
        <w:pStyle w:val="ListBullet"/>
      </w:pPr>
      <w:r w:rsidRPr="0094665C">
        <w:t>Senex booked 2C resources of 0.835 Tcf for tight sands associated with the Hornet gas field (PELs 115 and 516) on the southeastern flank of the Nappamerri Trough, 0.698 Tcf for tight sands associated with the Patchawarra Formation and the Murteree Shale at Sasanof (PEL 516) in the Allunga Trough (Senex, 2013).</w:t>
      </w:r>
    </w:p>
    <w:p w14:paraId="06A1E775" w14:textId="24F31834" w:rsidR="008B38C1" w:rsidRPr="0094665C" w:rsidRDefault="008B38C1" w:rsidP="0094665C">
      <w:pPr>
        <w:pStyle w:val="ListBullet"/>
      </w:pPr>
      <w:r w:rsidRPr="0094665C">
        <w:lastRenderedPageBreak/>
        <w:t>Beach booked 2C unconventional resources of 1.964 Tcf of gas for PRLs 33 to 49 (Beach Energy, 2014, 2015</w:t>
      </w:r>
      <w:r w:rsidR="00475534">
        <w:t>a</w:t>
      </w:r>
      <w:r w:rsidRPr="0094665C">
        <w:t xml:space="preserve">). </w:t>
      </w:r>
    </w:p>
    <w:p w14:paraId="0C3918AC" w14:textId="77777777" w:rsidR="008B38C1" w:rsidRPr="0094665C" w:rsidRDefault="008B38C1" w:rsidP="0094665C">
      <w:pPr>
        <w:pStyle w:val="ListBullet"/>
      </w:pPr>
      <w:r w:rsidRPr="0094665C">
        <w:t>Santos booked a total 2C resource of 2345 PJ for the Cooper Basin (Santos, 2012)</w:t>
      </w:r>
    </w:p>
    <w:p w14:paraId="56C33159" w14:textId="3E8DE165" w:rsidR="00647297" w:rsidRPr="005450A3" w:rsidRDefault="003E6119" w:rsidP="00ED1394">
      <w:pPr>
        <w:pStyle w:val="BodyText"/>
      </w:pPr>
      <w:r>
        <w:t>D</w:t>
      </w:r>
      <w:r w:rsidR="00045970">
        <w:t xml:space="preserve">eep coal gas </w:t>
      </w:r>
      <w:r w:rsidR="003718E0">
        <w:t xml:space="preserve">plays in the Patchawarra and Toolachee formations are </w:t>
      </w:r>
      <w:r w:rsidR="00045970">
        <w:t xml:space="preserve">being actively explored by </w:t>
      </w:r>
      <w:r w:rsidR="003718E0">
        <w:t xml:space="preserve">Santos, </w:t>
      </w:r>
      <w:r w:rsidR="00045970">
        <w:t>Beach Energy and Senex</w:t>
      </w:r>
      <w:r w:rsidR="009354D9">
        <w:t xml:space="preserve">, these </w:t>
      </w:r>
      <w:r w:rsidR="00625988">
        <w:t xml:space="preserve">are </w:t>
      </w:r>
      <w:r w:rsidR="00045970">
        <w:t xml:space="preserve">being included as part of the Cooper shale and tight gas assessment. </w:t>
      </w:r>
      <w:r w:rsidR="008B38C1" w:rsidRPr="005450A3">
        <w:t>Senex booked 2C r</w:t>
      </w:r>
      <w:r w:rsidR="00F101E4">
        <w:t>esource</w:t>
      </w:r>
      <w:r w:rsidR="008B38C1" w:rsidRPr="005450A3">
        <w:t xml:space="preserve"> of 0.421 Tcf for Patchawarra Formation coals around Paning-2 (PEL 90) in the Arrabury Trough (Senex, 2013). </w:t>
      </w:r>
    </w:p>
    <w:p w14:paraId="5C33743F" w14:textId="7D20D55E" w:rsidR="008B38C1" w:rsidRDefault="008B38C1" w:rsidP="0094665C">
      <w:pPr>
        <w:pStyle w:val="BodyText"/>
      </w:pPr>
      <w:r>
        <w:t>In Queensland, ten wells have been drilled to examine the potential of the eastern Nappamerri Trough by Beach Energy and Drillsearch, which intersected up to 1.3 kilometres of gas-saturated Permian rocks (DNRM, 2017).  Based on these drilling programs, the following resources have been booked for the Queensland side of the trough:</w:t>
      </w:r>
    </w:p>
    <w:p w14:paraId="3CFF6942" w14:textId="3B2A1A3B" w:rsidR="008B38C1" w:rsidRPr="005450A3" w:rsidRDefault="008B38C1" w:rsidP="005450A3">
      <w:pPr>
        <w:pStyle w:val="ListBullet"/>
      </w:pPr>
      <w:r w:rsidRPr="005450A3">
        <w:t xml:space="preserve">Beach Energy booked 1.572 Tcf of 2C gas resources within ATP 855, which included both the Murteree and Roseneath shales, and the Epsilon, Toolachee, Daralingie and Patchawarra formations (Beach Energy, </w:t>
      </w:r>
      <w:r w:rsidR="005E5456" w:rsidRPr="005450A3">
        <w:t>2015</w:t>
      </w:r>
      <w:r w:rsidR="00B0617D">
        <w:t>c</w:t>
      </w:r>
      <w:r w:rsidRPr="005450A3">
        <w:t xml:space="preserve">; Icon </w:t>
      </w:r>
      <w:r w:rsidR="005E5456">
        <w:t>E</w:t>
      </w:r>
      <w:r w:rsidR="005E5456" w:rsidRPr="005450A3">
        <w:t>nergy</w:t>
      </w:r>
      <w:r w:rsidRPr="005450A3">
        <w:t xml:space="preserve">, 2015). </w:t>
      </w:r>
    </w:p>
    <w:p w14:paraId="2D75D0AF" w14:textId="77777777" w:rsidR="008B38C1" w:rsidRPr="005450A3" w:rsidRDefault="008B38C1" w:rsidP="005450A3">
      <w:pPr>
        <w:pStyle w:val="ListBullet"/>
      </w:pPr>
      <w:r w:rsidRPr="005450A3">
        <w:t>Drillsearch (owned by Beach Energy as of 2016) booked 2C gas resources of 0.771 Tcf for ATP 940 (Drillsearch, 2015).</w:t>
      </w:r>
    </w:p>
    <w:p w14:paraId="1BD39CE6" w14:textId="64F0E729" w:rsidR="008B38C1" w:rsidRPr="005962FF" w:rsidRDefault="008B38C1" w:rsidP="005962FF">
      <w:pPr>
        <w:pStyle w:val="BodyText"/>
      </w:pPr>
      <w:r>
        <w:t xml:space="preserve">It should be noted though that in 2016, Beach </w:t>
      </w:r>
      <w:r w:rsidR="008670C7">
        <w:t>reduced the contingent resources associated with</w:t>
      </w:r>
      <w:r>
        <w:t xml:space="preserve"> the Nappamerri Trough</w:t>
      </w:r>
      <w:r w:rsidR="008670C7">
        <w:t xml:space="preserve"> Natural Gas (NTNG)</w:t>
      </w:r>
      <w:r>
        <w:t xml:space="preserve"> project from their </w:t>
      </w:r>
      <w:r w:rsidRPr="00C42B06">
        <w:t>annual reserves statement</w:t>
      </w:r>
      <w:r w:rsidR="008670C7" w:rsidRPr="00C42B06">
        <w:t xml:space="preserve"> (Beach Energy, 2016).  Beach stated that the results of stage 1 of the exploration program “demonstrated that the high cost of addressing fundamental technical issues means the NTNG </w:t>
      </w:r>
      <w:r w:rsidR="008670C7" w:rsidRPr="005962FF">
        <w:t>project is unlikely to be developed commercially in the medium term”.</w:t>
      </w:r>
    </w:p>
    <w:p w14:paraId="2036D66F" w14:textId="7FE20B1C" w:rsidR="008B38C1" w:rsidRPr="005962FF" w:rsidRDefault="008B38C1" w:rsidP="005962FF">
      <w:pPr>
        <w:pStyle w:val="BodyText"/>
      </w:pPr>
      <w:r w:rsidRPr="005962FF">
        <w:t xml:space="preserve">Further north in Queensland, three wells drilled by Santos and Real Energy have proven the existence of a basin-centred gas play within Patchawarra and Toolachee formations in the Windorah Trough (Queenscliff 1, Tamarama 1, Whanto South 1; Real Energy, 2014; Beach Energy, </w:t>
      </w:r>
      <w:r w:rsidR="002D2580" w:rsidRPr="005962FF">
        <w:t>2015</w:t>
      </w:r>
      <w:r w:rsidR="00B0617D" w:rsidRPr="005962FF">
        <w:t>a,</w:t>
      </w:r>
      <w:r w:rsidR="005962FF" w:rsidRPr="005962FF">
        <w:t xml:space="preserve"> </w:t>
      </w:r>
      <w:r w:rsidR="00B0617D" w:rsidRPr="005962FF">
        <w:t>b</w:t>
      </w:r>
      <w:r w:rsidRPr="005962FF">
        <w:t>).</w:t>
      </w:r>
    </w:p>
    <w:p w14:paraId="72CD209C" w14:textId="59BE7804" w:rsidR="008B38C1" w:rsidRDefault="008B38C1" w:rsidP="0094665C">
      <w:pPr>
        <w:pStyle w:val="BodyText"/>
      </w:pPr>
      <w:r>
        <w:t>A range of basin scale prospective resource estimates for shale</w:t>
      </w:r>
      <w:r w:rsidR="00687BE8">
        <w:t xml:space="preserve">, </w:t>
      </w:r>
      <w:r>
        <w:t xml:space="preserve">tight </w:t>
      </w:r>
      <w:r w:rsidR="00687BE8">
        <w:t xml:space="preserve">and deep coal gas </w:t>
      </w:r>
      <w:r>
        <w:t>plays in the Cooper Basin have been published, as follows:</w:t>
      </w:r>
    </w:p>
    <w:p w14:paraId="4268FB08" w14:textId="21AC8E45" w:rsidR="008B38C1" w:rsidRPr="005450A3" w:rsidRDefault="008B38C1" w:rsidP="005450A3">
      <w:pPr>
        <w:pStyle w:val="ListBullet"/>
      </w:pPr>
      <w:r w:rsidRPr="005450A3">
        <w:t>The US Energy Information Administration (EIA) estimates the technically recoverable shale gas in the REM in Cooper Basin to be 92 Tcf</w:t>
      </w:r>
      <w:r w:rsidR="00FB2673">
        <w:t xml:space="preserve"> </w:t>
      </w:r>
      <w:r w:rsidRPr="005450A3">
        <w:t>(</w:t>
      </w:r>
      <w:r w:rsidR="00440013">
        <w:t xml:space="preserve">Table C.25; </w:t>
      </w:r>
      <w:r w:rsidRPr="005450A3">
        <w:t xml:space="preserve">EIA, 2013). </w:t>
      </w:r>
      <w:r w:rsidR="00E175CA">
        <w:t>This included 89 Tcf in the Nappamerri Trough (prospective area - associated gas 625 mi</w:t>
      </w:r>
      <w:r w:rsidR="00E175CA" w:rsidRPr="00E175CA">
        <w:rPr>
          <w:vertAlign w:val="superscript"/>
        </w:rPr>
        <w:t>2</w:t>
      </w:r>
      <w:r w:rsidR="00E175CA">
        <w:t>, wet gas 555 mi</w:t>
      </w:r>
      <w:r w:rsidR="00E175CA" w:rsidRPr="00E175CA">
        <w:rPr>
          <w:vertAlign w:val="superscript"/>
        </w:rPr>
        <w:t>2</w:t>
      </w:r>
      <w:r w:rsidR="00E175CA">
        <w:t>, dry gas 3,525 mi</w:t>
      </w:r>
      <w:r w:rsidR="00E175CA" w:rsidRPr="00E175CA">
        <w:rPr>
          <w:vertAlign w:val="superscript"/>
        </w:rPr>
        <w:t>2</w:t>
      </w:r>
      <w:r w:rsidR="00E175CA">
        <w:t>) and 4 Tcf in the Patchawarra Trough (prospective area - associated gas 1,010 mi</w:t>
      </w:r>
      <w:r w:rsidR="00E175CA" w:rsidRPr="00E175CA">
        <w:rPr>
          <w:vertAlign w:val="superscript"/>
        </w:rPr>
        <w:t>2</w:t>
      </w:r>
      <w:r w:rsidR="00E175CA">
        <w:t>, wet gas 1,150 mi</w:t>
      </w:r>
      <w:r w:rsidR="00E175CA" w:rsidRPr="00E175CA">
        <w:rPr>
          <w:vertAlign w:val="superscript"/>
        </w:rPr>
        <w:t>2</w:t>
      </w:r>
      <w:r w:rsidR="00E175CA">
        <w:t>, dry gas 170 mi</w:t>
      </w:r>
      <w:r w:rsidR="00E175CA" w:rsidRPr="00E175CA">
        <w:rPr>
          <w:vertAlign w:val="superscript"/>
        </w:rPr>
        <w:t>2</w:t>
      </w:r>
      <w:r w:rsidR="00E175CA">
        <w:t>).</w:t>
      </w:r>
    </w:p>
    <w:p w14:paraId="50732D35" w14:textId="62B95286" w:rsidR="008B38C1" w:rsidRPr="005450A3" w:rsidRDefault="008B38C1" w:rsidP="005450A3">
      <w:pPr>
        <w:pStyle w:val="ListBullet"/>
      </w:pPr>
      <w:r w:rsidRPr="005450A3">
        <w:t xml:space="preserve">AWT </w:t>
      </w:r>
      <w:r w:rsidR="000F78B4">
        <w:t xml:space="preserve">International </w:t>
      </w:r>
      <w:r w:rsidRPr="005450A3">
        <w:t xml:space="preserve">have </w:t>
      </w:r>
      <w:r w:rsidRPr="000F78B4">
        <w:t>reported best estimate</w:t>
      </w:r>
      <w:r w:rsidR="000F78B4">
        <w:t>s</w:t>
      </w:r>
      <w:r w:rsidRPr="000F78B4">
        <w:t xml:space="preserve"> on recoverable shale gas </w:t>
      </w:r>
      <w:r w:rsidR="000F78B4">
        <w:t>in the</w:t>
      </w:r>
      <w:r w:rsidRPr="000F78B4">
        <w:t xml:space="preserve"> REM </w:t>
      </w:r>
      <w:r w:rsidR="000F78B4">
        <w:t>to be</w:t>
      </w:r>
      <w:r w:rsidRPr="000F78B4">
        <w:t xml:space="preserve"> 14 Tcf </w:t>
      </w:r>
      <w:r w:rsidR="000F78B4" w:rsidRPr="000F78B4">
        <w:t>over a</w:t>
      </w:r>
      <w:r w:rsidR="00034336">
        <w:t xml:space="preserve"> prospective</w:t>
      </w:r>
      <w:r w:rsidR="000F78B4" w:rsidRPr="000F78B4">
        <w:t xml:space="preserve"> area of </w:t>
      </w:r>
      <w:r w:rsidR="000F78B4" w:rsidRPr="000F78B4">
        <w:rPr>
          <w:rFonts w:eastAsiaTheme="minorHAnsi"/>
        </w:rPr>
        <w:t>3,604 km</w:t>
      </w:r>
      <w:r w:rsidR="000F78B4" w:rsidRPr="000F78B4">
        <w:rPr>
          <w:rFonts w:eastAsiaTheme="minorHAnsi"/>
          <w:vertAlign w:val="superscript"/>
        </w:rPr>
        <w:t>2</w:t>
      </w:r>
      <w:r w:rsidR="000F78B4" w:rsidRPr="000F78B4">
        <w:rPr>
          <w:rFonts w:eastAsiaTheme="minorHAnsi"/>
        </w:rPr>
        <w:t xml:space="preserve"> </w:t>
      </w:r>
      <w:r w:rsidR="000F78B4">
        <w:t>for wet gas</w:t>
      </w:r>
      <w:r w:rsidRPr="000F78B4">
        <w:t xml:space="preserve"> and 35 Tcf </w:t>
      </w:r>
      <w:r w:rsidR="000F78B4" w:rsidRPr="000F78B4">
        <w:t>over a</w:t>
      </w:r>
      <w:r w:rsidR="00034336">
        <w:t xml:space="preserve"> prospective</w:t>
      </w:r>
      <w:r w:rsidR="000F78B4" w:rsidRPr="000F78B4">
        <w:t xml:space="preserve"> area of </w:t>
      </w:r>
      <w:r w:rsidR="000F78B4" w:rsidRPr="000F78B4">
        <w:rPr>
          <w:rFonts w:eastAsiaTheme="minorHAnsi"/>
        </w:rPr>
        <w:t>9,106 km</w:t>
      </w:r>
      <w:r w:rsidR="000F78B4" w:rsidRPr="000F78B4">
        <w:rPr>
          <w:rFonts w:eastAsiaTheme="minorHAnsi"/>
          <w:vertAlign w:val="superscript"/>
        </w:rPr>
        <w:t>2</w:t>
      </w:r>
      <w:r w:rsidR="000F78B4" w:rsidRPr="000F78B4">
        <w:rPr>
          <w:rFonts w:eastAsiaTheme="minorHAnsi"/>
        </w:rPr>
        <w:t xml:space="preserve"> </w:t>
      </w:r>
      <w:r w:rsidRPr="000F78B4">
        <w:t>for dry gas (</w:t>
      </w:r>
      <w:r w:rsidR="00440013">
        <w:t xml:space="preserve">Table C.25; </w:t>
      </w:r>
      <w:r w:rsidRPr="000F78B4">
        <w:t>AWT International, 2013).</w:t>
      </w:r>
    </w:p>
    <w:p w14:paraId="6D9A3925" w14:textId="7A9FC3C1" w:rsidR="008B38C1" w:rsidRDefault="008B38C1" w:rsidP="005450A3">
      <w:pPr>
        <w:pStyle w:val="ListBullet"/>
      </w:pPr>
      <w:r w:rsidRPr="005450A3">
        <w:t xml:space="preserve">The United States Geological Survey published the following </w:t>
      </w:r>
      <w:r w:rsidR="00DD1C91">
        <w:t>F50</w:t>
      </w:r>
      <w:r w:rsidR="00DD1C91" w:rsidRPr="005450A3">
        <w:t xml:space="preserve"> (P50) </w:t>
      </w:r>
      <w:r w:rsidRPr="005450A3">
        <w:t>estimate total undiscovered recoverable tight gas resources: 2.215 Tcf in the Patchawarra Trough, 14.5</w:t>
      </w:r>
      <w:r w:rsidR="00DD1C91">
        <w:t>47</w:t>
      </w:r>
      <w:r w:rsidRPr="005450A3">
        <w:t xml:space="preserve"> </w:t>
      </w:r>
      <w:r w:rsidRPr="005450A3">
        <w:lastRenderedPageBreak/>
        <w:t>Tcf in the Nappamerri Trough and 8.9</w:t>
      </w:r>
      <w:r w:rsidR="00DD1C91">
        <w:t>75</w:t>
      </w:r>
      <w:r w:rsidRPr="005450A3">
        <w:t xml:space="preserve"> Tcf in the Queensland troughs (</w:t>
      </w:r>
      <w:r w:rsidR="00440013">
        <w:t xml:space="preserve">Table C.25; </w:t>
      </w:r>
      <w:r w:rsidRPr="005450A3">
        <w:t xml:space="preserve">USGS, </w:t>
      </w:r>
      <w:r w:rsidR="00DD1C91" w:rsidRPr="005450A3">
        <w:t>201</w:t>
      </w:r>
      <w:r w:rsidR="00DD1C91">
        <w:t>6</w:t>
      </w:r>
      <w:r w:rsidRPr="005450A3">
        <w:t>).</w:t>
      </w:r>
    </w:p>
    <w:p w14:paraId="7B0F181A" w14:textId="76E86822" w:rsidR="00687BE8" w:rsidRPr="005450A3" w:rsidRDefault="00687BE8" w:rsidP="00687BE8">
      <w:pPr>
        <w:pStyle w:val="ListBullet"/>
      </w:pPr>
      <w:r>
        <w:t>Core Energy (2016) reports deterministic sales of gas in place for Permian Coal at 113.77 Tcf.</w:t>
      </w:r>
    </w:p>
    <w:p w14:paraId="2299BA37" w14:textId="77777777" w:rsidR="00423EBC" w:rsidRDefault="008B38C1" w:rsidP="005450A3">
      <w:pPr>
        <w:pStyle w:val="ListBullet"/>
      </w:pPr>
      <w:r w:rsidRPr="005450A3">
        <w:t>Most recently, Geoscience Australia published</w:t>
      </w:r>
      <w:r w:rsidR="00423EBC">
        <w:t xml:space="preserve"> the following</w:t>
      </w:r>
      <w:r w:rsidRPr="005450A3">
        <w:t xml:space="preserve"> estimate</w:t>
      </w:r>
      <w:r w:rsidR="00423EBC">
        <w:t>s</w:t>
      </w:r>
      <w:r w:rsidR="00317079">
        <w:t xml:space="preserve"> of potentially </w:t>
      </w:r>
      <w:r w:rsidRPr="005450A3">
        <w:t xml:space="preserve">recoverable </w:t>
      </w:r>
      <w:r w:rsidR="00423EBC">
        <w:t>in-place resources</w:t>
      </w:r>
      <w:r w:rsidR="00317079">
        <w:t xml:space="preserve"> (5%</w:t>
      </w:r>
      <w:r w:rsidR="007C31AF">
        <w:t xml:space="preserve"> recovery factor</w:t>
      </w:r>
      <w:r w:rsidR="00317079">
        <w:t xml:space="preserve"> at P50)</w:t>
      </w:r>
      <w:r w:rsidR="00423EBC">
        <w:t xml:space="preserve">: </w:t>
      </w:r>
    </w:p>
    <w:p w14:paraId="2A7715EA" w14:textId="77777777" w:rsidR="00423EBC" w:rsidRDefault="00423EBC" w:rsidP="00423EBC">
      <w:pPr>
        <w:pStyle w:val="ListBullet2"/>
      </w:pPr>
      <w:r>
        <w:t>6.9</w:t>
      </w:r>
      <w:r w:rsidRPr="005450A3">
        <w:t xml:space="preserve"> Tcf </w:t>
      </w:r>
      <w:r>
        <w:t>of shale gas in the Roseneath Shale (prospective area wet gas 3,834 km</w:t>
      </w:r>
      <w:r w:rsidRPr="00423EBC">
        <w:rPr>
          <w:vertAlign w:val="superscript"/>
        </w:rPr>
        <w:t>2</w:t>
      </w:r>
      <w:r>
        <w:t>, dry gas 3,403 km</w:t>
      </w:r>
      <w:r w:rsidRPr="00423EBC">
        <w:rPr>
          <w:vertAlign w:val="superscript"/>
        </w:rPr>
        <w:t>2</w:t>
      </w:r>
      <w:r>
        <w:t>) and Murteree Shale (prospective area wet gas 3,454 km</w:t>
      </w:r>
      <w:r w:rsidRPr="00423EBC">
        <w:rPr>
          <w:vertAlign w:val="superscript"/>
        </w:rPr>
        <w:t>2</w:t>
      </w:r>
      <w:r>
        <w:t>, dry gas 3,291 km</w:t>
      </w:r>
      <w:r w:rsidRPr="00423EBC">
        <w:rPr>
          <w:vertAlign w:val="superscript"/>
        </w:rPr>
        <w:t>2</w:t>
      </w:r>
      <w:r>
        <w:t xml:space="preserve">), </w:t>
      </w:r>
    </w:p>
    <w:p w14:paraId="02F91089" w14:textId="14B463B4" w:rsidR="00423EBC" w:rsidRDefault="00423EBC" w:rsidP="00423EBC">
      <w:pPr>
        <w:pStyle w:val="ListBullet2"/>
      </w:pPr>
      <w:r>
        <w:t>50.9 Tcf of</w:t>
      </w:r>
      <w:r w:rsidR="008B38C1" w:rsidRPr="005450A3">
        <w:t xml:space="preserve"> tight </w:t>
      </w:r>
      <w:r>
        <w:t>gas</w:t>
      </w:r>
      <w:r w:rsidR="008B38C1" w:rsidRPr="005450A3">
        <w:t xml:space="preserve"> </w:t>
      </w:r>
      <w:r>
        <w:t>in the</w:t>
      </w:r>
      <w:r w:rsidR="008B38C1" w:rsidRPr="005450A3">
        <w:t xml:space="preserve"> Patchawarra</w:t>
      </w:r>
      <w:r>
        <w:t xml:space="preserve"> Formation (prospective area wet gas 14,426 km</w:t>
      </w:r>
      <w:r w:rsidRPr="00423EBC">
        <w:rPr>
          <w:vertAlign w:val="superscript"/>
        </w:rPr>
        <w:t>2</w:t>
      </w:r>
      <w:r>
        <w:t>, dry gas 3,417 km</w:t>
      </w:r>
      <w:r w:rsidRPr="00423EBC">
        <w:rPr>
          <w:vertAlign w:val="superscript"/>
        </w:rPr>
        <w:t>2</w:t>
      </w:r>
      <w:r>
        <w:t>)</w:t>
      </w:r>
      <w:r w:rsidR="008B38C1" w:rsidRPr="005450A3">
        <w:t>, Epsilon</w:t>
      </w:r>
      <w:r>
        <w:t xml:space="preserve"> Formation (prospective area wet gas </w:t>
      </w:r>
      <w:r w:rsidR="005C0F57">
        <w:t>5,413</w:t>
      </w:r>
      <w:r>
        <w:t xml:space="preserve"> km</w:t>
      </w:r>
      <w:r w:rsidRPr="00423EBC">
        <w:rPr>
          <w:vertAlign w:val="superscript"/>
        </w:rPr>
        <w:t>2</w:t>
      </w:r>
      <w:r>
        <w:t>, dry gas 3,4</w:t>
      </w:r>
      <w:r w:rsidR="005C0F57">
        <w:t>01 </w:t>
      </w:r>
      <w:r>
        <w:t>km</w:t>
      </w:r>
      <w:r w:rsidRPr="00423EBC">
        <w:rPr>
          <w:vertAlign w:val="superscript"/>
        </w:rPr>
        <w:t>2</w:t>
      </w:r>
      <w:r>
        <w:t>)</w:t>
      </w:r>
      <w:r w:rsidR="008B38C1" w:rsidRPr="005450A3">
        <w:t>, Daralingie</w:t>
      </w:r>
      <w:r>
        <w:t xml:space="preserve"> Formation</w:t>
      </w:r>
      <w:r w:rsidR="008B38C1" w:rsidRPr="005450A3">
        <w:t xml:space="preserve"> </w:t>
      </w:r>
      <w:r>
        <w:t xml:space="preserve">(prospective area wet gas </w:t>
      </w:r>
      <w:r w:rsidR="005C0F57">
        <w:t>4,691</w:t>
      </w:r>
      <w:r>
        <w:t xml:space="preserve"> km</w:t>
      </w:r>
      <w:r w:rsidRPr="00423EBC">
        <w:rPr>
          <w:vertAlign w:val="superscript"/>
        </w:rPr>
        <w:t>2</w:t>
      </w:r>
      <w:r>
        <w:t>, dry gas 3,</w:t>
      </w:r>
      <w:r w:rsidR="005C0F57">
        <w:t xml:space="preserve">102 </w:t>
      </w:r>
      <w:r>
        <w:t>km</w:t>
      </w:r>
      <w:r w:rsidRPr="00423EBC">
        <w:rPr>
          <w:vertAlign w:val="superscript"/>
        </w:rPr>
        <w:t>2</w:t>
      </w:r>
      <w:r>
        <w:t xml:space="preserve">) </w:t>
      </w:r>
      <w:r w:rsidR="008B38C1" w:rsidRPr="005450A3">
        <w:t xml:space="preserve">and Toolachee </w:t>
      </w:r>
      <w:r>
        <w:t xml:space="preserve">Formation (prospective area wet gas </w:t>
      </w:r>
      <w:r w:rsidR="005C0F57">
        <w:t>15,070</w:t>
      </w:r>
      <w:r>
        <w:t xml:space="preserve"> km</w:t>
      </w:r>
      <w:r w:rsidRPr="00423EBC">
        <w:rPr>
          <w:vertAlign w:val="superscript"/>
        </w:rPr>
        <w:t>2</w:t>
      </w:r>
      <w:r>
        <w:t xml:space="preserve">, dry gas </w:t>
      </w:r>
      <w:r w:rsidR="005C0F57">
        <w:t>2,725</w:t>
      </w:r>
      <w:r>
        <w:t xml:space="preserve"> km</w:t>
      </w:r>
      <w:r w:rsidRPr="00423EBC">
        <w:rPr>
          <w:vertAlign w:val="superscript"/>
        </w:rPr>
        <w:t>2</w:t>
      </w:r>
      <w:r>
        <w:t xml:space="preserve">) </w:t>
      </w:r>
      <w:r w:rsidR="008B38C1" w:rsidRPr="005450A3">
        <w:t>(</w:t>
      </w:r>
      <w:r w:rsidR="00440013">
        <w:t xml:space="preserve">Table C.25; </w:t>
      </w:r>
      <w:r w:rsidR="008B38C1" w:rsidRPr="005450A3">
        <w:t>AERA, 201</w:t>
      </w:r>
      <w:r w:rsidR="00727542">
        <w:t>8</w:t>
      </w:r>
      <w:r w:rsidR="008B38C1" w:rsidRPr="005450A3">
        <w:t>).</w:t>
      </w:r>
      <w:r w:rsidR="001036E4">
        <w:t xml:space="preserve"> </w:t>
      </w:r>
    </w:p>
    <w:p w14:paraId="508F3A0D" w14:textId="27FC1C1B" w:rsidR="008B38C1" w:rsidRDefault="001036E4" w:rsidP="003E6119">
      <w:pPr>
        <w:pStyle w:val="BodyText"/>
      </w:pPr>
      <w:r>
        <w:t>I</w:t>
      </w:r>
      <w:r w:rsidRPr="001036E4">
        <w:t>n the medium term (10</w:t>
      </w:r>
      <w:r>
        <w:t xml:space="preserve"> to</w:t>
      </w:r>
      <w:r w:rsidRPr="001036E4">
        <w:t xml:space="preserve"> 15 years) only a small amount of the gas-in-place could be extracted because of the </w:t>
      </w:r>
      <w:r>
        <w:t>early</w:t>
      </w:r>
      <w:r w:rsidRPr="001036E4">
        <w:t xml:space="preserve"> stage of exploration and the time needed to better define resources prior to production</w:t>
      </w:r>
      <w:r>
        <w:t xml:space="preserve"> (AERA, 2018)</w:t>
      </w:r>
      <w:r w:rsidRPr="001036E4">
        <w:t>.</w:t>
      </w:r>
    </w:p>
    <w:p w14:paraId="21B2D712" w14:textId="77777777" w:rsidR="008B38C1" w:rsidRPr="0094665C" w:rsidRDefault="008B38C1" w:rsidP="0094665C">
      <w:pPr>
        <w:pStyle w:val="BodyText"/>
      </w:pPr>
      <w:r>
        <w:t>Both the results of industry activity and the large prospective resources estimates demonstrate that the Cooper Basin is highly prospective for both shale and tight gas. However the full extent of these resources are still poorly understood and quantified, and any estimates of potential resources have a high degree of uncertainty. Significant further drilling, testing and analyses are required to resolve the full shale and tight gas potential of the Cooper Basin. Further exploration and appraisal testing and success could result in a major new gas resource for eastern Australia.</w:t>
      </w:r>
    </w:p>
    <w:p w14:paraId="23843EDF" w14:textId="5C603031" w:rsidR="008B38C1" w:rsidRDefault="00D02114" w:rsidP="009F3E8F">
      <w:pPr>
        <w:pStyle w:val="Caption"/>
      </w:pPr>
      <w:bookmarkStart w:id="179" w:name="_Toc508972105"/>
      <w:r>
        <w:rPr>
          <w:noProof/>
        </w:rPr>
        <w:lastRenderedPageBreak/>
        <w:drawing>
          <wp:inline distT="0" distB="0" distL="0" distR="0" wp14:anchorId="1F9F37DF" wp14:editId="253E26B8">
            <wp:extent cx="6118860" cy="6389370"/>
            <wp:effectExtent l="0" t="0" r="0" b="0"/>
            <wp:docPr id="7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5" cstate="screen">
                      <a:extLst>
                        <a:ext uri="{28A0092B-C50C-407E-A947-70E740481C1C}">
                          <a14:useLocalDpi xmlns:a14="http://schemas.microsoft.com/office/drawing/2010/main"/>
                        </a:ext>
                      </a:extLst>
                    </a:blip>
                    <a:srcRect/>
                    <a:stretch>
                      <a:fillRect/>
                    </a:stretch>
                  </pic:blipFill>
                  <pic:spPr bwMode="auto">
                    <a:xfrm>
                      <a:off x="0" y="0"/>
                      <a:ext cx="6118860" cy="6389370"/>
                    </a:xfrm>
                    <a:prstGeom prst="rect">
                      <a:avLst/>
                    </a:prstGeom>
                    <a:noFill/>
                    <a:ln>
                      <a:noFill/>
                    </a:ln>
                  </pic:spPr>
                </pic:pic>
              </a:graphicData>
            </a:graphic>
          </wp:inline>
        </w:drawing>
      </w:r>
      <w:r w:rsidR="006A108D">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006A108D">
        <w:t>.</w:t>
      </w:r>
      <w:r w:rsidR="008079F1">
        <w:fldChar w:fldCharType="begin"/>
      </w:r>
      <w:r w:rsidR="008079F1">
        <w:instrText xml:space="preserve"> SEQ Apx_Figur</w:instrText>
      </w:r>
      <w:r w:rsidR="008079F1">
        <w:instrText xml:space="preserve">e \* ARABIC \s 9 </w:instrText>
      </w:r>
      <w:r w:rsidR="008079F1">
        <w:fldChar w:fldCharType="separate"/>
      </w:r>
      <w:r w:rsidR="00640CCB">
        <w:rPr>
          <w:noProof/>
        </w:rPr>
        <w:t>34</w:t>
      </w:r>
      <w:r w:rsidR="008079F1">
        <w:rPr>
          <w:noProof/>
        </w:rPr>
        <w:fldChar w:fldCharType="end"/>
      </w:r>
      <w:r w:rsidR="006A108D">
        <w:rPr>
          <w:noProof/>
        </w:rPr>
        <w:t xml:space="preserve"> </w:t>
      </w:r>
      <w:r w:rsidR="008B38C1">
        <w:t>Wells targeting shale or tight gas plays (source: Geoscience Australia), approximate shale and tight gas play extents (modified from USGS, 2016), conventional oil and gas fields, and pipelines.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179"/>
    </w:p>
    <w:p w14:paraId="236CC023" w14:textId="77777777" w:rsidR="008B38C1" w:rsidRDefault="008B38C1" w:rsidP="009F3E8F">
      <w:pPr>
        <w:pStyle w:val="Caption"/>
        <w:sectPr w:rsidR="008B38C1" w:rsidSect="005E271C">
          <w:headerReference w:type="default" r:id="rId246"/>
          <w:pgSz w:w="11907" w:h="16840"/>
          <w:pgMar w:top="1418" w:right="1134" w:bottom="1418" w:left="1134" w:header="510" w:footer="624" w:gutter="0"/>
          <w:cols w:space="720"/>
          <w:docGrid w:linePitch="326"/>
        </w:sectPr>
      </w:pPr>
    </w:p>
    <w:p w14:paraId="1E13D15D" w14:textId="29B8CF24" w:rsidR="008B38C1" w:rsidRDefault="00096667" w:rsidP="009F3E8F">
      <w:pPr>
        <w:pStyle w:val="Caption"/>
      </w:pPr>
      <w:bookmarkStart w:id="180" w:name="_Toc508972175"/>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26</w:t>
      </w:r>
      <w:r w:rsidR="008079F1">
        <w:rPr>
          <w:noProof/>
        </w:rPr>
        <w:fldChar w:fldCharType="end"/>
      </w:r>
      <w:r>
        <w:t xml:space="preserve"> </w:t>
      </w:r>
      <w:r w:rsidR="008B38C1">
        <w:t>Summary of shale</w:t>
      </w:r>
      <w:r w:rsidR="00445142">
        <w:t xml:space="preserve">, </w:t>
      </w:r>
      <w:r w:rsidR="008B38C1">
        <w:t xml:space="preserve">tight </w:t>
      </w:r>
      <w:r w:rsidR="00445142">
        <w:t xml:space="preserve">and deep coal </w:t>
      </w:r>
      <w:r w:rsidR="008B38C1">
        <w:t>gas plays (compiled from Hall et al</w:t>
      </w:r>
      <w:r w:rsidR="00FE1F65">
        <w:t>.</w:t>
      </w:r>
      <w:r w:rsidR="008B38C1">
        <w:t>, 2015, 2016a, b, UPR, 2015).</w:t>
      </w:r>
      <w:bookmarkEnd w:id="180"/>
    </w:p>
    <w:tbl>
      <w:tblPr>
        <w:tblStyle w:val="TableBAHeaderRow"/>
        <w:tblW w:w="5000" w:type="pct"/>
        <w:tblLook w:val="04A0" w:firstRow="1" w:lastRow="0" w:firstColumn="1" w:lastColumn="0" w:noHBand="0" w:noVBand="1"/>
      </w:tblPr>
      <w:tblGrid>
        <w:gridCol w:w="1746"/>
        <w:gridCol w:w="1127"/>
        <w:gridCol w:w="1264"/>
        <w:gridCol w:w="986"/>
        <w:gridCol w:w="1123"/>
        <w:gridCol w:w="1686"/>
        <w:gridCol w:w="986"/>
        <w:gridCol w:w="1266"/>
        <w:gridCol w:w="1403"/>
        <w:gridCol w:w="2417"/>
      </w:tblGrid>
      <w:tr w:rsidR="0076394F" w14:paraId="7FE53136" w14:textId="77777777" w:rsidTr="00DC345C">
        <w:trPr>
          <w:cnfStyle w:val="100000000000" w:firstRow="1" w:lastRow="0" w:firstColumn="0" w:lastColumn="0" w:oddVBand="0" w:evenVBand="0" w:oddHBand="0" w:evenHBand="0" w:firstRowFirstColumn="0" w:firstRowLastColumn="0" w:lastRowFirstColumn="0" w:lastRowLastColumn="0"/>
        </w:trPr>
        <w:tc>
          <w:tcPr>
            <w:tcW w:w="623" w:type="pct"/>
            <w:hideMark/>
          </w:tcPr>
          <w:p w14:paraId="79539DAB" w14:textId="77777777" w:rsidR="008B38C1" w:rsidRDefault="008B38C1">
            <w:pPr>
              <w:pStyle w:val="TableTextLeft"/>
            </w:pPr>
            <w:r>
              <w:t>Formation</w:t>
            </w:r>
          </w:p>
        </w:tc>
        <w:tc>
          <w:tcPr>
            <w:tcW w:w="402" w:type="pct"/>
            <w:hideMark/>
          </w:tcPr>
          <w:p w14:paraId="17D4B4DD" w14:textId="77777777" w:rsidR="008B38C1" w:rsidRDefault="008B38C1">
            <w:pPr>
              <w:pStyle w:val="TableTextLeft"/>
            </w:pPr>
            <w:r>
              <w:t>Age</w:t>
            </w:r>
          </w:p>
        </w:tc>
        <w:tc>
          <w:tcPr>
            <w:tcW w:w="451" w:type="pct"/>
            <w:hideMark/>
          </w:tcPr>
          <w:p w14:paraId="562B52FB" w14:textId="77777777" w:rsidR="008B38C1" w:rsidRDefault="008B38C1">
            <w:pPr>
              <w:pStyle w:val="TableTextLeft"/>
            </w:pPr>
            <w:r>
              <w:t>Environment</w:t>
            </w:r>
          </w:p>
        </w:tc>
        <w:tc>
          <w:tcPr>
            <w:tcW w:w="352" w:type="pct"/>
            <w:hideMark/>
          </w:tcPr>
          <w:p w14:paraId="571B5913" w14:textId="77777777" w:rsidR="008B38C1" w:rsidRDefault="008B38C1">
            <w:pPr>
              <w:pStyle w:val="TableTextLeft"/>
            </w:pPr>
            <w:r>
              <w:t>Top depth (m)</w:t>
            </w:r>
          </w:p>
        </w:tc>
        <w:tc>
          <w:tcPr>
            <w:tcW w:w="401" w:type="pct"/>
            <w:hideMark/>
          </w:tcPr>
          <w:p w14:paraId="4F350B56" w14:textId="77777777" w:rsidR="008B38C1" w:rsidRDefault="008B38C1">
            <w:pPr>
              <w:pStyle w:val="TableTextLeft"/>
            </w:pPr>
            <w:r>
              <w:t>Thickness (m)</w:t>
            </w:r>
          </w:p>
        </w:tc>
        <w:tc>
          <w:tcPr>
            <w:tcW w:w="602" w:type="pct"/>
            <w:hideMark/>
          </w:tcPr>
          <w:p w14:paraId="4100CF7D" w14:textId="77777777" w:rsidR="008B38C1" w:rsidRDefault="008B38C1">
            <w:pPr>
              <w:pStyle w:val="TableTextLeft"/>
            </w:pPr>
            <w:r>
              <w:t>Source rock(s)</w:t>
            </w:r>
          </w:p>
        </w:tc>
        <w:tc>
          <w:tcPr>
            <w:tcW w:w="352" w:type="pct"/>
            <w:hideMark/>
          </w:tcPr>
          <w:p w14:paraId="5724C1CE" w14:textId="77777777" w:rsidR="008B38C1" w:rsidRDefault="008B38C1">
            <w:pPr>
              <w:pStyle w:val="TableTextLeft"/>
            </w:pPr>
            <w:r>
              <w:t>Source rock TOC (%)</w:t>
            </w:r>
          </w:p>
        </w:tc>
        <w:tc>
          <w:tcPr>
            <w:tcW w:w="452" w:type="pct"/>
            <w:hideMark/>
          </w:tcPr>
          <w:p w14:paraId="382BDC0B" w14:textId="77777777" w:rsidR="008B38C1" w:rsidRDefault="008B38C1">
            <w:pPr>
              <w:pStyle w:val="TableTextLeft"/>
            </w:pPr>
            <w:r>
              <w:t>Source rock maturity</w:t>
            </w:r>
          </w:p>
        </w:tc>
        <w:tc>
          <w:tcPr>
            <w:tcW w:w="501" w:type="pct"/>
            <w:hideMark/>
          </w:tcPr>
          <w:p w14:paraId="05A57488" w14:textId="77777777" w:rsidR="008B38C1" w:rsidRDefault="008B38C1">
            <w:pPr>
              <w:pStyle w:val="TableTextLeft"/>
            </w:pPr>
            <w:r>
              <w:t>Play type</w:t>
            </w:r>
          </w:p>
        </w:tc>
        <w:tc>
          <w:tcPr>
            <w:tcW w:w="863" w:type="pct"/>
            <w:hideMark/>
          </w:tcPr>
          <w:p w14:paraId="3774336A" w14:textId="77777777" w:rsidR="008B38C1" w:rsidRDefault="008B38C1">
            <w:pPr>
              <w:pStyle w:val="TableTextLeft"/>
            </w:pPr>
            <w:r>
              <w:t>Exploration status</w:t>
            </w:r>
          </w:p>
        </w:tc>
      </w:tr>
      <w:tr w:rsidR="0076394F" w14:paraId="4D775B06" w14:textId="77777777" w:rsidTr="00DC345C">
        <w:trPr>
          <w:cnfStyle w:val="000000100000" w:firstRow="0" w:lastRow="0" w:firstColumn="0" w:lastColumn="0" w:oddVBand="0" w:evenVBand="0" w:oddHBand="1" w:evenHBand="0" w:firstRowFirstColumn="0" w:firstRowLastColumn="0" w:lastRowFirstColumn="0" w:lastRowLastColumn="0"/>
        </w:trPr>
        <w:tc>
          <w:tcPr>
            <w:tcW w:w="623" w:type="pct"/>
            <w:hideMark/>
          </w:tcPr>
          <w:p w14:paraId="169DDE4E" w14:textId="77777777" w:rsidR="008B38C1" w:rsidRDefault="008B38C1">
            <w:pPr>
              <w:pStyle w:val="TableTextLeft"/>
            </w:pPr>
            <w:r>
              <w:t>Toolachee Formation</w:t>
            </w:r>
          </w:p>
        </w:tc>
        <w:tc>
          <w:tcPr>
            <w:tcW w:w="402" w:type="pct"/>
            <w:hideMark/>
          </w:tcPr>
          <w:p w14:paraId="41660936" w14:textId="77777777" w:rsidR="008B38C1" w:rsidRDefault="008B38C1">
            <w:pPr>
              <w:pStyle w:val="TableTextLeft"/>
            </w:pPr>
            <w:r>
              <w:t>Late Permian</w:t>
            </w:r>
          </w:p>
        </w:tc>
        <w:tc>
          <w:tcPr>
            <w:tcW w:w="451" w:type="pct"/>
            <w:hideMark/>
          </w:tcPr>
          <w:p w14:paraId="027C4346" w14:textId="12804E96" w:rsidR="008B38C1" w:rsidRDefault="008B38C1" w:rsidP="0076394F">
            <w:pPr>
              <w:pStyle w:val="TableTextLeft"/>
            </w:pPr>
            <w:r>
              <w:t>Fluvio-</w:t>
            </w:r>
            <w:r w:rsidR="0076394F">
              <w:t>deltaic</w:t>
            </w:r>
          </w:p>
        </w:tc>
        <w:tc>
          <w:tcPr>
            <w:tcW w:w="352" w:type="pct"/>
            <w:hideMark/>
          </w:tcPr>
          <w:p w14:paraId="742D820F" w14:textId="77777777" w:rsidR="008B38C1" w:rsidRDefault="008B38C1">
            <w:pPr>
              <w:pStyle w:val="TableTextLeft"/>
            </w:pPr>
            <w:r>
              <w:t>1</w:t>
            </w:r>
            <w:r w:rsidR="0029674C">
              <w:t>,</w:t>
            </w:r>
            <w:r>
              <w:t>500–2</w:t>
            </w:r>
            <w:r w:rsidR="0029674C">
              <w:t>,</w:t>
            </w:r>
            <w:r>
              <w:t>800</w:t>
            </w:r>
          </w:p>
        </w:tc>
        <w:tc>
          <w:tcPr>
            <w:tcW w:w="401" w:type="pct"/>
            <w:hideMark/>
          </w:tcPr>
          <w:p w14:paraId="10E36B0C" w14:textId="77777777" w:rsidR="008B38C1" w:rsidRDefault="008B38C1">
            <w:pPr>
              <w:pStyle w:val="TableTextLeft"/>
            </w:pPr>
            <w:r>
              <w:t>0–280</w:t>
            </w:r>
          </w:p>
        </w:tc>
        <w:tc>
          <w:tcPr>
            <w:tcW w:w="602" w:type="pct"/>
            <w:hideMark/>
          </w:tcPr>
          <w:p w14:paraId="7F8E5DA2" w14:textId="77777777" w:rsidR="008B38C1" w:rsidRDefault="008B38C1">
            <w:pPr>
              <w:pStyle w:val="TableTextLeft"/>
            </w:pPr>
            <w:r>
              <w:t>Type II/III to Type III; coal, DOM</w:t>
            </w:r>
          </w:p>
        </w:tc>
        <w:tc>
          <w:tcPr>
            <w:tcW w:w="352" w:type="pct"/>
            <w:hideMark/>
          </w:tcPr>
          <w:p w14:paraId="13AB0B7C" w14:textId="77777777" w:rsidR="008B38C1" w:rsidRDefault="008B38C1">
            <w:pPr>
              <w:pStyle w:val="TableTextLeft"/>
            </w:pPr>
            <w:r>
              <w:t>0–96</w:t>
            </w:r>
          </w:p>
        </w:tc>
        <w:tc>
          <w:tcPr>
            <w:tcW w:w="452" w:type="pct"/>
            <w:hideMark/>
          </w:tcPr>
          <w:p w14:paraId="23E462CC" w14:textId="77777777" w:rsidR="008B38C1" w:rsidRDefault="008B38C1">
            <w:pPr>
              <w:pStyle w:val="TableTextLeft"/>
            </w:pPr>
            <w:r>
              <w:t>Immature – late gas</w:t>
            </w:r>
          </w:p>
        </w:tc>
        <w:tc>
          <w:tcPr>
            <w:tcW w:w="501" w:type="pct"/>
            <w:hideMark/>
          </w:tcPr>
          <w:p w14:paraId="0BAF0248" w14:textId="2ABDCDF8" w:rsidR="008B38C1" w:rsidRDefault="00E7231F" w:rsidP="00575AEF">
            <w:pPr>
              <w:pStyle w:val="TableTextLeft"/>
            </w:pPr>
            <w:r>
              <w:t xml:space="preserve">Tight, </w:t>
            </w:r>
            <w:r w:rsidR="00575AEF">
              <w:t>deep coal</w:t>
            </w:r>
          </w:p>
        </w:tc>
        <w:tc>
          <w:tcPr>
            <w:tcW w:w="863" w:type="pct"/>
            <w:hideMark/>
          </w:tcPr>
          <w:p w14:paraId="53F73349" w14:textId="77777777" w:rsidR="008B38C1" w:rsidRDefault="008B38C1">
            <w:pPr>
              <w:pStyle w:val="TableTextLeft"/>
            </w:pPr>
            <w:r>
              <w:t>Under assessment/ minor production</w:t>
            </w:r>
          </w:p>
        </w:tc>
      </w:tr>
      <w:tr w:rsidR="0076394F" w14:paraId="4B1DFA8F" w14:textId="1278EE18" w:rsidTr="00DC345C">
        <w:trPr>
          <w:cnfStyle w:val="000000010000" w:firstRow="0" w:lastRow="0" w:firstColumn="0" w:lastColumn="0" w:oddVBand="0" w:evenVBand="0" w:oddHBand="0" w:evenHBand="1" w:firstRowFirstColumn="0" w:firstRowLastColumn="0" w:lastRowFirstColumn="0" w:lastRowLastColumn="0"/>
        </w:trPr>
        <w:tc>
          <w:tcPr>
            <w:tcW w:w="623" w:type="pct"/>
            <w:hideMark/>
          </w:tcPr>
          <w:p w14:paraId="76EBD768" w14:textId="1E91F1F5" w:rsidR="008B38C1" w:rsidRDefault="008B38C1">
            <w:pPr>
              <w:pStyle w:val="TableTextLeft"/>
            </w:pPr>
            <w:r>
              <w:t>Daralingie</w:t>
            </w:r>
          </w:p>
          <w:p w14:paraId="50B3B601" w14:textId="62F85CD5" w:rsidR="008B38C1" w:rsidRDefault="008B38C1">
            <w:pPr>
              <w:pStyle w:val="TableTextLeft"/>
            </w:pPr>
            <w:r>
              <w:t>Formation</w:t>
            </w:r>
          </w:p>
        </w:tc>
        <w:tc>
          <w:tcPr>
            <w:tcW w:w="402" w:type="pct"/>
            <w:hideMark/>
          </w:tcPr>
          <w:p w14:paraId="195A1CB5" w14:textId="582C18DB" w:rsidR="008B38C1" w:rsidRDefault="008B38C1">
            <w:pPr>
              <w:pStyle w:val="TableTextLeft"/>
            </w:pPr>
            <w:r>
              <w:t>Middle Permian</w:t>
            </w:r>
          </w:p>
        </w:tc>
        <w:tc>
          <w:tcPr>
            <w:tcW w:w="451" w:type="pct"/>
            <w:hideMark/>
          </w:tcPr>
          <w:p w14:paraId="310C0526" w14:textId="528A47B5" w:rsidR="008B38C1" w:rsidRDefault="008B38C1" w:rsidP="0076394F">
            <w:pPr>
              <w:pStyle w:val="TableTextLeft"/>
            </w:pPr>
            <w:r>
              <w:t>Fluvio-</w:t>
            </w:r>
            <w:r w:rsidR="0076394F">
              <w:t>deltaic</w:t>
            </w:r>
          </w:p>
        </w:tc>
        <w:tc>
          <w:tcPr>
            <w:tcW w:w="352" w:type="pct"/>
            <w:hideMark/>
          </w:tcPr>
          <w:p w14:paraId="352E61E4" w14:textId="05373DCB" w:rsidR="008B38C1" w:rsidRDefault="008B38C1">
            <w:pPr>
              <w:pStyle w:val="TableTextLeft"/>
            </w:pPr>
            <w:r>
              <w:t>1</w:t>
            </w:r>
            <w:r w:rsidR="0029674C">
              <w:t>,</w:t>
            </w:r>
            <w:r>
              <w:t>600–3</w:t>
            </w:r>
            <w:r w:rsidR="0029674C">
              <w:t>,</w:t>
            </w:r>
            <w:r>
              <w:t>200</w:t>
            </w:r>
          </w:p>
        </w:tc>
        <w:tc>
          <w:tcPr>
            <w:tcW w:w="401" w:type="pct"/>
            <w:hideMark/>
          </w:tcPr>
          <w:p w14:paraId="4F6E2E8F" w14:textId="43686863" w:rsidR="008B38C1" w:rsidRDefault="008B38C1">
            <w:pPr>
              <w:pStyle w:val="TableTextLeft"/>
            </w:pPr>
            <w:r>
              <w:t>0–130</w:t>
            </w:r>
          </w:p>
        </w:tc>
        <w:tc>
          <w:tcPr>
            <w:tcW w:w="602" w:type="pct"/>
            <w:hideMark/>
          </w:tcPr>
          <w:p w14:paraId="50FD0FC5" w14:textId="2BCA766E" w:rsidR="008B38C1" w:rsidRDefault="008B38C1">
            <w:pPr>
              <w:pStyle w:val="TableTextLeft"/>
            </w:pPr>
            <w:r>
              <w:t>Type II/III to Type III; coal, DOM</w:t>
            </w:r>
          </w:p>
        </w:tc>
        <w:tc>
          <w:tcPr>
            <w:tcW w:w="352" w:type="pct"/>
            <w:hideMark/>
          </w:tcPr>
          <w:p w14:paraId="1752E105" w14:textId="318693AD" w:rsidR="008B38C1" w:rsidRDefault="008B38C1">
            <w:pPr>
              <w:pStyle w:val="TableTextLeft"/>
            </w:pPr>
            <w:r>
              <w:t>0–79</w:t>
            </w:r>
          </w:p>
        </w:tc>
        <w:tc>
          <w:tcPr>
            <w:tcW w:w="452" w:type="pct"/>
            <w:hideMark/>
          </w:tcPr>
          <w:p w14:paraId="618F383C" w14:textId="21EBC078" w:rsidR="008B38C1" w:rsidRDefault="008B38C1">
            <w:pPr>
              <w:pStyle w:val="TableTextLeft"/>
            </w:pPr>
            <w:r>
              <w:t>Immature – late gas/ over mature</w:t>
            </w:r>
          </w:p>
        </w:tc>
        <w:tc>
          <w:tcPr>
            <w:tcW w:w="501" w:type="pct"/>
            <w:hideMark/>
          </w:tcPr>
          <w:p w14:paraId="4E6D3135" w14:textId="649E08A4" w:rsidR="008B38C1" w:rsidRDefault="008B38C1" w:rsidP="00575AEF">
            <w:pPr>
              <w:pStyle w:val="TableTextLeft"/>
            </w:pPr>
            <w:r>
              <w:t>Tight</w:t>
            </w:r>
          </w:p>
        </w:tc>
        <w:tc>
          <w:tcPr>
            <w:tcW w:w="863" w:type="pct"/>
            <w:hideMark/>
          </w:tcPr>
          <w:p w14:paraId="4E05AF2C" w14:textId="76E035B2" w:rsidR="008B38C1" w:rsidRDefault="008B38C1">
            <w:pPr>
              <w:pStyle w:val="TableTextLeft"/>
            </w:pPr>
            <w:r>
              <w:t>Under assessment/ minor production</w:t>
            </w:r>
          </w:p>
        </w:tc>
      </w:tr>
      <w:tr w:rsidR="0076394F" w14:paraId="6F033A61" w14:textId="77777777" w:rsidTr="00DC345C">
        <w:trPr>
          <w:cnfStyle w:val="000000100000" w:firstRow="0" w:lastRow="0" w:firstColumn="0" w:lastColumn="0" w:oddVBand="0" w:evenVBand="0" w:oddHBand="1" w:evenHBand="0" w:firstRowFirstColumn="0" w:firstRowLastColumn="0" w:lastRowFirstColumn="0" w:lastRowLastColumn="0"/>
        </w:trPr>
        <w:tc>
          <w:tcPr>
            <w:tcW w:w="623" w:type="pct"/>
            <w:hideMark/>
          </w:tcPr>
          <w:p w14:paraId="5822160A" w14:textId="77777777" w:rsidR="008B38C1" w:rsidRDefault="008B38C1">
            <w:pPr>
              <w:pStyle w:val="TableTextLeft"/>
            </w:pPr>
            <w:r>
              <w:t>Roseneath Shale</w:t>
            </w:r>
          </w:p>
        </w:tc>
        <w:tc>
          <w:tcPr>
            <w:tcW w:w="402" w:type="pct"/>
            <w:hideMark/>
          </w:tcPr>
          <w:p w14:paraId="2EB47286" w14:textId="77777777" w:rsidR="008B38C1" w:rsidRDefault="008B38C1">
            <w:pPr>
              <w:pStyle w:val="TableTextLeft"/>
            </w:pPr>
            <w:r>
              <w:t>Middle Permian</w:t>
            </w:r>
          </w:p>
        </w:tc>
        <w:tc>
          <w:tcPr>
            <w:tcW w:w="451" w:type="pct"/>
            <w:hideMark/>
          </w:tcPr>
          <w:p w14:paraId="5B9A3FF1" w14:textId="77777777" w:rsidR="008B38C1" w:rsidRDefault="008B38C1">
            <w:pPr>
              <w:pStyle w:val="TableTextLeft"/>
            </w:pPr>
            <w:r>
              <w:t>Lacustrine</w:t>
            </w:r>
          </w:p>
        </w:tc>
        <w:tc>
          <w:tcPr>
            <w:tcW w:w="352" w:type="pct"/>
            <w:hideMark/>
          </w:tcPr>
          <w:p w14:paraId="4793E268" w14:textId="77777777" w:rsidR="008B38C1" w:rsidRDefault="008B38C1">
            <w:pPr>
              <w:pStyle w:val="TableTextLeft"/>
            </w:pPr>
            <w:r>
              <w:t>1</w:t>
            </w:r>
            <w:r w:rsidR="0029674C">
              <w:t>,</w:t>
            </w:r>
            <w:r>
              <w:t>600–3</w:t>
            </w:r>
            <w:r w:rsidR="0029674C">
              <w:t>,</w:t>
            </w:r>
            <w:r>
              <w:t>400</w:t>
            </w:r>
          </w:p>
        </w:tc>
        <w:tc>
          <w:tcPr>
            <w:tcW w:w="401" w:type="pct"/>
            <w:hideMark/>
          </w:tcPr>
          <w:p w14:paraId="0F61922A" w14:textId="77777777" w:rsidR="008B38C1" w:rsidRDefault="008B38C1">
            <w:pPr>
              <w:pStyle w:val="TableTextLeft"/>
            </w:pPr>
            <w:r>
              <w:t>0–240</w:t>
            </w:r>
          </w:p>
        </w:tc>
        <w:tc>
          <w:tcPr>
            <w:tcW w:w="602" w:type="pct"/>
            <w:hideMark/>
          </w:tcPr>
          <w:p w14:paraId="2D311BB1" w14:textId="77777777" w:rsidR="008B38C1" w:rsidRDefault="008B38C1">
            <w:pPr>
              <w:pStyle w:val="TableTextLeft"/>
            </w:pPr>
            <w:r>
              <w:t>Type III; DOM</w:t>
            </w:r>
          </w:p>
        </w:tc>
        <w:tc>
          <w:tcPr>
            <w:tcW w:w="352" w:type="pct"/>
            <w:hideMark/>
          </w:tcPr>
          <w:p w14:paraId="50002540" w14:textId="77777777" w:rsidR="008B38C1" w:rsidRDefault="008B38C1">
            <w:pPr>
              <w:pStyle w:val="TableTextLeft"/>
            </w:pPr>
            <w:r>
              <w:t>0–22</w:t>
            </w:r>
          </w:p>
        </w:tc>
        <w:tc>
          <w:tcPr>
            <w:tcW w:w="452" w:type="pct"/>
            <w:hideMark/>
          </w:tcPr>
          <w:p w14:paraId="30A1DAD2" w14:textId="77777777" w:rsidR="008B38C1" w:rsidRDefault="008B38C1">
            <w:pPr>
              <w:pStyle w:val="TableTextLeft"/>
            </w:pPr>
            <w:r>
              <w:t>Immature – over mature</w:t>
            </w:r>
          </w:p>
        </w:tc>
        <w:tc>
          <w:tcPr>
            <w:tcW w:w="501" w:type="pct"/>
            <w:hideMark/>
          </w:tcPr>
          <w:p w14:paraId="4C548A92" w14:textId="77777777" w:rsidR="008B38C1" w:rsidRDefault="008B38C1">
            <w:pPr>
              <w:pStyle w:val="TableTextLeft"/>
            </w:pPr>
            <w:r>
              <w:t>Shale</w:t>
            </w:r>
          </w:p>
        </w:tc>
        <w:tc>
          <w:tcPr>
            <w:tcW w:w="863" w:type="pct"/>
            <w:hideMark/>
          </w:tcPr>
          <w:p w14:paraId="6254EC89" w14:textId="77777777" w:rsidR="008B38C1" w:rsidRDefault="008B38C1">
            <w:pPr>
              <w:pStyle w:val="TableTextLeft"/>
            </w:pPr>
            <w:r>
              <w:t>Under assessment/ minor production</w:t>
            </w:r>
          </w:p>
        </w:tc>
      </w:tr>
      <w:tr w:rsidR="0076394F" w14:paraId="680BC7A6" w14:textId="77777777" w:rsidTr="001B4704">
        <w:trPr>
          <w:cnfStyle w:val="000000010000" w:firstRow="0" w:lastRow="0" w:firstColumn="0" w:lastColumn="0" w:oddVBand="0" w:evenVBand="0" w:oddHBand="0" w:evenHBand="1" w:firstRowFirstColumn="0" w:firstRowLastColumn="0" w:lastRowFirstColumn="0" w:lastRowLastColumn="0"/>
          <w:trHeight w:val="811"/>
        </w:trPr>
        <w:tc>
          <w:tcPr>
            <w:tcW w:w="623" w:type="pct"/>
            <w:hideMark/>
          </w:tcPr>
          <w:p w14:paraId="69E389AE" w14:textId="77777777" w:rsidR="008B38C1" w:rsidRDefault="008B38C1">
            <w:pPr>
              <w:pStyle w:val="TableTextLeft"/>
            </w:pPr>
            <w:r>
              <w:t>Epsilon</w:t>
            </w:r>
          </w:p>
          <w:p w14:paraId="5925CE86" w14:textId="77777777" w:rsidR="008B38C1" w:rsidRDefault="008B38C1">
            <w:pPr>
              <w:pStyle w:val="TableTextLeft"/>
            </w:pPr>
            <w:r>
              <w:t>Formation</w:t>
            </w:r>
          </w:p>
        </w:tc>
        <w:tc>
          <w:tcPr>
            <w:tcW w:w="402" w:type="pct"/>
            <w:hideMark/>
          </w:tcPr>
          <w:p w14:paraId="1A70BD41" w14:textId="77777777" w:rsidR="008B38C1" w:rsidRDefault="008B38C1">
            <w:pPr>
              <w:pStyle w:val="TableTextLeft"/>
            </w:pPr>
            <w:r>
              <w:t>Middle Permian</w:t>
            </w:r>
          </w:p>
        </w:tc>
        <w:tc>
          <w:tcPr>
            <w:tcW w:w="451" w:type="pct"/>
            <w:hideMark/>
          </w:tcPr>
          <w:p w14:paraId="72192088" w14:textId="16C283EB" w:rsidR="008B38C1" w:rsidRDefault="008B38C1">
            <w:pPr>
              <w:pStyle w:val="TableTextLeft"/>
            </w:pPr>
            <w:r>
              <w:t>Prograding delta</w:t>
            </w:r>
            <w:r w:rsidR="00B0617D">
              <w:t xml:space="preserve"> and lacustrine</w:t>
            </w:r>
          </w:p>
        </w:tc>
        <w:tc>
          <w:tcPr>
            <w:tcW w:w="352" w:type="pct"/>
            <w:hideMark/>
          </w:tcPr>
          <w:p w14:paraId="4901EAE8" w14:textId="77777777" w:rsidR="008B38C1" w:rsidRDefault="008B38C1">
            <w:pPr>
              <w:pStyle w:val="TableTextLeft"/>
            </w:pPr>
            <w:r>
              <w:t>1</w:t>
            </w:r>
            <w:r w:rsidR="0029674C">
              <w:t>,</w:t>
            </w:r>
            <w:r>
              <w:t>700–3</w:t>
            </w:r>
            <w:r w:rsidR="0029674C">
              <w:t>,</w:t>
            </w:r>
            <w:r>
              <w:t>600</w:t>
            </w:r>
          </w:p>
        </w:tc>
        <w:tc>
          <w:tcPr>
            <w:tcW w:w="401" w:type="pct"/>
            <w:hideMark/>
          </w:tcPr>
          <w:p w14:paraId="699D9687" w14:textId="77777777" w:rsidR="008B38C1" w:rsidRDefault="008B38C1">
            <w:pPr>
              <w:pStyle w:val="TableTextLeft"/>
            </w:pPr>
            <w:r>
              <w:t>0–195</w:t>
            </w:r>
          </w:p>
        </w:tc>
        <w:tc>
          <w:tcPr>
            <w:tcW w:w="602" w:type="pct"/>
            <w:hideMark/>
          </w:tcPr>
          <w:p w14:paraId="5DA4A77C" w14:textId="77777777" w:rsidR="008B38C1" w:rsidRDefault="008B38C1">
            <w:pPr>
              <w:pStyle w:val="TableTextLeft"/>
            </w:pPr>
            <w:r>
              <w:t>Type II/III to Type III; coal, DOM</w:t>
            </w:r>
          </w:p>
        </w:tc>
        <w:tc>
          <w:tcPr>
            <w:tcW w:w="352" w:type="pct"/>
            <w:hideMark/>
          </w:tcPr>
          <w:p w14:paraId="10BA3636" w14:textId="77777777" w:rsidR="008B38C1" w:rsidRDefault="008B38C1">
            <w:pPr>
              <w:pStyle w:val="TableTextLeft"/>
            </w:pPr>
            <w:r>
              <w:t>0–80</w:t>
            </w:r>
          </w:p>
        </w:tc>
        <w:tc>
          <w:tcPr>
            <w:tcW w:w="452" w:type="pct"/>
            <w:hideMark/>
          </w:tcPr>
          <w:p w14:paraId="52BE7A40" w14:textId="77777777" w:rsidR="008B38C1" w:rsidRDefault="008B38C1">
            <w:pPr>
              <w:pStyle w:val="TableTextLeft"/>
            </w:pPr>
            <w:r>
              <w:t>Immature – over mature</w:t>
            </w:r>
          </w:p>
        </w:tc>
        <w:tc>
          <w:tcPr>
            <w:tcW w:w="501" w:type="pct"/>
            <w:hideMark/>
          </w:tcPr>
          <w:p w14:paraId="7064D1C6" w14:textId="6C6F3B99" w:rsidR="008B38C1" w:rsidRDefault="008B38C1" w:rsidP="00575AEF">
            <w:pPr>
              <w:pStyle w:val="TableTextLeft"/>
            </w:pPr>
            <w:r>
              <w:t>Tight</w:t>
            </w:r>
            <w:r w:rsidR="001B4704">
              <w:t xml:space="preserve">, </w:t>
            </w:r>
            <w:r w:rsidR="00575AEF">
              <w:t>deep coal</w:t>
            </w:r>
          </w:p>
        </w:tc>
        <w:tc>
          <w:tcPr>
            <w:tcW w:w="863" w:type="pct"/>
            <w:hideMark/>
          </w:tcPr>
          <w:p w14:paraId="66D081AD" w14:textId="77777777" w:rsidR="008B38C1" w:rsidRDefault="008B38C1">
            <w:pPr>
              <w:pStyle w:val="TableTextLeft"/>
            </w:pPr>
            <w:r>
              <w:t>Under assessment/ minor production</w:t>
            </w:r>
          </w:p>
        </w:tc>
      </w:tr>
      <w:tr w:rsidR="0076394F" w14:paraId="53554121" w14:textId="77777777" w:rsidTr="00DC345C">
        <w:trPr>
          <w:cnfStyle w:val="000000100000" w:firstRow="0" w:lastRow="0" w:firstColumn="0" w:lastColumn="0" w:oddVBand="0" w:evenVBand="0" w:oddHBand="1" w:evenHBand="0" w:firstRowFirstColumn="0" w:firstRowLastColumn="0" w:lastRowFirstColumn="0" w:lastRowLastColumn="0"/>
        </w:trPr>
        <w:tc>
          <w:tcPr>
            <w:tcW w:w="623" w:type="pct"/>
            <w:hideMark/>
          </w:tcPr>
          <w:p w14:paraId="26F72A89" w14:textId="77777777" w:rsidR="008B38C1" w:rsidRDefault="008B38C1">
            <w:pPr>
              <w:pStyle w:val="TableTextLeft"/>
            </w:pPr>
            <w:r>
              <w:t>Murteree Shale</w:t>
            </w:r>
          </w:p>
        </w:tc>
        <w:tc>
          <w:tcPr>
            <w:tcW w:w="402" w:type="pct"/>
            <w:hideMark/>
          </w:tcPr>
          <w:p w14:paraId="73278D94" w14:textId="77777777" w:rsidR="008B38C1" w:rsidRDefault="008B38C1">
            <w:pPr>
              <w:pStyle w:val="TableTextLeft"/>
            </w:pPr>
            <w:r>
              <w:t>Early Permian</w:t>
            </w:r>
          </w:p>
        </w:tc>
        <w:tc>
          <w:tcPr>
            <w:tcW w:w="451" w:type="pct"/>
            <w:hideMark/>
          </w:tcPr>
          <w:p w14:paraId="4F6F4F5D" w14:textId="77777777" w:rsidR="008B38C1" w:rsidRDefault="008B38C1">
            <w:pPr>
              <w:pStyle w:val="TableTextLeft"/>
            </w:pPr>
            <w:r>
              <w:t>Deep, freshwater lacustrine</w:t>
            </w:r>
          </w:p>
        </w:tc>
        <w:tc>
          <w:tcPr>
            <w:tcW w:w="352" w:type="pct"/>
            <w:hideMark/>
          </w:tcPr>
          <w:p w14:paraId="7C449280" w14:textId="77777777" w:rsidR="008B38C1" w:rsidRDefault="008B38C1">
            <w:pPr>
              <w:pStyle w:val="TableTextLeft"/>
            </w:pPr>
            <w:r>
              <w:t>1</w:t>
            </w:r>
            <w:r w:rsidR="0029674C">
              <w:t>,</w:t>
            </w:r>
            <w:r>
              <w:t>700–3</w:t>
            </w:r>
            <w:r w:rsidR="0029674C">
              <w:t>,</w:t>
            </w:r>
            <w:r>
              <w:t>700</w:t>
            </w:r>
          </w:p>
        </w:tc>
        <w:tc>
          <w:tcPr>
            <w:tcW w:w="401" w:type="pct"/>
            <w:hideMark/>
          </w:tcPr>
          <w:p w14:paraId="6DB53208" w14:textId="77777777" w:rsidR="008B38C1" w:rsidRDefault="008B38C1">
            <w:pPr>
              <w:pStyle w:val="TableTextLeft"/>
            </w:pPr>
            <w:r>
              <w:t>0–90</w:t>
            </w:r>
          </w:p>
        </w:tc>
        <w:tc>
          <w:tcPr>
            <w:tcW w:w="602" w:type="pct"/>
            <w:hideMark/>
          </w:tcPr>
          <w:p w14:paraId="5B4D4EB9" w14:textId="77777777" w:rsidR="008B38C1" w:rsidRDefault="008B38C1">
            <w:pPr>
              <w:pStyle w:val="TableTextLeft"/>
            </w:pPr>
            <w:r>
              <w:t>Type III; DOM</w:t>
            </w:r>
          </w:p>
        </w:tc>
        <w:tc>
          <w:tcPr>
            <w:tcW w:w="352" w:type="pct"/>
            <w:hideMark/>
          </w:tcPr>
          <w:p w14:paraId="3FD1E5C0" w14:textId="77777777" w:rsidR="008B38C1" w:rsidRDefault="008B38C1">
            <w:pPr>
              <w:pStyle w:val="TableTextLeft"/>
            </w:pPr>
            <w:r>
              <w:t>0–13</w:t>
            </w:r>
          </w:p>
        </w:tc>
        <w:tc>
          <w:tcPr>
            <w:tcW w:w="452" w:type="pct"/>
            <w:hideMark/>
          </w:tcPr>
          <w:p w14:paraId="7267C8B8" w14:textId="77777777" w:rsidR="008B38C1" w:rsidRDefault="008B38C1">
            <w:pPr>
              <w:pStyle w:val="TableTextLeft"/>
            </w:pPr>
            <w:r>
              <w:t>Immature – over mature</w:t>
            </w:r>
          </w:p>
        </w:tc>
        <w:tc>
          <w:tcPr>
            <w:tcW w:w="501" w:type="pct"/>
            <w:hideMark/>
          </w:tcPr>
          <w:p w14:paraId="128C301C" w14:textId="77777777" w:rsidR="008B38C1" w:rsidRDefault="008B38C1">
            <w:pPr>
              <w:pStyle w:val="TableTextLeft"/>
            </w:pPr>
            <w:r>
              <w:t>Shale</w:t>
            </w:r>
          </w:p>
        </w:tc>
        <w:tc>
          <w:tcPr>
            <w:tcW w:w="863" w:type="pct"/>
            <w:hideMark/>
          </w:tcPr>
          <w:p w14:paraId="271E5FFD" w14:textId="77777777" w:rsidR="008B38C1" w:rsidRDefault="008B38C1">
            <w:pPr>
              <w:pStyle w:val="TableTextLeft"/>
            </w:pPr>
            <w:r>
              <w:t>Under assessment/ minor production</w:t>
            </w:r>
          </w:p>
        </w:tc>
      </w:tr>
      <w:tr w:rsidR="0076394F" w14:paraId="09BCB75E" w14:textId="77777777" w:rsidTr="00DC345C">
        <w:trPr>
          <w:cnfStyle w:val="000000010000" w:firstRow="0" w:lastRow="0" w:firstColumn="0" w:lastColumn="0" w:oddVBand="0" w:evenVBand="0" w:oddHBand="0" w:evenHBand="1" w:firstRowFirstColumn="0" w:firstRowLastColumn="0" w:lastRowFirstColumn="0" w:lastRowLastColumn="0"/>
        </w:trPr>
        <w:tc>
          <w:tcPr>
            <w:tcW w:w="623" w:type="pct"/>
            <w:hideMark/>
          </w:tcPr>
          <w:p w14:paraId="08B06F20" w14:textId="77777777" w:rsidR="008B38C1" w:rsidRDefault="008B38C1">
            <w:pPr>
              <w:pStyle w:val="TableTextLeft"/>
            </w:pPr>
            <w:r>
              <w:t>Patchawarra</w:t>
            </w:r>
          </w:p>
          <w:p w14:paraId="73A3D3D2" w14:textId="77777777" w:rsidR="008B38C1" w:rsidRDefault="008B38C1">
            <w:pPr>
              <w:pStyle w:val="TableTextLeft"/>
            </w:pPr>
            <w:r>
              <w:t>Formation</w:t>
            </w:r>
          </w:p>
        </w:tc>
        <w:tc>
          <w:tcPr>
            <w:tcW w:w="402" w:type="pct"/>
            <w:hideMark/>
          </w:tcPr>
          <w:p w14:paraId="6F021E24" w14:textId="77777777" w:rsidR="008B38C1" w:rsidRDefault="008B38C1">
            <w:pPr>
              <w:pStyle w:val="TableTextLeft"/>
            </w:pPr>
            <w:r>
              <w:t>Early Permian</w:t>
            </w:r>
          </w:p>
        </w:tc>
        <w:tc>
          <w:tcPr>
            <w:tcW w:w="451" w:type="pct"/>
            <w:hideMark/>
          </w:tcPr>
          <w:p w14:paraId="3F4B38D9" w14:textId="77777777" w:rsidR="008B38C1" w:rsidRDefault="008B38C1">
            <w:pPr>
              <w:pStyle w:val="TableTextLeft"/>
            </w:pPr>
            <w:r>
              <w:t>Fluvio-lacustrine</w:t>
            </w:r>
          </w:p>
        </w:tc>
        <w:tc>
          <w:tcPr>
            <w:tcW w:w="352" w:type="pct"/>
            <w:hideMark/>
          </w:tcPr>
          <w:p w14:paraId="43D0BAB8" w14:textId="77777777" w:rsidR="008B38C1" w:rsidRDefault="008B38C1">
            <w:pPr>
              <w:pStyle w:val="TableTextLeft"/>
            </w:pPr>
            <w:r>
              <w:t>1</w:t>
            </w:r>
            <w:r w:rsidR="0029674C">
              <w:t>,</w:t>
            </w:r>
            <w:r>
              <w:t>400–3</w:t>
            </w:r>
            <w:r w:rsidR="0029674C">
              <w:t>,</w:t>
            </w:r>
            <w:r>
              <w:t>800</w:t>
            </w:r>
          </w:p>
        </w:tc>
        <w:tc>
          <w:tcPr>
            <w:tcW w:w="401" w:type="pct"/>
            <w:hideMark/>
          </w:tcPr>
          <w:p w14:paraId="3997EF2C" w14:textId="77777777" w:rsidR="008B38C1" w:rsidRDefault="008B38C1">
            <w:pPr>
              <w:pStyle w:val="TableTextLeft"/>
            </w:pPr>
            <w:r>
              <w:t>0–680</w:t>
            </w:r>
          </w:p>
        </w:tc>
        <w:tc>
          <w:tcPr>
            <w:tcW w:w="602" w:type="pct"/>
            <w:hideMark/>
          </w:tcPr>
          <w:p w14:paraId="14BF4C05" w14:textId="77777777" w:rsidR="008B38C1" w:rsidRDefault="008B38C1">
            <w:pPr>
              <w:pStyle w:val="TableTextLeft"/>
            </w:pPr>
            <w:r>
              <w:t>Type II/III to Type III; coal, DOM</w:t>
            </w:r>
          </w:p>
        </w:tc>
        <w:tc>
          <w:tcPr>
            <w:tcW w:w="352" w:type="pct"/>
            <w:hideMark/>
          </w:tcPr>
          <w:p w14:paraId="09D417EA" w14:textId="77777777" w:rsidR="008B38C1" w:rsidRDefault="008B38C1">
            <w:pPr>
              <w:pStyle w:val="TableTextLeft"/>
            </w:pPr>
            <w:r>
              <w:t>0–88</w:t>
            </w:r>
          </w:p>
        </w:tc>
        <w:tc>
          <w:tcPr>
            <w:tcW w:w="452" w:type="pct"/>
            <w:hideMark/>
          </w:tcPr>
          <w:p w14:paraId="28A6130C" w14:textId="77777777" w:rsidR="008B38C1" w:rsidRDefault="008B38C1">
            <w:pPr>
              <w:pStyle w:val="TableTextLeft"/>
            </w:pPr>
            <w:r>
              <w:t>Immature – over mature</w:t>
            </w:r>
          </w:p>
        </w:tc>
        <w:tc>
          <w:tcPr>
            <w:tcW w:w="501" w:type="pct"/>
            <w:hideMark/>
          </w:tcPr>
          <w:p w14:paraId="06357F31" w14:textId="0C19AAE6" w:rsidR="008B38C1" w:rsidRDefault="008B38C1" w:rsidP="001B4704">
            <w:pPr>
              <w:pStyle w:val="TableTextLeft"/>
            </w:pPr>
            <w:r>
              <w:t>Tight,</w:t>
            </w:r>
            <w:r w:rsidR="00575AEF">
              <w:t xml:space="preserve"> deep coal</w:t>
            </w:r>
          </w:p>
        </w:tc>
        <w:tc>
          <w:tcPr>
            <w:tcW w:w="863" w:type="pct"/>
            <w:hideMark/>
          </w:tcPr>
          <w:p w14:paraId="4D5D2762" w14:textId="77777777" w:rsidR="008B38C1" w:rsidRDefault="008B38C1">
            <w:pPr>
              <w:pStyle w:val="TableTextLeft"/>
            </w:pPr>
            <w:r>
              <w:t>Under assessment/ minor production</w:t>
            </w:r>
          </w:p>
        </w:tc>
      </w:tr>
    </w:tbl>
    <w:p w14:paraId="27D33FAE" w14:textId="77777777" w:rsidR="008B38C1" w:rsidRDefault="008B38C1" w:rsidP="008B38C1">
      <w:pPr>
        <w:pStyle w:val="TableTextLeft"/>
      </w:pPr>
    </w:p>
    <w:p w14:paraId="6E3EC854" w14:textId="77777777" w:rsidR="008B38C1" w:rsidRDefault="008B38C1" w:rsidP="000350BE">
      <w:pPr>
        <w:pStyle w:val="BodyText"/>
        <w:sectPr w:rsidR="008B38C1" w:rsidSect="005E271C">
          <w:pgSz w:w="16840" w:h="11907" w:orient="landscape"/>
          <w:pgMar w:top="1418" w:right="1418" w:bottom="1418" w:left="1418" w:header="510" w:footer="624" w:gutter="0"/>
          <w:cols w:space="720"/>
          <w:docGrid w:linePitch="326"/>
        </w:sectPr>
      </w:pPr>
    </w:p>
    <w:p w14:paraId="799841B6" w14:textId="77777777" w:rsidR="008B38C1" w:rsidRDefault="008B38C1" w:rsidP="00E34CDE">
      <w:pPr>
        <w:pStyle w:val="AppendixHeading3"/>
      </w:pPr>
      <w:bookmarkStart w:id="181" w:name="_Toc517161155"/>
      <w:r>
        <w:lastRenderedPageBreak/>
        <w:t>Gas market access and infrastructure</w:t>
      </w:r>
      <w:bookmarkEnd w:id="181"/>
    </w:p>
    <w:p w14:paraId="611DE56A" w14:textId="751151B2" w:rsidR="008B38C1" w:rsidRPr="005962FF" w:rsidRDefault="008B38C1" w:rsidP="005962FF">
      <w:pPr>
        <w:pStyle w:val="BodyText"/>
      </w:pPr>
      <w:r>
        <w:t xml:space="preserve">The Cooper Basin is a major supplier of gas to Australia’s </w:t>
      </w:r>
      <w:r w:rsidR="006A6AF0">
        <w:t>East Coast Gas Market</w:t>
      </w:r>
      <w:r>
        <w:t xml:space="preserve">, with significant existing pipeline infrastructure connecting the basin to Adelaide, Sydney and </w:t>
      </w:r>
      <w:r w:rsidRPr="005962FF">
        <w:t>Mount Isa (AER, 2017). The basin is moderately well serviced in terms of road and rail access.</w:t>
      </w:r>
    </w:p>
    <w:p w14:paraId="52F70EEA" w14:textId="77777777" w:rsidR="008B38C1" w:rsidRDefault="00611607" w:rsidP="005962FF">
      <w:pPr>
        <w:pStyle w:val="BodyText"/>
      </w:pPr>
      <w:r w:rsidRPr="005962FF">
        <w:t>Figure C</w:t>
      </w:r>
      <w:r w:rsidR="006A108D" w:rsidRPr="005962FF">
        <w:t>.35</w:t>
      </w:r>
      <w:r w:rsidR="008B38C1" w:rsidRPr="005962FF">
        <w:t xml:space="preserve"> shows the location of major oil and gas infrastructure in the basin, including oil and gas pipelines and gas processing facilities, along with the distribution of major road and rail networks. Further details are summarised in </w:t>
      </w:r>
      <w:r w:rsidRPr="005962FF">
        <w:t>Table C</w:t>
      </w:r>
      <w:r w:rsidR="00096667" w:rsidRPr="005962FF">
        <w:t>.27</w:t>
      </w:r>
      <w:r w:rsidR="008B38C1">
        <w:t>.</w:t>
      </w:r>
    </w:p>
    <w:p w14:paraId="60FE43C7" w14:textId="77777777" w:rsidR="00F27BC3" w:rsidRDefault="00F27BC3" w:rsidP="005962FF">
      <w:pPr>
        <w:pStyle w:val="BodyText"/>
      </w:pPr>
    </w:p>
    <w:p w14:paraId="6B040710" w14:textId="5458D37C" w:rsidR="005450A3" w:rsidRPr="00495D8B" w:rsidRDefault="005450A3" w:rsidP="009F3E8F">
      <w:pPr>
        <w:pStyle w:val="Caption"/>
      </w:pPr>
      <w:bookmarkStart w:id="182" w:name="_Toc508972176"/>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27</w:t>
      </w:r>
      <w:r w:rsidR="008079F1">
        <w:rPr>
          <w:noProof/>
        </w:rPr>
        <w:fldChar w:fldCharType="end"/>
      </w:r>
      <w:r>
        <w:t xml:space="preserve"> </w:t>
      </w:r>
      <w:r w:rsidRPr="00495D8B">
        <w:t>Summary of market access and infrastructure. Pipeline information from AER (2017). Oil and gas infrastructure from GA (2015</w:t>
      </w:r>
      <w:r w:rsidR="009825ED">
        <w:t>a</w:t>
      </w:r>
      <w:r w:rsidRPr="00495D8B">
        <w:t>)</w:t>
      </w:r>
      <w:r w:rsidR="009825ED">
        <w:t xml:space="preserve">, </w:t>
      </w:r>
      <w:r w:rsidRPr="00495D8B">
        <w:t xml:space="preserve">AER (2017) and Santos (2017). </w:t>
      </w:r>
      <w:r w:rsidR="009825ED">
        <w:t>Processing facilities from GA (2015b)</w:t>
      </w:r>
      <w:r w:rsidR="009825ED" w:rsidRPr="00495D8B">
        <w:t>.</w:t>
      </w:r>
      <w:bookmarkEnd w:id="182"/>
    </w:p>
    <w:tbl>
      <w:tblPr>
        <w:tblStyle w:val="TableBAHeaderColumn"/>
        <w:tblW w:w="9075" w:type="dxa"/>
        <w:tblLayout w:type="fixed"/>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263"/>
        <w:gridCol w:w="5812"/>
      </w:tblGrid>
      <w:tr w:rsidR="005450A3" w14:paraId="7054C140" w14:textId="77777777" w:rsidTr="004737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075" w:type="dxa"/>
            <w:gridSpan w:val="2"/>
            <w:hideMark/>
          </w:tcPr>
          <w:p w14:paraId="148FEBC6" w14:textId="77777777" w:rsidR="005450A3" w:rsidRDefault="005450A3" w:rsidP="00293197">
            <w:pPr>
              <w:pStyle w:val="TableTextLeft"/>
            </w:pPr>
            <w:r>
              <w:t>INFRASTRUCTURE</w:t>
            </w:r>
          </w:p>
        </w:tc>
      </w:tr>
      <w:tr w:rsidR="005450A3" w14:paraId="09A21B6A" w14:textId="77777777" w:rsidTr="004737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63" w:type="dxa"/>
            <w:hideMark/>
          </w:tcPr>
          <w:p w14:paraId="7E86A889" w14:textId="77777777" w:rsidR="005450A3" w:rsidRDefault="005450A3" w:rsidP="00293197">
            <w:pPr>
              <w:pStyle w:val="TableTextLeft"/>
            </w:pPr>
            <w:r>
              <w:t>Gas market</w:t>
            </w:r>
          </w:p>
        </w:tc>
        <w:tc>
          <w:tcPr>
            <w:tcW w:w="5812" w:type="dxa"/>
            <w:hideMark/>
          </w:tcPr>
          <w:p w14:paraId="0EFC8C61" w14:textId="43B0D565" w:rsidR="005450A3" w:rsidRDefault="005450A3" w:rsidP="00F72E01">
            <w:pPr>
              <w:pStyle w:val="TableTextLeft"/>
              <w:cnfStyle w:val="100000000000" w:firstRow="1" w:lastRow="0" w:firstColumn="0" w:lastColumn="0" w:oddVBand="0" w:evenVBand="0" w:oddHBand="0" w:evenHBand="0" w:firstRowFirstColumn="0" w:firstRowLastColumn="0" w:lastRowFirstColumn="0" w:lastRowLastColumn="0"/>
            </w:pPr>
            <w:r>
              <w:t>Currently supplies to the east</w:t>
            </w:r>
            <w:r w:rsidR="00F72E01">
              <w:t xml:space="preserve"> coast </w:t>
            </w:r>
            <w:r>
              <w:t xml:space="preserve"> gas market</w:t>
            </w:r>
          </w:p>
        </w:tc>
      </w:tr>
      <w:tr w:rsidR="005450A3" w14:paraId="4456A30E" w14:textId="77777777" w:rsidTr="004737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63" w:type="dxa"/>
            <w:hideMark/>
          </w:tcPr>
          <w:p w14:paraId="2B027180" w14:textId="77777777" w:rsidR="005450A3" w:rsidRDefault="005450A3" w:rsidP="00293197">
            <w:pPr>
              <w:pStyle w:val="TableTextLeft"/>
            </w:pPr>
            <w:r>
              <w:t>Proximity to gas pipelines</w:t>
            </w:r>
          </w:p>
        </w:tc>
        <w:tc>
          <w:tcPr>
            <w:tcW w:w="5812" w:type="dxa"/>
            <w:hideMark/>
          </w:tcPr>
          <w:p w14:paraId="17C8F3A0" w14:textId="77777777" w:rsidR="005450A3" w:rsidRDefault="005450A3" w:rsidP="0029319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Moomba to Adelaide Pipeline - capacity 241 TJ/ Day (55 reverse)</w:t>
            </w:r>
          </w:p>
          <w:p w14:paraId="1336F67A" w14:textId="77777777" w:rsidR="005450A3" w:rsidRDefault="005450A3" w:rsidP="0029319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Moomba to Sydney Pipeline - capacity 439 TJ/ Day (382 reverse)</w:t>
            </w:r>
          </w:p>
          <w:p w14:paraId="3E9A6662" w14:textId="77777777" w:rsidR="005450A3" w:rsidRDefault="005450A3" w:rsidP="0029319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 xml:space="preserve">Carpentaria Pipeline (Ballera to Mount Isa) – capacity 119 TJ/ Day </w:t>
            </w:r>
          </w:p>
        </w:tc>
      </w:tr>
      <w:tr w:rsidR="005450A3" w14:paraId="6F86083C" w14:textId="77777777" w:rsidTr="004737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63" w:type="dxa"/>
            <w:hideMark/>
          </w:tcPr>
          <w:p w14:paraId="4ABA27AD" w14:textId="77777777" w:rsidR="005450A3" w:rsidRDefault="005450A3" w:rsidP="00293197">
            <w:pPr>
              <w:pStyle w:val="TableTextLeft"/>
            </w:pPr>
            <w:r>
              <w:t>Gas processing facilities</w:t>
            </w:r>
          </w:p>
        </w:tc>
        <w:tc>
          <w:tcPr>
            <w:tcW w:w="5812" w:type="dxa"/>
            <w:hideMark/>
          </w:tcPr>
          <w:p w14:paraId="6290FEA6" w14:textId="77777777" w:rsidR="005450A3" w:rsidRDefault="005450A3" w:rsidP="00293197">
            <w:pPr>
              <w:pStyle w:val="TableTextLeft"/>
              <w:cnfStyle w:val="100000000000" w:firstRow="1" w:lastRow="0" w:firstColumn="0" w:lastColumn="0" w:oddVBand="0" w:evenVBand="0" w:oddHBand="0" w:evenHBand="0" w:firstRowFirstColumn="0" w:firstRowLastColumn="0" w:lastRowFirstColumn="0" w:lastRowLastColumn="0"/>
            </w:pPr>
            <w:r>
              <w:t>Moomba (SA); Ballera (QLD)</w:t>
            </w:r>
          </w:p>
        </w:tc>
      </w:tr>
      <w:tr w:rsidR="005450A3" w14:paraId="729EB9F6" w14:textId="77777777" w:rsidTr="004737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63" w:type="dxa"/>
            <w:hideMark/>
          </w:tcPr>
          <w:p w14:paraId="03F6CF26" w14:textId="77777777" w:rsidR="005450A3" w:rsidRDefault="005450A3" w:rsidP="00293197">
            <w:pPr>
              <w:pStyle w:val="TableTextLeft"/>
            </w:pPr>
            <w:r>
              <w:t>Approx. distance from existing pipelines to area prospective for shale and/or tight gas</w:t>
            </w:r>
          </w:p>
        </w:tc>
        <w:tc>
          <w:tcPr>
            <w:tcW w:w="5812" w:type="dxa"/>
            <w:hideMark/>
          </w:tcPr>
          <w:p w14:paraId="2E75A744" w14:textId="77777777" w:rsidR="005450A3" w:rsidRDefault="005450A3" w:rsidP="00293197">
            <w:pPr>
              <w:pStyle w:val="TableTextLeft"/>
              <w:cnfStyle w:val="100000000000" w:firstRow="1" w:lastRow="0" w:firstColumn="0" w:lastColumn="0" w:oddVBand="0" w:evenVBand="0" w:oddHBand="0" w:evenHBand="0" w:firstRowFirstColumn="0" w:firstRowLastColumn="0" w:lastRowFirstColumn="0" w:lastRowLastColumn="0"/>
            </w:pPr>
            <w:r>
              <w:t>&lt;100</w:t>
            </w:r>
            <w:r w:rsidR="008232C9">
              <w:t> km</w:t>
            </w:r>
          </w:p>
        </w:tc>
      </w:tr>
      <w:tr w:rsidR="005450A3" w14:paraId="7945BB25" w14:textId="77777777" w:rsidTr="004737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63" w:type="dxa"/>
            <w:hideMark/>
          </w:tcPr>
          <w:p w14:paraId="4E50FF8A" w14:textId="77777777" w:rsidR="005450A3" w:rsidRDefault="005450A3" w:rsidP="00293197">
            <w:pPr>
              <w:pStyle w:val="TableTextLeft"/>
            </w:pPr>
            <w:r>
              <w:t>Road and rail access</w:t>
            </w:r>
          </w:p>
        </w:tc>
        <w:tc>
          <w:tcPr>
            <w:tcW w:w="5812" w:type="dxa"/>
            <w:hideMark/>
          </w:tcPr>
          <w:p w14:paraId="14681DA3" w14:textId="77777777" w:rsidR="005450A3" w:rsidRDefault="005450A3" w:rsidP="00293197">
            <w:pPr>
              <w:pStyle w:val="TableTextLeft"/>
              <w:cnfStyle w:val="100000000000" w:firstRow="1" w:lastRow="0" w:firstColumn="0" w:lastColumn="0" w:oddVBand="0" w:evenVBand="0" w:oddHBand="0" w:evenHBand="0" w:firstRowFirstColumn="0" w:firstRowLastColumn="0" w:lastRowFirstColumn="0" w:lastRowLastColumn="0"/>
            </w:pPr>
            <w:r>
              <w:t>Moderately well serviced</w:t>
            </w:r>
          </w:p>
        </w:tc>
      </w:tr>
      <w:tr w:rsidR="005450A3" w14:paraId="4A76B32D" w14:textId="77777777" w:rsidTr="004737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63" w:type="dxa"/>
            <w:hideMark/>
          </w:tcPr>
          <w:p w14:paraId="03297ED8" w14:textId="77777777" w:rsidR="005450A3" w:rsidRDefault="005450A3" w:rsidP="00293197">
            <w:pPr>
              <w:pStyle w:val="TableTextLeft"/>
            </w:pPr>
            <w:r>
              <w:t>Approximate development timeframe</w:t>
            </w:r>
          </w:p>
        </w:tc>
        <w:tc>
          <w:tcPr>
            <w:tcW w:w="5812" w:type="dxa"/>
            <w:hideMark/>
          </w:tcPr>
          <w:p w14:paraId="69F3D672" w14:textId="77777777" w:rsidR="005450A3" w:rsidRDefault="005450A3" w:rsidP="00293197">
            <w:pPr>
              <w:pStyle w:val="TableTextLeft"/>
              <w:cnfStyle w:val="100000000000" w:firstRow="1" w:lastRow="0" w:firstColumn="0" w:lastColumn="0" w:oddVBand="0" w:evenVBand="0" w:oddHBand="0" w:evenHBand="0" w:firstRowFirstColumn="0" w:firstRowLastColumn="0" w:lastRowFirstColumn="0" w:lastRowLastColumn="0"/>
            </w:pPr>
            <w:r>
              <w:t>5–10 years</w:t>
            </w:r>
          </w:p>
        </w:tc>
      </w:tr>
    </w:tbl>
    <w:p w14:paraId="46C49512" w14:textId="77777777" w:rsidR="005450A3" w:rsidRDefault="005450A3" w:rsidP="00495D8B">
      <w:pPr>
        <w:pStyle w:val="BodyText"/>
      </w:pPr>
    </w:p>
    <w:p w14:paraId="7E97B791" w14:textId="77777777" w:rsidR="008B38C1" w:rsidRPr="005450A3" w:rsidRDefault="008B38C1" w:rsidP="00495D8B">
      <w:pPr>
        <w:pStyle w:val="FiguresImagesCentred"/>
      </w:pPr>
      <w:r w:rsidRPr="00495D8B">
        <w:rPr>
          <w:noProof/>
        </w:rPr>
        <w:lastRenderedPageBreak/>
        <w:drawing>
          <wp:inline distT="0" distB="0" distL="0" distR="0" wp14:anchorId="76E65657" wp14:editId="7D8B391E">
            <wp:extent cx="5762871" cy="5646057"/>
            <wp:effectExtent l="0" t="0" r="0" b="0"/>
            <wp:docPr id="7205" name="Picture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5766505" cy="5649617"/>
                    </a:xfrm>
                    <a:prstGeom prst="rect">
                      <a:avLst/>
                    </a:prstGeom>
                    <a:noFill/>
                    <a:ln>
                      <a:noFill/>
                    </a:ln>
                  </pic:spPr>
                </pic:pic>
              </a:graphicData>
            </a:graphic>
          </wp:inline>
        </w:drawing>
      </w:r>
    </w:p>
    <w:p w14:paraId="1D6A2253" w14:textId="1D0529D0" w:rsidR="008B38C1" w:rsidRDefault="00E01F8F" w:rsidP="009F3E8F">
      <w:pPr>
        <w:pStyle w:val="Caption"/>
      </w:pPr>
      <w:bookmarkStart w:id="183" w:name="_Toc508972106"/>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35</w:t>
      </w:r>
      <w:r w:rsidR="008079F1">
        <w:rPr>
          <w:noProof/>
        </w:rPr>
        <w:fldChar w:fldCharType="end"/>
      </w:r>
      <w:r>
        <w:rPr>
          <w:noProof/>
        </w:rPr>
        <w:t xml:space="preserve"> </w:t>
      </w:r>
      <w:r w:rsidR="008B38C1">
        <w:t xml:space="preserve">Cooper Basin infrastructure, pipelines and production facilities. </w:t>
      </w:r>
      <w:r w:rsidR="00AF7FF4">
        <w:t xml:space="preserve">Oil and gas infrastructure from GA (2015a). Processing facilities from GA (2015b). </w:t>
      </w:r>
      <w:r w:rsidR="008B38C1">
        <w:t>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183"/>
    </w:p>
    <w:p w14:paraId="021AC1D1" w14:textId="77777777" w:rsidR="008B38C1" w:rsidRDefault="008B38C1" w:rsidP="00E34CDE">
      <w:pPr>
        <w:pStyle w:val="AppendixHeading3"/>
      </w:pPr>
      <w:bookmarkStart w:id="184" w:name="_Toc517161156"/>
      <w:r>
        <w:t>Regulatory environment impacting shale and tight gas exploration</w:t>
      </w:r>
      <w:bookmarkEnd w:id="184"/>
    </w:p>
    <w:p w14:paraId="68F4DF7D" w14:textId="29B20CDD" w:rsidR="008B38C1" w:rsidRDefault="008B38C1" w:rsidP="00495D8B">
      <w:pPr>
        <w:pStyle w:val="BodyText"/>
      </w:pPr>
      <w:r>
        <w:t xml:space="preserve">All Australian states and territories have regulatory frameworks in place to manage impacts of petroleum exploration and production. In all Australian jurisdictions, companies intending to carry out drilling and stimulation operations must submit several applications to the relevant departments, including a drilling application, an environment plan and a safety management plan (APPEA, 2017). </w:t>
      </w:r>
    </w:p>
    <w:p w14:paraId="7FFD630D" w14:textId="77777777" w:rsidR="00EC1E50" w:rsidRDefault="00EC1E50" w:rsidP="00495D8B">
      <w:pPr>
        <w:pStyle w:val="BodyText"/>
      </w:pPr>
    </w:p>
    <w:p w14:paraId="152EA178" w14:textId="77777777" w:rsidR="008B38C1" w:rsidRDefault="008B38C1" w:rsidP="00495D8B">
      <w:pPr>
        <w:pStyle w:val="BodyText"/>
      </w:pPr>
      <w:r>
        <w:lastRenderedPageBreak/>
        <w:t>Regulation is overseen by different government departments across Australia. There are no regulatory restrictions affecting the development of shale and or tight gas resources in Queensland and South Australia. Further details regarding regulatory environment for each state are summarised below.</w:t>
      </w:r>
    </w:p>
    <w:p w14:paraId="38F53104" w14:textId="77777777" w:rsidR="008B38C1" w:rsidRDefault="008B38C1" w:rsidP="003B4D8C">
      <w:pPr>
        <w:pStyle w:val="AppendixHeading4"/>
      </w:pPr>
      <w:r>
        <w:t>Queensland</w:t>
      </w:r>
    </w:p>
    <w:p w14:paraId="2EE1D75D" w14:textId="033ADDD1" w:rsidR="00B903F5" w:rsidRPr="00B903F5" w:rsidRDefault="00B903F5" w:rsidP="00B903F5">
      <w:pPr>
        <w:pStyle w:val="BodyText"/>
      </w:pPr>
      <w:r>
        <w:t xml:space="preserve">The </w:t>
      </w:r>
      <w:r w:rsidRPr="001A2196">
        <w:t>Queensland Government has no identified constraints to tight and shale gas resource drilling or production stimulation. All planned hydraulic fracture stimulation activities must be reported to the Queensland Department of Natural Resources and Mines (Queensland Government, 2017).</w:t>
      </w:r>
    </w:p>
    <w:p w14:paraId="6F6CC542" w14:textId="3EFCD17D" w:rsidR="00B903F5" w:rsidRDefault="008B38C1" w:rsidP="00B903F5">
      <w:pPr>
        <w:pStyle w:val="AppendixHeading4"/>
      </w:pPr>
      <w:r>
        <w:t>South Australia</w:t>
      </w:r>
    </w:p>
    <w:p w14:paraId="12EF4167" w14:textId="0C1C1ABD" w:rsidR="00B903F5" w:rsidRDefault="00B903F5" w:rsidP="00B903F5">
      <w:pPr>
        <w:pStyle w:val="BodyText"/>
      </w:pPr>
      <w:r>
        <w:t>The South Australian Government is actively encouraging conventional and unconventional drilling and production stimulation via the Plan for Accelerating Exploration (PACE) Gas grant program, which aims to increase the supply of gas into South Australia’s energy market to increase gas supplies and competition between gas suppliers (DPCSA, 2017c).</w:t>
      </w:r>
      <w:r w:rsidR="00603AF8" w:rsidRPr="00603AF8">
        <w:t xml:space="preserve"> </w:t>
      </w:r>
      <w:r w:rsidR="00603AF8">
        <w:t>However, i</w:t>
      </w:r>
      <w:r w:rsidR="00603AF8" w:rsidRPr="00603AF8">
        <w:t>n April 2018, the South Australian Government implemented the 10-year moratorium on hydraulic fracturing in the southeast of the state</w:t>
      </w:r>
      <w:r w:rsidR="00603AF8">
        <w:t xml:space="preserve"> effectively stopping exploration for unconventional gas in the </w:t>
      </w:r>
      <w:r w:rsidR="00603AF8" w:rsidRPr="00603AF8">
        <w:t>Otway Basin.</w:t>
      </w:r>
    </w:p>
    <w:p w14:paraId="2419F596" w14:textId="77777777" w:rsidR="00B903F5" w:rsidRDefault="00B903F5" w:rsidP="00495D8B">
      <w:pPr>
        <w:pStyle w:val="BodyText"/>
      </w:pPr>
    </w:p>
    <w:p w14:paraId="6B5C4925" w14:textId="77777777" w:rsidR="00FC3A0A" w:rsidRDefault="008B38C1" w:rsidP="00D15FEC">
      <w:pPr>
        <w:pStyle w:val="AppendixHeading3"/>
      </w:pPr>
      <w:r w:rsidRPr="00035C4A">
        <w:rPr>
          <w:rStyle w:val="BodyTextChar"/>
        </w:rPr>
        <w:br w:type="page"/>
      </w:r>
      <w:bookmarkStart w:id="185" w:name="_Toc517161157"/>
      <w:r w:rsidR="00FC3A0A">
        <w:lastRenderedPageBreak/>
        <w:t>Hydrogeology and groundwater</w:t>
      </w:r>
      <w:bookmarkEnd w:id="185"/>
    </w:p>
    <w:p w14:paraId="4E6EF4D8" w14:textId="3CCE99D7" w:rsidR="00FC3A0A" w:rsidRDefault="00FC3A0A" w:rsidP="00495D8B">
      <w:pPr>
        <w:pStyle w:val="BodyText"/>
      </w:pPr>
      <w:r>
        <w:t>As part of the Bioregional Assessment Programme into coal mining and coal-seam-gas developments, Smith et al., (2015) provided a review into the known hydrology and hydrogeology of the Cooper Basin region; the majority of information presented in this section is derived from this work. Substantial information about the overlying Great Artesian Basin (GAB) has been compiled in the Great Artesian Basin Water Resources Assessment (Ransley and Smerdon, 2012) and subsequent Hydrogeological Atlas of the Great Artesian Basin (Ransley et al., 2015). Information on groundwater within the Cooper Basin succession and the overlying aquifers in South Australia has been compiled by the state’s Department for Water (SA Department for Water, 2011).</w:t>
      </w:r>
    </w:p>
    <w:p w14:paraId="11B3EB99" w14:textId="77777777" w:rsidR="00FC3A0A" w:rsidRDefault="00FC3A0A" w:rsidP="00D15FEC">
      <w:pPr>
        <w:pStyle w:val="AppendixHeading4"/>
      </w:pPr>
      <w:r>
        <w:t>Groundwater systems</w:t>
      </w:r>
    </w:p>
    <w:p w14:paraId="3E61F9FD" w14:textId="15EE32D9" w:rsidR="00FC3A0A" w:rsidRDefault="00FC3A0A" w:rsidP="00495D8B">
      <w:pPr>
        <w:pStyle w:val="BodyText"/>
      </w:pPr>
      <w:r>
        <w:t xml:space="preserve">The Carboniferous–Triassic Cooper Basin is entirely overlain by the Jurassic–Cretaceous Eromanga Basin, and parts are in turn covered by Cenozoic sediments, primarily of the Lake Eyre Basin. The Cooper Basin succession generally comprises alternating sandstone and siltstone units that are considered as aquifers and aquitards (Table C.28), but have variable properties (SA Department for Water, 2011; Toupin et al., 1998; Smith et al., 2015). </w:t>
      </w:r>
    </w:p>
    <w:p w14:paraId="4FC03B99" w14:textId="4AA25ECA" w:rsidR="00FC3A0A" w:rsidRDefault="00FC3A0A" w:rsidP="00495D8B">
      <w:pPr>
        <w:pStyle w:val="BodyText"/>
      </w:pPr>
      <w:r>
        <w:t xml:space="preserve">The Eromanga Basin contains a series of stacked aquifers, separated by aquitards, although there is considerable variability in hydraulic properties due to changes of sedimentary facies, as well as disruptions to aquifer continuity due to faults (Figure C.36). The Cadna-owie Formation and Algebuckina Sandstone are the main artesian aquifers; which along with the underlying aquifers, are confined by the Rolling Downs Group. Subartesian bores and aquifers are also present in the Winton and Mackunda formations (Ransley and Smerdon, 2012; Ransley et al., 2015; SA Department for Water, 2011; Smith et al., 2015). </w:t>
      </w:r>
    </w:p>
    <w:p w14:paraId="1CBB2A83" w14:textId="648FE36B" w:rsidR="00FC3A0A" w:rsidRDefault="00FC3A0A" w:rsidP="00495D8B">
      <w:pPr>
        <w:pStyle w:val="BodyText"/>
      </w:pPr>
      <w:r>
        <w:t>T</w:t>
      </w:r>
      <w:r w:rsidRPr="00D4363E">
        <w:t>he Lake Eyre Basin (Paleocene to Quaternary</w:t>
      </w:r>
      <w:r>
        <w:t>)</w:t>
      </w:r>
      <w:r w:rsidRPr="00D4363E">
        <w:t xml:space="preserve"> </w:t>
      </w:r>
      <w:r>
        <w:t>overlies the Eromanga Basin. The Lake Eyre Basin contains up to 400 m of Cenozoic sediments which include a number of aquifers and aquitards (SA Department for Water, 2011; Smith et al., 2015).</w:t>
      </w:r>
    </w:p>
    <w:p w14:paraId="535A9378" w14:textId="77777777" w:rsidR="00FC3A0A" w:rsidRDefault="00FC3A0A" w:rsidP="00495D8B">
      <w:pPr>
        <w:pStyle w:val="BodyText"/>
      </w:pPr>
    </w:p>
    <w:p w14:paraId="54D83F0E" w14:textId="77777777" w:rsidR="00FC3A0A" w:rsidRPr="005450A3" w:rsidRDefault="00FC3A0A" w:rsidP="005450A3">
      <w:pPr>
        <w:pStyle w:val="FiguresImagesCentred"/>
      </w:pPr>
      <w:r>
        <w:rPr>
          <w:noProof/>
        </w:rPr>
        <w:lastRenderedPageBreak/>
        <mc:AlternateContent>
          <mc:Choice Requires="wps">
            <w:drawing>
              <wp:anchor distT="0" distB="0" distL="114300" distR="114300" simplePos="0" relativeHeight="251658254" behindDoc="0" locked="0" layoutInCell="1" allowOverlap="1" wp14:anchorId="5AC3B052" wp14:editId="20501368">
                <wp:simplePos x="0" y="0"/>
                <wp:positionH relativeFrom="column">
                  <wp:posOffset>-82550</wp:posOffset>
                </wp:positionH>
                <wp:positionV relativeFrom="paragraph">
                  <wp:posOffset>-104140</wp:posOffset>
                </wp:positionV>
                <wp:extent cx="580390" cy="300355"/>
                <wp:effectExtent l="0" t="0" r="0" b="4445"/>
                <wp:wrapNone/>
                <wp:docPr id="7210" name="Rectangle 7210"/>
                <wp:cNvGraphicFramePr/>
                <a:graphic xmlns:a="http://schemas.openxmlformats.org/drawingml/2006/main">
                  <a:graphicData uri="http://schemas.microsoft.com/office/word/2010/wordprocessingShape">
                    <wps:wsp>
                      <wps:cNvSpPr/>
                      <wps:spPr>
                        <a:xfrm>
                          <a:off x="0" y="0"/>
                          <a:ext cx="579755" cy="3003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EF89A" id="Rectangle 7210" o:spid="_x0000_s1026" style="position:absolute;margin-left:-6.5pt;margin-top:-8.2pt;width:45.7pt;height:23.6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" fillcolor="white [3212]" stroked="f" strokeweight="2pt"/>
            </w:pict>
          </mc:Fallback>
        </mc:AlternateContent>
      </w:r>
    </w:p>
    <w:p w14:paraId="06F7DB79" w14:textId="7F1466E5" w:rsidR="00FC3A0A" w:rsidRDefault="00FC3A0A" w:rsidP="00495D8B">
      <w:pPr>
        <w:pStyle w:val="Caption"/>
      </w:pPr>
      <w:bookmarkStart w:id="186" w:name="_Toc499547498"/>
      <w:bookmarkStart w:id="187" w:name="_Toc508972177"/>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28</w:t>
      </w:r>
      <w:r w:rsidR="008079F1">
        <w:rPr>
          <w:noProof/>
        </w:rPr>
        <w:fldChar w:fldCharType="end"/>
      </w:r>
      <w:r>
        <w:t xml:space="preserve"> </w:t>
      </w:r>
      <w:r w:rsidRPr="00495D8B">
        <w:t>Classification of aquifers and aquitards within the Cooper Basin sequence (Smith et al</w:t>
      </w:r>
      <w:r>
        <w:t>.,</w:t>
      </w:r>
      <w:r w:rsidRPr="00495D8B">
        <w:t xml:space="preserve"> 2015).</w:t>
      </w:r>
      <w:bookmarkEnd w:id="186"/>
      <w:bookmarkEnd w:id="187"/>
    </w:p>
    <w:p w14:paraId="6DAB6D32" w14:textId="77777777" w:rsidR="00FC3A0A" w:rsidRDefault="00FC3A0A" w:rsidP="00FD6771">
      <w:pPr>
        <w:pStyle w:val="FiguresImagesCentred"/>
      </w:pPr>
      <w:r>
        <w:rPr>
          <w:noProof/>
        </w:rPr>
        <w:drawing>
          <wp:inline distT="0" distB="0" distL="0" distR="0" wp14:anchorId="3B05398C" wp14:editId="352A9A35">
            <wp:extent cx="5435907" cy="3638550"/>
            <wp:effectExtent l="0" t="0" r="0" b="0"/>
            <wp:docPr id="7204" name="Picture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248" cstate="screen">
                      <a:extLst>
                        <a:ext uri="{28A0092B-C50C-407E-A947-70E740481C1C}">
                          <a14:useLocalDpi xmlns:a14="http://schemas.microsoft.com/office/drawing/2010/main"/>
                        </a:ext>
                      </a:extLst>
                    </a:blip>
                    <a:srcRect/>
                    <a:stretch/>
                  </pic:blipFill>
                  <pic:spPr bwMode="auto">
                    <a:xfrm>
                      <a:off x="0" y="0"/>
                      <a:ext cx="5435907" cy="3638550"/>
                    </a:xfrm>
                    <a:prstGeom prst="rect">
                      <a:avLst/>
                    </a:prstGeom>
                    <a:noFill/>
                    <a:ln>
                      <a:noFill/>
                    </a:ln>
                    <a:extLst>
                      <a:ext uri="{53640926-AAD7-44D8-BBD7-CCE9431645EC}">
                        <a14:shadowObscured xmlns:a14="http://schemas.microsoft.com/office/drawing/2010/main"/>
                      </a:ext>
                    </a:extLst>
                  </pic:spPr>
                </pic:pic>
              </a:graphicData>
            </a:graphic>
          </wp:inline>
        </w:drawing>
      </w:r>
    </w:p>
    <w:p w14:paraId="648918DD" w14:textId="77777777" w:rsidR="00FC3A0A" w:rsidRPr="00731C6B" w:rsidRDefault="00FC3A0A" w:rsidP="00387188">
      <w:pPr>
        <w:pStyle w:val="Caption"/>
      </w:pPr>
    </w:p>
    <w:tbl>
      <w:tblPr>
        <w:tblStyle w:val="TableGrid"/>
        <w:tblW w:w="0" w:type="auto"/>
        <w:tblLook w:val="04A0" w:firstRow="1" w:lastRow="0" w:firstColumn="1" w:lastColumn="0" w:noHBand="0" w:noVBand="1"/>
      </w:tblPr>
      <w:tblGrid>
        <w:gridCol w:w="9287"/>
      </w:tblGrid>
      <w:tr w:rsidR="00FC3A0A" w14:paraId="5E5D715C" w14:textId="77777777" w:rsidTr="008B38C1">
        <w:tc>
          <w:tcPr>
            <w:tcW w:w="9287" w:type="dxa"/>
            <w:tcBorders>
              <w:top w:val="single" w:sz="4" w:space="0" w:color="auto"/>
              <w:left w:val="single" w:sz="4" w:space="0" w:color="auto"/>
              <w:bottom w:val="single" w:sz="4" w:space="0" w:color="auto"/>
              <w:right w:val="single" w:sz="4" w:space="0" w:color="auto"/>
            </w:tcBorders>
            <w:hideMark/>
          </w:tcPr>
          <w:p w14:paraId="7A8BC04E" w14:textId="77777777" w:rsidR="00FC3A0A" w:rsidRDefault="00FC3A0A">
            <w:pPr>
              <w:pStyle w:val="FiguresImagesCentred"/>
            </w:pPr>
            <w:r>
              <w:rPr>
                <w:noProof/>
              </w:rPr>
              <w:lastRenderedPageBreak/>
              <w:drawing>
                <wp:inline distT="0" distB="0" distL="0" distR="0" wp14:anchorId="36E17523" wp14:editId="02579609">
                  <wp:extent cx="5581650" cy="4152900"/>
                  <wp:effectExtent l="0" t="0" r="0" b="0"/>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5581650" cy="4152900"/>
                          </a:xfrm>
                          <a:prstGeom prst="rect">
                            <a:avLst/>
                          </a:prstGeom>
                          <a:noFill/>
                          <a:ln>
                            <a:noFill/>
                          </a:ln>
                        </pic:spPr>
                      </pic:pic>
                    </a:graphicData>
                  </a:graphic>
                </wp:inline>
              </w:drawing>
            </w:r>
          </w:p>
        </w:tc>
      </w:tr>
    </w:tbl>
    <w:p w14:paraId="41D2CE62" w14:textId="75224FD7" w:rsidR="00FC3A0A" w:rsidRPr="000350BE" w:rsidRDefault="00FC3A0A" w:rsidP="00495D8B">
      <w:pPr>
        <w:pStyle w:val="Caption"/>
      </w:pPr>
      <w:bookmarkStart w:id="188" w:name="_Toc499547596"/>
      <w:bookmarkStart w:id="189" w:name="_Toc508972107"/>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36</w:t>
      </w:r>
      <w:r w:rsidR="008079F1">
        <w:rPr>
          <w:noProof/>
        </w:rPr>
        <w:fldChar w:fldCharType="end"/>
      </w:r>
      <w:r>
        <w:rPr>
          <w:noProof/>
        </w:rPr>
        <w:t xml:space="preserve"> </w:t>
      </w:r>
      <w:r>
        <w:t>Hydrostratigraphy of the Great Artesian Basin, highlighting the variation in aquifers and aquitards of the Eromanga Basin (in red box) as it overlies the Cooper Basin (adapted from Ransley et al., 2015).</w:t>
      </w:r>
      <w:bookmarkEnd w:id="188"/>
      <w:bookmarkEnd w:id="189"/>
    </w:p>
    <w:p w14:paraId="0BF1B088" w14:textId="405DD73A" w:rsidR="00FC3A0A" w:rsidRDefault="00FC3A0A" w:rsidP="00D15FEC">
      <w:pPr>
        <w:pStyle w:val="AppendixHeading4"/>
      </w:pPr>
      <w:r>
        <w:t>Groundwater quality</w:t>
      </w:r>
    </w:p>
    <w:p w14:paraId="520DF66C" w14:textId="578746D3" w:rsidR="00FC3A0A" w:rsidRDefault="00FC3A0A" w:rsidP="00D15FEC">
      <w:pPr>
        <w:pStyle w:val="BodyText"/>
      </w:pPr>
      <w:r>
        <w:t>Salinity in the Cooper Basin generally increases towards the centre of the basin and with formation age (Smith et al., 2015). The upper Nappamerri Group aquifers are usually somewhat fresher than underlying aquifer formations. Salinity levels as indicated by total dissolved solids (TDS) are presented in Table C.29. Several areas of lower salinity are found in the Patchawarra Formation where it directly underlies the Hutton Sandstone of the Eromanga Basin (Dubsky and McPhail, 2001; Smith et al., 2015).</w:t>
      </w:r>
    </w:p>
    <w:p w14:paraId="7FBADAFC" w14:textId="526748AC" w:rsidR="00FC3A0A" w:rsidRDefault="00FC3A0A" w:rsidP="00D15FEC">
      <w:pPr>
        <w:pStyle w:val="BodyText"/>
      </w:pPr>
      <w:r>
        <w:t xml:space="preserve">In the Eromanga Basin, salinity levels increase towards the southwest, due to water-rock interactions and the mixing </w:t>
      </w:r>
      <w:r w:rsidR="00E12B30">
        <w:t xml:space="preserve">with </w:t>
      </w:r>
      <w:r>
        <w:t xml:space="preserve">deeper groundwater. Most aquifers in the Eromanga Basin have mean salinities of 2,600–3,800 mg/L TDS. The Jurassic–Lower Cretaceous aquifers are usually suitable for domestic, town and stock uses, but not irrigation due to </w:t>
      </w:r>
      <w:r w:rsidR="00145A09">
        <w:t xml:space="preserve">high </w:t>
      </w:r>
      <w:r w:rsidR="004D364C">
        <w:t>sodium and alkalinity levels</w:t>
      </w:r>
      <w:r>
        <w:t xml:space="preserve">. However, there is some variation within aquifers, where local salinity levels influence water use. Older water from the Namur and Adori sandstones is often better in quality than the shallower Cadna-owie Formation. The Coorikiana Sandstone (in the Rolling Downs Group) forms a high-salinity, low-yield discrete aquifer and is generally not exploited (see Hydrostratigraphy </w:t>
      </w:r>
      <w:r w:rsidR="00B52EC9">
        <w:t>in</w:t>
      </w:r>
      <w:r>
        <w:t xml:space="preserve"> Figure C.3</w:t>
      </w:r>
      <w:r w:rsidR="00B52EC9">
        <w:t>6</w:t>
      </w:r>
      <w:r>
        <w:t xml:space="preserve">). Groundwater from Winton and Mackunda aquifers has high salinity, but is generally </w:t>
      </w:r>
      <w:r>
        <w:lastRenderedPageBreak/>
        <w:t xml:space="preserve">acceptable for stock water (Radke et al., 2000; Ransley and Smerdon, 2012; SA Department for Water, 2011; Smith et al., 2015). </w:t>
      </w:r>
    </w:p>
    <w:p w14:paraId="3E70014A" w14:textId="7B681013" w:rsidR="00FC3A0A" w:rsidRDefault="00FC3A0A" w:rsidP="00495D8B">
      <w:pPr>
        <w:pStyle w:val="BodyText"/>
      </w:pPr>
      <w:r>
        <w:t>Mapping in the “Hydrogeological Atlas of the Great Artesian Basin” suggests that TDS ranges for the Cadna-owie Formation/Hooray Sandstone (1080–9000 mg/L), Adori For</w:t>
      </w:r>
      <w:r w:rsidR="00FE1F65">
        <w:t>mation and equivalents (1,060–2</w:t>
      </w:r>
      <w:r>
        <w:t>,</w:t>
      </w:r>
      <w:r w:rsidR="00E12B30">
        <w:t>6</w:t>
      </w:r>
      <w:r>
        <w:t xml:space="preserve">00 mg/L) and Hutton Sandstone and equivalents (1,060–3,800 mg/L) (Ransley et al., 2015). </w:t>
      </w:r>
    </w:p>
    <w:p w14:paraId="69EE4494" w14:textId="22EA17B6" w:rsidR="00FC3A0A" w:rsidRDefault="00FC3A0A" w:rsidP="00495D8B">
      <w:pPr>
        <w:pStyle w:val="BodyText"/>
      </w:pPr>
      <w:r>
        <w:t>The Eyre Formation aquifer within the Lake Eyre Basin is brackish to saline (3,000–12,000 mg/L TDS), but useable for stock purposes. The water quality of other Cenozoic aquifers is highly variable, with fresh groundwater in shallow dunes overlying more saline water (SA Department for Water, 2011; Smith et al., 2012)</w:t>
      </w:r>
      <w:r w:rsidR="00E12B30">
        <w:t>.</w:t>
      </w:r>
    </w:p>
    <w:p w14:paraId="7DC9B177" w14:textId="388ABCF5" w:rsidR="00FC3A0A" w:rsidRDefault="00FC3A0A" w:rsidP="00EB59EF">
      <w:pPr>
        <w:pStyle w:val="Caption"/>
      </w:pPr>
      <w:bookmarkStart w:id="190" w:name="_Toc499547499"/>
      <w:bookmarkStart w:id="191" w:name="_Toc508972178"/>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29</w:t>
      </w:r>
      <w:r w:rsidR="008079F1">
        <w:rPr>
          <w:noProof/>
        </w:rPr>
        <w:fldChar w:fldCharType="end"/>
      </w:r>
      <w:r>
        <w:rPr>
          <w:noProof/>
        </w:rPr>
        <w:t xml:space="preserve"> </w:t>
      </w:r>
      <w:r>
        <w:t>Salinity in aquifers of the Cooper Basin region (Smith et al., 2015).</w:t>
      </w:r>
      <w:bookmarkEnd w:id="190"/>
      <w:r>
        <w:t xml:space="preserve"> NA: data not available.</w:t>
      </w:r>
      <w:bookmarkEnd w:id="191"/>
    </w:p>
    <w:p w14:paraId="3DAA0F8D" w14:textId="77777777" w:rsidR="00FC3A0A" w:rsidRDefault="00FC3A0A" w:rsidP="008B38C1">
      <w:pPr>
        <w:pStyle w:val="FiguresImagesCentred"/>
      </w:pPr>
      <w:r>
        <w:rPr>
          <w:noProof/>
        </w:rPr>
        <w:drawing>
          <wp:inline distT="0" distB="0" distL="0" distR="0" wp14:anchorId="75239455" wp14:editId="5D53964C">
            <wp:extent cx="3409323" cy="3986286"/>
            <wp:effectExtent l="0" t="0" r="635" b="0"/>
            <wp:docPr id="7202" name="Picture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250" cstate="screen">
                      <a:extLst>
                        <a:ext uri="{28A0092B-C50C-407E-A947-70E740481C1C}">
                          <a14:useLocalDpi xmlns:a14="http://schemas.microsoft.com/office/drawing/2010/main"/>
                        </a:ext>
                      </a:extLst>
                    </a:blip>
                    <a:srcRect/>
                    <a:stretch/>
                  </pic:blipFill>
                  <pic:spPr bwMode="auto">
                    <a:xfrm>
                      <a:off x="0" y="0"/>
                      <a:ext cx="3416005" cy="3994099"/>
                    </a:xfrm>
                    <a:prstGeom prst="rect">
                      <a:avLst/>
                    </a:prstGeom>
                    <a:noFill/>
                    <a:ln>
                      <a:noFill/>
                    </a:ln>
                    <a:extLst>
                      <a:ext uri="{53640926-AAD7-44D8-BBD7-CCE9431645EC}">
                        <a14:shadowObscured xmlns:a14="http://schemas.microsoft.com/office/drawing/2010/main"/>
                      </a:ext>
                    </a:extLst>
                  </pic:spPr>
                </pic:pic>
              </a:graphicData>
            </a:graphic>
          </wp:inline>
        </w:drawing>
      </w:r>
    </w:p>
    <w:p w14:paraId="40236EA9" w14:textId="77777777" w:rsidR="00FC3A0A" w:rsidRPr="002C4B7F" w:rsidRDefault="00FC3A0A" w:rsidP="00387188">
      <w:pPr>
        <w:pStyle w:val="Caption"/>
      </w:pPr>
    </w:p>
    <w:p w14:paraId="2A592C74" w14:textId="77777777" w:rsidR="00FC3A0A" w:rsidRDefault="00FC3A0A" w:rsidP="00D15FEC">
      <w:pPr>
        <w:pStyle w:val="AppendixHeading4"/>
      </w:pPr>
      <w:r>
        <w:t>Groundwater flow</w:t>
      </w:r>
    </w:p>
    <w:p w14:paraId="3A0B1690" w14:textId="38091D98" w:rsidR="00FC3A0A" w:rsidRDefault="00FC3A0A" w:rsidP="00495D8B">
      <w:pPr>
        <w:pStyle w:val="BodyText"/>
      </w:pPr>
      <w:r>
        <w:t xml:space="preserve">The water table usually lies within the hydraulically continuous Winton-Mackunda aquifer (see Figure C.37). However, in places, the water table lies above this level within the Lake Eyre Basin sediments (Ransley et al., 2015; Ransley and Smerdon, 2012; Smith et al., 2015). Regional groundwater flow in the Eromanga Basin is from the recharge areas (mostly in the Great Dividing Range) to discharge zones focused in the western Eromanga Basin. Mound springs to the west of Lake Eyre are </w:t>
      </w:r>
      <w:r w:rsidR="00E12B30">
        <w:t xml:space="preserve">within the </w:t>
      </w:r>
      <w:r>
        <w:t xml:space="preserve">discharge areas, including lakes Frome, Callabonna, Blanche and Gregory. </w:t>
      </w:r>
      <w:r>
        <w:lastRenderedPageBreak/>
        <w:t xml:space="preserve">There is generally a southwesterly flow direction, mirrored by potentiometric surfaces for all individual aquifers (Figure C.37); flow rates are less than 0.3 m/yr in areas of the Eromanga Basin where the aquifers are deeply buried. </w:t>
      </w:r>
      <w:r w:rsidR="00E12B30">
        <w:t>Additionally, t</w:t>
      </w:r>
      <w:r>
        <w:t>here is some vertical flow across leaky aquitards (Ransley and Smerdon, 2012; Love et al., 2013; Smith et al., 2015; Ransley et al., 2015).</w:t>
      </w:r>
    </w:p>
    <w:p w14:paraId="566D6389" w14:textId="21215BF4" w:rsidR="00FC3A0A" w:rsidRPr="005450A3" w:rsidRDefault="00FC3A0A" w:rsidP="008B38C1">
      <w:pPr>
        <w:pStyle w:val="FiguresImagesCentred"/>
      </w:pPr>
      <w:r>
        <w:rPr>
          <w:noProof/>
        </w:rPr>
        <w:drawing>
          <wp:inline distT="0" distB="0" distL="0" distR="0" wp14:anchorId="6EE188C5" wp14:editId="6E1CC404">
            <wp:extent cx="5400675" cy="6011096"/>
            <wp:effectExtent l="0" t="0" r="0" b="889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5400675" cy="6011096"/>
                    </a:xfrm>
                    <a:prstGeom prst="rect">
                      <a:avLst/>
                    </a:prstGeom>
                    <a:noFill/>
                    <a:ln>
                      <a:noFill/>
                    </a:ln>
                  </pic:spPr>
                </pic:pic>
              </a:graphicData>
            </a:graphic>
          </wp:inline>
        </w:drawing>
      </w:r>
    </w:p>
    <w:p w14:paraId="3D9054B6" w14:textId="555A2CF7" w:rsidR="00FC3A0A" w:rsidRDefault="00FC3A0A" w:rsidP="00495D8B">
      <w:pPr>
        <w:pStyle w:val="Caption"/>
      </w:pPr>
      <w:bookmarkStart w:id="192" w:name="_Toc499547597"/>
      <w:bookmarkStart w:id="193" w:name="_Toc508972108"/>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w:instrText>
      </w:r>
      <w:r w:rsidR="008079F1">
        <w:instrText xml:space="preserve">* ARABIC \s 9 </w:instrText>
      </w:r>
      <w:r w:rsidR="008079F1">
        <w:fldChar w:fldCharType="separate"/>
      </w:r>
      <w:r w:rsidR="00640CCB">
        <w:rPr>
          <w:noProof/>
        </w:rPr>
        <w:t>37</w:t>
      </w:r>
      <w:r w:rsidR="008079F1">
        <w:rPr>
          <w:noProof/>
        </w:rPr>
        <w:fldChar w:fldCharType="end"/>
      </w:r>
      <w:r>
        <w:rPr>
          <w:noProof/>
        </w:rPr>
        <w:t xml:space="preserve"> </w:t>
      </w:r>
      <w:r>
        <w:t>Potentiometric surface of the Cadna-owie/Algebuckina aquifer around the Cooper Basin (labelled as Cooper subregion), calculated from a density-corrected perspective (Smith et al., 2015).</w:t>
      </w:r>
      <w:bookmarkEnd w:id="192"/>
      <w:bookmarkEnd w:id="193"/>
    </w:p>
    <w:p w14:paraId="650EB111" w14:textId="77777777" w:rsidR="00FC3A0A" w:rsidRDefault="00FC3A0A" w:rsidP="00D15FEC">
      <w:pPr>
        <w:pStyle w:val="AppendixHeading4"/>
      </w:pPr>
      <w:r>
        <w:t>Groundwater planning and use</w:t>
      </w:r>
    </w:p>
    <w:p w14:paraId="7FABC90A" w14:textId="2CEF3873" w:rsidR="00FC3A0A" w:rsidRDefault="00FC3A0A" w:rsidP="00495D8B">
      <w:pPr>
        <w:pStyle w:val="BodyText"/>
      </w:pPr>
      <w:r>
        <w:t xml:space="preserve">Currently groundwater use within the Cooper Basin region is from overlying aquifers of the GAB and Lake Eyre Basin sequence. Water is produced from formations of the Cooper Basin (“produced formation water”) as a co-product of oil and gas operations. South Australia provides a license of </w:t>
      </w:r>
      <w:r>
        <w:lastRenderedPageBreak/>
        <w:t>60 ML/day for this produced formation water (SAALNRMB, 2009; Smith et al. 2015; SA Department for Water, 2011).</w:t>
      </w:r>
    </w:p>
    <w:p w14:paraId="7C4C8C1A" w14:textId="1C55E21D" w:rsidR="00FC3A0A" w:rsidRDefault="00FC3A0A" w:rsidP="00495D8B">
      <w:pPr>
        <w:pStyle w:val="BodyText"/>
      </w:pPr>
      <w:r>
        <w:t xml:space="preserve">No monitoring bores screen groundwater within the Cooper Basin succession, but several bores screen aquifers of the Eromanga Basin succession as part of monitoring of the GAB. In Queensland, a license is required for artesian water, so the majority of bores are licensed. A Water Resource Plan for the GAB exists (Water Plan </w:t>
      </w:r>
      <w:r w:rsidR="00E12B30">
        <w:t>(</w:t>
      </w:r>
      <w:r>
        <w:t>Great Artesian Basin</w:t>
      </w:r>
      <w:r w:rsidR="00E12B30">
        <w:t>)</w:t>
      </w:r>
      <w:r>
        <w:t xml:space="preserve"> 2006) (Queensland Government, 2006), and this considers connected sub-artesian water as well as artesian water. For South Australia, a Water Allocation Plan is in place for the Far North Prescribed Wells Area (SAALNRMB, 2009), and this limits drawdown in the vicinity of springs. There is an estimated average of 0.2 L/second extraction per bore from GAB bores in the region (Queensland Government, 2006; SAALNRMB, 2009; Smith et al., 2015; Welsh et al., 2012). </w:t>
      </w:r>
    </w:p>
    <w:p w14:paraId="1FA7AADF" w14:textId="74ABD0FC" w:rsidR="00FC3A0A" w:rsidRDefault="00FC3A0A" w:rsidP="00495D8B">
      <w:pPr>
        <w:pStyle w:val="BodyText"/>
      </w:pPr>
      <w:r>
        <w:t xml:space="preserve">Table C.30 presents information from the NGIS (BoM, 2016) and shows summary information of registered bores in the basin. </w:t>
      </w:r>
    </w:p>
    <w:p w14:paraId="7E52F65D" w14:textId="77777777" w:rsidR="00FC3A0A" w:rsidRPr="00387188" w:rsidRDefault="00FC3A0A" w:rsidP="00495D8B">
      <w:pPr>
        <w:pStyle w:val="Caption"/>
      </w:pPr>
      <w:bookmarkStart w:id="194" w:name="_Toc499547500"/>
      <w:bookmarkStart w:id="195" w:name="_Toc508972179"/>
      <w:r w:rsidRPr="00C27506">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C27506">
        <w:t>.</w:t>
      </w:r>
      <w:r w:rsidR="008079F1">
        <w:fldChar w:fldCharType="begin"/>
      </w:r>
      <w:r w:rsidR="008079F1">
        <w:instrText xml:space="preserve"> SEQ Apx_Table \* ARABIC \s 9 </w:instrText>
      </w:r>
      <w:r w:rsidR="008079F1">
        <w:fldChar w:fldCharType="separate"/>
      </w:r>
      <w:r w:rsidR="00640CCB">
        <w:rPr>
          <w:noProof/>
        </w:rPr>
        <w:t>30</w:t>
      </w:r>
      <w:r w:rsidR="008079F1">
        <w:rPr>
          <w:noProof/>
        </w:rPr>
        <w:fldChar w:fldCharType="end"/>
      </w:r>
      <w:r w:rsidRPr="00C27506">
        <w:t xml:space="preserve"> Summary of groundwater bores and water use.</w:t>
      </w:r>
      <w:bookmarkEnd w:id="194"/>
      <w:bookmarkEnd w:id="195"/>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FC3A0A" w14:paraId="6B36E017"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4FC24751" w14:textId="7E7D4BCE" w:rsidR="00FC3A0A" w:rsidRDefault="00FC3A0A">
            <w:pPr>
              <w:pStyle w:val="TableTextLeft"/>
              <w:rPr>
                <w:color w:val="auto"/>
              </w:rPr>
            </w:pPr>
            <w:r>
              <w:t>GROUNDWATER BORES AND WATER USE</w:t>
            </w:r>
          </w:p>
        </w:tc>
      </w:tr>
      <w:tr w:rsidR="00FC3A0A" w14:paraId="138BE569"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333FC140" w14:textId="77777777" w:rsidR="00FC3A0A" w:rsidRDefault="00FC3A0A">
            <w:pPr>
              <w:pStyle w:val="TableTextLeft"/>
              <w:rPr>
                <w:szCs w:val="18"/>
              </w:rPr>
            </w:pPr>
            <w:r>
              <w:rPr>
                <w:szCs w:val="18"/>
              </w:rPr>
              <w:t>Number of bores (Density of Registered Bores - bores/km</w:t>
            </w:r>
            <w:r>
              <w:rPr>
                <w:szCs w:val="18"/>
                <w:vertAlign w:val="superscript"/>
              </w:rPr>
              <w:t>2</w:t>
            </w:r>
            <w:r>
              <w:rPr>
                <w:szCs w:val="18"/>
              </w:rPr>
              <w:t>)</w:t>
            </w:r>
          </w:p>
        </w:tc>
        <w:tc>
          <w:tcPr>
            <w:tcW w:w="2421" w:type="pct"/>
            <w:hideMark/>
          </w:tcPr>
          <w:p w14:paraId="2FE5877F"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4066 (0.03)</w:t>
            </w:r>
          </w:p>
        </w:tc>
      </w:tr>
      <w:tr w:rsidR="00FC3A0A" w14:paraId="56289764"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78ECB18D" w14:textId="77777777" w:rsidR="00FC3A0A" w:rsidRDefault="00FC3A0A">
            <w:pPr>
              <w:pStyle w:val="TableTextLeft"/>
              <w:rPr>
                <w:szCs w:val="18"/>
              </w:rPr>
            </w:pPr>
            <w:r>
              <w:rPr>
                <w:szCs w:val="18"/>
              </w:rPr>
              <w:t>Purposes of registered bores</w:t>
            </w:r>
          </w:p>
          <w:p w14:paraId="2B646835" w14:textId="77777777" w:rsidR="00FC3A0A" w:rsidRDefault="00FC3A0A">
            <w:pPr>
              <w:pStyle w:val="TableTextLeft"/>
              <w:rPr>
                <w:szCs w:val="18"/>
              </w:rPr>
            </w:pPr>
            <w:r>
              <w:rPr>
                <w:szCs w:val="18"/>
              </w:rPr>
              <w:t xml:space="preserve">(Top 5, number) </w:t>
            </w:r>
          </w:p>
          <w:p w14:paraId="45FE8801" w14:textId="77777777" w:rsidR="00FC3A0A" w:rsidRDefault="00FC3A0A">
            <w:pPr>
              <w:pStyle w:val="TableTextLeft"/>
              <w:rPr>
                <w:szCs w:val="18"/>
              </w:rPr>
            </w:pPr>
          </w:p>
        </w:tc>
        <w:tc>
          <w:tcPr>
            <w:tcW w:w="2421" w:type="pct"/>
            <w:hideMark/>
          </w:tcPr>
          <w:tbl>
            <w:tblPr>
              <w:tblW w:w="4200" w:type="dxa"/>
              <w:tblLook w:val="04A0" w:firstRow="1" w:lastRow="0" w:firstColumn="1" w:lastColumn="0" w:noHBand="0" w:noVBand="1"/>
            </w:tblPr>
            <w:tblGrid>
              <w:gridCol w:w="3065"/>
              <w:gridCol w:w="1135"/>
            </w:tblGrid>
            <w:tr w:rsidR="00FC3A0A" w14:paraId="0BBA7D10" w14:textId="77777777" w:rsidTr="00A409C0">
              <w:trPr>
                <w:trHeight w:val="300"/>
              </w:trPr>
              <w:tc>
                <w:tcPr>
                  <w:tcW w:w="3062" w:type="dxa"/>
                  <w:noWrap/>
                  <w:vAlign w:val="bottom"/>
                  <w:hideMark/>
                </w:tcPr>
                <w:p w14:paraId="50B46488" w14:textId="77777777" w:rsidR="00FC3A0A" w:rsidRDefault="00FC3A0A">
                  <w:pPr>
                    <w:pStyle w:val="TableTextLeft"/>
                    <w:rPr>
                      <w:szCs w:val="18"/>
                    </w:rPr>
                  </w:pPr>
                  <w:r>
                    <w:rPr>
                      <w:szCs w:val="18"/>
                    </w:rPr>
                    <w:t>Unknown</w:t>
                  </w:r>
                </w:p>
              </w:tc>
              <w:tc>
                <w:tcPr>
                  <w:tcW w:w="1134" w:type="dxa"/>
                  <w:noWrap/>
                  <w:vAlign w:val="bottom"/>
                  <w:hideMark/>
                </w:tcPr>
                <w:p w14:paraId="33818AE7" w14:textId="77777777" w:rsidR="00FC3A0A" w:rsidRDefault="00FC3A0A" w:rsidP="000350BE">
                  <w:pPr>
                    <w:pStyle w:val="TableTextRight0"/>
                  </w:pPr>
                  <w:r>
                    <w:t>3303</w:t>
                  </w:r>
                </w:p>
              </w:tc>
            </w:tr>
            <w:tr w:rsidR="00FC3A0A" w14:paraId="3CABCEBB" w14:textId="77777777" w:rsidTr="00A409C0">
              <w:trPr>
                <w:trHeight w:val="300"/>
              </w:trPr>
              <w:tc>
                <w:tcPr>
                  <w:tcW w:w="3062" w:type="dxa"/>
                  <w:noWrap/>
                  <w:vAlign w:val="bottom"/>
                  <w:hideMark/>
                </w:tcPr>
                <w:p w14:paraId="0C5C8AAF" w14:textId="77777777" w:rsidR="00FC3A0A" w:rsidRDefault="00FC3A0A">
                  <w:pPr>
                    <w:pStyle w:val="TableTextLeft"/>
                    <w:rPr>
                      <w:szCs w:val="18"/>
                    </w:rPr>
                  </w:pPr>
                  <w:r>
                    <w:rPr>
                      <w:szCs w:val="18"/>
                    </w:rPr>
                    <w:t>Exploration</w:t>
                  </w:r>
                </w:p>
              </w:tc>
              <w:tc>
                <w:tcPr>
                  <w:tcW w:w="1134" w:type="dxa"/>
                  <w:noWrap/>
                  <w:vAlign w:val="bottom"/>
                  <w:hideMark/>
                </w:tcPr>
                <w:p w14:paraId="55411412" w14:textId="77777777" w:rsidR="00FC3A0A" w:rsidRDefault="00FC3A0A" w:rsidP="000350BE">
                  <w:pPr>
                    <w:pStyle w:val="TableTextRight0"/>
                  </w:pPr>
                  <w:r>
                    <w:t>595</w:t>
                  </w:r>
                </w:p>
              </w:tc>
            </w:tr>
            <w:tr w:rsidR="00FC3A0A" w14:paraId="43B83109" w14:textId="77777777" w:rsidTr="00A409C0">
              <w:trPr>
                <w:trHeight w:val="300"/>
              </w:trPr>
              <w:tc>
                <w:tcPr>
                  <w:tcW w:w="3062" w:type="dxa"/>
                  <w:noWrap/>
                  <w:vAlign w:val="bottom"/>
                  <w:hideMark/>
                </w:tcPr>
                <w:p w14:paraId="2626ADC2" w14:textId="77777777" w:rsidR="00FC3A0A" w:rsidRDefault="00FC3A0A">
                  <w:pPr>
                    <w:pStyle w:val="TableTextLeft"/>
                    <w:rPr>
                      <w:szCs w:val="18"/>
                    </w:rPr>
                  </w:pPr>
                  <w:r>
                    <w:rPr>
                      <w:szCs w:val="18"/>
                    </w:rPr>
                    <w:t>Industrial</w:t>
                  </w:r>
                </w:p>
              </w:tc>
              <w:tc>
                <w:tcPr>
                  <w:tcW w:w="1134" w:type="dxa"/>
                  <w:noWrap/>
                  <w:vAlign w:val="bottom"/>
                  <w:hideMark/>
                </w:tcPr>
                <w:p w14:paraId="34E4AC71" w14:textId="77777777" w:rsidR="00FC3A0A" w:rsidRDefault="00FC3A0A" w:rsidP="000350BE">
                  <w:pPr>
                    <w:pStyle w:val="TableTextRight0"/>
                  </w:pPr>
                  <w:r>
                    <w:t>93</w:t>
                  </w:r>
                </w:p>
              </w:tc>
            </w:tr>
            <w:tr w:rsidR="00FC3A0A" w14:paraId="2C85AE52" w14:textId="77777777" w:rsidTr="00A409C0">
              <w:trPr>
                <w:trHeight w:val="300"/>
              </w:trPr>
              <w:tc>
                <w:tcPr>
                  <w:tcW w:w="3062" w:type="dxa"/>
                  <w:noWrap/>
                  <w:vAlign w:val="bottom"/>
                  <w:hideMark/>
                </w:tcPr>
                <w:p w14:paraId="0C3DF2C6" w14:textId="77777777" w:rsidR="00FC3A0A" w:rsidRDefault="00FC3A0A">
                  <w:pPr>
                    <w:pStyle w:val="TableTextLeft"/>
                    <w:rPr>
                      <w:szCs w:val="18"/>
                    </w:rPr>
                  </w:pPr>
                  <w:r>
                    <w:rPr>
                      <w:szCs w:val="18"/>
                    </w:rPr>
                    <w:t>Stock</w:t>
                  </w:r>
                </w:p>
              </w:tc>
              <w:tc>
                <w:tcPr>
                  <w:tcW w:w="1134" w:type="dxa"/>
                  <w:noWrap/>
                  <w:vAlign w:val="bottom"/>
                  <w:hideMark/>
                </w:tcPr>
                <w:p w14:paraId="3F975ADD" w14:textId="77777777" w:rsidR="00FC3A0A" w:rsidRDefault="00FC3A0A" w:rsidP="000350BE">
                  <w:pPr>
                    <w:pStyle w:val="TableTextRight0"/>
                  </w:pPr>
                  <w:r>
                    <w:t>61</w:t>
                  </w:r>
                </w:p>
              </w:tc>
            </w:tr>
            <w:tr w:rsidR="00FC3A0A" w14:paraId="12C41995" w14:textId="77777777" w:rsidTr="00A409C0">
              <w:trPr>
                <w:trHeight w:val="300"/>
              </w:trPr>
              <w:tc>
                <w:tcPr>
                  <w:tcW w:w="3062" w:type="dxa"/>
                  <w:noWrap/>
                  <w:vAlign w:val="bottom"/>
                  <w:hideMark/>
                </w:tcPr>
                <w:p w14:paraId="1F7D580F" w14:textId="77777777" w:rsidR="00FC3A0A" w:rsidRDefault="00FC3A0A">
                  <w:pPr>
                    <w:pStyle w:val="TableTextLeft"/>
                    <w:rPr>
                      <w:szCs w:val="18"/>
                    </w:rPr>
                  </w:pPr>
                  <w:r>
                    <w:rPr>
                      <w:szCs w:val="18"/>
                    </w:rPr>
                    <w:t>Domestic Household</w:t>
                  </w:r>
                </w:p>
              </w:tc>
              <w:tc>
                <w:tcPr>
                  <w:tcW w:w="1134" w:type="dxa"/>
                  <w:noWrap/>
                  <w:vAlign w:val="bottom"/>
                  <w:hideMark/>
                </w:tcPr>
                <w:p w14:paraId="26A7E9E1" w14:textId="77777777" w:rsidR="00FC3A0A" w:rsidRDefault="00FC3A0A" w:rsidP="000350BE">
                  <w:pPr>
                    <w:pStyle w:val="TableTextRight0"/>
                  </w:pPr>
                  <w:r>
                    <w:t>21</w:t>
                  </w:r>
                </w:p>
              </w:tc>
            </w:tr>
          </w:tbl>
          <w:p w14:paraId="08162F7E"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FC3A0A" w14:paraId="762DEA4D"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6E44AE05" w14:textId="77777777" w:rsidR="00FC3A0A" w:rsidRDefault="00FC3A0A">
            <w:pPr>
              <w:pStyle w:val="TableTextLeft"/>
              <w:rPr>
                <w:szCs w:val="18"/>
              </w:rPr>
            </w:pPr>
            <w:r>
              <w:rPr>
                <w:szCs w:val="18"/>
              </w:rPr>
              <w:t>Depth (m) of registered bores below ground level (10th and 90th Percentile and median)</w:t>
            </w:r>
          </w:p>
        </w:tc>
        <w:tc>
          <w:tcPr>
            <w:tcW w:w="2421" w:type="pct"/>
            <w:hideMark/>
          </w:tcPr>
          <w:p w14:paraId="5BD4D5B9" w14:textId="27D20C35"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10th Percentile</w:t>
            </w:r>
            <w:r w:rsidRPr="004059C5">
              <w:rPr>
                <w:szCs w:val="18"/>
              </w:rPr>
              <w:t xml:space="preserve">: </w:t>
            </w:r>
            <w:r w:rsidRPr="004059C5">
              <w:rPr>
                <w:szCs w:val="18"/>
              </w:rPr>
              <w:tab/>
            </w:r>
            <w:r>
              <w:rPr>
                <w:szCs w:val="18"/>
              </w:rPr>
              <w:t xml:space="preserve">    35.7</w:t>
            </w:r>
          </w:p>
          <w:p w14:paraId="0F18073B" w14:textId="402B1629"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Median</w:t>
            </w:r>
            <w:r w:rsidRPr="004059C5">
              <w:rPr>
                <w:szCs w:val="18"/>
              </w:rPr>
              <w:t xml:space="preserve">: </w:t>
            </w:r>
            <w:r w:rsidRPr="004059C5">
              <w:rPr>
                <w:szCs w:val="18"/>
              </w:rPr>
              <w:tab/>
              <w:t xml:space="preserve"> </w:t>
            </w:r>
            <w:r w:rsidRPr="004059C5">
              <w:rPr>
                <w:szCs w:val="18"/>
              </w:rPr>
              <w:tab/>
            </w:r>
            <w:r>
              <w:rPr>
                <w:szCs w:val="18"/>
              </w:rPr>
              <w:t>1840</w:t>
            </w:r>
          </w:p>
          <w:p w14:paraId="27DA20ED" w14:textId="4FFDF29E"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90th Percentile</w:t>
            </w:r>
            <w:r w:rsidRPr="004059C5">
              <w:rPr>
                <w:szCs w:val="18"/>
              </w:rPr>
              <w:t xml:space="preserve">: </w:t>
            </w:r>
            <w:r w:rsidRPr="004059C5">
              <w:rPr>
                <w:szCs w:val="18"/>
              </w:rPr>
              <w:tab/>
            </w:r>
            <w:r>
              <w:rPr>
                <w:szCs w:val="18"/>
              </w:rPr>
              <w:t>3024</w:t>
            </w:r>
          </w:p>
        </w:tc>
      </w:tr>
    </w:tbl>
    <w:p w14:paraId="5A8293BE" w14:textId="77777777" w:rsidR="00FC3A0A" w:rsidRDefault="00FC3A0A" w:rsidP="00D15FEC">
      <w:pPr>
        <w:pStyle w:val="AppendixHeading3"/>
      </w:pPr>
      <w:bookmarkStart w:id="196" w:name="_Toc517161158"/>
      <w:r>
        <w:t>Surface water systems and hydrology</w:t>
      </w:r>
      <w:bookmarkEnd w:id="196"/>
    </w:p>
    <w:p w14:paraId="5E6ABEF5" w14:textId="77777777" w:rsidR="00FC3A0A" w:rsidRDefault="00FC3A0A" w:rsidP="00495D8B">
      <w:pPr>
        <w:pStyle w:val="BodyText"/>
      </w:pPr>
      <w:r>
        <w:t xml:space="preserve">As part of the Bioregional Assessment Programme into coal mining and coal-seam gas developments, Smith et al., (2015) provided a review into the known hydrology and hydrogeology of the Cooper Basin region; the majority of information in this section is derived from this work. The Lake Eyre Basin Rivers Assessment (Cockayne et al., 2013) and the Hydrology of the Lake Eyre Basin Project (McMahon et al., 2005) inform substantial components of this understanding into surface-water hydrology. </w:t>
      </w:r>
    </w:p>
    <w:p w14:paraId="402C9C2A" w14:textId="77777777" w:rsidR="00FC3A0A" w:rsidRDefault="00FC3A0A" w:rsidP="00D15FEC">
      <w:pPr>
        <w:pStyle w:val="AppendixHeading4"/>
      </w:pPr>
      <w:r>
        <w:t>Surface water systems</w:t>
      </w:r>
    </w:p>
    <w:p w14:paraId="0A6FC4F6" w14:textId="42203B48" w:rsidR="00FC3A0A" w:rsidRDefault="00FC3A0A" w:rsidP="00495D8B">
      <w:pPr>
        <w:pStyle w:val="BodyText"/>
      </w:pPr>
      <w:r>
        <w:t xml:space="preserve">The Cooper Basin is overlain by two river catchments, both within the Lake Eyre drainage division: the Cooper Creek–Bulloo </w:t>
      </w:r>
      <w:r w:rsidR="00FE1F65">
        <w:t>R</w:t>
      </w:r>
      <w:r>
        <w:t xml:space="preserve">iver basin and the Diamantina–Georgina river basin. The Cooper Creek–Bulloo River basin is the main catchment (91% by land area over the Cooper Basin), with the Cooper Creek, Thomson River, Barcoo River and Bulloo River being the main streams. The major surface water catchments are presented in Figure B.14. </w:t>
      </w:r>
      <w:r w:rsidR="00AD60F7">
        <w:t>The Cooper Creek area has a</w:t>
      </w:r>
      <w:r>
        <w:t>n extensive floodplain, which can exceed 60 km in width with anastomosing and anabranching channels</w:t>
      </w:r>
      <w:r w:rsidR="00AD60F7">
        <w:t>.</w:t>
      </w:r>
      <w:r>
        <w:t xml:space="preserve"> The </w:t>
      </w:r>
      <w:r>
        <w:lastRenderedPageBreak/>
        <w:t xml:space="preserve">only significant watercourse in the Diamantina–Georgina </w:t>
      </w:r>
      <w:r w:rsidRPr="00010E2E">
        <w:t xml:space="preserve">river basin </w:t>
      </w:r>
      <w:r>
        <w:t>found within the Cooper Basin region is Farrars Creek, which is a tributary to Diamantina River; anastomosing channels are typical of the landscape. Both catchments are typical arid zone catchments (McMahon et al., 2005; Cockayne et al., 2013; Knighton and Nanson, 2001; BoM, 2014; Smith et al., 2015).</w:t>
      </w:r>
    </w:p>
    <w:p w14:paraId="7CE3D2B4" w14:textId="77777777" w:rsidR="00FC3A0A" w:rsidRDefault="00FC3A0A" w:rsidP="00D15FEC">
      <w:pPr>
        <w:pStyle w:val="AppendixHeading4"/>
      </w:pPr>
      <w:r>
        <w:t>Surface water quality</w:t>
      </w:r>
    </w:p>
    <w:p w14:paraId="4B172C37" w14:textId="51A42A35" w:rsidR="00FC3A0A" w:rsidRDefault="00FC3A0A" w:rsidP="00495D8B">
      <w:pPr>
        <w:pStyle w:val="BodyText"/>
      </w:pPr>
      <w:r>
        <w:t>There is poor data availability for water quality in the region. Typically, however, EC levels are around 200 μS/cm during times of baseflow and drop to around 100 μS/cm during high flow. Turbidity is typically high and variable (Cockayne et al., 2013; Smith et al., 2015).</w:t>
      </w:r>
    </w:p>
    <w:p w14:paraId="53081850" w14:textId="77777777" w:rsidR="00FC3A0A" w:rsidRDefault="00FC3A0A" w:rsidP="00D15FEC">
      <w:pPr>
        <w:pStyle w:val="AppendixHeading4"/>
      </w:pPr>
      <w:r>
        <w:t>Surface water flow</w:t>
      </w:r>
    </w:p>
    <w:p w14:paraId="7899A933" w14:textId="45798859" w:rsidR="00FC3A0A" w:rsidRDefault="00AD60F7" w:rsidP="00495D8B">
      <w:pPr>
        <w:pStyle w:val="BodyText"/>
      </w:pPr>
      <w:r w:rsidRPr="00AD60F7">
        <w:t xml:space="preserve">Streamflow is highly variable in this arid environment, where most rivers are ephemeral or intermittent, with little groundwater contribution to streamflow. The low topographic gradient leads to slow flow, so large floods can take 16 days to pass the floodplain (Smith et al., 2015). </w:t>
      </w:r>
      <w:r w:rsidR="00FC3A0A">
        <w:t xml:space="preserve">Runoff in the Cooper Creek catchment is derived from the headwater streams (Thomson and Barcoo rivers), with very high transmission loses that often exceed 80%. Consequently, downstream </w:t>
      </w:r>
      <w:r>
        <w:t>f</w:t>
      </w:r>
      <w:r w:rsidR="00FC3A0A">
        <w:t xml:space="preserve">lows can be less than </w:t>
      </w:r>
      <w:r>
        <w:t xml:space="preserve">those </w:t>
      </w:r>
      <w:r w:rsidR="00FC3A0A">
        <w:t xml:space="preserve">upstream despite the increased catchment area, due to evaporation, bank storage, and losing stream reaches. </w:t>
      </w:r>
    </w:p>
    <w:p w14:paraId="39FCF832" w14:textId="692D8663" w:rsidR="00FC3A0A" w:rsidRDefault="00FC3A0A" w:rsidP="00495D8B">
      <w:pPr>
        <w:pStyle w:val="BodyText"/>
      </w:pPr>
      <w:r>
        <w:t>A number of stream gauges are sited on the Cooper Creek and a few of its tributaries (Table C.31); elsewhere, stream gauge information is limited. Streamflow varies greatly between years and months from almost no flow to significant flooding (McMahon et al., 2005; Knighton and Nanson 2001; Cockayne et al., 2013; Smith et al., 2015).</w:t>
      </w:r>
    </w:p>
    <w:p w14:paraId="38CA7AF2" w14:textId="77777777" w:rsidR="00FC3A0A" w:rsidRDefault="00FC3A0A" w:rsidP="00495D8B">
      <w:pPr>
        <w:pStyle w:val="BodyText"/>
      </w:pPr>
    </w:p>
    <w:p w14:paraId="4ADB5527" w14:textId="128969CC" w:rsidR="00FC3A0A" w:rsidRDefault="00FC3A0A" w:rsidP="00EB59EF">
      <w:pPr>
        <w:pStyle w:val="Caption"/>
      </w:pPr>
      <w:bookmarkStart w:id="197" w:name="_Toc499547501"/>
      <w:bookmarkStart w:id="198" w:name="_Toc508972180"/>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31</w:t>
      </w:r>
      <w:r w:rsidR="008079F1">
        <w:rPr>
          <w:noProof/>
        </w:rPr>
        <w:fldChar w:fldCharType="end"/>
      </w:r>
      <w:r>
        <w:rPr>
          <w:noProof/>
        </w:rPr>
        <w:t xml:space="preserve"> </w:t>
      </w:r>
      <w:r>
        <w:t>Stream gauges in and around the Cooper Basin region, identifying the data record period and mean annual flows measured (compiled in Smith et al., 2015).</w:t>
      </w:r>
      <w:bookmarkEnd w:id="197"/>
      <w:bookmarkEnd w:id="198"/>
    </w:p>
    <w:p w14:paraId="5B5E9EB2" w14:textId="3CAC64D1" w:rsidR="00FC3A0A" w:rsidRPr="005450A3" w:rsidRDefault="00FC3A0A" w:rsidP="008B38C1">
      <w:pPr>
        <w:pStyle w:val="FiguresImagesCentred"/>
      </w:pPr>
      <w:r>
        <w:rPr>
          <w:noProof/>
        </w:rPr>
        <w:drawing>
          <wp:inline distT="0" distB="0" distL="0" distR="0" wp14:anchorId="2E7601AD" wp14:editId="264A58B7">
            <wp:extent cx="5781829" cy="3600450"/>
            <wp:effectExtent l="0" t="0" r="9525" b="0"/>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252" cstate="screen">
                      <a:extLst>
                        <a:ext uri="{28A0092B-C50C-407E-A947-70E740481C1C}">
                          <a14:useLocalDpi xmlns:a14="http://schemas.microsoft.com/office/drawing/2010/main"/>
                        </a:ext>
                      </a:extLst>
                    </a:blip>
                    <a:srcRect/>
                    <a:stretch/>
                  </pic:blipFill>
                  <pic:spPr bwMode="auto">
                    <a:xfrm>
                      <a:off x="0" y="0"/>
                      <a:ext cx="5781829" cy="3600450"/>
                    </a:xfrm>
                    <a:prstGeom prst="rect">
                      <a:avLst/>
                    </a:prstGeom>
                    <a:noFill/>
                    <a:ln>
                      <a:noFill/>
                    </a:ln>
                    <a:extLst>
                      <a:ext uri="{53640926-AAD7-44D8-BBD7-CCE9431645EC}">
                        <a14:shadowObscured xmlns:a14="http://schemas.microsoft.com/office/drawing/2010/main"/>
                      </a:ext>
                    </a:extLst>
                  </pic:spPr>
                </pic:pic>
              </a:graphicData>
            </a:graphic>
          </wp:inline>
        </w:drawing>
      </w:r>
    </w:p>
    <w:p w14:paraId="57FAF139" w14:textId="77777777" w:rsidR="00FC3A0A" w:rsidRDefault="00FC3A0A" w:rsidP="00D15FEC">
      <w:pPr>
        <w:pStyle w:val="AppendixHeading4"/>
      </w:pPr>
      <w:r>
        <w:t>Surface water dams, planning and use</w:t>
      </w:r>
    </w:p>
    <w:p w14:paraId="5104FA63" w14:textId="2E0785D9" w:rsidR="00FC3A0A" w:rsidRDefault="00FC3A0A" w:rsidP="00495D8B">
      <w:pPr>
        <w:pStyle w:val="BodyText"/>
      </w:pPr>
      <w:r>
        <w:t xml:space="preserve">The Lake Eyre catchments are all unregulated: there are no major dams or weirs, diversions for irrigation or public water storages in the Cooper Creek catchment, nor any large storages on the Diamantina River. In the Water Plan (Cooper Creek) 2011, the Queensland Government has 2,000 ML of unallocated water (200 ML for general reserve, 1,300 ML for strategic reserve and 500 ML for the town and community reserve) in the Cooper Creek catchment (Queensland Government, 2011). The Water Resource (Georgina and Diamantina) Plan 2004 (Queensland Government, 2004) allocates 1,000 ML as general reserve in the Lower Diamantina management area, and another 1,500 ML is available across the whole Diamantina-Georgina catchment area for projects of state significance. However, there is negligible use of surface water in the region, as most </w:t>
      </w:r>
      <w:r w:rsidR="00AD60F7">
        <w:t xml:space="preserve">users </w:t>
      </w:r>
      <w:r>
        <w:t>are reliant on groundwater for a dependable water supply (McMahon et al., 2005; Smith et al., 2015).</w:t>
      </w:r>
    </w:p>
    <w:p w14:paraId="47068A45" w14:textId="77777777" w:rsidR="00FC3A0A" w:rsidRDefault="00FC3A0A" w:rsidP="00D15FEC">
      <w:pPr>
        <w:pStyle w:val="AppendixHeading3"/>
      </w:pPr>
      <w:bookmarkStart w:id="199" w:name="_Toc517161159"/>
      <w:r>
        <w:t>Groundwater–surface water interactions</w:t>
      </w:r>
      <w:bookmarkEnd w:id="199"/>
    </w:p>
    <w:p w14:paraId="60F35EE4" w14:textId="3BD2129F" w:rsidR="00FC3A0A" w:rsidRDefault="00FC3A0A" w:rsidP="00495D8B">
      <w:pPr>
        <w:pStyle w:val="BodyText"/>
      </w:pPr>
      <w:r>
        <w:t xml:space="preserve">There is limited information available on the groundwater–surface water interactions above the Cooper Basin. Some flowing artesian springs occur near to the Cooper Basin extent, and these are usually associated with structural features such as faults and folds. Water-table mapping suggests there is a potential for surface water and groundwater to interact and support Groundwater Dependant Ecosystems (discussed further in the section below). Large flooding events do occur, </w:t>
      </w:r>
      <w:r w:rsidR="00AD60F7">
        <w:t>yet</w:t>
      </w:r>
      <w:r>
        <w:t xml:space="preserve"> contribute limited recharge as evaporation rates are high. Groundwater discharge allows </w:t>
      </w:r>
      <w:r>
        <w:lastRenderedPageBreak/>
        <w:t xml:space="preserve">ephemeral flows to support some groundwater-dependent aquatic ecosystems </w:t>
      </w:r>
      <w:r w:rsidR="00AD60F7">
        <w:t xml:space="preserve">hosted within </w:t>
      </w:r>
      <w:r>
        <w:t>the wetlands (e.g. the Ramsar-listed Coongie Lakes) and watercourses (Ransley and Smerdon, 2012; Love et al., 2013; Smith et al., 2015).</w:t>
      </w:r>
    </w:p>
    <w:p w14:paraId="738C4B42" w14:textId="77777777" w:rsidR="00FC3A0A" w:rsidRDefault="00FC3A0A" w:rsidP="00D15FEC">
      <w:pPr>
        <w:pStyle w:val="AppendixHeading3"/>
      </w:pPr>
      <w:bookmarkStart w:id="200" w:name="_Toc517161160"/>
      <w:r>
        <w:t>Environmental assets</w:t>
      </w:r>
      <w:bookmarkEnd w:id="200"/>
      <w:r>
        <w:t xml:space="preserve"> </w:t>
      </w:r>
    </w:p>
    <w:p w14:paraId="68301B89" w14:textId="77777777" w:rsidR="00FC3A0A" w:rsidRDefault="00FC3A0A" w:rsidP="00495D8B">
      <w:pPr>
        <w:pStyle w:val="BodyText"/>
      </w:pPr>
      <w:r>
        <w:t>Within the Cooper Basin there are 16,186 km</w:t>
      </w:r>
      <w:r w:rsidRPr="005450A3">
        <w:rPr>
          <w:rStyle w:val="Superscript"/>
        </w:rPr>
        <w:t>2</w:t>
      </w:r>
      <w:r>
        <w:t xml:space="preserve"> of Listed Nationally Important Wetlands, 13,800 km</w:t>
      </w:r>
      <w:r w:rsidRPr="005450A3">
        <w:rPr>
          <w:rStyle w:val="Superscript"/>
        </w:rPr>
        <w:t>2</w:t>
      </w:r>
      <w:r>
        <w:t xml:space="preserve"> of Groundwater Dependant Ecosystems (of at least moderate potential) and the Ramsar-listed Coongie Lakes wetland, and a total of 15,440 km</w:t>
      </w:r>
      <w:r w:rsidRPr="005450A3">
        <w:rPr>
          <w:rStyle w:val="Superscript"/>
        </w:rPr>
        <w:t>2</w:t>
      </w:r>
      <w:r>
        <w:t xml:space="preserve"> of protected areas (such as national parks) are listed (Table C.32).</w:t>
      </w:r>
    </w:p>
    <w:p w14:paraId="189D3AA7" w14:textId="77777777" w:rsidR="00FC3A0A" w:rsidRDefault="00FC3A0A" w:rsidP="00495D8B">
      <w:pPr>
        <w:pStyle w:val="Caption"/>
      </w:pPr>
      <w:bookmarkStart w:id="201" w:name="_Toc499547502"/>
      <w:bookmarkStart w:id="202" w:name="_Toc508972181"/>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w:instrText>
      </w:r>
      <w:r w:rsidR="008079F1">
        <w:instrText xml:space="preserve">ARABIC \s 9 </w:instrText>
      </w:r>
      <w:r w:rsidR="008079F1">
        <w:fldChar w:fldCharType="separate"/>
      </w:r>
      <w:r w:rsidR="00640CCB">
        <w:rPr>
          <w:noProof/>
        </w:rPr>
        <w:t>32</w:t>
      </w:r>
      <w:r w:rsidR="008079F1">
        <w:rPr>
          <w:noProof/>
        </w:rPr>
        <w:fldChar w:fldCharType="end"/>
      </w:r>
      <w:r>
        <w:t xml:space="preserve"> Summary of environmental assets.</w:t>
      </w:r>
      <w:bookmarkEnd w:id="201"/>
      <w:bookmarkEnd w:id="202"/>
    </w:p>
    <w:tbl>
      <w:tblPr>
        <w:tblStyle w:val="TableBAHeaderColumn"/>
        <w:tblW w:w="5000" w:type="pct"/>
        <w:tblInd w:w="0" w:type="dxa"/>
        <w:tblLook w:val="04A0" w:firstRow="1" w:lastRow="0" w:firstColumn="1" w:lastColumn="0" w:noHBand="0" w:noVBand="1"/>
      </w:tblPr>
      <w:tblGrid>
        <w:gridCol w:w="4972"/>
        <w:gridCol w:w="4667"/>
      </w:tblGrid>
      <w:tr w:rsidR="00FC3A0A" w14:paraId="3F6250B5"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62DFD103" w14:textId="77777777" w:rsidR="00FC3A0A" w:rsidRDefault="00FC3A0A">
            <w:pPr>
              <w:pStyle w:val="TableTextLeft"/>
            </w:pPr>
            <w:r>
              <w:t>Environmental Assets</w:t>
            </w:r>
          </w:p>
        </w:tc>
      </w:tr>
      <w:tr w:rsidR="00FC3A0A" w14:paraId="22238AE4"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39BF09D2" w14:textId="77777777" w:rsidR="00FC3A0A" w:rsidRDefault="00FC3A0A">
            <w:pPr>
              <w:pStyle w:val="TableTextLeft"/>
              <w:rPr>
                <w:szCs w:val="18"/>
              </w:rPr>
            </w:pPr>
            <w:r>
              <w:rPr>
                <w:szCs w:val="18"/>
              </w:rPr>
              <w:t>Ramsar Wetlands</w:t>
            </w:r>
          </w:p>
        </w:tc>
        <w:tc>
          <w:tcPr>
            <w:tcW w:w="2421" w:type="pct"/>
            <w:hideMark/>
          </w:tcPr>
          <w:p w14:paraId="70E87D80"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Coongie Lakes</w:t>
            </w:r>
          </w:p>
        </w:tc>
      </w:tr>
      <w:tr w:rsidR="00FC3A0A" w14:paraId="2EA04D07" w14:textId="77777777" w:rsidTr="00A409C0">
        <w:trPr>
          <w:cnfStyle w:val="100000000000" w:firstRow="1" w:lastRow="0" w:firstColumn="0" w:lastColumn="0" w:oddVBand="0" w:evenVBand="0" w:oddHBand="0" w:evenHBand="0" w:firstRowFirstColumn="0" w:firstRowLastColumn="0" w:lastRowFirstColumn="0" w:lastRowLastColumn="0"/>
          <w:trHeight w:val="1628"/>
        </w:trPr>
        <w:tc>
          <w:tcPr>
            <w:cnfStyle w:val="001000000100" w:firstRow="0" w:lastRow="0" w:firstColumn="1" w:lastColumn="0" w:oddVBand="0" w:evenVBand="0" w:oddHBand="0" w:evenHBand="0" w:firstRowFirstColumn="1" w:firstRowLastColumn="0" w:lastRowFirstColumn="0" w:lastRowLastColumn="0"/>
            <w:tcW w:w="2579" w:type="pct"/>
            <w:hideMark/>
          </w:tcPr>
          <w:p w14:paraId="48941C2D" w14:textId="77777777" w:rsidR="00FC3A0A" w:rsidRDefault="00FC3A0A">
            <w:pPr>
              <w:pStyle w:val="TableTextLeft"/>
              <w:rPr>
                <w:szCs w:val="18"/>
              </w:rPr>
            </w:pPr>
            <w:r>
              <w:rPr>
                <w:szCs w:val="18"/>
              </w:rPr>
              <w:t>Nationally Important Wetlands</w:t>
            </w:r>
          </w:p>
          <w:p w14:paraId="7509D1E5" w14:textId="77777777" w:rsidR="00FC3A0A" w:rsidRDefault="00FC3A0A">
            <w:pPr>
              <w:pStyle w:val="TableTextLeft"/>
              <w:rPr>
                <w:szCs w:val="18"/>
              </w:rPr>
            </w:pPr>
            <w:r>
              <w:rPr>
                <w:szCs w:val="18"/>
              </w:rPr>
              <w:t>Top 5 by area</w:t>
            </w:r>
          </w:p>
          <w:p w14:paraId="14C63F72" w14:textId="77777777" w:rsidR="00FC3A0A" w:rsidRDefault="00FC3A0A">
            <w:pPr>
              <w:pStyle w:val="TableTextLeft"/>
              <w:rPr>
                <w:szCs w:val="18"/>
              </w:rPr>
            </w:pPr>
            <w:r>
              <w:rPr>
                <w:rStyle w:val="Emphasis"/>
                <w:rFonts w:eastAsia="Calibri"/>
                <w:szCs w:val="18"/>
              </w:rPr>
              <w:t>(area km</w:t>
            </w:r>
            <w:r w:rsidRPr="000520F9">
              <w:rPr>
                <w:rStyle w:val="Superscript"/>
                <w:rFonts w:eastAsia="Calibri"/>
              </w:rPr>
              <w:t>2</w:t>
            </w:r>
            <w:r>
              <w:rPr>
                <w:rStyle w:val="Emphasis"/>
                <w:rFonts w:eastAsia="Calibri"/>
                <w:szCs w:val="18"/>
              </w:rPr>
              <w:t>)</w:t>
            </w:r>
          </w:p>
        </w:tc>
        <w:tc>
          <w:tcPr>
            <w:tcW w:w="2421" w:type="pct"/>
            <w:hideMark/>
          </w:tcPr>
          <w:tbl>
            <w:tblPr>
              <w:tblW w:w="4200" w:type="dxa"/>
              <w:tblLook w:val="04A0" w:firstRow="1" w:lastRow="0" w:firstColumn="1" w:lastColumn="0" w:noHBand="0" w:noVBand="1"/>
            </w:tblPr>
            <w:tblGrid>
              <w:gridCol w:w="3348"/>
              <w:gridCol w:w="852"/>
            </w:tblGrid>
            <w:tr w:rsidR="00FC3A0A" w14:paraId="647D284D" w14:textId="77777777" w:rsidTr="00A409C0">
              <w:trPr>
                <w:trHeight w:val="300"/>
              </w:trPr>
              <w:tc>
                <w:tcPr>
                  <w:tcW w:w="3345" w:type="dxa"/>
                  <w:vAlign w:val="center"/>
                  <w:hideMark/>
                </w:tcPr>
                <w:p w14:paraId="147CB8A1" w14:textId="77777777" w:rsidR="00FC3A0A" w:rsidRDefault="00FC3A0A">
                  <w:pPr>
                    <w:pStyle w:val="TableTextLeft"/>
                    <w:rPr>
                      <w:szCs w:val="18"/>
                    </w:rPr>
                  </w:pPr>
                  <w:r>
                    <w:rPr>
                      <w:szCs w:val="18"/>
                    </w:rPr>
                    <w:t>Coongie Lakes</w:t>
                  </w:r>
                </w:p>
              </w:tc>
              <w:tc>
                <w:tcPr>
                  <w:tcW w:w="851" w:type="dxa"/>
                  <w:noWrap/>
                  <w:vAlign w:val="center"/>
                  <w:hideMark/>
                </w:tcPr>
                <w:p w14:paraId="0FC3C585" w14:textId="77777777" w:rsidR="00FC3A0A" w:rsidRDefault="00FC3A0A" w:rsidP="000350BE">
                  <w:pPr>
                    <w:pStyle w:val="TableTextRight0"/>
                  </w:pPr>
                  <w:r>
                    <w:t>11,864</w:t>
                  </w:r>
                </w:p>
              </w:tc>
            </w:tr>
            <w:tr w:rsidR="00FC3A0A" w14:paraId="2FE2F52E" w14:textId="77777777" w:rsidTr="00A409C0">
              <w:trPr>
                <w:trHeight w:val="600"/>
              </w:trPr>
              <w:tc>
                <w:tcPr>
                  <w:tcW w:w="3345" w:type="dxa"/>
                  <w:vAlign w:val="center"/>
                  <w:hideMark/>
                </w:tcPr>
                <w:p w14:paraId="307FF986" w14:textId="77777777" w:rsidR="00FC3A0A" w:rsidRDefault="00FC3A0A">
                  <w:pPr>
                    <w:pStyle w:val="TableTextLeft"/>
                    <w:rPr>
                      <w:szCs w:val="18"/>
                    </w:rPr>
                  </w:pPr>
                  <w:r>
                    <w:rPr>
                      <w:szCs w:val="18"/>
                    </w:rPr>
                    <w:t>Cooper Creek Overflow Swamps - Windorah</w:t>
                  </w:r>
                </w:p>
              </w:tc>
              <w:tc>
                <w:tcPr>
                  <w:tcW w:w="851" w:type="dxa"/>
                  <w:noWrap/>
                  <w:vAlign w:val="center"/>
                  <w:hideMark/>
                </w:tcPr>
                <w:p w14:paraId="38946492" w14:textId="77777777" w:rsidR="00FC3A0A" w:rsidRDefault="00FC3A0A" w:rsidP="000350BE">
                  <w:pPr>
                    <w:pStyle w:val="TableTextRight0"/>
                  </w:pPr>
                  <w:r>
                    <w:t>1,219</w:t>
                  </w:r>
                </w:p>
              </w:tc>
            </w:tr>
            <w:tr w:rsidR="00FC3A0A" w14:paraId="0D6FD873" w14:textId="77777777" w:rsidTr="00A409C0">
              <w:trPr>
                <w:trHeight w:val="300"/>
              </w:trPr>
              <w:tc>
                <w:tcPr>
                  <w:tcW w:w="3345" w:type="dxa"/>
                  <w:vAlign w:val="center"/>
                  <w:hideMark/>
                </w:tcPr>
                <w:p w14:paraId="30E4ABC5" w14:textId="77777777" w:rsidR="00FC3A0A" w:rsidRDefault="00FC3A0A">
                  <w:pPr>
                    <w:pStyle w:val="TableTextLeft"/>
                    <w:rPr>
                      <w:szCs w:val="18"/>
                    </w:rPr>
                  </w:pPr>
                  <w:r>
                    <w:rPr>
                      <w:szCs w:val="18"/>
                    </w:rPr>
                    <w:t>Cooper Creek Swamps - Nappa Merrie</w:t>
                  </w:r>
                </w:p>
              </w:tc>
              <w:tc>
                <w:tcPr>
                  <w:tcW w:w="851" w:type="dxa"/>
                  <w:noWrap/>
                  <w:vAlign w:val="center"/>
                  <w:hideMark/>
                </w:tcPr>
                <w:p w14:paraId="4F9E7809" w14:textId="77777777" w:rsidR="00FC3A0A" w:rsidRDefault="00FC3A0A" w:rsidP="000350BE">
                  <w:pPr>
                    <w:pStyle w:val="TableTextRight0"/>
                  </w:pPr>
                  <w:r>
                    <w:t>1,038</w:t>
                  </w:r>
                </w:p>
              </w:tc>
            </w:tr>
            <w:tr w:rsidR="00FC3A0A" w14:paraId="732DD73D" w14:textId="77777777" w:rsidTr="00A409C0">
              <w:trPr>
                <w:trHeight w:val="300"/>
              </w:trPr>
              <w:tc>
                <w:tcPr>
                  <w:tcW w:w="3345" w:type="dxa"/>
                  <w:vAlign w:val="center"/>
                  <w:hideMark/>
                </w:tcPr>
                <w:p w14:paraId="16CF6BD4" w14:textId="77777777" w:rsidR="00FC3A0A" w:rsidRDefault="00FC3A0A">
                  <w:pPr>
                    <w:pStyle w:val="TableTextLeft"/>
                    <w:rPr>
                      <w:szCs w:val="18"/>
                    </w:rPr>
                  </w:pPr>
                  <w:r>
                    <w:rPr>
                      <w:szCs w:val="18"/>
                    </w:rPr>
                    <w:t>Lake Yamma Yamma</w:t>
                  </w:r>
                </w:p>
              </w:tc>
              <w:tc>
                <w:tcPr>
                  <w:tcW w:w="851" w:type="dxa"/>
                  <w:noWrap/>
                  <w:vAlign w:val="center"/>
                  <w:hideMark/>
                </w:tcPr>
                <w:p w14:paraId="2E685266" w14:textId="77777777" w:rsidR="00FC3A0A" w:rsidRDefault="00FC3A0A" w:rsidP="000350BE">
                  <w:pPr>
                    <w:pStyle w:val="TableTextRight0"/>
                  </w:pPr>
                  <w:r>
                    <w:t>845</w:t>
                  </w:r>
                </w:p>
              </w:tc>
            </w:tr>
            <w:tr w:rsidR="00FC3A0A" w14:paraId="3AC11958" w14:textId="77777777" w:rsidTr="00A409C0">
              <w:trPr>
                <w:trHeight w:val="300"/>
              </w:trPr>
              <w:tc>
                <w:tcPr>
                  <w:tcW w:w="3345" w:type="dxa"/>
                  <w:vAlign w:val="center"/>
                  <w:hideMark/>
                </w:tcPr>
                <w:p w14:paraId="40A7243D" w14:textId="77777777" w:rsidR="00FC3A0A" w:rsidRDefault="00FC3A0A">
                  <w:pPr>
                    <w:pStyle w:val="TableTextLeft"/>
                    <w:rPr>
                      <w:szCs w:val="18"/>
                    </w:rPr>
                  </w:pPr>
                  <w:r>
                    <w:rPr>
                      <w:szCs w:val="18"/>
                    </w:rPr>
                    <w:t>Cooper Creek - Wilson River Junction</w:t>
                  </w:r>
                </w:p>
              </w:tc>
              <w:tc>
                <w:tcPr>
                  <w:tcW w:w="851" w:type="dxa"/>
                  <w:noWrap/>
                  <w:vAlign w:val="center"/>
                  <w:hideMark/>
                </w:tcPr>
                <w:p w14:paraId="67261359" w14:textId="77777777" w:rsidR="00FC3A0A" w:rsidRDefault="00FC3A0A" w:rsidP="000350BE">
                  <w:pPr>
                    <w:pStyle w:val="TableTextRight0"/>
                  </w:pPr>
                  <w:r>
                    <w:t>624</w:t>
                  </w:r>
                </w:p>
              </w:tc>
            </w:tr>
            <w:tr w:rsidR="00FC3A0A" w14:paraId="5EF62557" w14:textId="77777777" w:rsidTr="00A409C0">
              <w:trPr>
                <w:trHeight w:val="300"/>
              </w:trPr>
              <w:tc>
                <w:tcPr>
                  <w:tcW w:w="3345" w:type="dxa"/>
                  <w:vAlign w:val="center"/>
                  <w:hideMark/>
                </w:tcPr>
                <w:p w14:paraId="1CF620E9" w14:textId="77777777" w:rsidR="00FC3A0A" w:rsidRDefault="00FC3A0A">
                  <w:pPr>
                    <w:pStyle w:val="TableTextLeft"/>
                    <w:rPr>
                      <w:szCs w:val="18"/>
                    </w:rPr>
                  </w:pPr>
                  <w:r>
                    <w:rPr>
                      <w:szCs w:val="18"/>
                    </w:rPr>
                    <w:t>TOTAL WETLAND AREA</w:t>
                  </w:r>
                </w:p>
              </w:tc>
              <w:tc>
                <w:tcPr>
                  <w:tcW w:w="851" w:type="dxa"/>
                  <w:noWrap/>
                  <w:vAlign w:val="center"/>
                  <w:hideMark/>
                </w:tcPr>
                <w:p w14:paraId="29593940" w14:textId="77777777" w:rsidR="00FC3A0A" w:rsidRDefault="00FC3A0A" w:rsidP="000350BE">
                  <w:pPr>
                    <w:pStyle w:val="TableTextRight0"/>
                  </w:pPr>
                  <w:r>
                    <w:t>16,186</w:t>
                  </w:r>
                </w:p>
              </w:tc>
            </w:tr>
          </w:tbl>
          <w:p w14:paraId="24035353"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FC3A0A" w14:paraId="6683B909"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56B7D005" w14:textId="77777777" w:rsidR="00FC3A0A" w:rsidRDefault="00FC3A0A">
            <w:pPr>
              <w:pStyle w:val="TableTextLeft"/>
              <w:rPr>
                <w:szCs w:val="18"/>
              </w:rPr>
            </w:pPr>
            <w:r>
              <w:rPr>
                <w:szCs w:val="18"/>
              </w:rPr>
              <w:t>Protected areas (CAPAD 2016)</w:t>
            </w:r>
          </w:p>
          <w:p w14:paraId="64B43EC9" w14:textId="77777777" w:rsidR="00FC3A0A" w:rsidRDefault="00FC3A0A">
            <w:pPr>
              <w:pStyle w:val="TableTextLeft"/>
              <w:rPr>
                <w:szCs w:val="18"/>
              </w:rPr>
            </w:pPr>
            <w:r>
              <w:rPr>
                <w:szCs w:val="18"/>
              </w:rPr>
              <w:t xml:space="preserve">Top 5 by area </w:t>
            </w:r>
            <w:r>
              <w:rPr>
                <w:rStyle w:val="Emphasis"/>
                <w:rFonts w:eastAsia="Calibri"/>
                <w:szCs w:val="18"/>
              </w:rPr>
              <w:t>(area km</w:t>
            </w:r>
            <w:r w:rsidRPr="000520F9">
              <w:rPr>
                <w:rStyle w:val="Superscript"/>
                <w:rFonts w:eastAsia="Calibri"/>
              </w:rPr>
              <w:t>2</w:t>
            </w:r>
            <w:r>
              <w:rPr>
                <w:rStyle w:val="Emphasis"/>
                <w:rFonts w:eastAsia="Calibri"/>
                <w:szCs w:val="18"/>
              </w:rPr>
              <w:t>)</w:t>
            </w:r>
          </w:p>
        </w:tc>
        <w:tc>
          <w:tcPr>
            <w:tcW w:w="2421" w:type="pct"/>
            <w:hideMark/>
          </w:tcPr>
          <w:tbl>
            <w:tblPr>
              <w:tblW w:w="4200" w:type="dxa"/>
              <w:tblLook w:val="04A0" w:firstRow="1" w:lastRow="0" w:firstColumn="1" w:lastColumn="0" w:noHBand="0" w:noVBand="1"/>
            </w:tblPr>
            <w:tblGrid>
              <w:gridCol w:w="3348"/>
              <w:gridCol w:w="852"/>
            </w:tblGrid>
            <w:tr w:rsidR="00FC3A0A" w14:paraId="65C5A522" w14:textId="77777777" w:rsidTr="00A409C0">
              <w:trPr>
                <w:trHeight w:val="300"/>
              </w:trPr>
              <w:tc>
                <w:tcPr>
                  <w:tcW w:w="3345" w:type="dxa"/>
                  <w:noWrap/>
                  <w:vAlign w:val="bottom"/>
                  <w:hideMark/>
                </w:tcPr>
                <w:p w14:paraId="71D97F3B" w14:textId="77777777" w:rsidR="00FC3A0A" w:rsidRDefault="00FC3A0A">
                  <w:pPr>
                    <w:pStyle w:val="TableTextLeft"/>
                    <w:rPr>
                      <w:szCs w:val="18"/>
                    </w:rPr>
                  </w:pPr>
                  <w:r>
                    <w:rPr>
                      <w:szCs w:val="18"/>
                    </w:rPr>
                    <w:t>Regional Reserve</w:t>
                  </w:r>
                </w:p>
              </w:tc>
              <w:tc>
                <w:tcPr>
                  <w:tcW w:w="851" w:type="dxa"/>
                  <w:noWrap/>
                  <w:vAlign w:val="bottom"/>
                  <w:hideMark/>
                </w:tcPr>
                <w:p w14:paraId="3FF2EEF3" w14:textId="77777777" w:rsidR="00FC3A0A" w:rsidRDefault="00FC3A0A" w:rsidP="000350BE">
                  <w:pPr>
                    <w:pStyle w:val="TableTextRight0"/>
                  </w:pPr>
                  <w:r>
                    <w:t>13,808</w:t>
                  </w:r>
                </w:p>
              </w:tc>
            </w:tr>
            <w:tr w:rsidR="00FC3A0A" w14:paraId="7FB39568" w14:textId="77777777" w:rsidTr="00A409C0">
              <w:trPr>
                <w:trHeight w:val="300"/>
              </w:trPr>
              <w:tc>
                <w:tcPr>
                  <w:tcW w:w="3345" w:type="dxa"/>
                  <w:noWrap/>
                  <w:vAlign w:val="bottom"/>
                  <w:hideMark/>
                </w:tcPr>
                <w:p w14:paraId="6A5D06C7" w14:textId="77777777" w:rsidR="00FC3A0A" w:rsidRDefault="00FC3A0A">
                  <w:pPr>
                    <w:pStyle w:val="TableTextLeft"/>
                    <w:rPr>
                      <w:szCs w:val="18"/>
                    </w:rPr>
                  </w:pPr>
                  <w:r>
                    <w:rPr>
                      <w:szCs w:val="18"/>
                    </w:rPr>
                    <w:t>National Park</w:t>
                  </w:r>
                </w:p>
              </w:tc>
              <w:tc>
                <w:tcPr>
                  <w:tcW w:w="851" w:type="dxa"/>
                  <w:noWrap/>
                  <w:vAlign w:val="bottom"/>
                  <w:hideMark/>
                </w:tcPr>
                <w:p w14:paraId="0DDA030C" w14:textId="77777777" w:rsidR="00FC3A0A" w:rsidRDefault="00FC3A0A" w:rsidP="000350BE">
                  <w:pPr>
                    <w:pStyle w:val="TableTextRight0"/>
                  </w:pPr>
                  <w:r>
                    <w:t>1,472</w:t>
                  </w:r>
                </w:p>
              </w:tc>
            </w:tr>
            <w:tr w:rsidR="00FC3A0A" w14:paraId="3E4149CC" w14:textId="77777777" w:rsidTr="00A409C0">
              <w:trPr>
                <w:trHeight w:val="300"/>
              </w:trPr>
              <w:tc>
                <w:tcPr>
                  <w:tcW w:w="3345" w:type="dxa"/>
                  <w:noWrap/>
                  <w:vAlign w:val="bottom"/>
                  <w:hideMark/>
                </w:tcPr>
                <w:p w14:paraId="2777C3E0" w14:textId="77777777" w:rsidR="00FC3A0A" w:rsidRDefault="00FC3A0A">
                  <w:pPr>
                    <w:pStyle w:val="TableTextLeft"/>
                    <w:rPr>
                      <w:szCs w:val="18"/>
                    </w:rPr>
                  </w:pPr>
                  <w:r>
                    <w:rPr>
                      <w:szCs w:val="18"/>
                    </w:rPr>
                    <w:t>Nature Refuge</w:t>
                  </w:r>
                </w:p>
              </w:tc>
              <w:tc>
                <w:tcPr>
                  <w:tcW w:w="851" w:type="dxa"/>
                  <w:noWrap/>
                  <w:vAlign w:val="bottom"/>
                  <w:hideMark/>
                </w:tcPr>
                <w:p w14:paraId="38A21D0D" w14:textId="77777777" w:rsidR="00FC3A0A" w:rsidRDefault="00FC3A0A" w:rsidP="000350BE">
                  <w:pPr>
                    <w:pStyle w:val="TableTextRight0"/>
                  </w:pPr>
                  <w:r>
                    <w:t>160</w:t>
                  </w:r>
                </w:p>
              </w:tc>
            </w:tr>
            <w:tr w:rsidR="00FC3A0A" w14:paraId="582F3794" w14:textId="77777777" w:rsidTr="00A409C0">
              <w:trPr>
                <w:trHeight w:val="300"/>
              </w:trPr>
              <w:tc>
                <w:tcPr>
                  <w:tcW w:w="3345" w:type="dxa"/>
                  <w:noWrap/>
                  <w:vAlign w:val="bottom"/>
                  <w:hideMark/>
                </w:tcPr>
                <w:p w14:paraId="69B8FB49" w14:textId="77777777" w:rsidR="00FC3A0A" w:rsidRDefault="00FC3A0A">
                  <w:pPr>
                    <w:pStyle w:val="TableTextLeft"/>
                    <w:rPr>
                      <w:szCs w:val="18"/>
                    </w:rPr>
                  </w:pPr>
                  <w:r>
                    <w:rPr>
                      <w:szCs w:val="18"/>
                    </w:rPr>
                    <w:t xml:space="preserve">— </w:t>
                  </w:r>
                </w:p>
              </w:tc>
              <w:tc>
                <w:tcPr>
                  <w:tcW w:w="851" w:type="dxa"/>
                  <w:noWrap/>
                  <w:vAlign w:val="bottom"/>
                  <w:hideMark/>
                </w:tcPr>
                <w:p w14:paraId="788D1A19" w14:textId="77777777" w:rsidR="00FC3A0A" w:rsidRDefault="00FC3A0A" w:rsidP="000350BE">
                  <w:pPr>
                    <w:pStyle w:val="TableTextRight0"/>
                  </w:pPr>
                  <w:r>
                    <w:t>0</w:t>
                  </w:r>
                </w:p>
              </w:tc>
            </w:tr>
            <w:tr w:rsidR="00FC3A0A" w14:paraId="7C15F4F2" w14:textId="77777777" w:rsidTr="00A409C0">
              <w:trPr>
                <w:trHeight w:val="300"/>
              </w:trPr>
              <w:tc>
                <w:tcPr>
                  <w:tcW w:w="3345" w:type="dxa"/>
                  <w:noWrap/>
                  <w:vAlign w:val="bottom"/>
                  <w:hideMark/>
                </w:tcPr>
                <w:p w14:paraId="26740468" w14:textId="77777777" w:rsidR="00FC3A0A" w:rsidRDefault="00FC3A0A">
                  <w:pPr>
                    <w:pStyle w:val="TableTextLeft"/>
                    <w:rPr>
                      <w:szCs w:val="18"/>
                    </w:rPr>
                  </w:pPr>
                  <w:r>
                    <w:rPr>
                      <w:szCs w:val="18"/>
                    </w:rPr>
                    <w:t>—</w:t>
                  </w:r>
                </w:p>
              </w:tc>
              <w:tc>
                <w:tcPr>
                  <w:tcW w:w="851" w:type="dxa"/>
                  <w:noWrap/>
                  <w:vAlign w:val="bottom"/>
                  <w:hideMark/>
                </w:tcPr>
                <w:p w14:paraId="4BD9C2E0" w14:textId="77777777" w:rsidR="00FC3A0A" w:rsidRDefault="00FC3A0A" w:rsidP="000350BE">
                  <w:pPr>
                    <w:pStyle w:val="TableTextRight0"/>
                  </w:pPr>
                  <w:r>
                    <w:t>0</w:t>
                  </w:r>
                </w:p>
              </w:tc>
            </w:tr>
            <w:tr w:rsidR="00FC3A0A" w14:paraId="129C7855" w14:textId="77777777" w:rsidTr="00A409C0">
              <w:trPr>
                <w:trHeight w:val="300"/>
              </w:trPr>
              <w:tc>
                <w:tcPr>
                  <w:tcW w:w="3345" w:type="dxa"/>
                  <w:noWrap/>
                  <w:vAlign w:val="bottom"/>
                  <w:hideMark/>
                </w:tcPr>
                <w:p w14:paraId="7162E57E" w14:textId="77777777" w:rsidR="00FC3A0A" w:rsidRDefault="00FC3A0A">
                  <w:pPr>
                    <w:pStyle w:val="TableTextLeft"/>
                    <w:rPr>
                      <w:szCs w:val="18"/>
                    </w:rPr>
                  </w:pPr>
                  <w:r>
                    <w:rPr>
                      <w:szCs w:val="18"/>
                    </w:rPr>
                    <w:t>TOTAL PROTECTED AREA</w:t>
                  </w:r>
                </w:p>
              </w:tc>
              <w:tc>
                <w:tcPr>
                  <w:tcW w:w="851" w:type="dxa"/>
                  <w:noWrap/>
                  <w:vAlign w:val="bottom"/>
                  <w:hideMark/>
                </w:tcPr>
                <w:p w14:paraId="7A0AFD18" w14:textId="77777777" w:rsidR="00FC3A0A" w:rsidRDefault="00FC3A0A" w:rsidP="000350BE">
                  <w:pPr>
                    <w:pStyle w:val="TableTextRight0"/>
                  </w:pPr>
                  <w:r>
                    <w:t>15,440</w:t>
                  </w:r>
                </w:p>
              </w:tc>
            </w:tr>
          </w:tbl>
          <w:p w14:paraId="17C11D0A"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FC3A0A" w14:paraId="621CF3C3"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665E7525" w14:textId="77777777" w:rsidR="00FC3A0A" w:rsidRDefault="00FC3A0A">
            <w:pPr>
              <w:pStyle w:val="TableTextLeft"/>
              <w:rPr>
                <w:szCs w:val="18"/>
              </w:rPr>
            </w:pPr>
            <w:r>
              <w:rPr>
                <w:szCs w:val="18"/>
              </w:rPr>
              <w:t>Aquatic and Terrestrial Groundwater Dependant Ecosystems, of known, high potential and moderate potential</w:t>
            </w:r>
            <w:r>
              <w:rPr>
                <w:rStyle w:val="Emphasis"/>
                <w:rFonts w:eastAsia="Calibri"/>
                <w:szCs w:val="18"/>
              </w:rPr>
              <w:t xml:space="preserve"> (area km</w:t>
            </w:r>
            <w:r w:rsidRPr="000520F9">
              <w:rPr>
                <w:rStyle w:val="Superscript"/>
                <w:rFonts w:eastAsia="Calibri"/>
              </w:rPr>
              <w:t>2</w:t>
            </w:r>
            <w:r>
              <w:rPr>
                <w:rStyle w:val="Emphasis"/>
                <w:rFonts w:eastAsia="Calibri"/>
                <w:szCs w:val="18"/>
              </w:rPr>
              <w:t>).</w:t>
            </w:r>
          </w:p>
          <w:p w14:paraId="50C0F557" w14:textId="77777777" w:rsidR="00FC3A0A" w:rsidRDefault="00FC3A0A">
            <w:pPr>
              <w:pStyle w:val="TableTextLeft"/>
              <w:rPr>
                <w:szCs w:val="18"/>
              </w:rPr>
            </w:pPr>
          </w:p>
        </w:tc>
        <w:tc>
          <w:tcPr>
            <w:tcW w:w="2421" w:type="pct"/>
          </w:tcPr>
          <w:p w14:paraId="1590EFD6"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13,800</w:t>
            </w:r>
          </w:p>
          <w:p w14:paraId="744DA76D"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p>
        </w:tc>
      </w:tr>
    </w:tbl>
    <w:p w14:paraId="5A6CCD5B" w14:textId="77777777" w:rsidR="004F2B68" w:rsidRDefault="004F2B68" w:rsidP="004F2B68">
      <w:pPr>
        <w:pStyle w:val="BodyText"/>
      </w:pPr>
    </w:p>
    <w:p w14:paraId="0BC060BA" w14:textId="77777777" w:rsidR="00FC3A0A" w:rsidRDefault="00FC3A0A" w:rsidP="00D15FEC">
      <w:pPr>
        <w:pStyle w:val="AppendixHeading3"/>
      </w:pPr>
      <w:bookmarkStart w:id="203" w:name="_Toc517161161"/>
      <w:r>
        <w:t>Social considerations</w:t>
      </w:r>
      <w:bookmarkEnd w:id="203"/>
    </w:p>
    <w:p w14:paraId="6E4B6DB9" w14:textId="77777777" w:rsidR="00FC3A0A" w:rsidRDefault="00FC3A0A" w:rsidP="00495D8B">
      <w:pPr>
        <w:pStyle w:val="BodyText"/>
      </w:pPr>
      <w:r>
        <w:t xml:space="preserve">The Cooper Basin occupies a remote location with a low and sparse population. A high proportion of the population is itinerant, working in the oil and gas industry. Other industries include pastoral and tourism. </w:t>
      </w:r>
    </w:p>
    <w:p w14:paraId="5EBD4E36" w14:textId="77777777" w:rsidR="00FC3A0A" w:rsidRDefault="00FC3A0A" w:rsidP="00495D8B">
      <w:pPr>
        <w:pStyle w:val="BodyText"/>
      </w:pPr>
      <w:r>
        <w:t>Information on population, land use type and areas listed as either Indigenous Protected Areas (CAPAD, 2016) or where Native Title exists is presented in Table C.33.</w:t>
      </w:r>
    </w:p>
    <w:p w14:paraId="1B0F0BC7" w14:textId="77777777" w:rsidR="004F2B68" w:rsidRDefault="004F2B68" w:rsidP="00495D8B">
      <w:pPr>
        <w:pStyle w:val="BodyText"/>
      </w:pPr>
    </w:p>
    <w:p w14:paraId="2B43A477" w14:textId="77777777" w:rsidR="004F2B68" w:rsidRDefault="004F2B68" w:rsidP="00495D8B">
      <w:pPr>
        <w:pStyle w:val="BodyText"/>
      </w:pPr>
    </w:p>
    <w:p w14:paraId="1F6E5F23" w14:textId="77777777" w:rsidR="00FC3A0A" w:rsidRDefault="00FC3A0A" w:rsidP="00495D8B">
      <w:pPr>
        <w:pStyle w:val="Caption"/>
        <w:rPr>
          <w:szCs w:val="24"/>
        </w:rPr>
      </w:pPr>
      <w:bookmarkStart w:id="204" w:name="_Toc499547503"/>
      <w:bookmarkStart w:id="205" w:name="_Toc508972182"/>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33</w:t>
      </w:r>
      <w:r w:rsidR="008079F1">
        <w:rPr>
          <w:noProof/>
        </w:rPr>
        <w:fldChar w:fldCharType="end"/>
      </w:r>
      <w:r>
        <w:t xml:space="preserve"> Summary of population, land use and aboriginal protected area.</w:t>
      </w:r>
      <w:bookmarkEnd w:id="204"/>
      <w:bookmarkEnd w:id="205"/>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FC3A0A" w14:paraId="2661BE30"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68447C4E" w14:textId="77777777" w:rsidR="00FC3A0A" w:rsidRDefault="00FC3A0A">
            <w:pPr>
              <w:pStyle w:val="TableTextLeft"/>
            </w:pPr>
            <w:r>
              <w:t>GENERAL CHARACTERISTICS</w:t>
            </w:r>
          </w:p>
        </w:tc>
      </w:tr>
      <w:tr w:rsidR="00FC3A0A" w14:paraId="17AE9EC2"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0ECA08F6" w14:textId="77777777" w:rsidR="00FC3A0A" w:rsidRDefault="00FC3A0A">
            <w:pPr>
              <w:pStyle w:val="TableTextLeft"/>
              <w:rPr>
                <w:szCs w:val="18"/>
              </w:rPr>
            </w:pPr>
            <w:r>
              <w:rPr>
                <w:szCs w:val="18"/>
              </w:rPr>
              <w:t>Population</w:t>
            </w:r>
          </w:p>
        </w:tc>
        <w:tc>
          <w:tcPr>
            <w:tcW w:w="2421" w:type="pct"/>
            <w:hideMark/>
          </w:tcPr>
          <w:p w14:paraId="77C690D1"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393</w:t>
            </w:r>
          </w:p>
        </w:tc>
      </w:tr>
      <w:tr w:rsidR="00FC3A0A" w14:paraId="5409151F"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10D437B" w14:textId="77777777" w:rsidR="00FC3A0A" w:rsidRDefault="00FC3A0A">
            <w:pPr>
              <w:pStyle w:val="TableTextLeft"/>
              <w:rPr>
                <w:szCs w:val="18"/>
              </w:rPr>
            </w:pPr>
            <w:r>
              <w:rPr>
                <w:szCs w:val="18"/>
              </w:rPr>
              <w:t>Major population centres (two)</w:t>
            </w:r>
          </w:p>
        </w:tc>
        <w:tc>
          <w:tcPr>
            <w:tcW w:w="2421" w:type="pct"/>
            <w:hideMark/>
          </w:tcPr>
          <w:p w14:paraId="14E298B5"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Jundah, Windorah</w:t>
            </w:r>
          </w:p>
        </w:tc>
      </w:tr>
      <w:tr w:rsidR="00FC3A0A" w14:paraId="188CA9A9"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7B7C1708" w14:textId="77777777" w:rsidR="00FC3A0A" w:rsidRDefault="00FC3A0A">
            <w:pPr>
              <w:pStyle w:val="TableTextLeft"/>
              <w:rPr>
                <w:szCs w:val="18"/>
              </w:rPr>
            </w:pPr>
            <w:r>
              <w:rPr>
                <w:szCs w:val="18"/>
              </w:rPr>
              <w:t>Land use types</w:t>
            </w:r>
          </w:p>
          <w:p w14:paraId="628C86C4" w14:textId="77777777" w:rsidR="00FC3A0A" w:rsidRDefault="00FC3A0A">
            <w:pPr>
              <w:pStyle w:val="TableTextLeft"/>
              <w:rPr>
                <w:szCs w:val="18"/>
              </w:rPr>
            </w:pPr>
            <w:r>
              <w:rPr>
                <w:szCs w:val="18"/>
              </w:rPr>
              <w:t>Top 5 by area</w:t>
            </w:r>
          </w:p>
          <w:p w14:paraId="441AE698" w14:textId="77777777" w:rsidR="00FC3A0A" w:rsidRDefault="00FC3A0A">
            <w:pPr>
              <w:pStyle w:val="TableTextLeft"/>
              <w:rPr>
                <w:szCs w:val="18"/>
              </w:rPr>
            </w:pPr>
            <w:r>
              <w:rPr>
                <w:rStyle w:val="Emphasis"/>
                <w:rFonts w:eastAsia="Calibri"/>
                <w:szCs w:val="18"/>
              </w:rPr>
              <w:t>(area km</w:t>
            </w:r>
            <w:r w:rsidRPr="000520F9">
              <w:rPr>
                <w:rStyle w:val="Superscript"/>
                <w:rFonts w:eastAsia="Calibri"/>
              </w:rPr>
              <w:t>2</w:t>
            </w:r>
            <w:r>
              <w:rPr>
                <w:rStyle w:val="Emphasis"/>
                <w:rFonts w:eastAsia="Calibri"/>
                <w:szCs w:val="18"/>
              </w:rPr>
              <w:t>)</w:t>
            </w:r>
          </w:p>
        </w:tc>
        <w:tc>
          <w:tcPr>
            <w:tcW w:w="2421" w:type="pct"/>
            <w:hideMark/>
          </w:tcPr>
          <w:tbl>
            <w:tblPr>
              <w:tblW w:w="4200" w:type="dxa"/>
              <w:tblLook w:val="04A0" w:firstRow="1" w:lastRow="0" w:firstColumn="1" w:lastColumn="0" w:noHBand="0" w:noVBand="1"/>
            </w:tblPr>
            <w:tblGrid>
              <w:gridCol w:w="2622"/>
              <w:gridCol w:w="1578"/>
            </w:tblGrid>
            <w:tr w:rsidR="00FC3A0A" w14:paraId="0D7B759A" w14:textId="77777777" w:rsidTr="00A409C0">
              <w:trPr>
                <w:trHeight w:val="300"/>
              </w:trPr>
              <w:tc>
                <w:tcPr>
                  <w:tcW w:w="2620" w:type="dxa"/>
                  <w:tcBorders>
                    <w:top w:val="single" w:sz="4" w:space="0" w:color="auto"/>
                    <w:left w:val="nil"/>
                    <w:bottom w:val="nil"/>
                    <w:right w:val="nil"/>
                  </w:tcBorders>
                  <w:noWrap/>
                  <w:vAlign w:val="center"/>
                  <w:hideMark/>
                </w:tcPr>
                <w:p w14:paraId="570D2371" w14:textId="77777777" w:rsidR="00FC3A0A" w:rsidRDefault="00FC3A0A">
                  <w:pPr>
                    <w:pStyle w:val="TableTextLeft"/>
                    <w:rPr>
                      <w:szCs w:val="18"/>
                    </w:rPr>
                  </w:pPr>
                  <w:r>
                    <w:rPr>
                      <w:szCs w:val="18"/>
                    </w:rPr>
                    <w:t>Grazing native vegetation</w:t>
                  </w:r>
                </w:p>
              </w:tc>
              <w:tc>
                <w:tcPr>
                  <w:tcW w:w="1576" w:type="dxa"/>
                  <w:tcBorders>
                    <w:top w:val="single" w:sz="4" w:space="0" w:color="auto"/>
                    <w:left w:val="nil"/>
                    <w:bottom w:val="nil"/>
                    <w:right w:val="nil"/>
                  </w:tcBorders>
                  <w:noWrap/>
                  <w:vAlign w:val="center"/>
                  <w:hideMark/>
                </w:tcPr>
                <w:p w14:paraId="2E15982B" w14:textId="77777777" w:rsidR="00FC3A0A" w:rsidRDefault="00FC3A0A" w:rsidP="000350BE">
                  <w:pPr>
                    <w:pStyle w:val="TableTextRight0"/>
                  </w:pPr>
                  <w:r>
                    <w:t>103,277</w:t>
                  </w:r>
                </w:p>
              </w:tc>
            </w:tr>
            <w:tr w:rsidR="00FC3A0A" w14:paraId="18670765" w14:textId="77777777" w:rsidTr="00A409C0">
              <w:trPr>
                <w:trHeight w:val="300"/>
              </w:trPr>
              <w:tc>
                <w:tcPr>
                  <w:tcW w:w="2620" w:type="dxa"/>
                  <w:noWrap/>
                  <w:vAlign w:val="center"/>
                  <w:hideMark/>
                </w:tcPr>
                <w:p w14:paraId="545B4F77" w14:textId="77777777" w:rsidR="00FC3A0A" w:rsidRDefault="00FC3A0A">
                  <w:pPr>
                    <w:pStyle w:val="TableTextLeft"/>
                    <w:rPr>
                      <w:szCs w:val="18"/>
                    </w:rPr>
                  </w:pPr>
                  <w:r>
                    <w:rPr>
                      <w:szCs w:val="18"/>
                    </w:rPr>
                    <w:t>Nature Conservation</w:t>
                  </w:r>
                </w:p>
              </w:tc>
              <w:tc>
                <w:tcPr>
                  <w:tcW w:w="1576" w:type="dxa"/>
                  <w:noWrap/>
                  <w:vAlign w:val="center"/>
                  <w:hideMark/>
                </w:tcPr>
                <w:p w14:paraId="4E045CC0" w14:textId="77777777" w:rsidR="00FC3A0A" w:rsidRDefault="00FC3A0A" w:rsidP="000350BE">
                  <w:pPr>
                    <w:pStyle w:val="TableTextRight0"/>
                  </w:pPr>
                  <w:r>
                    <w:t>10,820</w:t>
                  </w:r>
                </w:p>
              </w:tc>
            </w:tr>
            <w:tr w:rsidR="00FC3A0A" w14:paraId="3A01E232" w14:textId="77777777" w:rsidTr="00A409C0">
              <w:trPr>
                <w:trHeight w:val="300"/>
              </w:trPr>
              <w:tc>
                <w:tcPr>
                  <w:tcW w:w="2620" w:type="dxa"/>
                  <w:noWrap/>
                  <w:vAlign w:val="center"/>
                  <w:hideMark/>
                </w:tcPr>
                <w:p w14:paraId="439378C5" w14:textId="77777777" w:rsidR="00FC3A0A" w:rsidRDefault="00FC3A0A">
                  <w:pPr>
                    <w:pStyle w:val="TableTextLeft"/>
                    <w:rPr>
                      <w:szCs w:val="18"/>
                    </w:rPr>
                  </w:pPr>
                  <w:r>
                    <w:rPr>
                      <w:szCs w:val="18"/>
                    </w:rPr>
                    <w:t>Mining and waste</w:t>
                  </w:r>
                </w:p>
              </w:tc>
              <w:tc>
                <w:tcPr>
                  <w:tcW w:w="1576" w:type="dxa"/>
                  <w:noWrap/>
                  <w:vAlign w:val="center"/>
                  <w:hideMark/>
                </w:tcPr>
                <w:p w14:paraId="0B8CF78F" w14:textId="77777777" w:rsidR="00FC3A0A" w:rsidRDefault="00FC3A0A" w:rsidP="000350BE">
                  <w:pPr>
                    <w:pStyle w:val="TableTextRight0"/>
                  </w:pPr>
                  <w:r>
                    <w:t>7,950</w:t>
                  </w:r>
                </w:p>
              </w:tc>
            </w:tr>
            <w:tr w:rsidR="00FC3A0A" w14:paraId="3436D158" w14:textId="77777777" w:rsidTr="00A409C0">
              <w:trPr>
                <w:trHeight w:val="300"/>
              </w:trPr>
              <w:tc>
                <w:tcPr>
                  <w:tcW w:w="2620" w:type="dxa"/>
                  <w:noWrap/>
                  <w:vAlign w:val="center"/>
                  <w:hideMark/>
                </w:tcPr>
                <w:p w14:paraId="754F694F" w14:textId="77777777" w:rsidR="00FC3A0A" w:rsidRDefault="00FC3A0A">
                  <w:pPr>
                    <w:pStyle w:val="TableTextLeft"/>
                    <w:rPr>
                      <w:szCs w:val="18"/>
                    </w:rPr>
                  </w:pPr>
                  <w:r>
                    <w:rPr>
                      <w:szCs w:val="18"/>
                    </w:rPr>
                    <w:t>Water</w:t>
                  </w:r>
                </w:p>
              </w:tc>
              <w:tc>
                <w:tcPr>
                  <w:tcW w:w="1576" w:type="dxa"/>
                  <w:noWrap/>
                  <w:vAlign w:val="center"/>
                  <w:hideMark/>
                </w:tcPr>
                <w:p w14:paraId="0287F10A" w14:textId="77777777" w:rsidR="00FC3A0A" w:rsidRDefault="00FC3A0A" w:rsidP="000350BE">
                  <w:pPr>
                    <w:pStyle w:val="TableTextRight0"/>
                  </w:pPr>
                  <w:r>
                    <w:t>4,882</w:t>
                  </w:r>
                </w:p>
              </w:tc>
            </w:tr>
            <w:tr w:rsidR="00FC3A0A" w14:paraId="426B6315" w14:textId="77777777" w:rsidTr="00A409C0">
              <w:trPr>
                <w:trHeight w:val="300"/>
              </w:trPr>
              <w:tc>
                <w:tcPr>
                  <w:tcW w:w="2620" w:type="dxa"/>
                  <w:noWrap/>
                  <w:vAlign w:val="center"/>
                  <w:hideMark/>
                </w:tcPr>
                <w:p w14:paraId="3609E61A" w14:textId="77777777" w:rsidR="00FC3A0A" w:rsidRDefault="00FC3A0A">
                  <w:pPr>
                    <w:pStyle w:val="TableTextLeft"/>
                    <w:rPr>
                      <w:szCs w:val="18"/>
                    </w:rPr>
                  </w:pPr>
                  <w:r>
                    <w:rPr>
                      <w:szCs w:val="18"/>
                    </w:rPr>
                    <w:t>Urban intensive uses</w:t>
                  </w:r>
                </w:p>
              </w:tc>
              <w:tc>
                <w:tcPr>
                  <w:tcW w:w="1576" w:type="dxa"/>
                  <w:noWrap/>
                  <w:vAlign w:val="center"/>
                  <w:hideMark/>
                </w:tcPr>
                <w:p w14:paraId="34CD48B7" w14:textId="77777777" w:rsidR="00FC3A0A" w:rsidRDefault="00FC3A0A" w:rsidP="000350BE">
                  <w:pPr>
                    <w:pStyle w:val="TableTextRight0"/>
                  </w:pPr>
                  <w:r>
                    <w:t>22</w:t>
                  </w:r>
                </w:p>
              </w:tc>
            </w:tr>
          </w:tbl>
          <w:p w14:paraId="2CC4E4DC"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FC3A0A" w14:paraId="7C64D715" w14:textId="77777777" w:rsidTr="00A40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675574C9" w14:textId="77777777" w:rsidR="00FC3A0A" w:rsidRDefault="00FC3A0A">
            <w:pPr>
              <w:pStyle w:val="TableTextLeft"/>
              <w:rPr>
                <w:szCs w:val="18"/>
              </w:rPr>
            </w:pPr>
            <w:r>
              <w:rPr>
                <w:szCs w:val="18"/>
              </w:rPr>
              <w:t xml:space="preserve">Aboriginal Protected Area (CAPAD, 2016) and Native title </w:t>
            </w:r>
            <w:r>
              <w:rPr>
                <w:rStyle w:val="Emphasis"/>
                <w:rFonts w:eastAsia="Calibri"/>
                <w:szCs w:val="18"/>
              </w:rPr>
              <w:t>(area km</w:t>
            </w:r>
            <w:r w:rsidRPr="000520F9">
              <w:rPr>
                <w:rStyle w:val="Superscript"/>
                <w:rFonts w:eastAsia="Calibri"/>
              </w:rPr>
              <w:t>2</w:t>
            </w:r>
            <w:r>
              <w:rPr>
                <w:rStyle w:val="Emphasis"/>
                <w:rFonts w:eastAsia="Calibri"/>
                <w:szCs w:val="18"/>
              </w:rPr>
              <w:t>)</w:t>
            </w:r>
          </w:p>
        </w:tc>
        <w:tc>
          <w:tcPr>
            <w:tcW w:w="2421" w:type="pct"/>
          </w:tcPr>
          <w:p w14:paraId="546E2C4B"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61,556</w:t>
            </w:r>
          </w:p>
          <w:p w14:paraId="21A61AF4" w14:textId="77777777" w:rsidR="00FC3A0A" w:rsidRDefault="00FC3A0A">
            <w:pPr>
              <w:pStyle w:val="TableTextLeft"/>
              <w:cnfStyle w:val="100000000000" w:firstRow="1" w:lastRow="0" w:firstColumn="0" w:lastColumn="0" w:oddVBand="0" w:evenVBand="0" w:oddHBand="0" w:evenHBand="0" w:firstRowFirstColumn="0" w:firstRowLastColumn="0" w:lastRowFirstColumn="0" w:lastRowLastColumn="0"/>
              <w:rPr>
                <w:szCs w:val="18"/>
              </w:rPr>
            </w:pPr>
          </w:p>
        </w:tc>
      </w:tr>
    </w:tbl>
    <w:p w14:paraId="439C35AB" w14:textId="77777777" w:rsidR="00FC3A0A" w:rsidRDefault="00FC3A0A"/>
    <w:p w14:paraId="3AF4B6BD" w14:textId="639F2506" w:rsidR="008B38C1" w:rsidRDefault="008B38C1" w:rsidP="00E03451">
      <w:pPr>
        <w:pStyle w:val="Heading3notnumbered"/>
      </w:pPr>
      <w:bookmarkStart w:id="206" w:name="_Toc517161162"/>
      <w:r>
        <w:t>Key references</w:t>
      </w:r>
      <w:bookmarkEnd w:id="206"/>
    </w:p>
    <w:p w14:paraId="26081596" w14:textId="77777777" w:rsidR="00727542" w:rsidRDefault="00727542" w:rsidP="00727542">
      <w:pPr>
        <w:pStyle w:val="References"/>
      </w:pPr>
      <w:r>
        <w:t>AER (Australian Energy Regulator) (2017) State of the energy market, May 2017. Viewed 16/01/2018, &lt;</w:t>
      </w:r>
      <w:hyperlink r:id="rId253" w:history="1">
        <w:r w:rsidRPr="00165029">
          <w:rPr>
            <w:rStyle w:val="Hyperlink"/>
          </w:rPr>
          <w:t>https://www.aer.gov.au/publications/state-of-the-energy-market-reports/state-of-the-energy-market-may-2017</w:t>
        </w:r>
      </w:hyperlink>
      <w:r>
        <w:t>&gt;.</w:t>
      </w:r>
    </w:p>
    <w:p w14:paraId="1F30F52F" w14:textId="77777777" w:rsidR="00727542" w:rsidRDefault="00727542" w:rsidP="00727542">
      <w:pPr>
        <w:pStyle w:val="References"/>
      </w:pPr>
      <w:r>
        <w:t>AERA (Australian Energy Resources Assessment) (2018) Australian Energy Resources Assessment interim report, Geoscience Australia, Canberra. Viewed 16/01/2018, &lt;</w:t>
      </w:r>
      <w:hyperlink r:id="rId254" w:history="1">
        <w:r w:rsidRPr="00C40D71">
          <w:rPr>
            <w:rStyle w:val="Hyperlink"/>
          </w:rPr>
          <w:t>http://www.ga.gov.au/aera</w:t>
        </w:r>
      </w:hyperlink>
      <w:r w:rsidRPr="00727542">
        <w:t xml:space="preserve">&gt;. </w:t>
      </w:r>
      <w:r>
        <w:t xml:space="preserve">  </w:t>
      </w:r>
    </w:p>
    <w:p w14:paraId="0D5CBD88" w14:textId="1D7E44AD" w:rsidR="00FC3A0A" w:rsidRDefault="00FC3A0A" w:rsidP="004B27A3">
      <w:pPr>
        <w:pStyle w:val="References"/>
        <w:rPr>
          <w:rStyle w:val="Hyperlink"/>
        </w:rPr>
      </w:pPr>
      <w:r>
        <w:t xml:space="preserve">Alexander EM, Gravestock DI, Cubitt C and A Chaney A </w:t>
      </w:r>
      <w:r w:rsidR="003C5608">
        <w:t>(</w:t>
      </w:r>
      <w:r>
        <w:t>1998</w:t>
      </w:r>
      <w:r w:rsidR="003C5608">
        <w:t>)</w:t>
      </w:r>
      <w:r>
        <w:t xml:space="preserve"> Chapter 6: Lithostratigraphy and environment</w:t>
      </w:r>
      <w:r w:rsidR="00F63931">
        <w:t>s of deposition. In: Gravestock</w:t>
      </w:r>
      <w:r>
        <w:t xml:space="preserve"> DI</w:t>
      </w:r>
      <w:r w:rsidR="00F63931">
        <w:t>, Hibburt J</w:t>
      </w:r>
      <w:r>
        <w:t>E</w:t>
      </w:r>
      <w:r w:rsidR="00F63931">
        <w:t xml:space="preserve"> and Drexel</w:t>
      </w:r>
      <w:r>
        <w:t xml:space="preserve"> JF</w:t>
      </w:r>
      <w:r w:rsidR="00F63931">
        <w:t xml:space="preserve"> (eds</w:t>
      </w:r>
      <w:r>
        <w:t>), The Petroleum Geology of South Australia, Volume 4: Cooper Basin. South Australia Department of Primary Industries and Resources, Adelaide, Report Book, 1998/9, 69–115</w:t>
      </w:r>
      <w:r w:rsidR="003C5608">
        <w:t>. Viewed 22/01/2018, &lt;</w:t>
      </w:r>
      <w:hyperlink r:id="rId255" w:history="1">
        <w:r w:rsidR="003C5608" w:rsidRPr="00F14B0E">
          <w:rPr>
            <w:rStyle w:val="Hyperlink"/>
          </w:rPr>
          <w:t>https://sarigbasis.pir.sa.gov.au/WebtopEw/ws/samref/sarig1/image/DDD/PGSA004.pdf</w:t>
        </w:r>
      </w:hyperlink>
      <w:r w:rsidR="003C5608">
        <w:rPr>
          <w:rStyle w:val="Hyperlink"/>
        </w:rPr>
        <w:t>&gt;.</w:t>
      </w:r>
    </w:p>
    <w:p w14:paraId="3E875ECE" w14:textId="77777777" w:rsidR="00727542" w:rsidRDefault="00727542" w:rsidP="00727542">
      <w:pPr>
        <w:pStyle w:val="References"/>
      </w:pPr>
      <w:r>
        <w:t>APPEA (2017) Shale g</w:t>
      </w:r>
      <w:r w:rsidRPr="00985702">
        <w:t>as in Australia</w:t>
      </w:r>
      <w:r>
        <w:t>. Viewed 15/01/2018,</w:t>
      </w:r>
      <w:r w:rsidRPr="00985702">
        <w:t xml:space="preserve"> </w:t>
      </w:r>
      <w:r>
        <w:t>&lt;</w:t>
      </w:r>
      <w:hyperlink r:id="rId256" w:history="1">
        <w:r w:rsidRPr="000E4EFC">
          <w:rPr>
            <w:rStyle w:val="Hyperlink"/>
          </w:rPr>
          <w:t>https://www.shale-gas.com.au/environment/regulation-and-licensing/</w:t>
        </w:r>
      </w:hyperlink>
      <w:r>
        <w:t>&gt;.</w:t>
      </w:r>
    </w:p>
    <w:p w14:paraId="6A4CCE57" w14:textId="77777777" w:rsidR="00727542" w:rsidRPr="00150F31" w:rsidRDefault="00727542" w:rsidP="00727542">
      <w:pPr>
        <w:pStyle w:val="References"/>
      </w:pPr>
      <w:r w:rsidRPr="00150F31">
        <w:t>AWT International</w:t>
      </w:r>
      <w:r>
        <w:t xml:space="preserve"> (</w:t>
      </w:r>
      <w:r w:rsidRPr="00150F31">
        <w:t>2013</w:t>
      </w:r>
      <w:r>
        <w:t xml:space="preserve">) </w:t>
      </w:r>
      <w:r w:rsidRPr="00150F31">
        <w:t>Shale Gas Prospectivity Potential Report prepared for the Australian Council of Learned Academies (ACOLA</w:t>
      </w:r>
      <w:r>
        <w:t xml:space="preserve">) </w:t>
      </w:r>
      <w:r w:rsidRPr="00150F31">
        <w:t>54 p.</w:t>
      </w:r>
    </w:p>
    <w:p w14:paraId="23433AF8" w14:textId="3F68F5D7" w:rsidR="00FC3A0A" w:rsidRDefault="00FC3A0A" w:rsidP="008B38C1">
      <w:pPr>
        <w:pStyle w:val="References"/>
      </w:pPr>
      <w:r>
        <w:t xml:space="preserve">Beach Energy </w:t>
      </w:r>
      <w:r w:rsidR="003C5608">
        <w:t>(</w:t>
      </w:r>
      <w:r>
        <w:t>2014</w:t>
      </w:r>
      <w:r w:rsidR="003C5608">
        <w:t>)</w:t>
      </w:r>
      <w:r>
        <w:t xml:space="preserve"> FY14 Full year review results roadshow</w:t>
      </w:r>
      <w:r w:rsidR="003C5608">
        <w:t>. Viewed 16/01/2018, , &lt;</w:t>
      </w:r>
      <w:hyperlink r:id="rId257" w:history="1">
        <w:r w:rsidRPr="00E03451">
          <w:rPr>
            <w:rStyle w:val="Hyperlink"/>
          </w:rPr>
          <w:t>www.asx.com.au/asxpdf/20140828/pdf/42rtkq464xqggw.pdf</w:t>
        </w:r>
      </w:hyperlink>
      <w:r w:rsidR="003C5608">
        <w:t>&gt;.</w:t>
      </w:r>
    </w:p>
    <w:p w14:paraId="214DC0BF" w14:textId="77777777" w:rsidR="00983C9B" w:rsidRDefault="00983C9B" w:rsidP="00983C9B">
      <w:pPr>
        <w:pStyle w:val="References"/>
      </w:pPr>
      <w:r>
        <w:t>Beach Energy (2015) Annual report. Viewed 16/01/2018, &lt;</w:t>
      </w:r>
      <w:hyperlink r:id="rId258" w:history="1">
        <w:r w:rsidRPr="00C40D71">
          <w:rPr>
            <w:rStyle w:val="Hyperlink"/>
          </w:rPr>
          <w:t>www.beachenergy.com.au/irm/PDF/4440_0/2015BeachEnergyLtdAnnualReport</w:t>
        </w:r>
      </w:hyperlink>
      <w:r>
        <w:t>&gt;.</w:t>
      </w:r>
    </w:p>
    <w:p w14:paraId="7EC49660" w14:textId="18BA8E2B" w:rsidR="00FC3A0A" w:rsidRDefault="00FC3A0A" w:rsidP="008B38C1">
      <w:pPr>
        <w:pStyle w:val="References"/>
      </w:pPr>
      <w:r>
        <w:t xml:space="preserve">Beach Energy </w:t>
      </w:r>
      <w:r w:rsidR="003C5608">
        <w:t>(</w:t>
      </w:r>
      <w:r>
        <w:t>2015b</w:t>
      </w:r>
      <w:r w:rsidR="003C5608">
        <w:t>)</w:t>
      </w:r>
      <w:r>
        <w:t xml:space="preserve"> ASX/Media Release – Monthly drilling report November 2015</w:t>
      </w:r>
      <w:r w:rsidR="003C5608">
        <w:t>. Viewed 16/01/2018, &lt;</w:t>
      </w:r>
      <w:hyperlink r:id="rId259" w:history="1">
        <w:r w:rsidRPr="00E03451">
          <w:rPr>
            <w:rStyle w:val="Hyperlink"/>
          </w:rPr>
          <w:t>http://www.beachenergy.com.au/irm/PDF/4564_0/MonthlyDrillingReportNovember2015</w:t>
        </w:r>
      </w:hyperlink>
      <w:r w:rsidR="003C5608">
        <w:t>&gt;</w:t>
      </w:r>
      <w:r w:rsidR="00596C20">
        <w:t>.</w:t>
      </w:r>
    </w:p>
    <w:p w14:paraId="56C9D47D" w14:textId="2EED1DE8" w:rsidR="00FC3A0A" w:rsidRDefault="00FC3A0A" w:rsidP="008B38C1">
      <w:pPr>
        <w:pStyle w:val="References"/>
        <w:rPr>
          <w:rStyle w:val="Hyperlink"/>
        </w:rPr>
      </w:pPr>
      <w:r>
        <w:lastRenderedPageBreak/>
        <w:t xml:space="preserve">Beach Energy </w:t>
      </w:r>
      <w:r w:rsidR="003C5608">
        <w:t>(</w:t>
      </w:r>
      <w:r>
        <w:t>2015c</w:t>
      </w:r>
      <w:r w:rsidR="003C5608">
        <w:t>)</w:t>
      </w:r>
      <w:r>
        <w:t xml:space="preserve"> ASX/Media Release – Upgrade of Nappamerri Trough Natural Gas Contingent Resources</w:t>
      </w:r>
      <w:r w:rsidR="003C5608">
        <w:t>. Viewed 16/01/2018, &lt;</w:t>
      </w:r>
      <w:hyperlink r:id="rId260" w:history="1">
        <w:r w:rsidRPr="00E03451">
          <w:rPr>
            <w:rStyle w:val="Hyperlink"/>
          </w:rPr>
          <w:t>http://www.beachenergy.com.au/IRM/Company/ShowPage.aspx/PDFs/3985-10000000/NTNGContingentResources</w:t>
        </w:r>
      </w:hyperlink>
      <w:r w:rsidR="003C5608">
        <w:rPr>
          <w:rStyle w:val="Hyperlink"/>
        </w:rPr>
        <w:t>&gt;.</w:t>
      </w:r>
    </w:p>
    <w:p w14:paraId="1CC03284" w14:textId="3A2CA5C7" w:rsidR="00981A78" w:rsidRPr="00981A78" w:rsidRDefault="00981A78" w:rsidP="008670C7">
      <w:pPr>
        <w:pStyle w:val="References"/>
      </w:pPr>
      <w:r>
        <w:t xml:space="preserve">Beach Energy </w:t>
      </w:r>
      <w:r w:rsidR="003C5608">
        <w:t>(</w:t>
      </w:r>
      <w:r>
        <w:t>2016</w:t>
      </w:r>
      <w:r w:rsidR="003C5608">
        <w:t>)</w:t>
      </w:r>
      <w:r>
        <w:t xml:space="preserve"> ASX/Media Release</w:t>
      </w:r>
      <w:r w:rsidR="008670C7">
        <w:t xml:space="preserve"> – 1P, 2P and 3P reserves and 2C contingent resources as at 30 June 2016. </w:t>
      </w:r>
      <w:r w:rsidR="003C5608">
        <w:t xml:space="preserve">Viewed 16/01/2018, </w:t>
      </w:r>
      <w:r w:rsidR="00CF699D">
        <w:t>&lt;</w:t>
      </w:r>
      <w:hyperlink r:id="rId261" w:history="1">
        <w:r w:rsidR="003C5608" w:rsidRPr="00F14B0E">
          <w:rPr>
            <w:rStyle w:val="Hyperlink"/>
          </w:rPr>
          <w:t>http://www.beachenergy.com.au/irm/PDF/6210_0/ReservesandContingentResourcesasat30June2016</w:t>
        </w:r>
      </w:hyperlink>
      <w:r w:rsidR="00CF699D">
        <w:rPr>
          <w:rStyle w:val="Hyperlink"/>
        </w:rPr>
        <w:t>&gt;</w:t>
      </w:r>
      <w:r w:rsidR="003C5608">
        <w:rPr>
          <w:rStyle w:val="Hyperlink"/>
        </w:rPr>
        <w:t>.</w:t>
      </w:r>
    </w:p>
    <w:p w14:paraId="40B56FD6" w14:textId="77777777" w:rsidR="00CF699D" w:rsidRDefault="00CF699D" w:rsidP="00CF699D">
      <w:pPr>
        <w:pStyle w:val="References"/>
      </w:pPr>
      <w:r>
        <w:t>BoM (Bureau of Meteorology) (2014) Australian Hydrological Geospatial Fabric (“Geofabric”), version 2.1.1. Viewed 02/08/2017, &lt;</w:t>
      </w:r>
      <w:hyperlink r:id="rId262" w:history="1">
        <w:r w:rsidRPr="00DA1EAB">
          <w:rPr>
            <w:rStyle w:val="Hyperlink"/>
          </w:rPr>
          <w:t>http://www.bom.gov.au/water/geofabric/download.shtml</w:t>
        </w:r>
      </w:hyperlink>
      <w:r>
        <w:t>&gt;.</w:t>
      </w:r>
    </w:p>
    <w:p w14:paraId="0B9030F3" w14:textId="3F792176" w:rsidR="00CF699D" w:rsidRDefault="00CF699D" w:rsidP="00CF699D">
      <w:pPr>
        <w:pStyle w:val="References"/>
      </w:pPr>
      <w:r>
        <w:t>BoM</w:t>
      </w:r>
      <w:r w:rsidR="00267121">
        <w:t xml:space="preserve"> (Bureau of Meteorology) (2016)</w:t>
      </w:r>
      <w:r>
        <w:t xml:space="preserve"> National Groundwater Information System, v.1.3. Viewed 07/07/2017, &lt;</w:t>
      </w:r>
      <w:hyperlink r:id="rId263" w:history="1">
        <w:r w:rsidRPr="00DA1EAB">
          <w:rPr>
            <w:rStyle w:val="Hyperlink"/>
          </w:rPr>
          <w:t>http://www.bom.gov.au/water/groundwater/ngis/</w:t>
        </w:r>
      </w:hyperlink>
      <w:r>
        <w:t>&gt;.</w:t>
      </w:r>
    </w:p>
    <w:p w14:paraId="511EA8E1" w14:textId="284A31A3" w:rsidR="00923F1B" w:rsidRPr="00356E9E" w:rsidRDefault="00923F1B" w:rsidP="00923F1B">
      <w:pPr>
        <w:pStyle w:val="References"/>
      </w:pPr>
      <w:r>
        <w:t xml:space="preserve">CAPAD (2016) </w:t>
      </w:r>
      <w:r w:rsidRPr="00356E9E">
        <w:t>Collaborative Australia</w:t>
      </w:r>
      <w:r>
        <w:t>n Protected Area Database</w:t>
      </w:r>
      <w:r w:rsidR="00106DE1">
        <w:t xml:space="preserve"> 20</w:t>
      </w:r>
      <w:r>
        <w:t>16 S</w:t>
      </w:r>
      <w:r w:rsidRPr="00356E9E">
        <w:t>patial dataset provided from the Departmen</w:t>
      </w:r>
      <w:r>
        <w:t>t of the Environment and Energy.</w:t>
      </w:r>
      <w:r w:rsidRPr="00356E9E">
        <w:t xml:space="preserve"> </w:t>
      </w:r>
      <w:r>
        <w:t>Viewed 18/07/2017, &lt;</w:t>
      </w:r>
      <w:hyperlink r:id="rId264" w:history="1">
        <w:r w:rsidRPr="00456161">
          <w:rPr>
            <w:rStyle w:val="Hyperlink"/>
          </w:rPr>
          <w:t>https://www.environment.gov.au/land/nrs/science/capad/2016</w:t>
        </w:r>
      </w:hyperlink>
      <w:r>
        <w:t>&gt;.</w:t>
      </w:r>
      <w:r w:rsidRPr="00356E9E">
        <w:t xml:space="preserve"> </w:t>
      </w:r>
    </w:p>
    <w:p w14:paraId="55342AD8" w14:textId="77777777" w:rsidR="00923F1B" w:rsidRPr="009E7E91" w:rsidRDefault="00923F1B" w:rsidP="00923F1B">
      <w:pPr>
        <w:pStyle w:val="References"/>
        <w:rPr>
          <w:rStyle w:val="Hyperlink"/>
          <w:rFonts w:eastAsia="Times"/>
        </w:rPr>
      </w:pPr>
      <w:r w:rsidRPr="00AA00C4">
        <w:rPr>
          <w:rFonts w:eastAsia="Times"/>
        </w:rPr>
        <w:t>Carr LK</w:t>
      </w:r>
      <w:r>
        <w:rPr>
          <w:rFonts w:eastAsia="Times"/>
        </w:rPr>
        <w:t>,</w:t>
      </w:r>
      <w:r w:rsidRPr="00AA00C4">
        <w:rPr>
          <w:rFonts w:eastAsia="Times"/>
        </w:rPr>
        <w:t xml:space="preserve"> Korsch RJ, Palu </w:t>
      </w:r>
      <w:r>
        <w:rPr>
          <w:rFonts w:eastAsia="Times"/>
        </w:rPr>
        <w:t>T</w:t>
      </w:r>
      <w:r w:rsidRPr="00AA00C4">
        <w:rPr>
          <w:rFonts w:eastAsia="Times"/>
        </w:rPr>
        <w:t xml:space="preserve">J and Reese B </w:t>
      </w:r>
      <w:r>
        <w:rPr>
          <w:rFonts w:eastAsia="Times"/>
        </w:rPr>
        <w:t>(</w:t>
      </w:r>
      <w:r w:rsidRPr="00AA00C4">
        <w:rPr>
          <w:rFonts w:eastAsia="Times"/>
        </w:rPr>
        <w:t>2016</w:t>
      </w:r>
      <w:r>
        <w:rPr>
          <w:rFonts w:eastAsia="Times"/>
        </w:rPr>
        <w:t>)</w:t>
      </w:r>
      <w:r w:rsidRPr="00AA00C4">
        <w:rPr>
          <w:rFonts w:eastAsia="Times"/>
        </w:rPr>
        <w:t xml:space="preserve"> Onshore Basin Inventory: the McArthur, South Nicholson, Georgina, Wiso, Amadeus, Warburton, Cooper and Galilee basins, central Australia. Record 2016/04. Geoscience Australia, Canberra. </w:t>
      </w:r>
      <w:r>
        <w:t>Viewed 22/01/2018, &lt;</w:t>
      </w:r>
      <w:hyperlink r:id="rId265" w:history="1">
        <w:r w:rsidRPr="000E4EFC">
          <w:rPr>
            <w:rStyle w:val="Hyperlink"/>
          </w:rPr>
          <w:t>http://dx.doi.org/10.11636/Record.2016.004</w:t>
        </w:r>
      </w:hyperlink>
      <w:r>
        <w:rPr>
          <w:rStyle w:val="Hyperlink"/>
        </w:rPr>
        <w:t>&gt;.</w:t>
      </w:r>
    </w:p>
    <w:p w14:paraId="32E666DC" w14:textId="77777777" w:rsidR="00B221F1" w:rsidRDefault="00B221F1" w:rsidP="00B221F1">
      <w:pPr>
        <w:pStyle w:val="References"/>
      </w:pPr>
      <w:r>
        <w:t>Cockayne B, Schmarr D, Duguid A and Mathwin R</w:t>
      </w:r>
      <w:r w:rsidRPr="008741CC">
        <w:t xml:space="preserve"> </w:t>
      </w:r>
      <w:r>
        <w:t>(</w:t>
      </w:r>
      <w:r w:rsidRPr="008741CC">
        <w:t>2013</w:t>
      </w:r>
      <w:r>
        <w:t xml:space="preserve">) </w:t>
      </w:r>
      <w:r w:rsidRPr="008741CC">
        <w:t>“Lake Eyre Basin Rivers Assessment 2012 monitoring report”. A report to the Department of Sustainability, Environment, Water, Population and Communities (SEWPaC), Canberra</w:t>
      </w:r>
      <w:r>
        <w:t>.</w:t>
      </w:r>
    </w:p>
    <w:p w14:paraId="7CDFB5FD" w14:textId="7A44767A" w:rsidR="00FC3A0A" w:rsidRDefault="00FC3A0A" w:rsidP="008B38C1">
      <w:pPr>
        <w:pStyle w:val="References"/>
      </w:pPr>
      <w:r>
        <w:t xml:space="preserve">Cook AG, Bryan SE and Draper JJ </w:t>
      </w:r>
      <w:r w:rsidR="00267121">
        <w:t>(</w:t>
      </w:r>
      <w:r>
        <w:t>2013</w:t>
      </w:r>
      <w:r w:rsidR="00267121">
        <w:t>)</w:t>
      </w:r>
      <w:r>
        <w:t xml:space="preserve"> Post-orogenic Mesozoic basins and magmatism. In: Jell PA (ed.), Geology of Queensland. Geological Survey of Queensland, Brisbane, 515–575.</w:t>
      </w:r>
    </w:p>
    <w:p w14:paraId="2D55AF16" w14:textId="6F7687F7" w:rsidR="00FC3A0A" w:rsidRDefault="00FC3A0A" w:rsidP="008B38C1">
      <w:pPr>
        <w:pStyle w:val="References"/>
      </w:pPr>
      <w:r>
        <w:t xml:space="preserve">Cook AG and Jell PA </w:t>
      </w:r>
      <w:r w:rsidR="00267121">
        <w:t>(</w:t>
      </w:r>
      <w:r>
        <w:t>2013</w:t>
      </w:r>
      <w:r w:rsidR="00267121">
        <w:t>)</w:t>
      </w:r>
      <w:r>
        <w:t xml:space="preserve"> Paleogene and Neogene. In: Jell PA (ed.), Geology of Queensland. Geological Survey of Queensland, Brisbane, 577–649.</w:t>
      </w:r>
    </w:p>
    <w:p w14:paraId="6DF83073" w14:textId="7F6FF8DB" w:rsidR="00923F1B" w:rsidRDefault="00923F1B" w:rsidP="00923F1B">
      <w:pPr>
        <w:pStyle w:val="References"/>
        <w:rPr>
          <w:rStyle w:val="Hyperlink"/>
        </w:rPr>
      </w:pPr>
      <w:r>
        <w:t>Core (2014) Gas reserves and resources, eastern and southeastern Australia. Core Energy Group report to the Australian Energy Marke</w:t>
      </w:r>
      <w:r w:rsidR="00292512">
        <w:t xml:space="preserve">t Operator. Viewed 09/08/2017, </w:t>
      </w:r>
      <w:r>
        <w:t>&lt;</w:t>
      </w:r>
      <w:hyperlink r:id="rId266" w:history="1">
        <w:r w:rsidRPr="003E47FE">
          <w:rPr>
            <w:rStyle w:val="Hyperlink"/>
          </w:rPr>
          <w:t>https://www.aemo.com.au/-/media/Files/Gas/National_Planning_and_Forecasting/GSOO/2015/Core--Gas-Reserves-and-Resources.pdf</w:t>
        </w:r>
      </w:hyperlink>
      <w:r>
        <w:rPr>
          <w:rStyle w:val="Hyperlink"/>
        </w:rPr>
        <w:t>&gt;.</w:t>
      </w:r>
    </w:p>
    <w:p w14:paraId="7FF7775D" w14:textId="5D99606D" w:rsidR="00292512" w:rsidRPr="00292512" w:rsidRDefault="00292512" w:rsidP="00292512">
      <w:pPr>
        <w:pStyle w:val="BodyText"/>
      </w:pPr>
      <w:r>
        <w:t xml:space="preserve">Core Energy Group (2016) </w:t>
      </w:r>
      <w:r w:rsidRPr="00292512">
        <w:t>Cooper-Eromanga Basin Outlook | 2035</w:t>
      </w:r>
      <w:r>
        <w:t xml:space="preserve">. Viewed 10/04/18, </w:t>
      </w:r>
      <w:hyperlink r:id="rId267" w:history="1">
        <w:r w:rsidRPr="005A285B">
          <w:rPr>
            <w:rStyle w:val="Hyperlink"/>
          </w:rPr>
          <w:t>http://petroleum.statedevelopment.sa.gov.au/prospectivity/cooper_basin/core_energy_cooper-eromanga_basin_outlook_2035</w:t>
        </w:r>
      </w:hyperlink>
      <w:r>
        <w:t>.</w:t>
      </w:r>
    </w:p>
    <w:p w14:paraId="5FDBA1DB" w14:textId="77777777" w:rsidR="00983C9B" w:rsidRPr="00CD20C0" w:rsidRDefault="00983C9B" w:rsidP="00672502">
      <w:pPr>
        <w:pStyle w:val="References"/>
        <w:keepLines/>
      </w:pPr>
      <w:r w:rsidRPr="00CD20C0">
        <w:lastRenderedPageBreak/>
        <w:t>DNRM (Department of Natural Resources and Mines)</w:t>
      </w:r>
      <w:r>
        <w:t xml:space="preserve"> (2</w:t>
      </w:r>
      <w:r w:rsidRPr="00CD20C0">
        <w:t>0</w:t>
      </w:r>
      <w:r>
        <w:t>17)</w:t>
      </w:r>
      <w:r w:rsidRPr="00CD20C0">
        <w:t xml:space="preserve"> Queensland’s unconventional petroleum potential – shale oil and gas, tight gas and coal seam gas. Department of Natural </w:t>
      </w:r>
      <w:r>
        <w:t>Resources and Mines, Queensland. Viewed</w:t>
      </w:r>
      <w:r w:rsidRPr="00CD20C0">
        <w:t xml:space="preserve"> </w:t>
      </w:r>
      <w:r>
        <w:t>16/01/2018, &lt;</w:t>
      </w:r>
      <w:hyperlink r:id="rId268" w:history="1">
        <w:r w:rsidRPr="00CD20C0">
          <w:rPr>
            <w:rStyle w:val="Hyperlink"/>
          </w:rPr>
          <w:t>https://www.business.qld.gov.au/industries/invest/mining/resources-potential/petroleum-gas</w:t>
        </w:r>
      </w:hyperlink>
      <w:r>
        <w:t xml:space="preserve">&gt;. </w:t>
      </w:r>
    </w:p>
    <w:p w14:paraId="2335F687" w14:textId="77777777" w:rsidR="00B221F1" w:rsidRDefault="00B221F1" w:rsidP="00B221F1">
      <w:pPr>
        <w:pStyle w:val="References"/>
      </w:pPr>
      <w:r>
        <w:t>DNRME (Department of Natural Resources, Mines and Energy) (2017a) Petroleum well locations – Queensland. Viewed 23/07/2017, &lt;</w:t>
      </w:r>
      <w:hyperlink r:id="rId269" w:history="1">
        <w:r w:rsidRPr="00E46720">
          <w:rPr>
            <w:rStyle w:val="Hyperlink"/>
          </w:rPr>
          <w:t>http://qldspatial.information.qld.gov.au/catalogue/custom/detail.page?fid=%7bCBBE665F-60A8-4116-87C8-AEBF0D21B97C%7d</w:t>
        </w:r>
      </w:hyperlink>
      <w:r>
        <w:t>&gt;.</w:t>
      </w:r>
    </w:p>
    <w:p w14:paraId="683F5941" w14:textId="77777777" w:rsidR="00B221F1" w:rsidRDefault="00B221F1" w:rsidP="00B221F1">
      <w:pPr>
        <w:pStyle w:val="References"/>
      </w:pPr>
      <w:r>
        <w:t>DNRME (Department of Natural Resources, Mines and Energy) (2017b) Seismic survey 2D – Queensland</w:t>
      </w:r>
      <w:r>
        <w:rPr>
          <w:b/>
        </w:rPr>
        <w:t xml:space="preserve">. </w:t>
      </w:r>
      <w:r>
        <w:t>Viewed 23/07/2017, &lt;</w:t>
      </w:r>
      <w:hyperlink r:id="rId270" w:history="1">
        <w:r w:rsidRPr="0065740D">
          <w:rPr>
            <w:rStyle w:val="Hyperlink"/>
          </w:rPr>
          <w:t>http://qldspatial.information.qld.gov.au/catalogue/custom/index.page</w:t>
        </w:r>
      </w:hyperlink>
      <w:r>
        <w:t>&gt;.</w:t>
      </w:r>
    </w:p>
    <w:p w14:paraId="2FD49A16" w14:textId="77777777" w:rsidR="00B221F1" w:rsidRDefault="00B221F1" w:rsidP="00B221F1">
      <w:pPr>
        <w:pStyle w:val="References"/>
      </w:pPr>
      <w:r>
        <w:t>DNRME (Department of Natural Resources, Mines and Energy) (2017c) Seismic survey 3D – Queensland. Viewed 23/07/2017, &lt;</w:t>
      </w:r>
      <w:hyperlink r:id="rId271" w:history="1">
        <w:r w:rsidRPr="0065740D">
          <w:rPr>
            <w:rStyle w:val="Hyperlink"/>
          </w:rPr>
          <w:t>http://qldspatial.information.qld.gov.au/catalogue/custom/index.page</w:t>
        </w:r>
      </w:hyperlink>
      <w:r>
        <w:rPr>
          <w:rStyle w:val="Hyperlink"/>
        </w:rPr>
        <w:t>&gt;</w:t>
      </w:r>
      <w:r>
        <w:t>.</w:t>
      </w:r>
    </w:p>
    <w:p w14:paraId="0A280D1F" w14:textId="77777777" w:rsidR="00B221F1" w:rsidRDefault="00B221F1" w:rsidP="00B221F1">
      <w:pPr>
        <w:pStyle w:val="References"/>
      </w:pPr>
      <w:r>
        <w:t>DNRME (Department of Natural Resources, Mines and Energy) (2017d) Seismic survey deep – Queensland. Viewed 23/07/2017, &lt;</w:t>
      </w:r>
      <w:hyperlink r:id="rId272" w:history="1">
        <w:r w:rsidRPr="0065740D">
          <w:rPr>
            <w:rStyle w:val="Hyperlink"/>
          </w:rPr>
          <w:t>http://qldspatial.information.qld.gov.au/catalogue/custom/index.page</w:t>
        </w:r>
      </w:hyperlink>
      <w:r>
        <w:rPr>
          <w:rStyle w:val="Hyperlink"/>
        </w:rPr>
        <w:t>&gt;</w:t>
      </w:r>
      <w:r>
        <w:t>.</w:t>
      </w:r>
    </w:p>
    <w:p w14:paraId="42EA60B5" w14:textId="77777777" w:rsidR="00106DE1" w:rsidRDefault="00106DE1" w:rsidP="00106DE1">
      <w:pPr>
        <w:pStyle w:val="References"/>
        <w:rPr>
          <w:rStyle w:val="Hyperlink"/>
        </w:rPr>
      </w:pPr>
      <w:r>
        <w:t>DPCSA (Department of Premier and Cabinet, South Australia) (2017a) 3D Seismic Survey Areas lines. Viewed 23/07/2017, &lt;</w:t>
      </w:r>
      <w:hyperlink r:id="rId273" w:history="1">
        <w:r>
          <w:rPr>
            <w:rStyle w:val="Hyperlink"/>
          </w:rPr>
          <w:t>https://map.sarig.sa.gov.au/</w:t>
        </w:r>
      </w:hyperlink>
      <w:r>
        <w:rPr>
          <w:rStyle w:val="Hyperlink"/>
        </w:rPr>
        <w:t>&gt;.</w:t>
      </w:r>
    </w:p>
    <w:p w14:paraId="354363C9" w14:textId="348CE3DC" w:rsidR="00983C9B" w:rsidRPr="00DD43E4" w:rsidRDefault="00983C9B" w:rsidP="00983C9B">
      <w:pPr>
        <w:pStyle w:val="References"/>
      </w:pPr>
      <w:r w:rsidRPr="00DD43E4">
        <w:t xml:space="preserve">DPCSA (Department of the Premier and Cabinet, South Australia) </w:t>
      </w:r>
      <w:r>
        <w:t>(</w:t>
      </w:r>
      <w:r w:rsidRPr="00DD43E4">
        <w:t>2017</w:t>
      </w:r>
      <w:r w:rsidR="00106DE1">
        <w:t>b</w:t>
      </w:r>
      <w:r>
        <w:t>)</w:t>
      </w:r>
      <w:r w:rsidRPr="00DD43E4">
        <w:t xml:space="preserve"> Cooper Basin gas well information for unconventional resource plays. </w:t>
      </w:r>
      <w:r>
        <w:t>Viewed</w:t>
      </w:r>
      <w:r w:rsidRPr="00CD20C0">
        <w:t xml:space="preserve"> </w:t>
      </w:r>
      <w:r>
        <w:t>16/01/2018, &lt;</w:t>
      </w:r>
      <w:hyperlink r:id="rId274" w:history="1">
        <w:r w:rsidRPr="00C03A7D">
          <w:rPr>
            <w:rStyle w:val="Hyperlink"/>
          </w:rPr>
          <w:t>http://petroleum.statedevelopment.sa.gov.au/prospectivity/resource_plays/cooper_basin_gas_well_information_for_unconventional_reservoir_plays</w:t>
        </w:r>
      </w:hyperlink>
      <w:r>
        <w:rPr>
          <w:rStyle w:val="Hyperlink"/>
        </w:rPr>
        <w:t>&gt;.</w:t>
      </w:r>
    </w:p>
    <w:p w14:paraId="2A497F9C" w14:textId="61F68BD6" w:rsidR="00106DE1" w:rsidRDefault="00106DE1" w:rsidP="00106DE1">
      <w:pPr>
        <w:pStyle w:val="References"/>
        <w:rPr>
          <w:lang w:val="en-US"/>
        </w:rPr>
      </w:pPr>
      <w:r>
        <w:rPr>
          <w:lang w:val="en-US"/>
        </w:rPr>
        <w:t xml:space="preserve">DPCSA (Department of Premier and Cabinet, South Australia) (2017c) PACE Gas. </w:t>
      </w:r>
      <w:r>
        <w:t>Viewed</w:t>
      </w:r>
      <w:r>
        <w:rPr>
          <w:lang w:val="en-US"/>
        </w:rPr>
        <w:t xml:space="preserve"> </w:t>
      </w:r>
      <w:r>
        <w:t xml:space="preserve">16/01/2018, </w:t>
      </w:r>
      <w:r>
        <w:rPr>
          <w:lang w:val="en-US"/>
        </w:rPr>
        <w:t>&lt;</w:t>
      </w:r>
      <w:hyperlink r:id="rId275" w:history="1">
        <w:r>
          <w:rPr>
            <w:rStyle w:val="Hyperlink"/>
            <w:lang w:val="en-US"/>
          </w:rPr>
          <w:t>h</w:t>
        </w:r>
        <w:r>
          <w:rPr>
            <w:rStyle w:val="Hyperlink"/>
          </w:rPr>
          <w:t>ttp://petroleum.statedevelopment.sa.gov.au/latest_updates/pace_gas</w:t>
        </w:r>
      </w:hyperlink>
      <w:r>
        <w:rPr>
          <w:rStyle w:val="Hyperlink"/>
        </w:rPr>
        <w:t>&gt;</w:t>
      </w:r>
      <w:r>
        <w:t>.</w:t>
      </w:r>
    </w:p>
    <w:p w14:paraId="700A5935" w14:textId="03527F96" w:rsidR="00106DE1" w:rsidRDefault="00106DE1" w:rsidP="00106DE1">
      <w:pPr>
        <w:pStyle w:val="References"/>
        <w:rPr>
          <w:rStyle w:val="Hyperlink"/>
          <w:rFonts w:eastAsia="Times New Roman"/>
        </w:rPr>
      </w:pPr>
      <w:r>
        <w:rPr>
          <w:lang w:val="en-US"/>
        </w:rPr>
        <w:t xml:space="preserve">DPCSA (Department of Premier and Cabinet, South Australia) (2017d) Petroleum well. </w:t>
      </w:r>
      <w:r>
        <w:t>Viewed</w:t>
      </w:r>
      <w:r>
        <w:rPr>
          <w:lang w:val="en-US"/>
        </w:rPr>
        <w:t xml:space="preserve"> </w:t>
      </w:r>
      <w:r>
        <w:t xml:space="preserve">16/01/2018, </w:t>
      </w:r>
      <w:r>
        <w:rPr>
          <w:lang w:val="en-US"/>
        </w:rPr>
        <w:t>&lt;</w:t>
      </w:r>
      <w:hyperlink r:id="rId276" w:history="1">
        <w:r>
          <w:rPr>
            <w:rStyle w:val="Hyperlink"/>
          </w:rPr>
          <w:t>https://map.sarig.sa.gov.au/</w:t>
        </w:r>
      </w:hyperlink>
      <w:r>
        <w:rPr>
          <w:rStyle w:val="Hyperlink"/>
        </w:rPr>
        <w:t>&gt;</w:t>
      </w:r>
      <w:r>
        <w:t>.</w:t>
      </w:r>
    </w:p>
    <w:p w14:paraId="580D4136" w14:textId="7D90BDC4" w:rsidR="00106DE1" w:rsidRDefault="00106DE1" w:rsidP="00106DE1">
      <w:pPr>
        <w:pStyle w:val="References"/>
        <w:rPr>
          <w:rStyle w:val="Hyperlink"/>
        </w:rPr>
      </w:pPr>
      <w:r>
        <w:t xml:space="preserve">DPCSA (Department of Premier and </w:t>
      </w:r>
      <w:r w:rsidR="004004D1">
        <w:t>Cabinet, South Australia) (2017e</w:t>
      </w:r>
      <w:r>
        <w:t>) Seismic lines. Viewed</w:t>
      </w:r>
      <w:r>
        <w:rPr>
          <w:lang w:val="en-US"/>
        </w:rPr>
        <w:t xml:space="preserve"> </w:t>
      </w:r>
      <w:r>
        <w:t>16/01/2018, &lt;</w:t>
      </w:r>
      <w:hyperlink r:id="rId277" w:history="1">
        <w:r>
          <w:rPr>
            <w:rStyle w:val="Hyperlink"/>
          </w:rPr>
          <w:t>https://map.sarig.sa.gov.au/</w:t>
        </w:r>
      </w:hyperlink>
      <w:r>
        <w:rPr>
          <w:rStyle w:val="Hyperlink"/>
        </w:rPr>
        <w:t>&gt;</w:t>
      </w:r>
      <w:r>
        <w:t xml:space="preserve">. </w:t>
      </w:r>
    </w:p>
    <w:p w14:paraId="248A42EF" w14:textId="300C901B" w:rsidR="00FC3A0A" w:rsidRDefault="00FC3A0A" w:rsidP="008B38C1">
      <w:pPr>
        <w:pStyle w:val="References"/>
      </w:pPr>
      <w:r>
        <w:t>Draper JJ (ed.)</w:t>
      </w:r>
      <w:r w:rsidR="00106DE1">
        <w:t xml:space="preserve"> (20</w:t>
      </w:r>
      <w:r>
        <w:t>02</w:t>
      </w:r>
      <w:r w:rsidR="004004D1">
        <w:t xml:space="preserve">) </w:t>
      </w:r>
      <w:r>
        <w:t>Geology of the Cooper and Eromanga Basins, Queensland. Queensland Government, Natural Resources and Mines, Queensland Mineral and Energy Review Series.</w:t>
      </w:r>
    </w:p>
    <w:p w14:paraId="462FC3E9" w14:textId="77777777" w:rsidR="00983C9B" w:rsidRPr="00DD43E4" w:rsidRDefault="00983C9B" w:rsidP="00983C9B">
      <w:pPr>
        <w:pStyle w:val="References"/>
      </w:pPr>
      <w:r w:rsidRPr="00DD43E4">
        <w:t xml:space="preserve">Drillsearch </w:t>
      </w:r>
      <w:r>
        <w:t>(</w:t>
      </w:r>
      <w:r w:rsidRPr="00DD43E4">
        <w:t>2015</w:t>
      </w:r>
      <w:r>
        <w:t>)</w:t>
      </w:r>
      <w:r w:rsidRPr="00DD43E4">
        <w:t xml:space="preserve"> ASX/Media Release – 2015 reserves and contingent resource statement. </w:t>
      </w:r>
      <w:r>
        <w:t>Viewed</w:t>
      </w:r>
      <w:r w:rsidRPr="00CD20C0">
        <w:t xml:space="preserve"> </w:t>
      </w:r>
      <w:r>
        <w:t>16/01/2018, &lt;</w:t>
      </w:r>
      <w:hyperlink r:id="rId278" w:history="1">
        <w:r w:rsidRPr="00C03A7D">
          <w:rPr>
            <w:rStyle w:val="Hyperlink"/>
          </w:rPr>
          <w:t>http://www.asx.com.au/asxpdf/20150826/pdf/430t3gtkqdgjjt.pdf</w:t>
        </w:r>
      </w:hyperlink>
      <w:r>
        <w:t>&gt;.</w:t>
      </w:r>
    </w:p>
    <w:p w14:paraId="31951644" w14:textId="7E6BAF64" w:rsidR="00FC3A0A" w:rsidRDefault="00FC3A0A" w:rsidP="008B38C1">
      <w:pPr>
        <w:pStyle w:val="References"/>
      </w:pPr>
      <w:r>
        <w:lastRenderedPageBreak/>
        <w:t xml:space="preserve">Dubsky M and McPhail A </w:t>
      </w:r>
      <w:r w:rsidR="00267121">
        <w:t>(</w:t>
      </w:r>
      <w:r>
        <w:t>2001</w:t>
      </w:r>
      <w:r w:rsidR="00267121">
        <w:t>)</w:t>
      </w:r>
      <w:r>
        <w:t xml:space="preserve"> Environmental Impact Research Report (EIR) SA Cooper Basin Well Operations Statement of Environmental Objectives (SEO) Water Pressure and Salinity Module Report. SA Chamber of Mines and Energy.</w:t>
      </w:r>
    </w:p>
    <w:p w14:paraId="58F6E5B8" w14:textId="77777777" w:rsidR="00983C9B" w:rsidRPr="00C03A7D" w:rsidRDefault="00983C9B" w:rsidP="00983C9B">
      <w:pPr>
        <w:pStyle w:val="References"/>
        <w:rPr>
          <w:rStyle w:val="Hyperlink"/>
        </w:rPr>
      </w:pPr>
      <w:r w:rsidRPr="00DD43E4">
        <w:t xml:space="preserve">EIA (Energy Information Administration) </w:t>
      </w:r>
      <w:r>
        <w:t>(</w:t>
      </w:r>
      <w:r w:rsidRPr="00DD43E4">
        <w:t>2013</w:t>
      </w:r>
      <w:r>
        <w:t>)</w:t>
      </w:r>
      <w:r w:rsidRPr="00DD43E4">
        <w:t xml:space="preserve"> Technically Recoverable Shale Oil and Shale Gas Resources: An Assessment of 137 Shale Formations in 41 Countries Outside the United States. United States Energy Information Administration, 730 p. </w:t>
      </w:r>
      <w:r>
        <w:t>Viewed</w:t>
      </w:r>
      <w:r w:rsidRPr="00CD20C0">
        <w:t xml:space="preserve"> </w:t>
      </w:r>
      <w:r>
        <w:t>16/01/2018, &lt;</w:t>
      </w:r>
      <w:hyperlink r:id="rId279" w:history="1">
        <w:r w:rsidRPr="00635952">
          <w:rPr>
            <w:rStyle w:val="Hyperlink"/>
          </w:rPr>
          <w:t>https://www.eia.gov/analysis/studies/worldshalegas/pdf/overview.pdf</w:t>
        </w:r>
      </w:hyperlink>
      <w:r>
        <w:t>&gt;.</w:t>
      </w:r>
    </w:p>
    <w:p w14:paraId="2C6A88D1" w14:textId="77777777" w:rsidR="00FE4817" w:rsidRDefault="00FE4817" w:rsidP="00FE4817">
      <w:pPr>
        <w:pStyle w:val="References"/>
      </w:pPr>
      <w:r>
        <w:t xml:space="preserve">GA (Geoscience Australia) (2015a) </w:t>
      </w:r>
      <w:r w:rsidRPr="00093164">
        <w:t>Oil and Gas Infrastructure</w:t>
      </w:r>
      <w:r>
        <w:t>. Viewed 16/01/2018, &lt;</w:t>
      </w:r>
      <w:hyperlink r:id="rId280" w:history="1">
        <w:r w:rsidRPr="0065740D">
          <w:rPr>
            <w:rStyle w:val="Hyperlink"/>
          </w:rPr>
          <w:t>http://services.ga.gov.au/site_9/rest/services/Oil_Gas_Infrastructure/MapServer</w:t>
        </w:r>
      </w:hyperlink>
      <w:r>
        <w:rPr>
          <w:rStyle w:val="Hyperlink"/>
        </w:rPr>
        <w:t>&gt;.</w:t>
      </w:r>
    </w:p>
    <w:p w14:paraId="0E0F744C" w14:textId="77777777" w:rsidR="00FE4817" w:rsidRDefault="00FE4817" w:rsidP="00FE4817">
      <w:pPr>
        <w:pStyle w:val="References"/>
      </w:pPr>
      <w:r>
        <w:t xml:space="preserve">GA (Geoscience Australia) (2015b) </w:t>
      </w:r>
      <w:r w:rsidRPr="00093164">
        <w:t xml:space="preserve">Oil and Gas </w:t>
      </w:r>
      <w:r>
        <w:t xml:space="preserve">platforms. </w:t>
      </w:r>
      <w:r w:rsidRPr="000C32BC">
        <w:t>Viewed 16/01/2018</w:t>
      </w:r>
      <w:r>
        <w:t>, &lt;</w:t>
      </w:r>
      <w:hyperlink r:id="rId281" w:anchor="!0a4a79dc-978a-0e89-e054-00144fdd4fa6" w:history="1">
        <w:r w:rsidRPr="00743C84">
          <w:rPr>
            <w:rStyle w:val="Hyperlink"/>
          </w:rPr>
          <w:t>https://ecat.ga.gov.au/geonetwork/srv/eng/search#!0a4a79dc-978a-0e89-e054-00144fdd4fa6</w:t>
        </w:r>
      </w:hyperlink>
      <w:r>
        <w:rPr>
          <w:rStyle w:val="Hyperlink"/>
        </w:rPr>
        <w:t>&gt;.</w:t>
      </w:r>
      <w:r>
        <w:t xml:space="preserve"> </w:t>
      </w:r>
    </w:p>
    <w:p w14:paraId="400C6F08" w14:textId="16B4B326" w:rsidR="00FC3A0A" w:rsidRDefault="00FC3A0A" w:rsidP="008B38C1">
      <w:pPr>
        <w:pStyle w:val="References"/>
      </w:pPr>
      <w:r>
        <w:t xml:space="preserve">Gatehouse CG </w:t>
      </w:r>
      <w:r w:rsidR="00267121">
        <w:t>(</w:t>
      </w:r>
      <w:r>
        <w:t>1972</w:t>
      </w:r>
      <w:r w:rsidR="00267121">
        <w:t>)</w:t>
      </w:r>
      <w:r>
        <w:t xml:space="preserve"> Formations of the Gidgealpa Group in the Cooper Basin. Australasian Oil and Gas Review, 18(2), 10–15.</w:t>
      </w:r>
    </w:p>
    <w:p w14:paraId="6ACF9FC4" w14:textId="77777777" w:rsidR="001D5F4B" w:rsidRDefault="001D5F4B" w:rsidP="001D5F4B">
      <w:pPr>
        <w:pStyle w:val="References"/>
      </w:pPr>
      <w:r>
        <w:t>Goldstein B, Menpes S, Hill A, Wickham A, Alexander E, Jarosz M, Pepicelli D, Malavazos M, Staritski K, Taliangis P, Coda J, Hill D and Webb M (2012) Roadmap for Unconventional Gas Projects in South Australia. Department for Manufacturing, Innovation, Trade, Resources and Energy, 267p. Viewed 18/01/2018,</w:t>
      </w:r>
      <w:r w:rsidRPr="004C71B8">
        <w:t xml:space="preserve"> </w:t>
      </w:r>
      <w:r>
        <w:t>&lt;</w:t>
      </w:r>
      <w:hyperlink r:id="rId282" w:history="1">
        <w:r w:rsidRPr="00EB72D7">
          <w:rPr>
            <w:rStyle w:val="Hyperlink"/>
          </w:rPr>
          <w:t>https://statedevelopment.sa.gov.au/resourcesUNPUBLISHED/unconventional-gas-projects</w:t>
        </w:r>
      </w:hyperlink>
      <w:r>
        <w:t>&gt;.</w:t>
      </w:r>
    </w:p>
    <w:p w14:paraId="4FE6FB5B" w14:textId="67B6BA45" w:rsidR="00FC3A0A" w:rsidRDefault="001D5F4B" w:rsidP="001D5F4B">
      <w:pPr>
        <w:pStyle w:val="References"/>
      </w:pPr>
      <w:r>
        <w:t>Gravestock DI, Hibburt JE and Drexel JF (eds.) (1998) Petroleum geology of South Australia,</w:t>
      </w:r>
      <w:r>
        <w:rPr>
          <w:rStyle w:val="Italic"/>
        </w:rPr>
        <w:t xml:space="preserve"> </w:t>
      </w:r>
      <w:r>
        <w:t>Volume 4: Cooper Basin. South Australia Department of Industries and Resources, Report Book, 1998/9. Viewed 17/01/2018, &lt;</w:t>
      </w:r>
      <w:hyperlink r:id="rId283" w:tooltip="Department of State Development South Australia website" w:history="1">
        <w:r w:rsidR="00FC3A0A" w:rsidRPr="00E03451">
          <w:rPr>
            <w:rStyle w:val="Hyperlink"/>
          </w:rPr>
          <w:t>https://sarigbasis.pir.sa.gov.au/WebtopEw/ws/samref/sarig1/image/DDD/PGSA004.pdf</w:t>
        </w:r>
      </w:hyperlink>
      <w:r>
        <w:rPr>
          <w:rStyle w:val="Hyperlink"/>
        </w:rPr>
        <w:t>&gt;.</w:t>
      </w:r>
    </w:p>
    <w:p w14:paraId="6B45BDF4" w14:textId="3ECB0D55" w:rsidR="00FC3A0A" w:rsidRDefault="00FC3A0A" w:rsidP="008B38C1">
      <w:pPr>
        <w:pStyle w:val="References"/>
        <w:rPr>
          <w:rStyle w:val="Hyperlink"/>
        </w:rPr>
      </w:pPr>
      <w:r>
        <w:t xml:space="preserve">Gravestock DI and Jensen-Schmidt B </w:t>
      </w:r>
      <w:r w:rsidR="00267121">
        <w:t>(</w:t>
      </w:r>
      <w:r>
        <w:t>1998</w:t>
      </w:r>
      <w:r w:rsidR="00267121">
        <w:t>)</w:t>
      </w:r>
      <w:r>
        <w:t xml:space="preserve"> Chapter 5: structural setting. In: Gravestock DI, Hibburt JE and Drexel JF (eds.), The Petroleum Geology of South Australia, Volume 4: Cooper Basin. South Australia Department of Primary Industries and Resources, Adelaide, Report Book, 1998/9, 47–67</w:t>
      </w:r>
      <w:r w:rsidR="00267121">
        <w:t>. Viewed 22/01/2018, &lt;</w:t>
      </w:r>
      <w:hyperlink r:id="rId284" w:history="1">
        <w:r w:rsidR="00267121" w:rsidRPr="00F14B0E">
          <w:rPr>
            <w:rStyle w:val="Hyperlink"/>
          </w:rPr>
          <w:t>https://sarigbasis.pir.sa.gov.au/WebtopEw/ws/samref/sarig1/image/DDD/PGSA004.pdf</w:t>
        </w:r>
      </w:hyperlink>
      <w:r w:rsidR="00267121">
        <w:rPr>
          <w:rStyle w:val="Hyperlink"/>
        </w:rPr>
        <w:t>&gt;.</w:t>
      </w:r>
    </w:p>
    <w:p w14:paraId="6D95290E" w14:textId="0271EB5D" w:rsidR="00FC3A0A" w:rsidRPr="000350BE" w:rsidRDefault="00FC3A0A" w:rsidP="008B38C1">
      <w:pPr>
        <w:pStyle w:val="References"/>
      </w:pPr>
      <w:r>
        <w:t xml:space="preserve">Gray ARG and McKellar JL </w:t>
      </w:r>
      <w:r w:rsidR="00267121">
        <w:t>(</w:t>
      </w:r>
      <w:r>
        <w:t>2002</w:t>
      </w:r>
      <w:r w:rsidR="00267121">
        <w:t>)</w:t>
      </w:r>
      <w:r>
        <w:t xml:space="preserve"> Cooper Basin stratigraphy. In: Draper JJ (ed.), Geology of the Cooper and Eromanga basins, Queensland. Queensland Department of Natural Resources and Mines, Queensland Minerals and Energy Review Series, 9–26.</w:t>
      </w:r>
    </w:p>
    <w:p w14:paraId="311F9D79" w14:textId="77777777" w:rsidR="001D5F4B" w:rsidRDefault="001D5F4B" w:rsidP="001D5F4B">
      <w:pPr>
        <w:pStyle w:val="References"/>
      </w:pPr>
      <w:r>
        <w:t>Hall LS, Hill A, Troup A, Korsch R, Radke B, Nicoll RS, Palu T, Wang L and Stacey A (2015) Cooper Basin Architecture and Lithofacies: Regional Hydrocarbon Prospectivity of the Cooper Basin, Part 1. Record 2015/31. Geoscience Australia, Canberra. Viewed 11/08/2017, &lt;</w:t>
      </w:r>
      <w:hyperlink r:id="rId285" w:history="1">
        <w:r w:rsidRPr="00E03451">
          <w:rPr>
            <w:rStyle w:val="Hyperlink"/>
          </w:rPr>
          <w:t>http://dx.doi.org/10.11636/Record.2015.031</w:t>
        </w:r>
      </w:hyperlink>
      <w:r>
        <w:rPr>
          <w:rStyle w:val="Hyperlink"/>
        </w:rPr>
        <w:t>&gt;</w:t>
      </w:r>
      <w:r>
        <w:t>.</w:t>
      </w:r>
    </w:p>
    <w:p w14:paraId="24E8F104" w14:textId="47ECC36A" w:rsidR="001D5F4B" w:rsidRDefault="001D5F4B" w:rsidP="001D5F4B">
      <w:pPr>
        <w:pStyle w:val="References"/>
      </w:pPr>
      <w:r>
        <w:lastRenderedPageBreak/>
        <w:t>Hall LS, Boreham CJ, Edwards DS, Palu TJ, Buckler T, Hill A, and Troup A (2016a) Cooper Basin Source Rock Geochemistry: Regional Hydrocarbon Prospectivity of the Cooper Basin, Part 2. Record 2016/06. Geoscience Australia, Canberra. Viewed 11/08/2017, &lt;</w:t>
      </w:r>
      <w:hyperlink r:id="rId286" w:history="1">
        <w:r w:rsidRPr="00E03451">
          <w:rPr>
            <w:rStyle w:val="Hyperlink"/>
          </w:rPr>
          <w:t>http://dx.doi.org/10.11636/Record.2016.006</w:t>
        </w:r>
      </w:hyperlink>
      <w:r>
        <w:rPr>
          <w:rStyle w:val="Hyperlink"/>
        </w:rPr>
        <w:t>&gt;</w:t>
      </w:r>
      <w:r>
        <w:t>.</w:t>
      </w:r>
    </w:p>
    <w:p w14:paraId="1772F9ED" w14:textId="77777777" w:rsidR="001D5F4B" w:rsidRPr="004C71B8" w:rsidRDefault="001D5F4B" w:rsidP="001D5F4B">
      <w:pPr>
        <w:pStyle w:val="References"/>
      </w:pPr>
      <w:r>
        <w:t>Hall LS, Palu TJ, Murray AP, Boreham CJ, Edwards DS, Hill AJ and Troup A (2016b) Petroleum Systems Modelling of Cooper Basin: Regional Hydrocarbon Prospectivity of the Cooper Basin, Part 3. Record 2016/29. Geoscience Australia, Canberra. Viewed 11/08/2017, &lt;</w:t>
      </w:r>
      <w:hyperlink r:id="rId287" w:history="1">
        <w:r w:rsidRPr="00E03451">
          <w:rPr>
            <w:rStyle w:val="Hyperlink"/>
          </w:rPr>
          <w:t>http://dx.doi.org/10.11636/Record.2016.029</w:t>
        </w:r>
      </w:hyperlink>
      <w:r>
        <w:rPr>
          <w:rStyle w:val="Hyperlink"/>
        </w:rPr>
        <w:t>&gt;.</w:t>
      </w:r>
    </w:p>
    <w:p w14:paraId="2D44B77B" w14:textId="5C908691" w:rsidR="00FC3A0A" w:rsidRDefault="00FC3A0A" w:rsidP="008B38C1">
      <w:pPr>
        <w:pStyle w:val="References"/>
      </w:pPr>
      <w:r>
        <w:t xml:space="preserve">Hill AJ and Gravestock DI </w:t>
      </w:r>
      <w:r w:rsidR="00267121">
        <w:t>(</w:t>
      </w:r>
      <w:r>
        <w:t>1995</w:t>
      </w:r>
      <w:r w:rsidR="00267121">
        <w:t>)</w:t>
      </w:r>
      <w:r>
        <w:t xml:space="preserve"> The Cooper Basin. In: Drexel JF and Preiss WV (eds.), The geology of South Australia. Volume 2: The Phanerozoic. South Australian Geological Survey Bulletin, 54, 78–87.</w:t>
      </w:r>
    </w:p>
    <w:p w14:paraId="403FBE81" w14:textId="512F44AD" w:rsidR="00FC3A0A" w:rsidRDefault="00FC3A0A" w:rsidP="008B38C1">
      <w:pPr>
        <w:pStyle w:val="References"/>
      </w:pPr>
      <w:r>
        <w:t xml:space="preserve">Icon Energy </w:t>
      </w:r>
      <w:r w:rsidR="00267121">
        <w:t>(</w:t>
      </w:r>
      <w:r>
        <w:t>2015</w:t>
      </w:r>
      <w:r w:rsidR="00267121">
        <w:t>)</w:t>
      </w:r>
      <w:r>
        <w:t xml:space="preserve"> ASX Media release – 2015 AGM address and presentation</w:t>
      </w:r>
      <w:r w:rsidR="00267121">
        <w:t>. Viewed 22/01/2018, &lt;</w:t>
      </w:r>
      <w:hyperlink r:id="rId288" w:history="1">
        <w:r w:rsidRPr="00E03451">
          <w:rPr>
            <w:rStyle w:val="Hyperlink"/>
          </w:rPr>
          <w:t>www.asx.com.au/asxpdf/20151124/pdf/4337wzg3zqbcnx.pdf</w:t>
        </w:r>
      </w:hyperlink>
      <w:r w:rsidR="00267121">
        <w:t>&gt;.</w:t>
      </w:r>
    </w:p>
    <w:p w14:paraId="37EAFE0E" w14:textId="77777777" w:rsidR="001D5F4B" w:rsidRDefault="001D5F4B" w:rsidP="001D5F4B">
      <w:pPr>
        <w:pStyle w:val="References"/>
      </w:pPr>
      <w:r>
        <w:t>Jell PA (ed.) (2013) Geology of Queensland. Geological Survey of Queensland, Brisbane.</w:t>
      </w:r>
    </w:p>
    <w:p w14:paraId="7DCB4868" w14:textId="49E3C0D3" w:rsidR="00FC3A0A" w:rsidRDefault="00FC3A0A" w:rsidP="008B38C1">
      <w:pPr>
        <w:pStyle w:val="References"/>
      </w:pPr>
      <w:r>
        <w:t xml:space="preserve">Knighton AD and Nanson GC </w:t>
      </w:r>
      <w:r w:rsidR="00267121">
        <w:t>(</w:t>
      </w:r>
      <w:r>
        <w:t>2001</w:t>
      </w:r>
      <w:r w:rsidR="00267121">
        <w:t>)</w:t>
      </w:r>
      <w:r>
        <w:t xml:space="preserve"> An event-based approach to the hydrology of arid zone rivers in the Channel Country of Australi</w:t>
      </w:r>
      <w:r w:rsidR="003C5608">
        <w:t>a</w:t>
      </w:r>
      <w:r>
        <w:t>. Journal of Hydrology 254, 102–123.</w:t>
      </w:r>
    </w:p>
    <w:p w14:paraId="7AA5BFA1" w14:textId="48DA7CDD" w:rsidR="00FC3A0A" w:rsidRDefault="00FC3A0A" w:rsidP="008B38C1">
      <w:pPr>
        <w:pStyle w:val="References"/>
      </w:pPr>
      <w:r>
        <w:t>Love AJ</w:t>
      </w:r>
      <w:r w:rsidR="00267121">
        <w:t>,</w:t>
      </w:r>
      <w:r>
        <w:t xml:space="preserve"> Wohling D, Fulton S, Rousseau-Gueutin P and De Ritter S (eds) </w:t>
      </w:r>
      <w:r w:rsidR="00267121">
        <w:t>(</w:t>
      </w:r>
      <w:r>
        <w:t>2013</w:t>
      </w:r>
      <w:r w:rsidR="00267121">
        <w:t>)</w:t>
      </w:r>
      <w:r>
        <w:t xml:space="preserve"> “Allocating Water and Maintaining Springs in the Great Artesian Basin, Volume II: Groundwater Recharge, Hydrodynamics and Hydrochemistry of the Western Great Artesian Basin”. National Water Commission, Canberra</w:t>
      </w:r>
      <w:r w:rsidR="00267121">
        <w:t>.</w:t>
      </w:r>
    </w:p>
    <w:p w14:paraId="244DBD47" w14:textId="61119166" w:rsidR="00FC3A0A" w:rsidRPr="00981CE0" w:rsidRDefault="00FC3A0A" w:rsidP="00981CE0">
      <w:pPr>
        <w:pStyle w:val="References"/>
      </w:pPr>
      <w:r w:rsidRPr="00981CE0">
        <w:t xml:space="preserve">McKellar JL </w:t>
      </w:r>
      <w:r w:rsidR="00267121">
        <w:t>(</w:t>
      </w:r>
      <w:r w:rsidRPr="00981CE0">
        <w:t>2013</w:t>
      </w:r>
      <w:r w:rsidR="00267121">
        <w:t>)</w:t>
      </w:r>
      <w:r w:rsidRPr="00981CE0">
        <w:t xml:space="preserve"> The Cooper Basin. In: Jell, PA (ed</w:t>
      </w:r>
      <w:r w:rsidR="00596C20">
        <w:t>.</w:t>
      </w:r>
      <w:r w:rsidRPr="00981CE0">
        <w:t>), Geology of Queensland. Geological Survey of Queensland, Brisbane, 204–212.</w:t>
      </w:r>
    </w:p>
    <w:p w14:paraId="5562FFBE" w14:textId="5F25B456" w:rsidR="00FC3A0A" w:rsidRDefault="00FC3A0A" w:rsidP="008B38C1">
      <w:pPr>
        <w:pStyle w:val="References"/>
      </w:pPr>
      <w:r>
        <w:t>McMahon TA, Murphy R, Little P, Costelloe</w:t>
      </w:r>
      <w:r w:rsidR="00267121">
        <w:t xml:space="preserve"> </w:t>
      </w:r>
      <w:r>
        <w:t xml:space="preserve">JF, Peel MC, Chiew FHS, Hays S, Nathan R and Kandel DD </w:t>
      </w:r>
      <w:r w:rsidR="00267121">
        <w:t>(</w:t>
      </w:r>
      <w:r>
        <w:t>2005</w:t>
      </w:r>
      <w:r w:rsidR="00267121">
        <w:t>)</w:t>
      </w:r>
      <w:r>
        <w:t xml:space="preserve"> “Hydrology of Lake Eyre Basin, Final report”. A report to the Australian Government Natural Heritage Trust, Sinclair Knight Merz (SKM) Pty Ltd, Melbourne</w:t>
      </w:r>
      <w:r w:rsidR="00267121">
        <w:t>.</w:t>
      </w:r>
    </w:p>
    <w:p w14:paraId="51FA09A5" w14:textId="2955F6F9" w:rsidR="00FC3A0A" w:rsidRDefault="00FC3A0A" w:rsidP="008B38C1">
      <w:pPr>
        <w:pStyle w:val="References"/>
      </w:pPr>
      <w:r>
        <w:t xml:space="preserve">Nakanishi T and Lang SC </w:t>
      </w:r>
      <w:r w:rsidR="00267121">
        <w:t>(</w:t>
      </w:r>
      <w:r>
        <w:t>2001</w:t>
      </w:r>
      <w:r w:rsidR="00267121">
        <w:t>)</w:t>
      </w:r>
      <w:r>
        <w:t xml:space="preserve"> The search for stratigraphic traps goes on – visualisation of fluival-lacustrine successions in the Moorari 3D survey, Cooper–Eromanga Basin. The APPEA Journal, 41, 115–137.</w:t>
      </w:r>
    </w:p>
    <w:p w14:paraId="371AF388" w14:textId="2FB19C6C" w:rsidR="00FC3A0A" w:rsidRDefault="00FC3A0A" w:rsidP="008B38C1">
      <w:pPr>
        <w:pStyle w:val="References"/>
        <w:rPr>
          <w:szCs w:val="20"/>
        </w:rPr>
      </w:pPr>
      <w:r>
        <w:t xml:space="preserve">Price PL </w:t>
      </w:r>
      <w:r w:rsidR="00267121">
        <w:t>(</w:t>
      </w:r>
      <w:r>
        <w:t>1997</w:t>
      </w:r>
      <w:r w:rsidR="00267121">
        <w:t>)</w:t>
      </w:r>
      <w:r>
        <w:t xml:space="preserve"> Permian to Jurassic palynostratigraphic nomenclature of the Bowen and Surat Basins. In: Green PM (ed.), The Surat and Bowen Basins, south-east Queensland. Queensland Minerals and Energy Review Series, 137–178.</w:t>
      </w:r>
    </w:p>
    <w:p w14:paraId="25EB32F5" w14:textId="77777777" w:rsidR="00267121" w:rsidRDefault="00267121" w:rsidP="00267121">
      <w:pPr>
        <w:pStyle w:val="References"/>
      </w:pPr>
      <w:r>
        <w:t>Queensland Government (2004) "Water Plan (Condamine and Balonne) 2004", legislation under the Water Act 2000 (Qld), Current as at 2 September 2017. Viewed 29/09/2017, &lt;</w:t>
      </w:r>
      <w:hyperlink r:id="rId289" w:history="1">
        <w:r w:rsidRPr="00495DBB">
          <w:rPr>
            <w:rStyle w:val="Hyperlink"/>
          </w:rPr>
          <w:t>https://www.legislation.qld.gov.au/view/pdf/inforce/current/sl-2004-0151</w:t>
        </w:r>
      </w:hyperlink>
      <w:r>
        <w:t>&gt;.</w:t>
      </w:r>
    </w:p>
    <w:p w14:paraId="4B0EAF61" w14:textId="123E76F6" w:rsidR="00267121" w:rsidRDefault="00267121" w:rsidP="00267121">
      <w:pPr>
        <w:pStyle w:val="References"/>
      </w:pPr>
      <w:r>
        <w:lastRenderedPageBreak/>
        <w:t xml:space="preserve">Queensland Government (2006) “Water Plan (Great Artesian Basin) 2006”, legislation under the Water Act 2000 (Qld), current as at 3 July 2017. Viewed 04/08/2017, </w:t>
      </w:r>
      <w:hyperlink r:id="rId290" w:history="1">
        <w:r w:rsidRPr="00495DBB">
          <w:rPr>
            <w:rStyle w:val="Hyperlink"/>
          </w:rPr>
          <w:t>https://www.legislation.qld.gov.au/LEGISLTN/CURRENT/W/WaterReGABP06.pdf</w:t>
        </w:r>
      </w:hyperlink>
      <w:r>
        <w:t>&gt;.</w:t>
      </w:r>
    </w:p>
    <w:p w14:paraId="3725C513" w14:textId="4F5A6C23" w:rsidR="00FC3A0A" w:rsidRDefault="00FC3A0A" w:rsidP="008B38C1">
      <w:pPr>
        <w:pStyle w:val="References"/>
      </w:pPr>
      <w:r>
        <w:t>Queensland Government</w:t>
      </w:r>
      <w:r w:rsidR="00267121">
        <w:t xml:space="preserve"> (</w:t>
      </w:r>
      <w:r>
        <w:t>2011</w:t>
      </w:r>
      <w:r w:rsidR="00267121">
        <w:t>)</w:t>
      </w:r>
      <w:r>
        <w:t xml:space="preserve"> “Water Plan (Cooper Creek) 2011”, legislation under the Water Act 2000 (Qld), current as at 6 December 2016</w:t>
      </w:r>
      <w:r w:rsidR="00267121">
        <w:t>. Viewed 04/08/2017, &lt;</w:t>
      </w:r>
      <w:hyperlink r:id="rId291" w:history="1">
        <w:r w:rsidRPr="00E03451">
          <w:rPr>
            <w:rStyle w:val="Hyperlink"/>
          </w:rPr>
          <w:t>https://www.legislation.qld.gov.au/LEGISLTN/CURRENT/W/WaterReCCPl11.pdf</w:t>
        </w:r>
      </w:hyperlink>
      <w:r w:rsidR="00267121">
        <w:t>&gt;.</w:t>
      </w:r>
      <w:r>
        <w:t xml:space="preserve"> </w:t>
      </w:r>
    </w:p>
    <w:p w14:paraId="58B914A9" w14:textId="77777777" w:rsidR="00267121" w:rsidRPr="00456161" w:rsidRDefault="00267121" w:rsidP="00267121">
      <w:pPr>
        <w:pStyle w:val="References"/>
      </w:pPr>
      <w:r w:rsidRPr="00456161">
        <w:t>Queensland Government</w:t>
      </w:r>
      <w:r>
        <w:t xml:space="preserve"> (2017)</w:t>
      </w:r>
      <w:r w:rsidRPr="00456161">
        <w:t xml:space="preserve"> Drilling, completion and abandonment of petroleum wells. </w:t>
      </w:r>
      <w:r>
        <w:t>Viewed 22/01/2018, &lt;</w:t>
      </w:r>
      <w:hyperlink r:id="rId292" w:history="1">
        <w:r w:rsidRPr="003E47FE">
          <w:rPr>
            <w:rStyle w:val="Hyperlink"/>
          </w:rPr>
          <w:t>https://www.business.qld.gov.au/industries/mining-energy-water/resources/applications-compliance/lodging-statutory-reports/petroleum-gas-reporting/petroleum-wells</w:t>
        </w:r>
      </w:hyperlink>
      <w:r>
        <w:t>&gt;.</w:t>
      </w:r>
    </w:p>
    <w:p w14:paraId="3F062E9D" w14:textId="5A51CC9A" w:rsidR="00FC3A0A" w:rsidRDefault="00FC3A0A" w:rsidP="008B38C1">
      <w:pPr>
        <w:pStyle w:val="References"/>
      </w:pPr>
      <w:r>
        <w:t xml:space="preserve">Radke B </w:t>
      </w:r>
      <w:r w:rsidR="00267121">
        <w:t>(</w:t>
      </w:r>
      <w:r>
        <w:t>2009</w:t>
      </w:r>
      <w:r w:rsidR="00267121">
        <w:t>)</w:t>
      </w:r>
      <w:r>
        <w:t xml:space="preserve"> Hydrocarbon and Geothermal Prospectivity of Sedimentary Basins in Central Australia Warburton, Cooper, Pedirka, Galilee, Simpson and Eromanga Basins. Record 2009/25, Geoscience Australia, Canberra</w:t>
      </w:r>
      <w:r w:rsidR="00267121">
        <w:t>.</w:t>
      </w:r>
    </w:p>
    <w:p w14:paraId="6B37062A" w14:textId="34EA243F" w:rsidR="00FC3A0A" w:rsidRDefault="00FC3A0A" w:rsidP="008B38C1">
      <w:pPr>
        <w:pStyle w:val="References"/>
      </w:pPr>
      <w:r>
        <w:t>Radke B, Ferguson J, Cresswell R, Ransley T and Habermehl M</w:t>
      </w:r>
      <w:r w:rsidR="00267121">
        <w:t xml:space="preserve"> (</w:t>
      </w:r>
      <w:r>
        <w:t>2000</w:t>
      </w:r>
      <w:r w:rsidR="00267121">
        <w:t>)</w:t>
      </w:r>
      <w:r>
        <w:t xml:space="preserve"> Hydrochemistry and implied hydrodynamics of the Cadna-owie – Hooray Aquifer, Great Artesian Basin. Bureau of Rural Sciences, Canberra.</w:t>
      </w:r>
    </w:p>
    <w:p w14:paraId="38F45DE3" w14:textId="3A2C42BD" w:rsidR="00FC3A0A" w:rsidRDefault="00FC3A0A" w:rsidP="008B38C1">
      <w:pPr>
        <w:pStyle w:val="References"/>
      </w:pPr>
      <w:r>
        <w:t>Ransley TR, Radke BM, Feitz AJ, Kellett JR, Owens R, Bell J, Stewart G and Carey H</w:t>
      </w:r>
      <w:r w:rsidR="00E03451">
        <w:t xml:space="preserve"> </w:t>
      </w:r>
      <w:r w:rsidR="00267121">
        <w:t>(</w:t>
      </w:r>
      <w:r>
        <w:t>2015</w:t>
      </w:r>
      <w:r w:rsidR="00267121">
        <w:t>)</w:t>
      </w:r>
      <w:r>
        <w:t xml:space="preserve"> Hydrogeological Atlas of the Great Artesian Basin, Geoscience Australia, Canberra. </w:t>
      </w:r>
      <w:r w:rsidR="00267121">
        <w:t>Viewed 22/01/2018, &lt;</w:t>
      </w:r>
      <w:hyperlink r:id="rId293" w:history="1">
        <w:r w:rsidRPr="00E03451">
          <w:rPr>
            <w:rStyle w:val="Hyperlink"/>
          </w:rPr>
          <w:t>http://dx.doi.org/10.11636/9781925124668</w:t>
        </w:r>
      </w:hyperlink>
      <w:r w:rsidR="00267121">
        <w:t>&gt;.</w:t>
      </w:r>
    </w:p>
    <w:p w14:paraId="62F950B1" w14:textId="532C64E7" w:rsidR="00E41EC3" w:rsidRPr="00960B30" w:rsidRDefault="00E41EC3" w:rsidP="00E41EC3">
      <w:pPr>
        <w:pStyle w:val="References"/>
      </w:pPr>
      <w:r w:rsidRPr="00960B30">
        <w:t>Ransley TR and Smerdon BD (eds)</w:t>
      </w:r>
      <w:r>
        <w:t xml:space="preserve"> (20</w:t>
      </w:r>
      <w:r w:rsidRPr="00960B30">
        <w:t>12</w:t>
      </w:r>
      <w:r>
        <w:t>)</w:t>
      </w:r>
      <w:r w:rsidRPr="00960B30">
        <w:t xml:space="preserve"> Hydrostratigraphy, hydrogeology and system conceptualisation of the Great Artesian Basin. A technical report to the Australian Government from the CSIRO Great Artesian Basin Water Resource Assessment. CSIRO Water for a Heal</w:t>
      </w:r>
      <w:r>
        <w:t>thy Country Flagship, Australia,</w:t>
      </w:r>
      <w:r w:rsidRPr="00960B30">
        <w:t xml:space="preserve"> 285 pp.</w:t>
      </w:r>
    </w:p>
    <w:p w14:paraId="7348B0A0" w14:textId="0F34CDEE" w:rsidR="00FC3A0A" w:rsidRDefault="00FC3A0A" w:rsidP="008B38C1">
      <w:pPr>
        <w:pStyle w:val="References"/>
      </w:pPr>
      <w:r>
        <w:t xml:space="preserve">Real Energy </w:t>
      </w:r>
      <w:r w:rsidR="00267121">
        <w:t>(</w:t>
      </w:r>
      <w:r>
        <w:t>2014</w:t>
      </w:r>
      <w:r w:rsidR="00267121">
        <w:t>)</w:t>
      </w:r>
      <w:r>
        <w:t xml:space="preserve"> ASX/Media Release – Real Energy updates gas resource estimates. </w:t>
      </w:r>
      <w:r w:rsidR="00267121">
        <w:t>Viewed 22/01/2018, &lt;</w:t>
      </w:r>
      <w:hyperlink r:id="rId294" w:history="1">
        <w:r w:rsidRPr="00E03451">
          <w:rPr>
            <w:rStyle w:val="Hyperlink"/>
          </w:rPr>
          <w:t>http://www.realenergy.com.au/news-reports/announcements.html</w:t>
        </w:r>
      </w:hyperlink>
      <w:r w:rsidR="00267121">
        <w:rPr>
          <w:rStyle w:val="Hyperlink"/>
        </w:rPr>
        <w:t>&gt;.</w:t>
      </w:r>
      <w:r>
        <w:t xml:space="preserve"> </w:t>
      </w:r>
    </w:p>
    <w:p w14:paraId="46ACEA2D" w14:textId="3FC797E9" w:rsidR="00FC3A0A" w:rsidRDefault="00FC3A0A" w:rsidP="008B38C1">
      <w:pPr>
        <w:pStyle w:val="References"/>
      </w:pPr>
      <w:r>
        <w:t xml:space="preserve">SAALNRMB (South Australian Arid Lands Natural Resources Management Board) </w:t>
      </w:r>
      <w:r w:rsidR="00267121">
        <w:t>(</w:t>
      </w:r>
      <w:r>
        <w:t>2009</w:t>
      </w:r>
      <w:r w:rsidR="00267121">
        <w:t>)</w:t>
      </w:r>
      <w:r>
        <w:t xml:space="preserve"> Water Allocation Plan for the Far North Prescribed Wells Area.</w:t>
      </w:r>
    </w:p>
    <w:p w14:paraId="72A0AA85" w14:textId="75D331D6" w:rsidR="00FC3A0A" w:rsidRDefault="00267121" w:rsidP="008B38C1">
      <w:pPr>
        <w:pStyle w:val="References"/>
      </w:pPr>
      <w:r>
        <w:t>SA Department for Water</w:t>
      </w:r>
      <w:r w:rsidR="00FC3A0A">
        <w:t xml:space="preserve"> </w:t>
      </w:r>
      <w:r>
        <w:t>(</w:t>
      </w:r>
      <w:r w:rsidR="00FC3A0A">
        <w:t>2011</w:t>
      </w:r>
      <w:r>
        <w:t>)</w:t>
      </w:r>
      <w:r w:rsidR="00FC3A0A">
        <w:t xml:space="preserve"> Far North PWA Groundwater Level and Salinity Status Report 2011. South Australian Department for Water, Adelaide, SA.</w:t>
      </w:r>
    </w:p>
    <w:p w14:paraId="18BA98EB" w14:textId="377FDB8F" w:rsidR="00FC3A0A" w:rsidRDefault="00FC3A0A" w:rsidP="008B38C1">
      <w:pPr>
        <w:pStyle w:val="References"/>
      </w:pPr>
      <w:r>
        <w:t xml:space="preserve">SA Department of Environment Water and Natural Resources </w:t>
      </w:r>
      <w:r w:rsidR="00267121">
        <w:t>(</w:t>
      </w:r>
      <w:r>
        <w:t>2015</w:t>
      </w:r>
      <w:r w:rsidR="00267121">
        <w:t>)</w:t>
      </w:r>
      <w:r>
        <w:t xml:space="preserve"> Malkumba-Coongie Lakes National Park, in National Parks, South Australia</w:t>
      </w:r>
      <w:r w:rsidR="00267121">
        <w:t>. Viewed 09/09/2017, &lt;</w:t>
      </w:r>
      <w:hyperlink r:id="rId295" w:history="1">
        <w:r w:rsidRPr="00E03451">
          <w:rPr>
            <w:rStyle w:val="Hyperlink"/>
          </w:rPr>
          <w:t>https://www.environment.sa.gov.au/parks/Find_a_Park/Browse_by_region/flinders-ranges-outback/malkumba-coongie-lakes-national-park</w:t>
        </w:r>
      </w:hyperlink>
      <w:r w:rsidR="00267121">
        <w:t>&gt;.</w:t>
      </w:r>
    </w:p>
    <w:p w14:paraId="0A099776" w14:textId="77777777" w:rsidR="00106DE1" w:rsidRDefault="00106DE1" w:rsidP="00106DE1">
      <w:pPr>
        <w:pStyle w:val="References"/>
      </w:pPr>
      <w:r>
        <w:t>Santos (2012) Cooper Basin unconventional gas opportunities and commercialisation. Viewed 16/01/2018, &lt;</w:t>
      </w:r>
      <w:hyperlink r:id="rId296" w:history="1">
        <w:r>
          <w:rPr>
            <w:rStyle w:val="Hyperlink"/>
          </w:rPr>
          <w:t>https://www.santos.com/media-centre/announcements/cooper-basin-unconventional-gas-opportunities-and-commercialisation/</w:t>
        </w:r>
      </w:hyperlink>
      <w:r>
        <w:rPr>
          <w:rStyle w:val="Hyperlink"/>
        </w:rPr>
        <w:t>&gt;.</w:t>
      </w:r>
    </w:p>
    <w:p w14:paraId="30520ABE" w14:textId="6FEB1D8D" w:rsidR="00FC3A0A" w:rsidRDefault="00FC3A0A" w:rsidP="008B38C1">
      <w:pPr>
        <w:pStyle w:val="References"/>
      </w:pPr>
      <w:r>
        <w:lastRenderedPageBreak/>
        <w:t xml:space="preserve">Santos </w:t>
      </w:r>
      <w:r w:rsidR="00106DE1">
        <w:t>(</w:t>
      </w:r>
      <w:r>
        <w:t>2013a</w:t>
      </w:r>
      <w:r w:rsidR="00106DE1">
        <w:t>)</w:t>
      </w:r>
      <w:r>
        <w:t xml:space="preserve"> ASX/Media Release – Further shale gas success at Moomba-194 in the Cooper Basin</w:t>
      </w:r>
      <w:r w:rsidR="00106DE1">
        <w:t>. Viewed 16/01/2018, &lt;</w:t>
      </w:r>
      <w:hyperlink r:id="rId297" w:history="1">
        <w:r w:rsidRPr="00106DE1">
          <w:rPr>
            <w:rStyle w:val="Hyperlink"/>
          </w:rPr>
          <w:t>www.asx.com.au/asxpdf/20131219/pdf/42lqm1v2lzkh1w.pdf</w:t>
        </w:r>
      </w:hyperlink>
      <w:r w:rsidR="00106DE1">
        <w:t>&gt;.</w:t>
      </w:r>
    </w:p>
    <w:p w14:paraId="5672E653" w14:textId="76F6110A" w:rsidR="00FC3A0A" w:rsidRDefault="00FC3A0A" w:rsidP="008B38C1">
      <w:pPr>
        <w:pStyle w:val="References"/>
      </w:pPr>
      <w:r>
        <w:t>Santos</w:t>
      </w:r>
      <w:r w:rsidR="00106DE1">
        <w:t xml:space="preserve"> (20</w:t>
      </w:r>
      <w:r>
        <w:t>13b</w:t>
      </w:r>
      <w:r w:rsidR="00106DE1">
        <w:t>)</w:t>
      </w:r>
      <w:r>
        <w:t xml:space="preserve"> Moomba 191 and beyond. </w:t>
      </w:r>
      <w:r w:rsidR="00106DE1">
        <w:t>Viewed 16/01/2018, &lt;</w:t>
      </w:r>
      <w:hyperlink r:id="rId298" w:history="1">
        <w:r w:rsidR="00106DE1" w:rsidRPr="00F14B0E">
          <w:rPr>
            <w:rStyle w:val="Hyperlink"/>
          </w:rPr>
          <w:t>https://www.santos.com/media/2132/130828_moomba_191_and_beyond.pdf</w:t>
        </w:r>
      </w:hyperlink>
      <w:r w:rsidR="00106DE1">
        <w:rPr>
          <w:rStyle w:val="Hyperlink"/>
        </w:rPr>
        <w:t>&gt;.</w:t>
      </w:r>
    </w:p>
    <w:p w14:paraId="10FAED0D" w14:textId="6CE5921D" w:rsidR="00FC3A0A" w:rsidRDefault="00FC3A0A" w:rsidP="008B38C1">
      <w:pPr>
        <w:pStyle w:val="References"/>
      </w:pPr>
      <w:r>
        <w:t>Santos</w:t>
      </w:r>
      <w:r w:rsidR="00106DE1">
        <w:t xml:space="preserve"> (20</w:t>
      </w:r>
      <w:r>
        <w:t>17</w:t>
      </w:r>
      <w:r w:rsidR="00106DE1">
        <w:t>)</w:t>
      </w:r>
      <w:r>
        <w:t xml:space="preserve"> Cooper Basin</w:t>
      </w:r>
      <w:r w:rsidR="00E03451">
        <w:t>.</w:t>
      </w:r>
      <w:r w:rsidR="00106DE1">
        <w:t xml:space="preserve"> Viewed 16/01/2018, &lt;</w:t>
      </w:r>
      <w:hyperlink r:id="rId299" w:history="1">
        <w:r w:rsidRPr="00E03451">
          <w:rPr>
            <w:rStyle w:val="Hyperlink"/>
          </w:rPr>
          <w:t>https://www.santos.com/what-we-do/activities/south-australia/cooper-basin/</w:t>
        </w:r>
      </w:hyperlink>
      <w:r w:rsidR="00106DE1">
        <w:t>&gt;.</w:t>
      </w:r>
    </w:p>
    <w:p w14:paraId="0564B89C" w14:textId="3E2358C6" w:rsidR="00FC3A0A" w:rsidRDefault="00FC3A0A" w:rsidP="008B38C1">
      <w:pPr>
        <w:pStyle w:val="References"/>
      </w:pPr>
      <w:r>
        <w:t>Senex</w:t>
      </w:r>
      <w:r w:rsidR="00106DE1">
        <w:t xml:space="preserve"> (20</w:t>
      </w:r>
      <w:r>
        <w:t>13</w:t>
      </w:r>
      <w:r w:rsidR="00106DE1">
        <w:t>)</w:t>
      </w:r>
      <w:r w:rsidR="00106DE1" w:rsidRPr="00106DE1">
        <w:t xml:space="preserve"> </w:t>
      </w:r>
      <w:r>
        <w:t>AWS Announcement – Major contingent gas resource upgrade to 5.5 Tcf</w:t>
      </w:r>
      <w:r w:rsidR="00106DE1">
        <w:t>. Viewed 16/01/2018, &lt;</w:t>
      </w:r>
      <w:hyperlink r:id="rId300" w:history="1">
        <w:r w:rsidRPr="00E03451">
          <w:rPr>
            <w:rStyle w:val="Hyperlink"/>
          </w:rPr>
          <w:t>http://www.senexenergy.com.au/investor-centre/files/major-contingent-gas-resource-upgrade-to-5-5-Tcf/</w:t>
        </w:r>
      </w:hyperlink>
      <w:r w:rsidR="00106DE1">
        <w:t>&gt;.</w:t>
      </w:r>
    </w:p>
    <w:p w14:paraId="30EFEC8A" w14:textId="405A5B4D" w:rsidR="00FC3A0A" w:rsidRDefault="00FC3A0A" w:rsidP="008B38C1">
      <w:pPr>
        <w:pStyle w:val="References"/>
        <w:rPr>
          <w:rStyle w:val="Hyperlink"/>
        </w:rPr>
      </w:pPr>
      <w:r>
        <w:t>Smith M, Karim F, Sparrow A, Cassel R and Hall L</w:t>
      </w:r>
      <w:r w:rsidR="00106DE1">
        <w:t xml:space="preserve"> (20</w:t>
      </w:r>
      <w:r>
        <w:t>15</w:t>
      </w:r>
      <w:r w:rsidR="00106DE1">
        <w:t>)</w:t>
      </w:r>
      <w:r>
        <w:t xml:space="preserve"> Context statement for the Cooper subregion. Product 1.1 for the Cooper subregion from the Lake Eyre Basin Bioregional Assessment. Bioregional Assessment Programme, Department of the Environment, Bureau of Meteorology, CSIRO and Geoscience Australia, Australia</w:t>
      </w:r>
      <w:r w:rsidR="00106DE1">
        <w:t>. Viewed 16/01/2018, &lt;</w:t>
      </w:r>
      <w:hyperlink r:id="rId301" w:history="1">
        <w:r w:rsidR="00F569D1" w:rsidRPr="00E03451">
          <w:rPr>
            <w:rStyle w:val="Hyperlink"/>
          </w:rPr>
          <w:t>http://data.bioregionalassessments.gov.au/doc/BA-LEB-COO-110-ContextStatement-20150903.pdf</w:t>
        </w:r>
      </w:hyperlink>
      <w:r w:rsidR="00106DE1">
        <w:rPr>
          <w:rStyle w:val="Hyperlink"/>
        </w:rPr>
        <w:t>&gt;.</w:t>
      </w:r>
    </w:p>
    <w:p w14:paraId="1117E3DE" w14:textId="0857D518" w:rsidR="00FC3A0A" w:rsidRDefault="00FC3A0A" w:rsidP="008B38C1">
      <w:pPr>
        <w:pStyle w:val="References"/>
        <w:rPr>
          <w:rStyle w:val="Hyperlink"/>
        </w:rPr>
      </w:pPr>
      <w:r>
        <w:t>Strike Energy</w:t>
      </w:r>
      <w:r w:rsidR="00106DE1">
        <w:t xml:space="preserve"> (20</w:t>
      </w:r>
      <w:r>
        <w:t>15</w:t>
      </w:r>
      <w:r w:rsidR="00106DE1">
        <w:t>)</w:t>
      </w:r>
      <w:r>
        <w:t xml:space="preserve"> ASX Announcement – DUG Australia conference presentation – July 2015.</w:t>
      </w:r>
      <w:r w:rsidR="00106DE1">
        <w:rPr>
          <w:rStyle w:val="Hyperlink"/>
        </w:rPr>
        <w:t xml:space="preserve"> </w:t>
      </w:r>
      <w:r w:rsidR="00106DE1">
        <w:t>Viewed 16/01/2018, &lt;</w:t>
      </w:r>
      <w:hyperlink r:id="rId302" w:history="1">
        <w:r w:rsidRPr="00E03451">
          <w:rPr>
            <w:rStyle w:val="Hyperlink"/>
          </w:rPr>
          <w:t>http://www.strikeenergy.com.au/wp-content/uploads/2015/07/20150729-DUG-July-2015-Presentation.pdf</w:t>
        </w:r>
      </w:hyperlink>
      <w:r w:rsidR="00106DE1">
        <w:rPr>
          <w:rStyle w:val="Hyperlink"/>
        </w:rPr>
        <w:t>&gt;.</w:t>
      </w:r>
    </w:p>
    <w:p w14:paraId="5C8D6B87" w14:textId="6615AE60" w:rsidR="00FC3A0A" w:rsidRPr="000350BE" w:rsidRDefault="00FC3A0A" w:rsidP="008B38C1">
      <w:pPr>
        <w:pStyle w:val="References"/>
      </w:pPr>
      <w:r>
        <w:t xml:space="preserve">Toupin D, Eadington PJ, Person M, Morin P, Wieck J and Warner D </w:t>
      </w:r>
      <w:r w:rsidR="00106DE1">
        <w:t>(</w:t>
      </w:r>
      <w:r>
        <w:t>1997</w:t>
      </w:r>
      <w:r w:rsidR="00106DE1">
        <w:t>)</w:t>
      </w:r>
      <w:r>
        <w:t xml:space="preserve"> Petroleum hydrogeology of the Cooper and Eromanga Basins, Australia: some insights from mathematical modeling and fluid inclusion data. AAPG Bulletin 81(4), 577–603.</w:t>
      </w:r>
    </w:p>
    <w:p w14:paraId="26AE9806" w14:textId="0C603CA5" w:rsidR="00106DE1" w:rsidRDefault="00106DE1" w:rsidP="00106DE1">
      <w:pPr>
        <w:pStyle w:val="References"/>
      </w:pPr>
      <w:r w:rsidRPr="00F60394">
        <w:t xml:space="preserve">UPR (Upstream Petroleum Resources Working Group) </w:t>
      </w:r>
      <w:r>
        <w:t>(</w:t>
      </w:r>
      <w:r w:rsidRPr="00F60394">
        <w:t>2015</w:t>
      </w:r>
      <w:r>
        <w:t>)</w:t>
      </w:r>
      <w:r w:rsidRPr="00F60394">
        <w:t xml:space="preserve"> Coal seam, shale and tight gas in Australia: resources assessment and operation overview 2015, Geoscience Australia, Canberra</w:t>
      </w:r>
      <w:r>
        <w:t>. Viewed 16/01/2018,</w:t>
      </w:r>
      <w:r w:rsidRPr="00F60394">
        <w:t xml:space="preserve"> </w:t>
      </w:r>
      <w:r>
        <w:t>&lt;</w:t>
      </w:r>
      <w:r w:rsidRPr="00106DE1">
        <w:rPr>
          <w:rStyle w:val="Hyperlink"/>
        </w:rPr>
        <w:t>http://www.coagenergycouncil.gov.au/sites/prod.energycouncil/files/publications/documents/UPR%20Unconventional%20Resources%20Report%202015%20-%20Final_0.pdf</w:t>
      </w:r>
      <w:r>
        <w:t>&gt;.</w:t>
      </w:r>
    </w:p>
    <w:p w14:paraId="4797923F" w14:textId="1D9A3A57" w:rsidR="00FC3A0A" w:rsidRDefault="00FC3A0A" w:rsidP="008B38C1">
      <w:pPr>
        <w:pStyle w:val="References"/>
      </w:pPr>
      <w:r>
        <w:t>USGS</w:t>
      </w:r>
      <w:r w:rsidR="00106DE1">
        <w:t xml:space="preserve"> (20</w:t>
      </w:r>
      <w:r>
        <w:t>16</w:t>
      </w:r>
      <w:r w:rsidR="00106DE1">
        <w:t>)</w:t>
      </w:r>
      <w:r>
        <w:t xml:space="preserve"> Assessment of continuous oil and gas resources of the Cooper Basin Australia, 2016. </w:t>
      </w:r>
      <w:r w:rsidR="00106DE1">
        <w:t>Viewed 16/01/2018, &lt;</w:t>
      </w:r>
      <w:hyperlink r:id="rId303" w:history="1">
        <w:r w:rsidRPr="00E03451">
          <w:rPr>
            <w:rStyle w:val="Hyperlink"/>
          </w:rPr>
          <w:t>https://pubs.usgs.gov/fs/2016/3050/fs20163050.pdf</w:t>
        </w:r>
      </w:hyperlink>
      <w:r w:rsidR="00106DE1">
        <w:t>&gt;</w:t>
      </w:r>
    </w:p>
    <w:p w14:paraId="1CD25D7F" w14:textId="1AF6108C" w:rsidR="00FC3A0A" w:rsidRDefault="00FC3A0A" w:rsidP="00E03451">
      <w:pPr>
        <w:pStyle w:val="References"/>
      </w:pPr>
      <w:r>
        <w:t>Welsh WD, Moore C, Turnadge C, Smith AJ and Barr TM</w:t>
      </w:r>
      <w:r w:rsidR="00106DE1">
        <w:t xml:space="preserve"> (20</w:t>
      </w:r>
      <w:r>
        <w:t>12</w:t>
      </w:r>
      <w:r w:rsidR="00205F7F">
        <w:t>)</w:t>
      </w:r>
      <w:r>
        <w:t xml:space="preserve"> Modelling of climate and groundwater development. A technical report to the Australian Government from the CSIRO Great Artesian Basin Water Resource Assessment. CSIRO Water for a Healthy Country Flagship, Australia.</w:t>
      </w:r>
    </w:p>
    <w:p w14:paraId="443621CD" w14:textId="3CF97499" w:rsidR="008B38C1" w:rsidRDefault="008B38C1" w:rsidP="008B38C1">
      <w:pPr>
        <w:pStyle w:val="References"/>
      </w:pPr>
    </w:p>
    <w:p w14:paraId="6BBB8771" w14:textId="77777777" w:rsidR="008B38C1" w:rsidRPr="000350BE" w:rsidRDefault="008B38C1" w:rsidP="000350BE">
      <w:pPr>
        <w:pStyle w:val="References"/>
      </w:pPr>
    </w:p>
    <w:p w14:paraId="26B4B43E" w14:textId="77777777" w:rsidR="00B41716" w:rsidRDefault="00B41716" w:rsidP="000350BE">
      <w:pPr>
        <w:pStyle w:val="BodyText"/>
        <w:rPr>
          <w:rFonts w:asciiTheme="majorHAnsi" w:eastAsia="Times New Roman" w:hAnsiTheme="majorHAnsi"/>
          <w:color w:val="146692" w:themeColor="text2"/>
          <w:sz w:val="36"/>
          <w:szCs w:val="72"/>
        </w:rPr>
      </w:pPr>
      <w:r>
        <w:br w:type="page"/>
      </w:r>
    </w:p>
    <w:p w14:paraId="7D7382BD" w14:textId="77777777" w:rsidR="008B38C1" w:rsidRDefault="008B38C1" w:rsidP="00C27ADE">
      <w:pPr>
        <w:pStyle w:val="AppendixHeading2"/>
        <w:keepNext/>
      </w:pPr>
      <w:bookmarkStart w:id="207" w:name="_Toc517161163"/>
      <w:r>
        <w:lastRenderedPageBreak/>
        <w:t>Georgina Basin</w:t>
      </w:r>
      <w:bookmarkEnd w:id="207"/>
    </w:p>
    <w:p w14:paraId="536B9328" w14:textId="77777777" w:rsidR="003739CA" w:rsidRDefault="00096667" w:rsidP="009F3E8F">
      <w:pPr>
        <w:pStyle w:val="Caption"/>
      </w:pPr>
      <w:bookmarkStart w:id="208" w:name="_Toc508972183"/>
      <w:r w:rsidRPr="00096667">
        <w:t xml:space="preserve">Table </w:t>
      </w:r>
      <w:r w:rsidR="008079F1">
        <w:fldChar w:fldCharType="begin"/>
      </w:r>
      <w:r w:rsidR="008079F1">
        <w:instrText xml:space="preserve"> STYLEREF 9 </w:instrText>
      </w:r>
      <w:r w:rsidR="008079F1">
        <w:instrText xml:space="preserve">\s </w:instrText>
      </w:r>
      <w:r w:rsidR="008079F1">
        <w:fldChar w:fldCharType="separate"/>
      </w:r>
      <w:r w:rsidR="00640CCB">
        <w:rPr>
          <w:noProof/>
        </w:rPr>
        <w:t>C</w:t>
      </w:r>
      <w:r w:rsidR="008079F1">
        <w:rPr>
          <w:noProof/>
        </w:rPr>
        <w:fldChar w:fldCharType="end"/>
      </w:r>
      <w:r w:rsidRPr="00096667">
        <w:t>.</w:t>
      </w:r>
      <w:r w:rsidR="008079F1">
        <w:fldChar w:fldCharType="begin"/>
      </w:r>
      <w:r w:rsidR="008079F1">
        <w:instrText xml:space="preserve"> SEQ Apx_Table \* ARABIC \s 9 </w:instrText>
      </w:r>
      <w:r w:rsidR="008079F1">
        <w:fldChar w:fldCharType="separate"/>
      </w:r>
      <w:r w:rsidR="00640CCB">
        <w:rPr>
          <w:noProof/>
        </w:rPr>
        <w:t>34</w:t>
      </w:r>
      <w:r w:rsidR="008079F1">
        <w:rPr>
          <w:noProof/>
        </w:rPr>
        <w:fldChar w:fldCharType="end"/>
      </w:r>
      <w:r w:rsidRPr="00096667">
        <w:t xml:space="preserve"> </w:t>
      </w:r>
      <w:r w:rsidR="008B38C1" w:rsidRPr="00096667">
        <w:t>Geology and petroleum prospectivity summary</w:t>
      </w:r>
      <w:r w:rsidR="008B38C1">
        <w:t>.</w:t>
      </w:r>
      <w:bookmarkEnd w:id="208"/>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28" w:type="dxa"/>
          <w:right w:w="57" w:type="dxa"/>
        </w:tblCellMar>
        <w:tblLook w:val="04A0" w:firstRow="1" w:lastRow="0" w:firstColumn="1" w:lastColumn="0" w:noHBand="0" w:noVBand="1"/>
      </w:tblPr>
      <w:tblGrid>
        <w:gridCol w:w="4102"/>
        <w:gridCol w:w="5517"/>
      </w:tblGrid>
      <w:tr w:rsidR="00C27ADE" w14:paraId="700A2DAB" w14:textId="77777777" w:rsidTr="00EB4DD3">
        <w:tc>
          <w:tcPr>
            <w:tcW w:w="9629" w:type="dxa"/>
            <w:gridSpan w:val="2"/>
            <w:shd w:val="clear" w:color="auto" w:fill="146692"/>
          </w:tcPr>
          <w:p w14:paraId="710BE2D6" w14:textId="175FDA97" w:rsidR="00C27ADE" w:rsidRDefault="00C27ADE" w:rsidP="00C27ADE">
            <w:pPr>
              <w:pStyle w:val="BodyText"/>
              <w:spacing w:beforeLines="20" w:before="48" w:afterLines="20" w:after="48" w:line="120" w:lineRule="atLeast"/>
            </w:pPr>
            <w:r w:rsidRPr="00C27ADE">
              <w:rPr>
                <w:b/>
                <w:color w:val="FFFFFF" w:themeColor="background1"/>
              </w:rPr>
              <w:t>GENERAL</w:t>
            </w:r>
          </w:p>
        </w:tc>
      </w:tr>
      <w:tr w:rsidR="00C27ADE" w14:paraId="01C0A230" w14:textId="77777777" w:rsidTr="00EB4DD3">
        <w:tc>
          <w:tcPr>
            <w:tcW w:w="4106" w:type="dxa"/>
            <w:shd w:val="clear" w:color="auto" w:fill="146692"/>
          </w:tcPr>
          <w:p w14:paraId="5186E8B0" w14:textId="0C8E3BD0"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Jurisdiction</w:t>
            </w:r>
          </w:p>
        </w:tc>
        <w:tc>
          <w:tcPr>
            <w:tcW w:w="5523" w:type="dxa"/>
            <w:shd w:val="clear" w:color="auto" w:fill="E1F2FB"/>
          </w:tcPr>
          <w:p w14:paraId="3F99939C" w14:textId="47994B91" w:rsidR="00C27ADE" w:rsidRDefault="00C27ADE" w:rsidP="00C27ADE">
            <w:pPr>
              <w:pStyle w:val="BodyText"/>
              <w:spacing w:beforeLines="20" w:before="48" w:afterLines="20" w:after="48" w:line="120" w:lineRule="atLeast"/>
            </w:pPr>
            <w:r w:rsidRPr="00BA2A0C">
              <w:t>Northern Territory, Queensland</w:t>
            </w:r>
          </w:p>
        </w:tc>
      </w:tr>
      <w:tr w:rsidR="00C27ADE" w14:paraId="3DC6A3FD" w14:textId="77777777" w:rsidTr="00EB4DD3">
        <w:tc>
          <w:tcPr>
            <w:tcW w:w="4106" w:type="dxa"/>
            <w:shd w:val="clear" w:color="auto" w:fill="146692"/>
          </w:tcPr>
          <w:p w14:paraId="561ACF19" w14:textId="5EF4CB92"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Area</w:t>
            </w:r>
          </w:p>
        </w:tc>
        <w:tc>
          <w:tcPr>
            <w:tcW w:w="5523" w:type="dxa"/>
            <w:shd w:val="clear" w:color="auto" w:fill="E1F2FB"/>
          </w:tcPr>
          <w:p w14:paraId="5D87CCBF" w14:textId="70328E55" w:rsidR="00C27ADE" w:rsidRDefault="00C27ADE" w:rsidP="00C27ADE">
            <w:pPr>
              <w:pStyle w:val="BodyText"/>
              <w:spacing w:beforeLines="20" w:before="48" w:afterLines="20" w:after="48" w:line="120" w:lineRule="atLeast"/>
            </w:pPr>
            <w:r w:rsidRPr="00BA2A0C">
              <w:t>354,744 km2</w:t>
            </w:r>
          </w:p>
        </w:tc>
      </w:tr>
      <w:tr w:rsidR="00C27ADE" w14:paraId="702B2DAD" w14:textId="77777777" w:rsidTr="00EB4DD3">
        <w:tc>
          <w:tcPr>
            <w:tcW w:w="4106" w:type="dxa"/>
            <w:shd w:val="clear" w:color="auto" w:fill="146692"/>
          </w:tcPr>
          <w:p w14:paraId="088DEA45" w14:textId="5E8B3B1A"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Max. basin depth/ sediment thickness</w:t>
            </w:r>
          </w:p>
        </w:tc>
        <w:tc>
          <w:tcPr>
            <w:tcW w:w="5523" w:type="dxa"/>
            <w:shd w:val="clear" w:color="auto" w:fill="E1F2FB"/>
          </w:tcPr>
          <w:p w14:paraId="476105E0" w14:textId="1E6747C3" w:rsidR="00C27ADE" w:rsidRDefault="00C27ADE" w:rsidP="00C27ADE">
            <w:pPr>
              <w:pStyle w:val="BodyText"/>
              <w:spacing w:beforeLines="20" w:before="48" w:afterLines="20" w:after="48" w:line="120" w:lineRule="atLeast"/>
            </w:pPr>
            <w:r w:rsidRPr="00BA2A0C">
              <w:t xml:space="preserve">Up to 4,000 m </w:t>
            </w:r>
          </w:p>
        </w:tc>
      </w:tr>
      <w:tr w:rsidR="00C27ADE" w14:paraId="03909957" w14:textId="77777777" w:rsidTr="00EB4DD3">
        <w:tc>
          <w:tcPr>
            <w:tcW w:w="4106" w:type="dxa"/>
            <w:shd w:val="clear" w:color="auto" w:fill="146692"/>
          </w:tcPr>
          <w:p w14:paraId="438434BE" w14:textId="7B38CC38"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Age range</w:t>
            </w:r>
          </w:p>
        </w:tc>
        <w:tc>
          <w:tcPr>
            <w:tcW w:w="5523" w:type="dxa"/>
            <w:shd w:val="clear" w:color="auto" w:fill="E1F2FB"/>
          </w:tcPr>
          <w:p w14:paraId="41E83045" w14:textId="4CFF6C04" w:rsidR="00C27ADE" w:rsidRDefault="00C27ADE" w:rsidP="00C27ADE">
            <w:pPr>
              <w:pStyle w:val="BodyText"/>
              <w:spacing w:beforeLines="20" w:before="48" w:afterLines="20" w:after="48" w:line="120" w:lineRule="atLeast"/>
            </w:pPr>
            <w:r w:rsidRPr="00BA2A0C">
              <w:t>Neoproterozoic to Devonian</w:t>
            </w:r>
          </w:p>
        </w:tc>
      </w:tr>
      <w:tr w:rsidR="00C27ADE" w14:paraId="17D1FBA8" w14:textId="77777777" w:rsidTr="00EB4DD3">
        <w:tc>
          <w:tcPr>
            <w:tcW w:w="4106" w:type="dxa"/>
            <w:shd w:val="clear" w:color="auto" w:fill="146692"/>
          </w:tcPr>
          <w:p w14:paraId="5D576303" w14:textId="7DDFB00A"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Depositional setting</w:t>
            </w:r>
          </w:p>
        </w:tc>
        <w:tc>
          <w:tcPr>
            <w:tcW w:w="5523" w:type="dxa"/>
            <w:shd w:val="clear" w:color="auto" w:fill="E1F2FB"/>
          </w:tcPr>
          <w:p w14:paraId="7C7E6412" w14:textId="097160A1" w:rsidR="00C27ADE" w:rsidRDefault="00C27ADE" w:rsidP="00C27ADE">
            <w:pPr>
              <w:pStyle w:val="BodyText"/>
              <w:spacing w:beforeLines="20" w:before="48" w:afterLines="20" w:after="48" w:line="120" w:lineRule="atLeast"/>
            </w:pPr>
            <w:r w:rsidRPr="00BA2A0C">
              <w:t>Marine (siliciclastics, carbonates, evaporates); fluvial; glacial.</w:t>
            </w:r>
          </w:p>
        </w:tc>
      </w:tr>
      <w:tr w:rsidR="00C27ADE" w14:paraId="5F4DD957" w14:textId="77777777" w:rsidTr="00EB4DD3">
        <w:tc>
          <w:tcPr>
            <w:tcW w:w="4106" w:type="dxa"/>
            <w:shd w:val="clear" w:color="auto" w:fill="146692"/>
          </w:tcPr>
          <w:p w14:paraId="6DB00BE8" w14:textId="5D94B0AA"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Regional structure</w:t>
            </w:r>
          </w:p>
        </w:tc>
        <w:tc>
          <w:tcPr>
            <w:tcW w:w="5523" w:type="dxa"/>
            <w:shd w:val="clear" w:color="auto" w:fill="E1F2FB"/>
          </w:tcPr>
          <w:p w14:paraId="15C5C61C" w14:textId="2C4A6218" w:rsidR="00C27ADE" w:rsidRDefault="00C27ADE" w:rsidP="00C27ADE">
            <w:pPr>
              <w:pStyle w:val="BodyText"/>
              <w:spacing w:beforeLines="20" w:before="48" w:afterLines="20" w:after="48" w:line="120" w:lineRule="atLeast"/>
            </w:pPr>
            <w:r w:rsidRPr="00BA2A0C">
              <w:t>Southern fault-controlled depocentres and central–northern platform; extensional faults inverted as thrust and strike-slip faults during Alice Springs Orogeny</w:t>
            </w:r>
          </w:p>
        </w:tc>
      </w:tr>
      <w:tr w:rsidR="00C27ADE" w14:paraId="3485DD41" w14:textId="77777777" w:rsidTr="00EB4DD3">
        <w:tc>
          <w:tcPr>
            <w:tcW w:w="4106" w:type="dxa"/>
            <w:shd w:val="clear" w:color="auto" w:fill="146692"/>
          </w:tcPr>
          <w:p w14:paraId="4897CF26" w14:textId="3CA2019E"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Overlying basins</w:t>
            </w:r>
          </w:p>
        </w:tc>
        <w:tc>
          <w:tcPr>
            <w:tcW w:w="5523" w:type="dxa"/>
            <w:shd w:val="clear" w:color="auto" w:fill="E1F2FB"/>
          </w:tcPr>
          <w:p w14:paraId="02F2B7E7" w14:textId="2E24EE81" w:rsidR="00C27ADE" w:rsidRDefault="00C27ADE" w:rsidP="00C27ADE">
            <w:pPr>
              <w:pStyle w:val="BodyText"/>
              <w:spacing w:beforeLines="20" w:before="48" w:afterLines="20" w:after="48" w:line="120" w:lineRule="atLeast"/>
            </w:pPr>
            <w:r w:rsidRPr="00BA2A0C">
              <w:t>Carpentaria Basin in NW; Eromanga Basin in SE</w:t>
            </w:r>
          </w:p>
        </w:tc>
      </w:tr>
      <w:tr w:rsidR="00C27ADE" w14:paraId="013D177F" w14:textId="77777777" w:rsidTr="00EB4DD3">
        <w:tc>
          <w:tcPr>
            <w:tcW w:w="4106" w:type="dxa"/>
            <w:shd w:val="clear" w:color="auto" w:fill="146692"/>
          </w:tcPr>
          <w:p w14:paraId="0E85D345" w14:textId="59DE981D"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Underlying basins</w:t>
            </w:r>
          </w:p>
        </w:tc>
        <w:tc>
          <w:tcPr>
            <w:tcW w:w="5523" w:type="dxa"/>
            <w:shd w:val="clear" w:color="auto" w:fill="E1F2FB"/>
          </w:tcPr>
          <w:p w14:paraId="3F06C194" w14:textId="4B7E74CA" w:rsidR="00C27ADE" w:rsidRDefault="00C27ADE" w:rsidP="00C27ADE">
            <w:pPr>
              <w:pStyle w:val="BodyText"/>
              <w:spacing w:beforeLines="20" w:before="48" w:afterLines="20" w:after="48" w:line="120" w:lineRule="atLeast"/>
            </w:pPr>
            <w:r w:rsidRPr="00BA2A0C">
              <w:t>McArthur Basin, South Nicholson Basin, Isa Superbasin</w:t>
            </w:r>
          </w:p>
        </w:tc>
      </w:tr>
      <w:tr w:rsidR="00C27ADE" w14:paraId="4F8E42A5" w14:textId="77777777" w:rsidTr="00EB4DD3">
        <w:tc>
          <w:tcPr>
            <w:tcW w:w="9629" w:type="dxa"/>
            <w:gridSpan w:val="2"/>
            <w:shd w:val="clear" w:color="auto" w:fill="146692"/>
          </w:tcPr>
          <w:p w14:paraId="675F56B5" w14:textId="2D9A519E" w:rsidR="00C27ADE" w:rsidRDefault="00C27ADE" w:rsidP="00C27ADE">
            <w:pPr>
              <w:pStyle w:val="BodyText"/>
              <w:spacing w:beforeLines="20" w:before="48" w:afterLines="20" w:after="48" w:line="120" w:lineRule="atLeast"/>
            </w:pPr>
            <w:r w:rsidRPr="00C27ADE">
              <w:rPr>
                <w:b/>
                <w:color w:val="FFFFFF" w:themeColor="background1"/>
              </w:rPr>
              <w:t>EXPLORATION STATUS</w:t>
            </w:r>
          </w:p>
        </w:tc>
      </w:tr>
      <w:tr w:rsidR="00C27ADE" w14:paraId="4F467C6C" w14:textId="77777777" w:rsidTr="00EB4DD3">
        <w:tc>
          <w:tcPr>
            <w:tcW w:w="4106" w:type="dxa"/>
            <w:shd w:val="clear" w:color="auto" w:fill="146692"/>
          </w:tcPr>
          <w:p w14:paraId="1F9F90DB" w14:textId="0E7A710E"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Seismic lines</w:t>
            </w:r>
          </w:p>
        </w:tc>
        <w:tc>
          <w:tcPr>
            <w:tcW w:w="5523" w:type="dxa"/>
            <w:shd w:val="clear" w:color="auto" w:fill="E1F2FB"/>
          </w:tcPr>
          <w:p w14:paraId="4784DE07" w14:textId="0A4FDBAA" w:rsidR="00C27ADE" w:rsidRDefault="00C27ADE" w:rsidP="00C27ADE">
            <w:pPr>
              <w:pStyle w:val="BodyText"/>
              <w:spacing w:beforeLines="20" w:before="48" w:afterLines="20" w:after="48" w:line="120" w:lineRule="atLeast"/>
            </w:pPr>
            <w:r w:rsidRPr="00BA2A0C">
              <w:t>11,767 line km, 2D seismic</w:t>
            </w:r>
          </w:p>
        </w:tc>
      </w:tr>
      <w:tr w:rsidR="00C27ADE" w14:paraId="0E81CE54" w14:textId="77777777" w:rsidTr="00EB4DD3">
        <w:tc>
          <w:tcPr>
            <w:tcW w:w="4106" w:type="dxa"/>
            <w:shd w:val="clear" w:color="auto" w:fill="146692"/>
          </w:tcPr>
          <w:p w14:paraId="5E2018D1" w14:textId="34AAB75D"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Number of petroleum wells</w:t>
            </w:r>
          </w:p>
        </w:tc>
        <w:tc>
          <w:tcPr>
            <w:tcW w:w="5523" w:type="dxa"/>
            <w:shd w:val="clear" w:color="auto" w:fill="E1F2FB"/>
          </w:tcPr>
          <w:p w14:paraId="1065051C" w14:textId="144943E1" w:rsidR="00C27ADE" w:rsidRDefault="00C27ADE" w:rsidP="00C27ADE">
            <w:pPr>
              <w:pStyle w:val="BodyText"/>
              <w:spacing w:beforeLines="20" w:before="48" w:afterLines="20" w:after="48" w:line="120" w:lineRule="atLeast"/>
            </w:pPr>
            <w:r w:rsidRPr="00BA2A0C">
              <w:t>&gt;70</w:t>
            </w:r>
          </w:p>
        </w:tc>
      </w:tr>
      <w:tr w:rsidR="00C27ADE" w14:paraId="5A6C7CEA" w14:textId="77777777" w:rsidTr="00EB4DD3">
        <w:tc>
          <w:tcPr>
            <w:tcW w:w="4106" w:type="dxa"/>
            <w:shd w:val="clear" w:color="auto" w:fill="146692"/>
          </w:tcPr>
          <w:p w14:paraId="24D5271D" w14:textId="59BDC117"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Exploration status – conventional</w:t>
            </w:r>
          </w:p>
        </w:tc>
        <w:tc>
          <w:tcPr>
            <w:tcW w:w="5523" w:type="dxa"/>
            <w:shd w:val="clear" w:color="auto" w:fill="E1F2FB"/>
          </w:tcPr>
          <w:p w14:paraId="204A38A9" w14:textId="5FA56B97" w:rsidR="00C27ADE" w:rsidRDefault="00C27ADE" w:rsidP="00C27ADE">
            <w:pPr>
              <w:pStyle w:val="BodyText"/>
              <w:spacing w:beforeLines="20" w:before="48" w:afterLines="20" w:after="48" w:line="120" w:lineRule="atLeast"/>
            </w:pPr>
            <w:r w:rsidRPr="00BA2A0C">
              <w:t>Under-explored</w:t>
            </w:r>
          </w:p>
        </w:tc>
      </w:tr>
      <w:tr w:rsidR="00C27ADE" w14:paraId="14BFEF45" w14:textId="77777777" w:rsidTr="00EB4DD3">
        <w:tc>
          <w:tcPr>
            <w:tcW w:w="4106" w:type="dxa"/>
            <w:shd w:val="clear" w:color="auto" w:fill="146692"/>
          </w:tcPr>
          <w:p w14:paraId="0F010ED4" w14:textId="681D70B2"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Exploration status – shale/ tight gas</w:t>
            </w:r>
          </w:p>
        </w:tc>
        <w:tc>
          <w:tcPr>
            <w:tcW w:w="5523" w:type="dxa"/>
            <w:shd w:val="clear" w:color="auto" w:fill="E1F2FB"/>
          </w:tcPr>
          <w:p w14:paraId="36A28B1F" w14:textId="4C794BA2" w:rsidR="00C27ADE" w:rsidRDefault="00C27ADE" w:rsidP="00C27ADE">
            <w:pPr>
              <w:pStyle w:val="BodyText"/>
              <w:spacing w:beforeLines="20" w:before="48" w:afterLines="20" w:after="48" w:line="120" w:lineRule="atLeast"/>
            </w:pPr>
            <w:r w:rsidRPr="00BA2A0C">
              <w:t>Under-explored</w:t>
            </w:r>
          </w:p>
        </w:tc>
      </w:tr>
      <w:tr w:rsidR="00C27ADE" w14:paraId="56D979F6" w14:textId="77777777" w:rsidTr="00EB4DD3">
        <w:tc>
          <w:tcPr>
            <w:tcW w:w="9629" w:type="dxa"/>
            <w:gridSpan w:val="2"/>
            <w:shd w:val="clear" w:color="auto" w:fill="146692"/>
          </w:tcPr>
          <w:p w14:paraId="2C1C5AF0" w14:textId="228A346C" w:rsidR="00C27ADE" w:rsidRDefault="00C27ADE" w:rsidP="00C27ADE">
            <w:pPr>
              <w:pStyle w:val="BodyText"/>
              <w:spacing w:beforeLines="20" w:before="48" w:afterLines="20" w:after="48" w:line="120" w:lineRule="atLeast"/>
            </w:pPr>
            <w:r w:rsidRPr="00C27ADE">
              <w:rPr>
                <w:b/>
                <w:color w:val="FFFFFF" w:themeColor="background1"/>
              </w:rPr>
              <w:t>PETROLEUM PROSPECTIVITY -  GENERAL</w:t>
            </w:r>
          </w:p>
        </w:tc>
      </w:tr>
      <w:tr w:rsidR="00C27ADE" w14:paraId="3A7D5A34" w14:textId="77777777" w:rsidTr="00EB4DD3">
        <w:tc>
          <w:tcPr>
            <w:tcW w:w="4106" w:type="dxa"/>
            <w:shd w:val="clear" w:color="auto" w:fill="146692"/>
          </w:tcPr>
          <w:p w14:paraId="7028A4DC" w14:textId="070D3A54"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Petroleum systems</w:t>
            </w:r>
          </w:p>
        </w:tc>
        <w:tc>
          <w:tcPr>
            <w:tcW w:w="5523" w:type="dxa"/>
            <w:shd w:val="clear" w:color="auto" w:fill="E1F2FB"/>
          </w:tcPr>
          <w:p w14:paraId="62498B99" w14:textId="21836D4D" w:rsidR="00C27ADE" w:rsidRDefault="00C27ADE" w:rsidP="00C27ADE">
            <w:pPr>
              <w:pStyle w:val="BodyText"/>
              <w:spacing w:beforeLines="20" w:before="48" w:afterLines="20" w:after="48" w:line="120" w:lineRule="atLeast"/>
            </w:pPr>
            <w:r w:rsidRPr="00BA2A0C">
              <w:t>Proven (Larapintine Supersystem; Boreham and Ambrose, 2007)</w:t>
            </w:r>
          </w:p>
        </w:tc>
      </w:tr>
      <w:tr w:rsidR="00C27ADE" w14:paraId="5B5AB150" w14:textId="77777777" w:rsidTr="00EB4DD3">
        <w:tc>
          <w:tcPr>
            <w:tcW w:w="4106" w:type="dxa"/>
            <w:shd w:val="clear" w:color="auto" w:fill="146692"/>
          </w:tcPr>
          <w:p w14:paraId="75FA4CC3" w14:textId="4A04F312"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Prospectivity</w:t>
            </w:r>
          </w:p>
        </w:tc>
        <w:tc>
          <w:tcPr>
            <w:tcW w:w="5523" w:type="dxa"/>
            <w:shd w:val="clear" w:color="auto" w:fill="E1F2FB"/>
          </w:tcPr>
          <w:p w14:paraId="1E5FC6CF" w14:textId="3AEDDA0C" w:rsidR="00C27ADE" w:rsidRDefault="00C27ADE" w:rsidP="00C27ADE">
            <w:pPr>
              <w:pStyle w:val="BodyText"/>
              <w:spacing w:beforeLines="20" w:before="48" w:afterLines="20" w:after="48" w:line="120" w:lineRule="atLeast"/>
            </w:pPr>
            <w:r w:rsidRPr="00BA2A0C">
              <w:t>Moderate</w:t>
            </w:r>
          </w:p>
        </w:tc>
      </w:tr>
      <w:tr w:rsidR="00C27ADE" w14:paraId="421521C6" w14:textId="77777777" w:rsidTr="00EB4DD3">
        <w:tc>
          <w:tcPr>
            <w:tcW w:w="4106" w:type="dxa"/>
            <w:shd w:val="clear" w:color="auto" w:fill="146692"/>
          </w:tcPr>
          <w:p w14:paraId="41513A28" w14:textId="51D2D666"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 xml:space="preserve">Conventional discoveries </w:t>
            </w:r>
          </w:p>
        </w:tc>
        <w:tc>
          <w:tcPr>
            <w:tcW w:w="5523" w:type="dxa"/>
            <w:shd w:val="clear" w:color="auto" w:fill="E1F2FB"/>
          </w:tcPr>
          <w:p w14:paraId="6430E02E" w14:textId="2077F14E" w:rsidR="00C27ADE" w:rsidRDefault="00C27ADE" w:rsidP="00C27ADE">
            <w:pPr>
              <w:pStyle w:val="BodyText"/>
              <w:spacing w:beforeLines="20" w:before="48" w:afterLines="20" w:after="48" w:line="120" w:lineRule="atLeast"/>
            </w:pPr>
            <w:r w:rsidRPr="00BA2A0C">
              <w:t>No commercial accumulations; one significant technical discovery at Ethabuka 1 (1974) - dry gas recovery from Coolibah Formation (Munson, 2014)</w:t>
            </w:r>
          </w:p>
        </w:tc>
      </w:tr>
      <w:tr w:rsidR="00C27ADE" w14:paraId="787D7512" w14:textId="77777777" w:rsidTr="00EB4DD3">
        <w:tc>
          <w:tcPr>
            <w:tcW w:w="4106" w:type="dxa"/>
            <w:shd w:val="clear" w:color="auto" w:fill="146692"/>
          </w:tcPr>
          <w:p w14:paraId="3FBD7355" w14:textId="3471068B"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Hydrocarbon production – total to date</w:t>
            </w:r>
          </w:p>
        </w:tc>
        <w:tc>
          <w:tcPr>
            <w:tcW w:w="5523" w:type="dxa"/>
            <w:shd w:val="clear" w:color="auto" w:fill="E1F2FB"/>
          </w:tcPr>
          <w:p w14:paraId="61FE6BE1" w14:textId="6F14C7BA" w:rsidR="00C27ADE" w:rsidRDefault="00C27ADE" w:rsidP="00C27ADE">
            <w:pPr>
              <w:pStyle w:val="BodyText"/>
              <w:spacing w:beforeLines="20" w:before="48" w:afterLines="20" w:after="48" w:line="120" w:lineRule="atLeast"/>
            </w:pPr>
            <w:r w:rsidRPr="00BA2A0C">
              <w:t>None to date (DNRM, 2016a; AERA, 2018)</w:t>
            </w:r>
          </w:p>
        </w:tc>
      </w:tr>
      <w:tr w:rsidR="00C27ADE" w14:paraId="30789A67" w14:textId="77777777" w:rsidTr="00EB4DD3">
        <w:tc>
          <w:tcPr>
            <w:tcW w:w="4106" w:type="dxa"/>
            <w:shd w:val="clear" w:color="auto" w:fill="146692"/>
          </w:tcPr>
          <w:p w14:paraId="000127AF" w14:textId="0B3F247B"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 xml:space="preserve">2P Reserves </w:t>
            </w:r>
          </w:p>
        </w:tc>
        <w:tc>
          <w:tcPr>
            <w:tcW w:w="5523" w:type="dxa"/>
            <w:shd w:val="clear" w:color="auto" w:fill="E1F2FB"/>
          </w:tcPr>
          <w:p w14:paraId="475C06AB" w14:textId="10674A8B" w:rsidR="00C27ADE" w:rsidRDefault="00C27ADE" w:rsidP="00C27ADE">
            <w:pPr>
              <w:pStyle w:val="BodyText"/>
              <w:spacing w:beforeLines="20" w:before="48" w:afterLines="20" w:after="48" w:line="120" w:lineRule="atLeast"/>
            </w:pPr>
            <w:r w:rsidRPr="00BA2A0C">
              <w:t>No reserves reported (DNRM, 2016b; AERA, 2018)</w:t>
            </w:r>
          </w:p>
        </w:tc>
      </w:tr>
      <w:tr w:rsidR="00C27ADE" w14:paraId="5F70847A" w14:textId="77777777" w:rsidTr="00EB4DD3">
        <w:tc>
          <w:tcPr>
            <w:tcW w:w="4106" w:type="dxa"/>
            <w:shd w:val="clear" w:color="auto" w:fill="146692"/>
          </w:tcPr>
          <w:p w14:paraId="1DC81F50" w14:textId="65A37163"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Remaining resources (reserves + contingent resources)</w:t>
            </w:r>
          </w:p>
        </w:tc>
        <w:tc>
          <w:tcPr>
            <w:tcW w:w="5523" w:type="dxa"/>
            <w:shd w:val="clear" w:color="auto" w:fill="E1F2FB"/>
          </w:tcPr>
          <w:p w14:paraId="2165F4E4" w14:textId="4A41DA53" w:rsidR="00C27ADE" w:rsidRDefault="00C27ADE" w:rsidP="00C27ADE">
            <w:pPr>
              <w:pStyle w:val="BodyText"/>
              <w:spacing w:beforeLines="20" w:before="48" w:afterLines="20" w:after="48" w:line="120" w:lineRule="atLeast"/>
            </w:pPr>
            <w:r w:rsidRPr="00BA2A0C">
              <w:t>Not reported (AERA, 2018)</w:t>
            </w:r>
          </w:p>
        </w:tc>
      </w:tr>
      <w:tr w:rsidR="00C27ADE" w14:paraId="071BCD28" w14:textId="77777777" w:rsidTr="00EB4DD3">
        <w:tc>
          <w:tcPr>
            <w:tcW w:w="4106" w:type="dxa"/>
            <w:shd w:val="clear" w:color="auto" w:fill="146692"/>
          </w:tcPr>
          <w:p w14:paraId="7A971841" w14:textId="5B61898D"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 xml:space="preserve">Undiscovered resource estimates </w:t>
            </w:r>
          </w:p>
        </w:tc>
        <w:tc>
          <w:tcPr>
            <w:tcW w:w="5523" w:type="dxa"/>
            <w:shd w:val="clear" w:color="auto" w:fill="E1F2FB"/>
          </w:tcPr>
          <w:p w14:paraId="118A70F3" w14:textId="47E6D98A" w:rsidR="00C27ADE" w:rsidRDefault="00C27ADE" w:rsidP="00C27ADE">
            <w:pPr>
              <w:pStyle w:val="BodyText"/>
              <w:spacing w:beforeLines="20" w:before="48" w:afterLines="20" w:after="48" w:line="120" w:lineRule="atLeast"/>
            </w:pPr>
            <w:r w:rsidRPr="00BA2A0C">
              <w:t>Conventional unknown; see prospective resources for shale/ tight gas below</w:t>
            </w:r>
          </w:p>
        </w:tc>
      </w:tr>
      <w:tr w:rsidR="00C27ADE" w14:paraId="3A2786C0" w14:textId="77777777" w:rsidTr="00EB4DD3">
        <w:tc>
          <w:tcPr>
            <w:tcW w:w="9629" w:type="dxa"/>
            <w:gridSpan w:val="2"/>
            <w:shd w:val="clear" w:color="auto" w:fill="146692"/>
          </w:tcPr>
          <w:p w14:paraId="475C4749" w14:textId="64F1C4B4" w:rsidR="00C27ADE" w:rsidRDefault="00C27ADE" w:rsidP="00C27ADE">
            <w:pPr>
              <w:pStyle w:val="BodyText"/>
              <w:spacing w:beforeLines="20" w:before="48" w:afterLines="20" w:after="48" w:line="120" w:lineRule="atLeast"/>
            </w:pPr>
            <w:r w:rsidRPr="00C27ADE">
              <w:rPr>
                <w:b/>
                <w:color w:val="FFFFFF" w:themeColor="background1"/>
              </w:rPr>
              <w:t>PETROLEUM PROSPECTIVITY – SHALE/ TIGHT GAS</w:t>
            </w:r>
          </w:p>
        </w:tc>
      </w:tr>
      <w:tr w:rsidR="00C27ADE" w14:paraId="4D55EEDB" w14:textId="77777777" w:rsidTr="00EB4DD3">
        <w:tc>
          <w:tcPr>
            <w:tcW w:w="4106" w:type="dxa"/>
            <w:shd w:val="clear" w:color="auto" w:fill="146692"/>
          </w:tcPr>
          <w:p w14:paraId="19693551" w14:textId="3741CC43"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Unconventional play types</w:t>
            </w:r>
          </w:p>
        </w:tc>
        <w:tc>
          <w:tcPr>
            <w:tcW w:w="5523" w:type="dxa"/>
            <w:shd w:val="clear" w:color="auto" w:fill="E1F2FB"/>
          </w:tcPr>
          <w:p w14:paraId="742F156D" w14:textId="724600ED" w:rsidR="00C27ADE" w:rsidRDefault="00C27ADE" w:rsidP="00C27ADE">
            <w:pPr>
              <w:pStyle w:val="BodyText"/>
              <w:spacing w:beforeLines="20" w:before="48" w:afterLines="20" w:after="48" w:line="120" w:lineRule="atLeast"/>
            </w:pPr>
            <w:r w:rsidRPr="00BA2A0C">
              <w:t>Shale gas, tight gas</w:t>
            </w:r>
          </w:p>
        </w:tc>
      </w:tr>
      <w:tr w:rsidR="00C27ADE" w14:paraId="194F6A01" w14:textId="77777777" w:rsidTr="00EB4DD3">
        <w:tc>
          <w:tcPr>
            <w:tcW w:w="4106" w:type="dxa"/>
            <w:shd w:val="clear" w:color="auto" w:fill="146692"/>
          </w:tcPr>
          <w:p w14:paraId="74B935ED" w14:textId="029E7518"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No. of wells targeting shale/tight gas plays</w:t>
            </w:r>
          </w:p>
        </w:tc>
        <w:tc>
          <w:tcPr>
            <w:tcW w:w="5523" w:type="dxa"/>
            <w:shd w:val="clear" w:color="auto" w:fill="E1F2FB"/>
          </w:tcPr>
          <w:p w14:paraId="0056B44C" w14:textId="13FEC9E7" w:rsidR="00C27ADE" w:rsidRDefault="00C27ADE" w:rsidP="00C27ADE">
            <w:pPr>
              <w:pStyle w:val="BodyText"/>
              <w:spacing w:beforeLines="20" w:before="48" w:afterLines="20" w:after="48" w:line="120" w:lineRule="atLeast"/>
            </w:pPr>
            <w:r w:rsidRPr="00BA2A0C">
              <w:t>&gt;22</w:t>
            </w:r>
          </w:p>
        </w:tc>
      </w:tr>
      <w:tr w:rsidR="00C27ADE" w14:paraId="7A3593FF" w14:textId="77777777" w:rsidTr="00EB4DD3">
        <w:tc>
          <w:tcPr>
            <w:tcW w:w="4106" w:type="dxa"/>
            <w:shd w:val="clear" w:color="auto" w:fill="146692"/>
          </w:tcPr>
          <w:p w14:paraId="16A26A28" w14:textId="30944E88"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lastRenderedPageBreak/>
              <w:t>Production – shale/ tight gas</w:t>
            </w:r>
          </w:p>
        </w:tc>
        <w:tc>
          <w:tcPr>
            <w:tcW w:w="5523" w:type="dxa"/>
            <w:shd w:val="clear" w:color="auto" w:fill="E1F2FB"/>
          </w:tcPr>
          <w:p w14:paraId="6FCF2E71" w14:textId="449576F2" w:rsidR="00C27ADE" w:rsidRDefault="00C27ADE" w:rsidP="00C27ADE">
            <w:pPr>
              <w:pStyle w:val="BodyText"/>
              <w:spacing w:beforeLines="20" w:before="48" w:afterLines="20" w:after="48" w:line="120" w:lineRule="atLeast"/>
            </w:pPr>
            <w:r w:rsidRPr="00BA2A0C">
              <w:t>None</w:t>
            </w:r>
          </w:p>
        </w:tc>
      </w:tr>
      <w:tr w:rsidR="00C27ADE" w14:paraId="67189599" w14:textId="77777777" w:rsidTr="00EB4DD3">
        <w:tc>
          <w:tcPr>
            <w:tcW w:w="4106" w:type="dxa"/>
            <w:shd w:val="clear" w:color="auto" w:fill="146692"/>
          </w:tcPr>
          <w:p w14:paraId="747BA614" w14:textId="3500FCF4"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2P Reserves – shale/ tight gas</w:t>
            </w:r>
          </w:p>
        </w:tc>
        <w:tc>
          <w:tcPr>
            <w:tcW w:w="5523" w:type="dxa"/>
            <w:shd w:val="clear" w:color="auto" w:fill="E1F2FB"/>
          </w:tcPr>
          <w:p w14:paraId="469F44A0" w14:textId="01F4EAB8" w:rsidR="00C27ADE" w:rsidRDefault="00C27ADE" w:rsidP="00C27ADE">
            <w:pPr>
              <w:pStyle w:val="BodyText"/>
              <w:spacing w:beforeLines="20" w:before="48" w:afterLines="20" w:after="48" w:line="120" w:lineRule="atLeast"/>
            </w:pPr>
            <w:r w:rsidRPr="00BA2A0C">
              <w:t>None reported</w:t>
            </w:r>
          </w:p>
        </w:tc>
      </w:tr>
      <w:tr w:rsidR="00C27ADE" w14:paraId="00B6E055" w14:textId="77777777" w:rsidTr="00EB4DD3">
        <w:tc>
          <w:tcPr>
            <w:tcW w:w="4106" w:type="dxa"/>
            <w:shd w:val="clear" w:color="auto" w:fill="146692"/>
          </w:tcPr>
          <w:p w14:paraId="353008DE" w14:textId="2BDD52A9"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Remaining resources (reserves + contingent resources) – shale/ tight gas</w:t>
            </w:r>
          </w:p>
        </w:tc>
        <w:tc>
          <w:tcPr>
            <w:tcW w:w="5523" w:type="dxa"/>
            <w:shd w:val="clear" w:color="auto" w:fill="E1F2FB"/>
          </w:tcPr>
          <w:p w14:paraId="0ED0F0E9" w14:textId="64B8F19D" w:rsidR="00C27ADE" w:rsidRDefault="00C27ADE" w:rsidP="00C27ADE">
            <w:pPr>
              <w:pStyle w:val="BodyText"/>
              <w:spacing w:beforeLines="20" w:before="48" w:afterLines="20" w:after="48" w:line="120" w:lineRule="atLeast"/>
            </w:pPr>
            <w:r w:rsidRPr="00BA2A0C">
              <w:t>None reported</w:t>
            </w:r>
          </w:p>
        </w:tc>
      </w:tr>
      <w:tr w:rsidR="00C27ADE" w14:paraId="23C4A6FB" w14:textId="77777777" w:rsidTr="00EB4DD3">
        <w:tc>
          <w:tcPr>
            <w:tcW w:w="4106" w:type="dxa"/>
            <w:shd w:val="clear" w:color="auto" w:fill="146692"/>
          </w:tcPr>
          <w:p w14:paraId="02C8CD83" w14:textId="0859D653"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Undiscovered resource estimates – shale/ tight gas</w:t>
            </w:r>
          </w:p>
        </w:tc>
        <w:tc>
          <w:tcPr>
            <w:tcW w:w="5523" w:type="dxa"/>
            <w:shd w:val="clear" w:color="auto" w:fill="E1F2FB"/>
          </w:tcPr>
          <w:p w14:paraId="230B0284" w14:textId="77777777" w:rsidR="00C27ADE" w:rsidRDefault="00C27ADE" w:rsidP="00C27ADE">
            <w:pPr>
              <w:pStyle w:val="TableBullet"/>
              <w:spacing w:beforeLines="20" w:before="48" w:afterLines="20" w:after="48"/>
              <w:ind w:left="459"/>
            </w:pPr>
            <w:r>
              <w:t>T</w:t>
            </w:r>
            <w:r w:rsidRPr="00E64397">
              <w:t xml:space="preserve">echnically recoverable shale gas resources for the lower Arthur Creek Formation of 8 Tcf in the Dulcie Syncline </w:t>
            </w:r>
            <w:r>
              <w:t>(prospective area wet gas 2,260 mi</w:t>
            </w:r>
            <w:r w:rsidRPr="00E64397">
              <w:rPr>
                <w:vertAlign w:val="superscript"/>
              </w:rPr>
              <w:t>2</w:t>
            </w:r>
            <w:r>
              <w:t>, 1,950 mi</w:t>
            </w:r>
            <w:r w:rsidRPr="00477F14">
              <w:rPr>
                <w:vertAlign w:val="superscript"/>
              </w:rPr>
              <w:t>2</w:t>
            </w:r>
            <w:r>
              <w:t xml:space="preserve"> dry gas) </w:t>
            </w:r>
            <w:r w:rsidRPr="00E64397">
              <w:t xml:space="preserve">and 5 Tcf in the Toko Syncline </w:t>
            </w:r>
            <w:r>
              <w:t>(prospective area associated gas 3,220 mi</w:t>
            </w:r>
            <w:r w:rsidRPr="00477F14">
              <w:rPr>
                <w:vertAlign w:val="superscript"/>
              </w:rPr>
              <w:t>2</w:t>
            </w:r>
            <w:r>
              <w:t>, wet gas 2,010 mi</w:t>
            </w:r>
            <w:r w:rsidRPr="00E64397">
              <w:rPr>
                <w:vertAlign w:val="superscript"/>
              </w:rPr>
              <w:t>2</w:t>
            </w:r>
            <w:r>
              <w:t>, dry gas 790 mi</w:t>
            </w:r>
            <w:r w:rsidRPr="00477F14">
              <w:rPr>
                <w:vertAlign w:val="superscript"/>
              </w:rPr>
              <w:t>2</w:t>
            </w:r>
            <w:r>
              <w:t xml:space="preserve">) </w:t>
            </w:r>
            <w:r w:rsidRPr="00E64397">
              <w:t>(EIA, 2013</w:t>
            </w:r>
            <w:r>
              <w:t>)</w:t>
            </w:r>
          </w:p>
          <w:p w14:paraId="786C39EC" w14:textId="77777777" w:rsidR="00C27ADE" w:rsidRDefault="00C27ADE" w:rsidP="00C27ADE">
            <w:pPr>
              <w:pStyle w:val="TableBullet"/>
              <w:spacing w:beforeLines="20" w:before="48" w:afterLines="20" w:after="48"/>
              <w:ind w:left="459"/>
            </w:pPr>
            <w:r>
              <w:t>B</w:t>
            </w:r>
            <w:r w:rsidRPr="00CA0BF9">
              <w:t xml:space="preserve">est estimate of recoverable shale gas resource of 50 Tcf for the Arthur Creek </w:t>
            </w:r>
            <w:r>
              <w:t>Formation over a prospective area of 14,43</w:t>
            </w:r>
            <w:r w:rsidRPr="00CA0BF9">
              <w:t>3 km</w:t>
            </w:r>
            <w:r w:rsidRPr="00CA0BF9">
              <w:rPr>
                <w:vertAlign w:val="superscript"/>
              </w:rPr>
              <w:t>2</w:t>
            </w:r>
            <w:r w:rsidRPr="00CA0BF9">
              <w:t xml:space="preserve"> (</w:t>
            </w:r>
            <w:r>
              <w:t xml:space="preserve">Table A.3; </w:t>
            </w:r>
            <w:r w:rsidRPr="00CA0BF9">
              <w:t>AWT International, 2013)</w:t>
            </w:r>
          </w:p>
          <w:p w14:paraId="6C80C9A5" w14:textId="6AF706DF" w:rsidR="00C27ADE" w:rsidRDefault="00C27ADE" w:rsidP="00C27ADE">
            <w:pPr>
              <w:pStyle w:val="BodyText"/>
              <w:numPr>
                <w:ilvl w:val="0"/>
                <w:numId w:val="33"/>
              </w:numPr>
              <w:spacing w:beforeLines="20" w:before="48" w:afterLines="20" w:after="48" w:line="120" w:lineRule="atLeast"/>
              <w:ind w:left="459"/>
            </w:pPr>
            <w:r>
              <w:t>M</w:t>
            </w:r>
            <w:r w:rsidRPr="00E6518F">
              <w:t>ean total prospective technically recoverable gas resource of 15</w:t>
            </w:r>
            <w:r>
              <w:t> </w:t>
            </w:r>
            <w:r w:rsidRPr="00E6518F">
              <w:t>Tcf in the upper Arthur Creek Shale (prospective area 4,531 km</w:t>
            </w:r>
            <w:r w:rsidRPr="00E6518F">
              <w:rPr>
                <w:vertAlign w:val="superscript"/>
              </w:rPr>
              <w:t>2</w:t>
            </w:r>
            <w:r w:rsidRPr="00E6518F">
              <w:t>) and 18 Tcf in the lower Arthur Creek Shale (prospective area 4,068</w:t>
            </w:r>
            <w:r>
              <w:t> </w:t>
            </w:r>
            <w:r w:rsidRPr="00E6518F">
              <w:t>km</w:t>
            </w:r>
            <w:r w:rsidRPr="00E6518F">
              <w:rPr>
                <w:vertAlign w:val="superscript"/>
              </w:rPr>
              <w:t>2</w:t>
            </w:r>
            <w:r w:rsidRPr="00E6518F">
              <w:t>)</w:t>
            </w:r>
          </w:p>
        </w:tc>
      </w:tr>
      <w:tr w:rsidR="00C27ADE" w14:paraId="16E80E72" w14:textId="77777777" w:rsidTr="00EB4DD3">
        <w:tc>
          <w:tcPr>
            <w:tcW w:w="4106" w:type="dxa"/>
            <w:shd w:val="clear" w:color="auto" w:fill="146692"/>
          </w:tcPr>
          <w:p w14:paraId="4A46A2DB" w14:textId="781EA985" w:rsidR="00C27ADE" w:rsidRPr="00C27ADE" w:rsidRDefault="00C27ADE" w:rsidP="00C27ADE">
            <w:pPr>
              <w:pStyle w:val="BodyText"/>
              <w:spacing w:beforeLines="20" w:before="48" w:afterLines="20" w:after="48" w:line="120" w:lineRule="atLeast"/>
              <w:rPr>
                <w:b/>
                <w:color w:val="FFFFFF" w:themeColor="background1"/>
              </w:rPr>
            </w:pPr>
            <w:r w:rsidRPr="00C27ADE">
              <w:rPr>
                <w:b/>
                <w:color w:val="FFFFFF" w:themeColor="background1"/>
              </w:rPr>
              <w:t>Hydrocarbon shows, tests – shale/ tight gas</w:t>
            </w:r>
          </w:p>
        </w:tc>
        <w:tc>
          <w:tcPr>
            <w:tcW w:w="5523" w:type="dxa"/>
            <w:shd w:val="clear" w:color="auto" w:fill="E1F2FB"/>
          </w:tcPr>
          <w:p w14:paraId="12E283D4" w14:textId="2D141DB4" w:rsidR="00C27ADE" w:rsidRDefault="00C27ADE" w:rsidP="00C27ADE">
            <w:pPr>
              <w:pStyle w:val="BodyText"/>
              <w:spacing w:beforeLines="20" w:before="48" w:afterLines="20" w:after="48" w:line="120" w:lineRule="atLeast"/>
            </w:pPr>
            <w:r w:rsidRPr="00C27ADE">
              <w:t>Ethabuka 1 (1974): dry gas recovery, Coolibah Formation; Gaudi 1 gas shows, lower Arthur Creek Formation</w:t>
            </w:r>
          </w:p>
        </w:tc>
      </w:tr>
    </w:tbl>
    <w:p w14:paraId="58D55FB8" w14:textId="77777777" w:rsidR="008B38C1" w:rsidRDefault="008B38C1" w:rsidP="00E34CDE">
      <w:pPr>
        <w:pStyle w:val="AppendixHeading3"/>
      </w:pPr>
      <w:bookmarkStart w:id="209" w:name="_Toc517161164"/>
      <w:r>
        <w:t>Basin Geology</w:t>
      </w:r>
      <w:bookmarkEnd w:id="209"/>
    </w:p>
    <w:p w14:paraId="0CC5EC50" w14:textId="77777777" w:rsidR="008B38C1" w:rsidRPr="00B41716" w:rsidRDefault="008B38C1" w:rsidP="00B41716">
      <w:pPr>
        <w:pStyle w:val="BodyText"/>
      </w:pPr>
      <w:r w:rsidRPr="00B41716">
        <w:t>The Georgina Basin is a Neoproterozoic–early Paleozoic epicratonic basin located in western Queensland and eastern Northern Territory (</w:t>
      </w:r>
      <w:r w:rsidR="00611607">
        <w:rPr>
          <w:rStyle w:val="BodyTextChar"/>
        </w:rPr>
        <w:t>Figure C</w:t>
      </w:r>
      <w:r w:rsidR="00D236DE">
        <w:rPr>
          <w:rStyle w:val="BodyTextChar"/>
        </w:rPr>
        <w:t>.38</w:t>
      </w:r>
      <w:r w:rsidRPr="00B41716">
        <w:t xml:space="preserve">; </w:t>
      </w:r>
      <w:r w:rsidR="00611607">
        <w:rPr>
          <w:rStyle w:val="BodyTextChar"/>
        </w:rPr>
        <w:t>Table C</w:t>
      </w:r>
      <w:r w:rsidR="00096667">
        <w:rPr>
          <w:rStyle w:val="BodyTextChar"/>
        </w:rPr>
        <w:t>.3</w:t>
      </w:r>
      <w:r w:rsidR="002D029E">
        <w:rPr>
          <w:rStyle w:val="BodyTextChar"/>
        </w:rPr>
        <w:t>4</w:t>
      </w:r>
      <w:r w:rsidRPr="00B41716">
        <w:t>). The basin is the erosional remnant of what was a much larger Proterozoic and early Paleozoic basin deposited in a sea that extended over much of eastern Australia. During the Neoproterozoic (1000–542 Ma), the Georgina Basin was part of the Centralian Superbasin, which encompassed the Amadeus, Ngalia, Officer and Savory basins (Walter et al., 1995; Munson et al., 2013). The Petermann Orogeny in the late Neoproterozoic isolated the Georgina Basin from the Amadeus Basin. Early middle Cambrian seaways connected the Georgina Basin with the Wiso Basin in the west and very probably with the Daly Basin in the northwest, beneath Mesozoic cover (Jell, 2013).</w:t>
      </w:r>
    </w:p>
    <w:p w14:paraId="20078411" w14:textId="77777777" w:rsidR="008B38C1" w:rsidRPr="00B41716" w:rsidRDefault="008B38C1" w:rsidP="00B41716">
      <w:pPr>
        <w:pStyle w:val="BodyText"/>
      </w:pPr>
      <w:r w:rsidRPr="00B41716">
        <w:t>The basin consists of two distinct domains: depocentres in the southern part of the basin (southern Georgina Basin), including the Dulcie and Toko synclines, and a central-northern platform (Munson, 2014). In the south, the succession is Neoproterozoic to Devonian, with more than 1</w:t>
      </w:r>
      <w:r w:rsidR="00D47844">
        <w:t>,</w:t>
      </w:r>
      <w:r w:rsidRPr="00B41716">
        <w:t>50</w:t>
      </w:r>
      <w:r w:rsidR="004C01AB">
        <w:t>0 m</w:t>
      </w:r>
      <w:r w:rsidRPr="00B41716">
        <w:t xml:space="preserve"> of Neoproterozoic glacial and marine sedimentary rocks preserved in fault-controlled depocentres along the southern margin. These are overlain by a 220</w:t>
      </w:r>
      <w:r w:rsidR="004C01AB">
        <w:t>0 m</w:t>
      </w:r>
      <w:r w:rsidRPr="00B41716">
        <w:t xml:space="preserve"> thick Cambrian to Devonian succession containing carbonate, clastic and evaporitic sedimentary rocks deposited in deep, shallow and restricted marine, inter-tidal, and supratidal environments (</w:t>
      </w:r>
      <w:r w:rsidR="00611607">
        <w:t>Figure C</w:t>
      </w:r>
      <w:r w:rsidR="00D236DE">
        <w:t>.39</w:t>
      </w:r>
      <w:r w:rsidRPr="00B41716">
        <w:t xml:space="preserve">; Munson, 2014). </w:t>
      </w:r>
    </w:p>
    <w:p w14:paraId="5B625332" w14:textId="3B7C61C1" w:rsidR="008B38C1" w:rsidRPr="00B41716" w:rsidRDefault="008B38C1" w:rsidP="00B41716">
      <w:pPr>
        <w:pStyle w:val="BodyText"/>
      </w:pPr>
      <w:r w:rsidRPr="00B41716">
        <w:t xml:space="preserve">The </w:t>
      </w:r>
      <w:r w:rsidR="003B4D8C">
        <w:t xml:space="preserve">eastern </w:t>
      </w:r>
      <w:r w:rsidRPr="00B41716">
        <w:t>portion of the basin overlies the Paleoproterozoic–Mesoproterozoic Isa Superbasin, and the northern margin overlies the Paleoproterozoic McArthur Basin and the Mesoproterozoic South Nicholson Basin</w:t>
      </w:r>
      <w:r w:rsidR="008A0D8C">
        <w:t>, where</w:t>
      </w:r>
      <w:r w:rsidRPr="00B41716">
        <w:t xml:space="preserve"> the Neoproterozoic to Cambrian succession only reaches a maximum thickness of 30</w:t>
      </w:r>
      <w:r w:rsidR="004C01AB">
        <w:t>0 m</w:t>
      </w:r>
      <w:r w:rsidRPr="00B41716">
        <w:t xml:space="preserve"> (Munson, 2014). The Georgina Basin is overlain by Cretaceous </w:t>
      </w:r>
      <w:r w:rsidRPr="00B41716">
        <w:lastRenderedPageBreak/>
        <w:t xml:space="preserve">sandstones of the Carpentaria Basin in the northwest, and Jurassic–Cretaceous sedimentary rocks of the Eromanga Basin along the southeastern margin. </w:t>
      </w:r>
    </w:p>
    <w:p w14:paraId="661E88E4" w14:textId="77777777" w:rsidR="008B38C1" w:rsidRPr="005450A3" w:rsidRDefault="008B38C1" w:rsidP="005450A3">
      <w:pPr>
        <w:pStyle w:val="BodyText"/>
      </w:pPr>
    </w:p>
    <w:p w14:paraId="3C7689F7" w14:textId="5DBDFF30" w:rsidR="008B38C1" w:rsidRPr="005450A3" w:rsidRDefault="00D847BF" w:rsidP="008B38C1">
      <w:pPr>
        <w:pStyle w:val="FiguresImagesCentred"/>
      </w:pPr>
      <w:r>
        <w:rPr>
          <w:noProof/>
        </w:rPr>
        <w:drawing>
          <wp:inline distT="0" distB="0" distL="0" distR="0" wp14:anchorId="4368A682" wp14:editId="3EA1BC34">
            <wp:extent cx="5753100" cy="4676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4" cstate="screen">
                      <a:extLst>
                        <a:ext uri="{28A0092B-C50C-407E-A947-70E740481C1C}">
                          <a14:useLocalDpi xmlns:a14="http://schemas.microsoft.com/office/drawing/2010/main"/>
                        </a:ext>
                      </a:extLst>
                    </a:blip>
                    <a:srcRect/>
                    <a:stretch>
                      <a:fillRect/>
                    </a:stretch>
                  </pic:blipFill>
                  <pic:spPr bwMode="auto">
                    <a:xfrm>
                      <a:off x="0" y="0"/>
                      <a:ext cx="5753100" cy="4676775"/>
                    </a:xfrm>
                    <a:prstGeom prst="rect">
                      <a:avLst/>
                    </a:prstGeom>
                    <a:noFill/>
                    <a:ln>
                      <a:noFill/>
                    </a:ln>
                  </pic:spPr>
                </pic:pic>
              </a:graphicData>
            </a:graphic>
          </wp:inline>
        </w:drawing>
      </w:r>
    </w:p>
    <w:p w14:paraId="2A979B3A" w14:textId="77777777" w:rsidR="008B38C1" w:rsidRDefault="00E01F8F" w:rsidP="009F3E8F">
      <w:pPr>
        <w:pStyle w:val="Caption"/>
      </w:pPr>
      <w:bookmarkStart w:id="210" w:name="_Toc508972109"/>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38</w:t>
      </w:r>
      <w:r w:rsidR="008079F1">
        <w:rPr>
          <w:noProof/>
        </w:rPr>
        <w:fldChar w:fldCharType="end"/>
      </w:r>
      <w:r>
        <w:rPr>
          <w:noProof/>
        </w:rPr>
        <w:t xml:space="preserve"> </w:t>
      </w:r>
      <w:r w:rsidR="008B38C1">
        <w:t>Location of the Georgina Basin on a base map of surface geology from Carr et al. (2016). The surface geology is from the 1:1,000,000 scale geology map of Australia (Raymond, 2009), and the outline of the Georgina Basin is from Stewart et al. (2013).</w:t>
      </w:r>
      <w:bookmarkEnd w:id="210"/>
    </w:p>
    <w:p w14:paraId="152AD963" w14:textId="75ED0F7A" w:rsidR="008B38C1" w:rsidRPr="005450A3" w:rsidRDefault="008B38C1" w:rsidP="00FD6771">
      <w:pPr>
        <w:pStyle w:val="FiguresImagesCentred"/>
      </w:pPr>
      <w:r>
        <w:br w:type="page"/>
      </w:r>
      <w:r w:rsidR="00033C1D" w:rsidRPr="00767274">
        <w:rPr>
          <w:noProof/>
        </w:rPr>
        <w:lastRenderedPageBreak/>
        <w:drawing>
          <wp:inline distT="0" distB="0" distL="0" distR="0" wp14:anchorId="429DD3C3" wp14:editId="13F865AB">
            <wp:extent cx="4825650" cy="7429500"/>
            <wp:effectExtent l="0" t="0" r="0" b="0"/>
            <wp:docPr id="7217" name="Picture 7217" title="Stratigraphy of the Georgina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5" cstate="screen">
                      <a:extLst>
                        <a:ext uri="{28A0092B-C50C-407E-A947-70E740481C1C}">
                          <a14:useLocalDpi xmlns:a14="http://schemas.microsoft.com/office/drawing/2010/main"/>
                        </a:ext>
                      </a:extLst>
                    </a:blip>
                    <a:srcRect/>
                    <a:stretch/>
                  </pic:blipFill>
                  <pic:spPr bwMode="auto">
                    <a:xfrm>
                      <a:off x="0" y="0"/>
                      <a:ext cx="4824333" cy="7427472"/>
                    </a:xfrm>
                    <a:prstGeom prst="rect">
                      <a:avLst/>
                    </a:prstGeom>
                    <a:ln>
                      <a:noFill/>
                    </a:ln>
                    <a:extLst>
                      <a:ext uri="{53640926-AAD7-44D8-BBD7-CCE9431645EC}">
                        <a14:shadowObscured xmlns:a14="http://schemas.microsoft.com/office/drawing/2010/main"/>
                      </a:ext>
                    </a:extLst>
                  </pic:spPr>
                </pic:pic>
              </a:graphicData>
            </a:graphic>
          </wp:inline>
        </w:drawing>
      </w:r>
    </w:p>
    <w:p w14:paraId="27E27239" w14:textId="77777777" w:rsidR="008B38C1" w:rsidRDefault="00E01F8F" w:rsidP="009F3E8F">
      <w:pPr>
        <w:pStyle w:val="Caption"/>
      </w:pPr>
      <w:bookmarkStart w:id="211" w:name="_Toc508972110"/>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39</w:t>
      </w:r>
      <w:r w:rsidR="008079F1">
        <w:rPr>
          <w:noProof/>
        </w:rPr>
        <w:fldChar w:fldCharType="end"/>
      </w:r>
      <w:r>
        <w:rPr>
          <w:noProof/>
        </w:rPr>
        <w:t xml:space="preserve"> </w:t>
      </w:r>
      <w:r w:rsidR="008B38C1">
        <w:rPr>
          <w:rFonts w:eastAsia="TimesNewRomanPSMT"/>
        </w:rPr>
        <w:t>S</w:t>
      </w:r>
      <w:r w:rsidR="008B38C1">
        <w:t xml:space="preserve">tratigraphy of the Georgina Basin from Carr et al. (2016). Early Paleozoic stratigraphy showing the locations of key source rocks and hydrocarbon shows in the Cambrian to Ordovician part of the basin. Note that </w:t>
      </w:r>
      <w:r w:rsidR="008B38C1">
        <w:lastRenderedPageBreak/>
        <w:t>Devonian units in the Dulcie Syncline (Dulcie Sandstone) and Toko Syncline (Cravens Peak beds) have been omitted from this figure.</w:t>
      </w:r>
      <w:bookmarkEnd w:id="211"/>
    </w:p>
    <w:p w14:paraId="2A3653BC" w14:textId="77777777" w:rsidR="008B38C1" w:rsidRDefault="008B38C1" w:rsidP="00E34CDE">
      <w:pPr>
        <w:pStyle w:val="AppendixHeading3"/>
      </w:pPr>
      <w:bookmarkStart w:id="212" w:name="_Toc517161165"/>
      <w:r>
        <w:t>Petroleum data coverage</w:t>
      </w:r>
      <w:bookmarkEnd w:id="212"/>
    </w:p>
    <w:p w14:paraId="01371157" w14:textId="2B0F8F8D" w:rsidR="008B38C1" w:rsidRDefault="008B38C1" w:rsidP="00B41716">
      <w:pPr>
        <w:pStyle w:val="BodyText"/>
      </w:pPr>
      <w:r>
        <w:t>Despite recent interest in the Georgina Basin, it remains underexplored. Over 70 wells (petroleum and stratigraphic) have been drilled, most of which are located in the southern part of the basin and the Burke River Structural Zone in the east (</w:t>
      </w:r>
      <w:r w:rsidR="00611607">
        <w:t>Figure C</w:t>
      </w:r>
      <w:r w:rsidR="00D236DE">
        <w:t>.40</w:t>
      </w:r>
      <w:r>
        <w:t>; Carr et al., 2016</w:t>
      </w:r>
      <w:r w:rsidR="005023A3">
        <w:t>; DNRME, 2017a; NTGS, 2017a</w:t>
      </w:r>
      <w:r>
        <w:t>). In contrast, very little exploration has occurred in the central and northern portions of the basin, with only one petroleum well drilled in the Undilla Sub-basin and two wells in the Barkly Sub-basin (Munson, 2014). A higher well density in far northeast of the basin reflects exploration targeting the underlying Beetaloo Sub-basin succession of the McArthur Basin.</w:t>
      </w:r>
    </w:p>
    <w:p w14:paraId="38A0F95E" w14:textId="7957C853" w:rsidR="008B38C1" w:rsidRDefault="008B38C1" w:rsidP="00B41716">
      <w:pPr>
        <w:pStyle w:val="BodyText"/>
      </w:pPr>
      <w:r>
        <w:t>A limited amount of 2D seismic data has been acquired in the Georgina Basin (</w:t>
      </w:r>
      <w:r w:rsidR="00611607">
        <w:t>Figure C</w:t>
      </w:r>
      <w:r w:rsidR="00D236DE">
        <w:t>.40</w:t>
      </w:r>
      <w:r w:rsidR="005023A3">
        <w:t>; DNRME, 2017b-d; NTGS, 2017b</w:t>
      </w:r>
      <w:r>
        <w:t>), with most lines predating the 1990s. One of the most significant recent surveys was conducted in 2013 by Central Petroleum Ltd, in a joint venture with Total, who acquired approximately 970</w:t>
      </w:r>
      <w:r w:rsidR="008232C9">
        <w:t> km</w:t>
      </w:r>
      <w:r>
        <w:t xml:space="preserve"> of seismic data across the Toko Syncline (Willink and Allison, 2015; Central Petroleum, 2017). Several deep seismic reflection lines have been collected by Geoscience Australia and partners, providing insights into the large-scale basin architecture (e.g. Carr and Korsch, 2011; Carr et al., 2016). </w:t>
      </w:r>
    </w:p>
    <w:p w14:paraId="128B5EEC" w14:textId="77777777" w:rsidR="008B38C1" w:rsidRPr="005450A3" w:rsidRDefault="008B38C1" w:rsidP="008B38C1">
      <w:pPr>
        <w:pStyle w:val="FiguresImagesCentred"/>
      </w:pPr>
      <w:r>
        <w:rPr>
          <w:noProof/>
        </w:rPr>
        <w:lastRenderedPageBreak/>
        <w:drawing>
          <wp:inline distT="0" distB="0" distL="0" distR="0" wp14:anchorId="58180F39" wp14:editId="2E0CDEF7">
            <wp:extent cx="5765800" cy="5196205"/>
            <wp:effectExtent l="0" t="0" r="6350" b="4445"/>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6" cstate="screen">
                      <a:extLst>
                        <a:ext uri="{28A0092B-C50C-407E-A947-70E740481C1C}">
                          <a14:useLocalDpi xmlns:a14="http://schemas.microsoft.com/office/drawing/2010/main"/>
                        </a:ext>
                      </a:extLst>
                    </a:blip>
                    <a:srcRect/>
                    <a:stretch>
                      <a:fillRect/>
                    </a:stretch>
                  </pic:blipFill>
                  <pic:spPr bwMode="auto">
                    <a:xfrm>
                      <a:off x="0" y="0"/>
                      <a:ext cx="5765800" cy="5196205"/>
                    </a:xfrm>
                    <a:prstGeom prst="rect">
                      <a:avLst/>
                    </a:prstGeom>
                    <a:noFill/>
                    <a:ln>
                      <a:noFill/>
                    </a:ln>
                  </pic:spPr>
                </pic:pic>
              </a:graphicData>
            </a:graphic>
          </wp:inline>
        </w:drawing>
      </w:r>
    </w:p>
    <w:p w14:paraId="07C54586" w14:textId="5F9CEA5F" w:rsidR="008B38C1" w:rsidRDefault="00E01F8F" w:rsidP="009F3E8F">
      <w:pPr>
        <w:pStyle w:val="Caption"/>
      </w:pPr>
      <w:bookmarkStart w:id="213" w:name="_Toc508972111"/>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40</w:t>
      </w:r>
      <w:r w:rsidR="008079F1">
        <w:rPr>
          <w:noProof/>
        </w:rPr>
        <w:fldChar w:fldCharType="end"/>
      </w:r>
      <w:r>
        <w:rPr>
          <w:noProof/>
        </w:rPr>
        <w:t xml:space="preserve"> </w:t>
      </w:r>
      <w:r w:rsidR="008B38C1">
        <w:t xml:space="preserve">Georgina Basin petroleum exploration wells, stratigraphic drill holes. </w:t>
      </w:r>
      <w:r w:rsidR="005F1D49">
        <w:t>Georgina Basin outline from Stewart et al. (2013).</w:t>
      </w:r>
      <w:r w:rsidR="00B45C8B">
        <w:t xml:space="preserve"> </w:t>
      </w:r>
      <w:r w:rsidR="008B38C1">
        <w:t>Well locations from DNMR</w:t>
      </w:r>
      <w:r w:rsidR="00A51CEF">
        <w:t>E</w:t>
      </w:r>
      <w:r w:rsidR="008B38C1">
        <w:t xml:space="preserve"> (2017a) and NTGS</w:t>
      </w:r>
      <w:r w:rsidR="0085437E">
        <w:t xml:space="preserve"> (</w:t>
      </w:r>
      <w:r w:rsidR="008B38C1">
        <w:t>2017</w:t>
      </w:r>
      <w:r w:rsidR="005023A3">
        <w:t>a</w:t>
      </w:r>
      <w:r w:rsidR="008B38C1">
        <w:t xml:space="preserve">). </w:t>
      </w:r>
      <w:r w:rsidR="00A51CEF">
        <w:t>Seismic data from DNMRE (2017b-d) and NTGS</w:t>
      </w:r>
      <w:r w:rsidR="005023A3">
        <w:t xml:space="preserve"> (2017b).</w:t>
      </w:r>
      <w:bookmarkEnd w:id="213"/>
    </w:p>
    <w:p w14:paraId="3608EB97" w14:textId="77777777" w:rsidR="008B38C1" w:rsidRDefault="008B38C1" w:rsidP="00E34CDE">
      <w:pPr>
        <w:pStyle w:val="AppendixHeading3"/>
      </w:pPr>
      <w:bookmarkStart w:id="214" w:name="_Toc517161166"/>
      <w:r>
        <w:t>Shale and tight gas prospectivity</w:t>
      </w:r>
      <w:bookmarkEnd w:id="214"/>
    </w:p>
    <w:p w14:paraId="0F42C564" w14:textId="77777777" w:rsidR="008B38C1" w:rsidRDefault="008B38C1" w:rsidP="00B41716">
      <w:pPr>
        <w:pStyle w:val="BodyText"/>
      </w:pPr>
      <w:r>
        <w:t xml:space="preserve">The hydrocarbon prospectivity of the Georgina Basin is summarised in </w:t>
      </w:r>
      <w:r w:rsidR="00096667">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00096667">
        <w:t>.3</w:t>
      </w:r>
      <w:r w:rsidR="002D029E">
        <w:t>4</w:t>
      </w:r>
      <w:r>
        <w:t>.</w:t>
      </w:r>
    </w:p>
    <w:p w14:paraId="0F9B5663" w14:textId="140C3A60" w:rsidR="008B38C1" w:rsidRDefault="008B38C1" w:rsidP="00B41716">
      <w:pPr>
        <w:pStyle w:val="BodyText"/>
      </w:pPr>
      <w:r>
        <w:t>Recent exploration in the Georgina Basin has mainly focused on unconventional hydrocarbons (Bennett et al., 2010; Ryder Scott Company Petroleum Consultants, 2010; DSWPET, 2011; Vu et al., 2011; Ambrose et al., 2012; Boult and Bennett, 2012; Willink and Allison, 2015). Over 22 wells have been drilled across a broad area of the southern Georgina Basin, in both the Northern Territory and Queensland, targeting unconventional shale oil, shale gas and basin-centred gas plays (</w:t>
      </w:r>
      <w:r w:rsidR="00611607">
        <w:t>Figure C</w:t>
      </w:r>
      <w:r w:rsidR="00D236DE">
        <w:t>.39</w:t>
      </w:r>
      <w:r>
        <w:t>; Munson, 2014).</w:t>
      </w:r>
    </w:p>
    <w:p w14:paraId="554DCB43" w14:textId="550C4DA2" w:rsidR="008B38C1" w:rsidRDefault="008B38C1" w:rsidP="00B41716">
      <w:pPr>
        <w:pStyle w:val="BodyText"/>
      </w:pPr>
      <w:r>
        <w:t xml:space="preserve">The Arthur Creek Formation is considered to contain the most prospective unconventional gas targets in the Georgina Basin. These include fractured shale and other tight reservoirs (e.g. fractured/vuggy silty dolostone) of the upper Arthur Creek Formation, and fractured silty shale of the lower Arthur Creek Formation (Munson, 2014). Additional targets include shale and tight gas </w:t>
      </w:r>
      <w:r>
        <w:lastRenderedPageBreak/>
        <w:t>plays in the Thorntonia Limestone and the Arrinthrunga Formation, along with more speculative plays in the Georgina Limestone, Beetle Creek Formation and Inca Shale (</w:t>
      </w:r>
      <w:r w:rsidR="00611607">
        <w:t>Table C</w:t>
      </w:r>
      <w:r w:rsidR="00096667">
        <w:t>.3</w:t>
      </w:r>
      <w:r w:rsidR="002D029E">
        <w:t>5</w:t>
      </w:r>
      <w:r w:rsidR="00096667">
        <w:t xml:space="preserve">; </w:t>
      </w:r>
      <w:r w:rsidR="00611607">
        <w:t>Figure C</w:t>
      </w:r>
      <w:r w:rsidR="00D236DE">
        <w:t>.41</w:t>
      </w:r>
      <w:r>
        <w:t>; Draper, 2007; DNRM, 2017; Willink and Allison, 2015).</w:t>
      </w:r>
    </w:p>
    <w:p w14:paraId="247BA521" w14:textId="4AA5D8CC" w:rsidR="008B38C1" w:rsidRDefault="008B38C1" w:rsidP="00B41716">
      <w:pPr>
        <w:pStyle w:val="BodyText"/>
      </w:pPr>
      <w:r>
        <w:t>In the Northern Territory, three horizontal wells were drilled by PetroFrontier in 2011 in a joint venture with Baraka Energy and Resources Ltd, targeting the base of the Arthur Creek Formation and Thorntonia Limestone. Baldwin 2H and MacIntyre 2H were located in the Dulcie Syncline and Owen 3H in the northern Toko Syncline close to the QLD-NT border</w:t>
      </w:r>
      <w:r w:rsidR="000E4281" w:rsidRPr="000E4281">
        <w:t xml:space="preserve"> </w:t>
      </w:r>
      <w:r w:rsidR="000E4281">
        <w:t>ST1 (PetroFrontier, 2011; Baraka, 2012)</w:t>
      </w:r>
      <w:r>
        <w:t>. Both MacIntyre 2H and Owen 3H were successfully stimulated and completed, although no hydrocarbons were recovered</w:t>
      </w:r>
      <w:r w:rsidR="002002F9">
        <w:t xml:space="preserve"> (Baraka, 2012)</w:t>
      </w:r>
      <w:r>
        <w:t>.</w:t>
      </w:r>
    </w:p>
    <w:p w14:paraId="367AAA05" w14:textId="48EF49BE" w:rsidR="008B38C1" w:rsidRDefault="008B38C1" w:rsidP="00B41716">
      <w:pPr>
        <w:pStyle w:val="BodyText"/>
      </w:pPr>
      <w:r>
        <w:t>In 2014, five wells were drilled across the southeastern part of the basin in the Northern Territory (OzAlpha 1, OzBeta 1, OzGamma 1, OzDelta 1, OzEpsilon 1), as part of joint venture between Statoil and PetroFrontier</w:t>
      </w:r>
      <w:r w:rsidR="00326BD1">
        <w:t xml:space="preserve"> to explore for shale oil</w:t>
      </w:r>
      <w:r>
        <w:t>. The wells primarily targeted the lower Arthur Creek Formation and Thorntonia Limestone</w:t>
      </w:r>
      <w:r w:rsidR="008B0413">
        <w:t>. Hydrocarbons were encountered, but testing of two wells did not result in any hydrocarbon flow to the surface</w:t>
      </w:r>
      <w:r>
        <w:t xml:space="preserve">. Following these results, Statoil withdrew from the licence area (Statoil, </w:t>
      </w:r>
      <w:r w:rsidR="008B0413">
        <w:t>2014</w:t>
      </w:r>
      <w:r>
        <w:t>).</w:t>
      </w:r>
    </w:p>
    <w:p w14:paraId="1AD96327" w14:textId="7E44B4E9" w:rsidR="008B38C1" w:rsidRDefault="008B38C1" w:rsidP="00B41716">
      <w:pPr>
        <w:pStyle w:val="BodyText"/>
      </w:pPr>
      <w:r>
        <w:t xml:space="preserve">In the Toko Syncline in Queensland, Central Petroleum continue to investigate shale gas and tight gas targets, in addition to potential conventional gas accumulations (Willink and Allison, 2015; Central Petroleum, 2012, 2017; DNRM, 2017). In 2014, two wells (Whiteley 1; Gaudi 1) were drilled to evaluate the lower Arthur Creek Formation and the Thorntonia Limestone (Central Petroleum, 2017; DNRM, 2017). Only Gaudi 1 reached its intended target, </w:t>
      </w:r>
      <w:r w:rsidR="001A3394">
        <w:t xml:space="preserve">recording </w:t>
      </w:r>
      <w:r>
        <w:t xml:space="preserve">good gas shows in the </w:t>
      </w:r>
      <w:r w:rsidR="001A3394">
        <w:t xml:space="preserve">lower </w:t>
      </w:r>
      <w:r>
        <w:t>Arthur Creek Formation.</w:t>
      </w:r>
    </w:p>
    <w:p w14:paraId="20BD80C6" w14:textId="3132CC7E" w:rsidR="008B38C1" w:rsidRDefault="008B38C1" w:rsidP="00B41716">
      <w:pPr>
        <w:pStyle w:val="BodyText"/>
      </w:pPr>
      <w:r>
        <w:t>Several regional scale prospective resource estimates have been published for shale gas plays in the Georgina, as described below</w:t>
      </w:r>
      <w:r w:rsidR="001A3394">
        <w:t>:</w:t>
      </w:r>
    </w:p>
    <w:p w14:paraId="2101E8D9" w14:textId="32FF1D68" w:rsidR="008B38C1" w:rsidRPr="005450A3" w:rsidRDefault="008B38C1" w:rsidP="005450A3">
      <w:pPr>
        <w:pStyle w:val="ListBullet"/>
      </w:pPr>
      <w:r w:rsidRPr="005450A3">
        <w:t>An assessment of the unconventional hydrocarbon plays for the eastern Toko Syncline of the Georgina Basin estimated a mean total prospective techni</w:t>
      </w:r>
      <w:r w:rsidR="00E6518F">
        <w:t>cally recoverable gas resource of 15 Tcf in the upper Arthur Creek Shale (prospective area 4,531 km</w:t>
      </w:r>
      <w:r w:rsidR="00E6518F" w:rsidRPr="00E6518F">
        <w:rPr>
          <w:vertAlign w:val="superscript"/>
        </w:rPr>
        <w:t>2</w:t>
      </w:r>
      <w:r w:rsidR="00E6518F">
        <w:t>) and 18 Tcf in the lower Arthur Creek Shale (prospective area 4,068 km</w:t>
      </w:r>
      <w:r w:rsidR="00E6518F" w:rsidRPr="00E6518F">
        <w:rPr>
          <w:vertAlign w:val="superscript"/>
        </w:rPr>
        <w:t>2</w:t>
      </w:r>
      <w:r w:rsidR="00E6518F">
        <w:t>)</w:t>
      </w:r>
      <w:r w:rsidRPr="005450A3">
        <w:t xml:space="preserve"> (</w:t>
      </w:r>
      <w:r w:rsidR="004432BE">
        <w:t xml:space="preserve">Table C.34; </w:t>
      </w:r>
      <w:r w:rsidRPr="005450A3">
        <w:t>DSWPET, 2011).</w:t>
      </w:r>
    </w:p>
    <w:p w14:paraId="614E9A28" w14:textId="4EC943E2" w:rsidR="008B38C1" w:rsidRPr="005450A3" w:rsidRDefault="008B38C1" w:rsidP="00E64397">
      <w:pPr>
        <w:pStyle w:val="ListBullet"/>
      </w:pPr>
      <w:r w:rsidRPr="005450A3">
        <w:t xml:space="preserve">The US Energy Information Administration (EIA) reported </w:t>
      </w:r>
      <w:r w:rsidR="00477F14" w:rsidRPr="00E64397">
        <w:t xml:space="preserve">technically recoverable shale gas resources for the lower Arthur Creek Formation of 8 Tcf in the Dulcie Syncline </w:t>
      </w:r>
      <w:r w:rsidR="00477F14">
        <w:t>(prospective area wet gas 2,260 mi</w:t>
      </w:r>
      <w:r w:rsidR="00477F14" w:rsidRPr="00E64397">
        <w:rPr>
          <w:vertAlign w:val="superscript"/>
        </w:rPr>
        <w:t>2</w:t>
      </w:r>
      <w:r w:rsidR="00477F14">
        <w:t>, 1,950 mi</w:t>
      </w:r>
      <w:r w:rsidR="00477F14" w:rsidRPr="00477F14">
        <w:rPr>
          <w:vertAlign w:val="superscript"/>
        </w:rPr>
        <w:t>2</w:t>
      </w:r>
      <w:r w:rsidR="00477F14">
        <w:t xml:space="preserve"> dry gas) </w:t>
      </w:r>
      <w:r w:rsidR="00477F14" w:rsidRPr="00E64397">
        <w:t xml:space="preserve">and 5 Tcf in the Toko Syncline </w:t>
      </w:r>
      <w:r w:rsidR="00477F14">
        <w:t>(prospective area associated gas 3,220 mi</w:t>
      </w:r>
      <w:r w:rsidR="00477F14" w:rsidRPr="00477F14">
        <w:rPr>
          <w:vertAlign w:val="superscript"/>
        </w:rPr>
        <w:t>2</w:t>
      </w:r>
      <w:r w:rsidR="00477F14">
        <w:t>, wet gas 2,010 mi</w:t>
      </w:r>
      <w:r w:rsidR="00477F14" w:rsidRPr="00E64397">
        <w:rPr>
          <w:vertAlign w:val="superscript"/>
        </w:rPr>
        <w:t>2</w:t>
      </w:r>
      <w:r w:rsidR="00477F14">
        <w:t>, dry gas 790 mi</w:t>
      </w:r>
      <w:r w:rsidR="00477F14" w:rsidRPr="00477F14">
        <w:rPr>
          <w:vertAlign w:val="superscript"/>
        </w:rPr>
        <w:t>2</w:t>
      </w:r>
      <w:r w:rsidR="00477F14">
        <w:t xml:space="preserve">) </w:t>
      </w:r>
      <w:r w:rsidRPr="005450A3">
        <w:t>(</w:t>
      </w:r>
      <w:r w:rsidR="004432BE">
        <w:t xml:space="preserve">Table C.34; </w:t>
      </w:r>
      <w:r w:rsidRPr="005450A3">
        <w:t xml:space="preserve">EIA, 2013). </w:t>
      </w:r>
    </w:p>
    <w:p w14:paraId="1F7CDBC2" w14:textId="56FF1D07" w:rsidR="008B38C1" w:rsidRPr="005450A3" w:rsidRDefault="008B38C1" w:rsidP="005450A3">
      <w:pPr>
        <w:pStyle w:val="ListBullet"/>
      </w:pPr>
      <w:r w:rsidRPr="005450A3">
        <w:t xml:space="preserve">AWT </w:t>
      </w:r>
      <w:r w:rsidR="0012354E">
        <w:t>International</w:t>
      </w:r>
      <w:r w:rsidRPr="005450A3">
        <w:t xml:space="preserve"> reported </w:t>
      </w:r>
      <w:r w:rsidR="001A3394">
        <w:t>a</w:t>
      </w:r>
      <w:r w:rsidR="001A3394" w:rsidRPr="005450A3">
        <w:t xml:space="preserve"> </w:t>
      </w:r>
      <w:r w:rsidRPr="005450A3">
        <w:t xml:space="preserve">best estimate of recoverable shale gas resource </w:t>
      </w:r>
      <w:r w:rsidR="001A3394">
        <w:t>of</w:t>
      </w:r>
      <w:r w:rsidRPr="005450A3">
        <w:t xml:space="preserve"> 50 Tcf for the Arthur Creek Formation </w:t>
      </w:r>
      <w:r w:rsidR="004432BE">
        <w:t>over a prospective</w:t>
      </w:r>
      <w:r w:rsidR="00CA0BF9">
        <w:t xml:space="preserve"> area of 14,433 km</w:t>
      </w:r>
      <w:r w:rsidR="00CA0BF9" w:rsidRPr="00CA0BF9">
        <w:rPr>
          <w:vertAlign w:val="superscript"/>
        </w:rPr>
        <w:t>2</w:t>
      </w:r>
      <w:r w:rsidR="00CA0BF9">
        <w:t xml:space="preserve"> </w:t>
      </w:r>
      <w:r w:rsidRPr="005450A3">
        <w:t>(</w:t>
      </w:r>
      <w:r w:rsidR="004432BE">
        <w:t xml:space="preserve">Table C.34; </w:t>
      </w:r>
      <w:r w:rsidRPr="005450A3">
        <w:t xml:space="preserve">AWT International, 2013). </w:t>
      </w:r>
    </w:p>
    <w:p w14:paraId="1407522F" w14:textId="77777777" w:rsidR="008B38C1" w:rsidRDefault="008B38C1" w:rsidP="00B41716">
      <w:pPr>
        <w:pStyle w:val="BodyText"/>
      </w:pPr>
      <w:r>
        <w:t xml:space="preserve">Although initial industry activity results indicate that the Georgina Basin is potentially prospective for shale and tight gas, both the Northern Territory and Queensland portions of the basin are still in an early phase of exploration. Drilling results to date have met with mixed success, and uncertainties due to lack of geological knowledge are considerable. As a result, the full extent of the shale and tight gas resources in the basin remain poorly understood and quantified, and any </w:t>
      </w:r>
      <w:r>
        <w:lastRenderedPageBreak/>
        <w:t>estimates of potential resources have a high degree of uncertainty. Significant further seismic data acquisition, drilling and testing are required to improve our understanding of the shale and tight gas resource potential of this basin.</w:t>
      </w:r>
    </w:p>
    <w:p w14:paraId="77E88B18" w14:textId="77777777" w:rsidR="008B38C1" w:rsidRPr="005450A3" w:rsidRDefault="008B38C1" w:rsidP="008B38C1">
      <w:pPr>
        <w:pStyle w:val="FiguresImagesCentred"/>
      </w:pPr>
      <w:r>
        <w:rPr>
          <w:noProof/>
        </w:rPr>
        <w:drawing>
          <wp:inline distT="0" distB="0" distL="0" distR="0" wp14:anchorId="3ED27ABA" wp14:editId="226A5E29">
            <wp:extent cx="6013339" cy="6080890"/>
            <wp:effectExtent l="0" t="0" r="6985" b="0"/>
            <wp:docPr id="7214" name="Picture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7" cstate="screen">
                      <a:extLst>
                        <a:ext uri="{28A0092B-C50C-407E-A947-70E740481C1C}">
                          <a14:useLocalDpi xmlns:a14="http://schemas.microsoft.com/office/drawing/2010/main"/>
                        </a:ext>
                      </a:extLst>
                    </a:blip>
                    <a:srcRect/>
                    <a:stretch>
                      <a:fillRect/>
                    </a:stretch>
                  </pic:blipFill>
                  <pic:spPr bwMode="auto">
                    <a:xfrm>
                      <a:off x="0" y="0"/>
                      <a:ext cx="6016963" cy="6084555"/>
                    </a:xfrm>
                    <a:prstGeom prst="rect">
                      <a:avLst/>
                    </a:prstGeom>
                    <a:noFill/>
                    <a:ln>
                      <a:noFill/>
                    </a:ln>
                  </pic:spPr>
                </pic:pic>
              </a:graphicData>
            </a:graphic>
          </wp:inline>
        </w:drawing>
      </w:r>
    </w:p>
    <w:p w14:paraId="2F2D1680" w14:textId="01010A6C" w:rsidR="008B38C1" w:rsidRDefault="00E01F8F" w:rsidP="009F3E8F">
      <w:pPr>
        <w:pStyle w:val="Caption"/>
      </w:pPr>
      <w:bookmarkStart w:id="215" w:name="_Toc508972112"/>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41</w:t>
      </w:r>
      <w:r w:rsidR="008079F1">
        <w:rPr>
          <w:noProof/>
        </w:rPr>
        <w:fldChar w:fldCharType="end"/>
      </w:r>
      <w:r>
        <w:rPr>
          <w:noProof/>
        </w:rPr>
        <w:t xml:space="preserve"> </w:t>
      </w:r>
      <w:r w:rsidR="008B38C1">
        <w:t>Wells targeting shale or tight gas plays compiled from various industry and government sources. Well locations from DNMR (2017a) and NTGS, 2017). Approximate area within which key prospective shales are likely to be present is based on Munson (2014); Scientific Inquiry into Hydraulic Fracturing in the Northern Territory (</w:t>
      </w:r>
      <w:r w:rsidR="007874AE">
        <w:t>2018</w:t>
      </w:r>
      <w:r w:rsidR="008B38C1">
        <w:t>) and DMRN (2017b).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215"/>
    </w:p>
    <w:p w14:paraId="6FC4ECDC" w14:textId="77777777" w:rsidR="008B38C1" w:rsidRDefault="008B38C1" w:rsidP="009F3E8F">
      <w:pPr>
        <w:pStyle w:val="Caption"/>
        <w:sectPr w:rsidR="008B38C1" w:rsidSect="005E271C">
          <w:headerReference w:type="default" r:id="rId308"/>
          <w:pgSz w:w="11907" w:h="16840"/>
          <w:pgMar w:top="1418" w:right="1134" w:bottom="1418" w:left="1134" w:header="510" w:footer="624" w:gutter="0"/>
          <w:cols w:space="720"/>
          <w:docGrid w:linePitch="326"/>
        </w:sectPr>
      </w:pPr>
    </w:p>
    <w:p w14:paraId="70BFB53F" w14:textId="2CDD58D0" w:rsidR="008B38C1" w:rsidRDefault="00096667" w:rsidP="009F3E8F">
      <w:pPr>
        <w:pStyle w:val="Caption"/>
      </w:pPr>
      <w:bookmarkStart w:id="216" w:name="_Toc508972184"/>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35</w:t>
      </w:r>
      <w:r w:rsidR="008079F1">
        <w:rPr>
          <w:noProof/>
        </w:rPr>
        <w:fldChar w:fldCharType="end"/>
      </w:r>
      <w:r>
        <w:t xml:space="preserve"> </w:t>
      </w:r>
      <w:r w:rsidR="008B38C1">
        <w:t>Summary of shale and tight gas plays (compiled from Draper, 2007; Dunster et al., 2007; Munson, 2014; UPR, 2015; DNRM, 2017).</w:t>
      </w:r>
      <w:bookmarkEnd w:id="216"/>
    </w:p>
    <w:tbl>
      <w:tblPr>
        <w:tblStyle w:val="TableBAHeaderRow"/>
        <w:tblW w:w="5000" w:type="pct"/>
        <w:tblLook w:val="04A0" w:firstRow="1" w:lastRow="0" w:firstColumn="1" w:lastColumn="0" w:noHBand="0" w:noVBand="1"/>
      </w:tblPr>
      <w:tblGrid>
        <w:gridCol w:w="1401"/>
        <w:gridCol w:w="895"/>
        <w:gridCol w:w="1421"/>
        <w:gridCol w:w="1121"/>
        <w:gridCol w:w="995"/>
        <w:gridCol w:w="1723"/>
        <w:gridCol w:w="1051"/>
        <w:gridCol w:w="1298"/>
        <w:gridCol w:w="1684"/>
        <w:gridCol w:w="2415"/>
      </w:tblGrid>
      <w:tr w:rsidR="008B38C1" w14:paraId="6BCA3E38" w14:textId="77777777" w:rsidTr="00DC345C">
        <w:trPr>
          <w:cnfStyle w:val="100000000000" w:firstRow="1" w:lastRow="0" w:firstColumn="0" w:lastColumn="0" w:oddVBand="0" w:evenVBand="0" w:oddHBand="0" w:evenHBand="0" w:firstRowFirstColumn="0" w:firstRowLastColumn="0" w:lastRowFirstColumn="0" w:lastRowLastColumn="0"/>
        </w:trPr>
        <w:tc>
          <w:tcPr>
            <w:tcW w:w="501" w:type="pct"/>
            <w:hideMark/>
          </w:tcPr>
          <w:p w14:paraId="05991F83" w14:textId="77777777" w:rsidR="008B38C1" w:rsidRDefault="008B38C1">
            <w:pPr>
              <w:pStyle w:val="TableTextLeft"/>
            </w:pPr>
            <w:r>
              <w:t>Formation</w:t>
            </w:r>
          </w:p>
        </w:tc>
        <w:tc>
          <w:tcPr>
            <w:tcW w:w="317" w:type="pct"/>
            <w:hideMark/>
          </w:tcPr>
          <w:p w14:paraId="5E5A8E2C" w14:textId="77777777" w:rsidR="008B38C1" w:rsidRDefault="008B38C1">
            <w:pPr>
              <w:pStyle w:val="TableTextLeft"/>
            </w:pPr>
            <w:r>
              <w:t>Age</w:t>
            </w:r>
          </w:p>
        </w:tc>
        <w:tc>
          <w:tcPr>
            <w:tcW w:w="508" w:type="pct"/>
            <w:hideMark/>
          </w:tcPr>
          <w:p w14:paraId="530D26EB" w14:textId="77777777" w:rsidR="008B38C1" w:rsidRDefault="008B38C1">
            <w:pPr>
              <w:pStyle w:val="TableTextLeft"/>
            </w:pPr>
            <w:r>
              <w:t>Environment</w:t>
            </w:r>
          </w:p>
        </w:tc>
        <w:tc>
          <w:tcPr>
            <w:tcW w:w="401" w:type="pct"/>
            <w:hideMark/>
          </w:tcPr>
          <w:p w14:paraId="3A9AE5A8" w14:textId="77777777" w:rsidR="008B38C1" w:rsidRDefault="008B38C1">
            <w:pPr>
              <w:pStyle w:val="TableTextLeft"/>
            </w:pPr>
            <w:r>
              <w:t>Top depth (m)</w:t>
            </w:r>
          </w:p>
        </w:tc>
        <w:tc>
          <w:tcPr>
            <w:tcW w:w="352" w:type="pct"/>
            <w:hideMark/>
          </w:tcPr>
          <w:p w14:paraId="6369212A" w14:textId="77777777" w:rsidR="008B38C1" w:rsidRDefault="008B38C1">
            <w:pPr>
              <w:pStyle w:val="TableTextLeft"/>
            </w:pPr>
            <w:r>
              <w:t>Thickness (m)</w:t>
            </w:r>
          </w:p>
        </w:tc>
        <w:tc>
          <w:tcPr>
            <w:tcW w:w="616" w:type="pct"/>
            <w:hideMark/>
          </w:tcPr>
          <w:p w14:paraId="532A3EDE" w14:textId="77777777" w:rsidR="008B38C1" w:rsidRDefault="008B38C1">
            <w:pPr>
              <w:pStyle w:val="TableTextLeft"/>
            </w:pPr>
            <w:r>
              <w:t>Source rock(s)</w:t>
            </w:r>
          </w:p>
        </w:tc>
        <w:tc>
          <w:tcPr>
            <w:tcW w:w="376" w:type="pct"/>
            <w:hideMark/>
          </w:tcPr>
          <w:p w14:paraId="16BAB918" w14:textId="77777777" w:rsidR="008B38C1" w:rsidRDefault="008B38C1">
            <w:pPr>
              <w:pStyle w:val="TableTextLeft"/>
            </w:pPr>
            <w:r>
              <w:t>Source rock TOC (%)</w:t>
            </w:r>
          </w:p>
        </w:tc>
        <w:tc>
          <w:tcPr>
            <w:tcW w:w="464" w:type="pct"/>
            <w:hideMark/>
          </w:tcPr>
          <w:p w14:paraId="145B9D85" w14:textId="77777777" w:rsidR="008B38C1" w:rsidRDefault="008B38C1">
            <w:pPr>
              <w:pStyle w:val="TableTextLeft"/>
            </w:pPr>
            <w:r>
              <w:t>Source rock maturity</w:t>
            </w:r>
          </w:p>
        </w:tc>
        <w:tc>
          <w:tcPr>
            <w:tcW w:w="602" w:type="pct"/>
            <w:hideMark/>
          </w:tcPr>
          <w:p w14:paraId="19B6BBF4" w14:textId="77777777" w:rsidR="008B38C1" w:rsidRDefault="008B38C1">
            <w:pPr>
              <w:pStyle w:val="TableTextLeft"/>
            </w:pPr>
            <w:r>
              <w:t>Play type</w:t>
            </w:r>
          </w:p>
        </w:tc>
        <w:tc>
          <w:tcPr>
            <w:tcW w:w="863" w:type="pct"/>
            <w:hideMark/>
          </w:tcPr>
          <w:p w14:paraId="125541CE" w14:textId="77777777" w:rsidR="008B38C1" w:rsidRDefault="008B38C1">
            <w:pPr>
              <w:pStyle w:val="TableTextLeft"/>
            </w:pPr>
            <w:r>
              <w:t>Exploration status</w:t>
            </w:r>
          </w:p>
        </w:tc>
      </w:tr>
      <w:tr w:rsidR="008B38C1" w14:paraId="7B7E4BFB" w14:textId="77777777" w:rsidTr="00DC345C">
        <w:trPr>
          <w:cnfStyle w:val="000000100000" w:firstRow="0" w:lastRow="0" w:firstColumn="0" w:lastColumn="0" w:oddVBand="0" w:evenVBand="0" w:oddHBand="1" w:evenHBand="0" w:firstRowFirstColumn="0" w:firstRowLastColumn="0" w:lastRowFirstColumn="0" w:lastRowLastColumn="0"/>
        </w:trPr>
        <w:tc>
          <w:tcPr>
            <w:tcW w:w="501" w:type="pct"/>
            <w:hideMark/>
          </w:tcPr>
          <w:p w14:paraId="48C1E800" w14:textId="77777777" w:rsidR="008B38C1" w:rsidRDefault="008B38C1">
            <w:pPr>
              <w:pStyle w:val="TableTextLeft"/>
            </w:pPr>
            <w:r>
              <w:t>Arrinthrunga Formation (Dulcie and west Toko synclines)</w:t>
            </w:r>
          </w:p>
        </w:tc>
        <w:tc>
          <w:tcPr>
            <w:tcW w:w="317" w:type="pct"/>
            <w:hideMark/>
          </w:tcPr>
          <w:p w14:paraId="51EE1301" w14:textId="77777777" w:rsidR="008B38C1" w:rsidRDefault="008B38C1">
            <w:pPr>
              <w:pStyle w:val="TableTextLeft"/>
            </w:pPr>
            <w:r>
              <w:t>late Cambrian</w:t>
            </w:r>
          </w:p>
        </w:tc>
        <w:tc>
          <w:tcPr>
            <w:tcW w:w="508" w:type="pct"/>
            <w:hideMark/>
          </w:tcPr>
          <w:p w14:paraId="355BE063" w14:textId="77777777" w:rsidR="008B38C1" w:rsidRDefault="008B38C1">
            <w:pPr>
              <w:pStyle w:val="TableTextLeft"/>
            </w:pPr>
            <w:r>
              <w:t>shallow marine</w:t>
            </w:r>
          </w:p>
        </w:tc>
        <w:tc>
          <w:tcPr>
            <w:tcW w:w="401" w:type="pct"/>
            <w:hideMark/>
          </w:tcPr>
          <w:p w14:paraId="20BBF355" w14:textId="77777777" w:rsidR="008B38C1" w:rsidRDefault="008B38C1">
            <w:pPr>
              <w:pStyle w:val="TableTextLeft"/>
              <w:rPr>
                <w:szCs w:val="18"/>
              </w:rPr>
            </w:pPr>
            <w:r>
              <w:rPr>
                <w:szCs w:val="18"/>
              </w:rPr>
              <w:t>0–830</w:t>
            </w:r>
          </w:p>
        </w:tc>
        <w:tc>
          <w:tcPr>
            <w:tcW w:w="352" w:type="pct"/>
            <w:hideMark/>
          </w:tcPr>
          <w:p w14:paraId="6572D4A6" w14:textId="77777777" w:rsidR="008B38C1" w:rsidRDefault="008B38C1">
            <w:pPr>
              <w:pStyle w:val="TableTextLeft"/>
            </w:pPr>
            <w:r>
              <w:t>Max 975 m</w:t>
            </w:r>
          </w:p>
        </w:tc>
        <w:tc>
          <w:tcPr>
            <w:tcW w:w="616" w:type="pct"/>
            <w:hideMark/>
          </w:tcPr>
          <w:p w14:paraId="0154DD2B" w14:textId="77777777" w:rsidR="008B38C1" w:rsidRDefault="008B38C1">
            <w:pPr>
              <w:pStyle w:val="TableTextLeft"/>
            </w:pPr>
            <w:r>
              <w:t>Type II; type II-III</w:t>
            </w:r>
          </w:p>
        </w:tc>
        <w:tc>
          <w:tcPr>
            <w:tcW w:w="376" w:type="pct"/>
            <w:hideMark/>
          </w:tcPr>
          <w:p w14:paraId="2FB56D93" w14:textId="77777777" w:rsidR="008B38C1" w:rsidRDefault="008B38C1">
            <w:pPr>
              <w:pStyle w:val="TableTextLeft"/>
            </w:pPr>
            <w:r>
              <w:t>Av 1.8 %; 0–11%</w:t>
            </w:r>
          </w:p>
        </w:tc>
        <w:tc>
          <w:tcPr>
            <w:tcW w:w="464" w:type="pct"/>
          </w:tcPr>
          <w:p w14:paraId="5E3967A9" w14:textId="77777777" w:rsidR="008B38C1" w:rsidRDefault="008B38C1">
            <w:pPr>
              <w:pStyle w:val="TableTextLeft"/>
            </w:pPr>
            <w:r>
              <w:t>Immature-gas mature</w:t>
            </w:r>
          </w:p>
          <w:p w14:paraId="5B4A99C5" w14:textId="77777777" w:rsidR="008B38C1" w:rsidRDefault="008B38C1">
            <w:pPr>
              <w:pStyle w:val="TableTextLeft"/>
              <w:rPr>
                <w:color w:val="FF0000"/>
              </w:rPr>
            </w:pPr>
          </w:p>
        </w:tc>
        <w:tc>
          <w:tcPr>
            <w:tcW w:w="602" w:type="pct"/>
            <w:hideMark/>
          </w:tcPr>
          <w:p w14:paraId="57F9F4C7" w14:textId="77777777" w:rsidR="008B38C1" w:rsidRDefault="008B38C1">
            <w:pPr>
              <w:pStyle w:val="TableTextLeft"/>
            </w:pPr>
            <w:r>
              <w:t>Shale gas, tight gas</w:t>
            </w:r>
          </w:p>
        </w:tc>
        <w:tc>
          <w:tcPr>
            <w:tcW w:w="863" w:type="pct"/>
            <w:hideMark/>
          </w:tcPr>
          <w:p w14:paraId="2B306ACF" w14:textId="77777777" w:rsidR="008B38C1" w:rsidRDefault="008B38C1">
            <w:pPr>
              <w:pStyle w:val="TableTextLeft"/>
            </w:pPr>
            <w:r>
              <w:t>Unknown</w:t>
            </w:r>
          </w:p>
        </w:tc>
      </w:tr>
      <w:tr w:rsidR="008B38C1" w14:paraId="6BC3AC02" w14:textId="77777777" w:rsidTr="00DC345C">
        <w:trPr>
          <w:cnfStyle w:val="000000010000" w:firstRow="0" w:lastRow="0" w:firstColumn="0" w:lastColumn="0" w:oddVBand="0" w:evenVBand="0" w:oddHBand="0" w:evenHBand="1" w:firstRowFirstColumn="0" w:firstRowLastColumn="0" w:lastRowFirstColumn="0" w:lastRowLastColumn="0"/>
        </w:trPr>
        <w:tc>
          <w:tcPr>
            <w:tcW w:w="501" w:type="pct"/>
            <w:hideMark/>
          </w:tcPr>
          <w:p w14:paraId="3735D2A5" w14:textId="77777777" w:rsidR="008B38C1" w:rsidRDefault="008B38C1">
            <w:pPr>
              <w:pStyle w:val="TableTextLeft"/>
            </w:pPr>
            <w:r>
              <w:t>Georgina Limestone  (east Toko Syncline)</w:t>
            </w:r>
          </w:p>
        </w:tc>
        <w:tc>
          <w:tcPr>
            <w:tcW w:w="317" w:type="pct"/>
            <w:hideMark/>
          </w:tcPr>
          <w:p w14:paraId="26DEE487" w14:textId="77777777" w:rsidR="008B38C1" w:rsidRDefault="008B38C1">
            <w:pPr>
              <w:pStyle w:val="TableTextLeft"/>
            </w:pPr>
            <w:r>
              <w:t>late Cambrian</w:t>
            </w:r>
          </w:p>
        </w:tc>
        <w:tc>
          <w:tcPr>
            <w:tcW w:w="508" w:type="pct"/>
            <w:hideMark/>
          </w:tcPr>
          <w:p w14:paraId="4FF1C7B0" w14:textId="77777777" w:rsidR="008B38C1" w:rsidRDefault="008B38C1">
            <w:pPr>
              <w:pStyle w:val="TableTextLeft"/>
            </w:pPr>
            <w:r>
              <w:t>deep water</w:t>
            </w:r>
          </w:p>
        </w:tc>
        <w:tc>
          <w:tcPr>
            <w:tcW w:w="401" w:type="pct"/>
            <w:hideMark/>
          </w:tcPr>
          <w:p w14:paraId="09869112" w14:textId="77777777" w:rsidR="008B38C1" w:rsidRDefault="008B38C1">
            <w:pPr>
              <w:pStyle w:val="TableTextLeft"/>
              <w:rPr>
                <w:szCs w:val="18"/>
              </w:rPr>
            </w:pPr>
            <w:r>
              <w:rPr>
                <w:szCs w:val="18"/>
              </w:rPr>
              <w:t>0–2</w:t>
            </w:r>
            <w:r w:rsidR="00D47844">
              <w:rPr>
                <w:szCs w:val="18"/>
              </w:rPr>
              <w:t>,</w:t>
            </w:r>
            <w:r>
              <w:rPr>
                <w:szCs w:val="18"/>
              </w:rPr>
              <w:t>500</w:t>
            </w:r>
          </w:p>
        </w:tc>
        <w:tc>
          <w:tcPr>
            <w:tcW w:w="352" w:type="pct"/>
            <w:hideMark/>
          </w:tcPr>
          <w:p w14:paraId="0A7802C2" w14:textId="77777777" w:rsidR="008B38C1" w:rsidRDefault="008B38C1">
            <w:pPr>
              <w:pStyle w:val="TableTextLeft"/>
            </w:pPr>
            <w:r>
              <w:t>~40</w:t>
            </w:r>
            <w:r w:rsidR="004C01AB">
              <w:t>0 m</w:t>
            </w:r>
          </w:p>
        </w:tc>
        <w:tc>
          <w:tcPr>
            <w:tcW w:w="616" w:type="pct"/>
            <w:hideMark/>
          </w:tcPr>
          <w:p w14:paraId="390E8E30" w14:textId="77777777" w:rsidR="008B38C1" w:rsidRDefault="008B38C1">
            <w:pPr>
              <w:pStyle w:val="TableTextLeft"/>
            </w:pPr>
            <w:r>
              <w:t>Unknown</w:t>
            </w:r>
          </w:p>
        </w:tc>
        <w:tc>
          <w:tcPr>
            <w:tcW w:w="376" w:type="pct"/>
            <w:hideMark/>
          </w:tcPr>
          <w:p w14:paraId="7E71ACBD" w14:textId="77777777" w:rsidR="008B38C1" w:rsidRDefault="008B38C1">
            <w:pPr>
              <w:pStyle w:val="TableTextLeft"/>
            </w:pPr>
            <w:r>
              <w:t>Unknown</w:t>
            </w:r>
          </w:p>
        </w:tc>
        <w:tc>
          <w:tcPr>
            <w:tcW w:w="464" w:type="pct"/>
            <w:hideMark/>
          </w:tcPr>
          <w:p w14:paraId="69FCBEAD" w14:textId="77777777" w:rsidR="008B38C1" w:rsidRDefault="008B38C1">
            <w:pPr>
              <w:pStyle w:val="TableTextLeft"/>
              <w:rPr>
                <w:color w:val="FF0000"/>
              </w:rPr>
            </w:pPr>
            <w:r>
              <w:t>Unknown</w:t>
            </w:r>
          </w:p>
        </w:tc>
        <w:tc>
          <w:tcPr>
            <w:tcW w:w="602" w:type="pct"/>
            <w:hideMark/>
          </w:tcPr>
          <w:p w14:paraId="202BE1F8" w14:textId="77777777" w:rsidR="008B38C1" w:rsidRDefault="008B38C1">
            <w:pPr>
              <w:pStyle w:val="TableTextLeft"/>
            </w:pPr>
            <w:r>
              <w:t>?Shale gas, tight gas</w:t>
            </w:r>
          </w:p>
        </w:tc>
        <w:tc>
          <w:tcPr>
            <w:tcW w:w="863" w:type="pct"/>
            <w:hideMark/>
          </w:tcPr>
          <w:p w14:paraId="4E88A8E1" w14:textId="77777777" w:rsidR="008B38C1" w:rsidRDefault="008B38C1">
            <w:pPr>
              <w:pStyle w:val="TableTextLeft"/>
            </w:pPr>
            <w:r>
              <w:t>Unknown</w:t>
            </w:r>
          </w:p>
        </w:tc>
      </w:tr>
      <w:tr w:rsidR="008B38C1" w14:paraId="08C9E996" w14:textId="77777777" w:rsidTr="00DC345C">
        <w:trPr>
          <w:cnfStyle w:val="000000100000" w:firstRow="0" w:lastRow="0" w:firstColumn="0" w:lastColumn="0" w:oddVBand="0" w:evenVBand="0" w:oddHBand="1" w:evenHBand="0" w:firstRowFirstColumn="0" w:firstRowLastColumn="0" w:lastRowFirstColumn="0" w:lastRowLastColumn="0"/>
        </w:trPr>
        <w:tc>
          <w:tcPr>
            <w:tcW w:w="501" w:type="pct"/>
            <w:hideMark/>
          </w:tcPr>
          <w:p w14:paraId="4CAAB49F" w14:textId="77777777" w:rsidR="008B38C1" w:rsidRDefault="008B38C1">
            <w:pPr>
              <w:pStyle w:val="TableTextLeft"/>
            </w:pPr>
            <w:r>
              <w:t>Arthur Creek Formation (Dulcie and west Toko synclines)</w:t>
            </w:r>
          </w:p>
        </w:tc>
        <w:tc>
          <w:tcPr>
            <w:tcW w:w="317" w:type="pct"/>
            <w:hideMark/>
          </w:tcPr>
          <w:p w14:paraId="4BE0272E" w14:textId="77777777" w:rsidR="008B38C1" w:rsidRDefault="008B38C1">
            <w:pPr>
              <w:pStyle w:val="TableTextLeft"/>
            </w:pPr>
            <w:r>
              <w:t>middle Cambrian</w:t>
            </w:r>
          </w:p>
        </w:tc>
        <w:tc>
          <w:tcPr>
            <w:tcW w:w="508" w:type="pct"/>
            <w:hideMark/>
          </w:tcPr>
          <w:p w14:paraId="714BED5E" w14:textId="77777777" w:rsidR="008B38C1" w:rsidRDefault="008B38C1">
            <w:pPr>
              <w:pStyle w:val="TableTextLeft"/>
            </w:pPr>
            <w:r>
              <w:t>dysoxic to</w:t>
            </w:r>
          </w:p>
          <w:p w14:paraId="08DE314D" w14:textId="77777777" w:rsidR="008B38C1" w:rsidRDefault="008B38C1">
            <w:pPr>
              <w:pStyle w:val="TableTextLeft"/>
            </w:pPr>
            <w:r>
              <w:t>anoxic, deeper marine</w:t>
            </w:r>
          </w:p>
        </w:tc>
        <w:tc>
          <w:tcPr>
            <w:tcW w:w="401" w:type="pct"/>
            <w:hideMark/>
          </w:tcPr>
          <w:p w14:paraId="4F161E14" w14:textId="77777777" w:rsidR="008B38C1" w:rsidRDefault="008B38C1">
            <w:pPr>
              <w:pStyle w:val="TableTextLeft"/>
              <w:rPr>
                <w:szCs w:val="18"/>
              </w:rPr>
            </w:pPr>
            <w:r>
              <w:rPr>
                <w:szCs w:val="18"/>
              </w:rPr>
              <w:t>0–1</w:t>
            </w:r>
            <w:r w:rsidR="00D47844">
              <w:rPr>
                <w:szCs w:val="18"/>
              </w:rPr>
              <w:t>,</w:t>
            </w:r>
            <w:r>
              <w:rPr>
                <w:szCs w:val="18"/>
              </w:rPr>
              <w:t>550</w:t>
            </w:r>
          </w:p>
        </w:tc>
        <w:tc>
          <w:tcPr>
            <w:tcW w:w="352" w:type="pct"/>
            <w:hideMark/>
          </w:tcPr>
          <w:p w14:paraId="1E8CCD91" w14:textId="77777777" w:rsidR="008B38C1" w:rsidRDefault="008B38C1">
            <w:pPr>
              <w:pStyle w:val="TableTextLeft"/>
            </w:pPr>
            <w:r>
              <w:t xml:space="preserve">Max &gt;438m </w:t>
            </w:r>
          </w:p>
        </w:tc>
        <w:tc>
          <w:tcPr>
            <w:tcW w:w="616" w:type="pct"/>
            <w:hideMark/>
          </w:tcPr>
          <w:p w14:paraId="1AB70786" w14:textId="77777777" w:rsidR="008B38C1" w:rsidRDefault="008B38C1">
            <w:pPr>
              <w:pStyle w:val="TableTextLeft"/>
            </w:pPr>
            <w:r>
              <w:t>Type II; type II-III</w:t>
            </w:r>
          </w:p>
        </w:tc>
        <w:tc>
          <w:tcPr>
            <w:tcW w:w="376" w:type="pct"/>
            <w:hideMark/>
          </w:tcPr>
          <w:p w14:paraId="7AA85CF8" w14:textId="77777777" w:rsidR="008B38C1" w:rsidRDefault="008B38C1">
            <w:pPr>
              <w:pStyle w:val="TableTextLeft"/>
            </w:pPr>
            <w:r>
              <w:t>Av 1.6 %; 0–14%</w:t>
            </w:r>
          </w:p>
        </w:tc>
        <w:tc>
          <w:tcPr>
            <w:tcW w:w="464" w:type="pct"/>
            <w:hideMark/>
          </w:tcPr>
          <w:p w14:paraId="28038643" w14:textId="77777777" w:rsidR="008B38C1" w:rsidRDefault="008B38C1">
            <w:pPr>
              <w:pStyle w:val="TableTextLeft"/>
            </w:pPr>
            <w:r>
              <w:t xml:space="preserve">Immature-gas mature </w:t>
            </w:r>
          </w:p>
        </w:tc>
        <w:tc>
          <w:tcPr>
            <w:tcW w:w="602" w:type="pct"/>
            <w:hideMark/>
          </w:tcPr>
          <w:p w14:paraId="2A428F09" w14:textId="77777777" w:rsidR="008B38C1" w:rsidRDefault="008B38C1">
            <w:pPr>
              <w:pStyle w:val="TableTextLeft"/>
            </w:pPr>
            <w:r>
              <w:t>Shale gas, tight gas</w:t>
            </w:r>
          </w:p>
        </w:tc>
        <w:tc>
          <w:tcPr>
            <w:tcW w:w="863" w:type="pct"/>
            <w:hideMark/>
          </w:tcPr>
          <w:p w14:paraId="567605D0" w14:textId="77777777" w:rsidR="008B38C1" w:rsidRDefault="008B38C1">
            <w:pPr>
              <w:pStyle w:val="TableTextLeft"/>
            </w:pPr>
            <w:r>
              <w:t>Preliminary exploration (e.g. Petrofrontier, 2011; Central Petroleum, 2017)</w:t>
            </w:r>
          </w:p>
        </w:tc>
      </w:tr>
      <w:tr w:rsidR="008B38C1" w14:paraId="579B6D95" w14:textId="77777777" w:rsidTr="00DC345C">
        <w:trPr>
          <w:cnfStyle w:val="000000010000" w:firstRow="0" w:lastRow="0" w:firstColumn="0" w:lastColumn="0" w:oddVBand="0" w:evenVBand="0" w:oddHBand="0" w:evenHBand="1" w:firstRowFirstColumn="0" w:firstRowLastColumn="0" w:lastRowFirstColumn="0" w:lastRowLastColumn="0"/>
        </w:trPr>
        <w:tc>
          <w:tcPr>
            <w:tcW w:w="501" w:type="pct"/>
            <w:hideMark/>
          </w:tcPr>
          <w:p w14:paraId="4512DDFB" w14:textId="77777777" w:rsidR="008B38C1" w:rsidRDefault="008B38C1">
            <w:pPr>
              <w:pStyle w:val="TableTextLeft"/>
            </w:pPr>
            <w:r>
              <w:t>Inca Shale (Burke River Structural Belt)</w:t>
            </w:r>
          </w:p>
        </w:tc>
        <w:tc>
          <w:tcPr>
            <w:tcW w:w="317" w:type="pct"/>
            <w:hideMark/>
          </w:tcPr>
          <w:p w14:paraId="7FDAD2C0" w14:textId="77777777" w:rsidR="008B38C1" w:rsidRDefault="008B38C1">
            <w:pPr>
              <w:pStyle w:val="TableTextLeft"/>
            </w:pPr>
            <w:r>
              <w:t>middle Cambrian</w:t>
            </w:r>
          </w:p>
        </w:tc>
        <w:tc>
          <w:tcPr>
            <w:tcW w:w="508" w:type="pct"/>
            <w:hideMark/>
          </w:tcPr>
          <w:p w14:paraId="08D41786" w14:textId="77777777" w:rsidR="008B38C1" w:rsidRDefault="008B38C1">
            <w:pPr>
              <w:pStyle w:val="TableTextLeft"/>
            </w:pPr>
            <w:r>
              <w:t>marine</w:t>
            </w:r>
          </w:p>
        </w:tc>
        <w:tc>
          <w:tcPr>
            <w:tcW w:w="401" w:type="pct"/>
            <w:hideMark/>
          </w:tcPr>
          <w:p w14:paraId="4B972840" w14:textId="77777777" w:rsidR="008B38C1" w:rsidRDefault="008B38C1">
            <w:pPr>
              <w:pStyle w:val="TableTextLeft"/>
              <w:rPr>
                <w:szCs w:val="18"/>
              </w:rPr>
            </w:pPr>
            <w:r>
              <w:rPr>
                <w:szCs w:val="18"/>
              </w:rPr>
              <w:t>0–3</w:t>
            </w:r>
            <w:r w:rsidR="00D47844">
              <w:rPr>
                <w:szCs w:val="18"/>
              </w:rPr>
              <w:t>,</w:t>
            </w:r>
            <w:r>
              <w:rPr>
                <w:szCs w:val="18"/>
              </w:rPr>
              <w:t>220</w:t>
            </w:r>
          </w:p>
        </w:tc>
        <w:tc>
          <w:tcPr>
            <w:tcW w:w="352" w:type="pct"/>
            <w:hideMark/>
          </w:tcPr>
          <w:p w14:paraId="00EFFE6A" w14:textId="77777777" w:rsidR="008B38C1" w:rsidRDefault="008B38C1">
            <w:pPr>
              <w:pStyle w:val="TableTextLeft"/>
            </w:pPr>
            <w:r>
              <w:t>3–15</w:t>
            </w:r>
            <w:r w:rsidR="004C01AB">
              <w:t>0 m</w:t>
            </w:r>
          </w:p>
        </w:tc>
        <w:tc>
          <w:tcPr>
            <w:tcW w:w="616" w:type="pct"/>
            <w:hideMark/>
          </w:tcPr>
          <w:p w14:paraId="11FFCFD9" w14:textId="77777777" w:rsidR="008B38C1" w:rsidRDefault="008B38C1">
            <w:pPr>
              <w:pStyle w:val="TableTextLeft"/>
            </w:pPr>
            <w:r>
              <w:t>Unknown</w:t>
            </w:r>
          </w:p>
        </w:tc>
        <w:tc>
          <w:tcPr>
            <w:tcW w:w="376" w:type="pct"/>
            <w:hideMark/>
          </w:tcPr>
          <w:p w14:paraId="1DD5792C" w14:textId="77777777" w:rsidR="008B38C1" w:rsidRDefault="008B38C1">
            <w:pPr>
              <w:pStyle w:val="TableTextLeft"/>
            </w:pPr>
            <w:r>
              <w:t>Unknown</w:t>
            </w:r>
          </w:p>
        </w:tc>
        <w:tc>
          <w:tcPr>
            <w:tcW w:w="464" w:type="pct"/>
            <w:hideMark/>
          </w:tcPr>
          <w:p w14:paraId="21965AF3" w14:textId="77777777" w:rsidR="008B38C1" w:rsidRDefault="008B38C1">
            <w:pPr>
              <w:pStyle w:val="TableTextLeft"/>
              <w:rPr>
                <w:color w:val="FF0000"/>
              </w:rPr>
            </w:pPr>
            <w:r>
              <w:t>Unknown</w:t>
            </w:r>
          </w:p>
        </w:tc>
        <w:tc>
          <w:tcPr>
            <w:tcW w:w="602" w:type="pct"/>
            <w:hideMark/>
          </w:tcPr>
          <w:p w14:paraId="202BE2D3" w14:textId="77777777" w:rsidR="008B38C1" w:rsidRDefault="008B38C1">
            <w:pPr>
              <w:pStyle w:val="TableTextLeft"/>
            </w:pPr>
            <w:r>
              <w:t>?Shale gas, tight gas</w:t>
            </w:r>
          </w:p>
        </w:tc>
        <w:tc>
          <w:tcPr>
            <w:tcW w:w="863" w:type="pct"/>
            <w:hideMark/>
          </w:tcPr>
          <w:p w14:paraId="4EA97FDF" w14:textId="77777777" w:rsidR="008B38C1" w:rsidRDefault="008B38C1">
            <w:pPr>
              <w:pStyle w:val="TableTextLeft"/>
            </w:pPr>
            <w:r>
              <w:t>Unknown</w:t>
            </w:r>
          </w:p>
        </w:tc>
      </w:tr>
      <w:tr w:rsidR="008B38C1" w14:paraId="7F61D461" w14:textId="77777777" w:rsidTr="00DC345C">
        <w:trPr>
          <w:cnfStyle w:val="000000100000" w:firstRow="0" w:lastRow="0" w:firstColumn="0" w:lastColumn="0" w:oddVBand="0" w:evenVBand="0" w:oddHBand="1" w:evenHBand="0" w:firstRowFirstColumn="0" w:firstRowLastColumn="0" w:lastRowFirstColumn="0" w:lastRowLastColumn="0"/>
        </w:trPr>
        <w:tc>
          <w:tcPr>
            <w:tcW w:w="501" w:type="pct"/>
            <w:hideMark/>
          </w:tcPr>
          <w:p w14:paraId="00C7CDF1" w14:textId="77777777" w:rsidR="008B38C1" w:rsidRDefault="008B38C1">
            <w:pPr>
              <w:pStyle w:val="TableTextLeft"/>
            </w:pPr>
            <w:r>
              <w:t>Beetle Creek Formation (Burke River Structural Belt)</w:t>
            </w:r>
          </w:p>
        </w:tc>
        <w:tc>
          <w:tcPr>
            <w:tcW w:w="317" w:type="pct"/>
            <w:hideMark/>
          </w:tcPr>
          <w:p w14:paraId="0C343DBE" w14:textId="77777777" w:rsidR="008B38C1" w:rsidRDefault="008B38C1">
            <w:pPr>
              <w:pStyle w:val="TableTextLeft"/>
            </w:pPr>
            <w:r>
              <w:t>middle Cambrian</w:t>
            </w:r>
          </w:p>
        </w:tc>
        <w:tc>
          <w:tcPr>
            <w:tcW w:w="508" w:type="pct"/>
            <w:hideMark/>
          </w:tcPr>
          <w:p w14:paraId="4B31556D" w14:textId="77777777" w:rsidR="008B38C1" w:rsidRDefault="008B38C1">
            <w:pPr>
              <w:pStyle w:val="TableTextLeft"/>
            </w:pPr>
            <w:r>
              <w:t>marine</w:t>
            </w:r>
          </w:p>
        </w:tc>
        <w:tc>
          <w:tcPr>
            <w:tcW w:w="401" w:type="pct"/>
            <w:hideMark/>
          </w:tcPr>
          <w:p w14:paraId="3EA70CCE" w14:textId="77777777" w:rsidR="008B38C1" w:rsidRDefault="008B38C1">
            <w:pPr>
              <w:pStyle w:val="TableTextLeft"/>
              <w:rPr>
                <w:szCs w:val="18"/>
              </w:rPr>
            </w:pPr>
            <w:r>
              <w:rPr>
                <w:szCs w:val="18"/>
              </w:rPr>
              <w:t>0–1</w:t>
            </w:r>
            <w:r w:rsidR="00D47844">
              <w:rPr>
                <w:szCs w:val="18"/>
              </w:rPr>
              <w:t>,</w:t>
            </w:r>
            <w:r>
              <w:rPr>
                <w:szCs w:val="18"/>
              </w:rPr>
              <w:t>020</w:t>
            </w:r>
          </w:p>
        </w:tc>
        <w:tc>
          <w:tcPr>
            <w:tcW w:w="352" w:type="pct"/>
            <w:hideMark/>
          </w:tcPr>
          <w:p w14:paraId="29A300AC" w14:textId="77777777" w:rsidR="008B38C1" w:rsidRDefault="008B38C1">
            <w:pPr>
              <w:pStyle w:val="TableTextLeft"/>
            </w:pPr>
            <w:r>
              <w:t>75–9</w:t>
            </w:r>
            <w:r w:rsidR="004C01AB">
              <w:t>0 m</w:t>
            </w:r>
          </w:p>
        </w:tc>
        <w:tc>
          <w:tcPr>
            <w:tcW w:w="616" w:type="pct"/>
            <w:hideMark/>
          </w:tcPr>
          <w:p w14:paraId="6D5D850C" w14:textId="77777777" w:rsidR="008B38C1" w:rsidRDefault="008B38C1">
            <w:pPr>
              <w:pStyle w:val="TableTextLeft"/>
            </w:pPr>
            <w:r>
              <w:t>Unknown</w:t>
            </w:r>
          </w:p>
        </w:tc>
        <w:tc>
          <w:tcPr>
            <w:tcW w:w="376" w:type="pct"/>
            <w:hideMark/>
          </w:tcPr>
          <w:p w14:paraId="37C610E6" w14:textId="77777777" w:rsidR="008B38C1" w:rsidRDefault="008B38C1">
            <w:pPr>
              <w:pStyle w:val="TableTextLeft"/>
            </w:pPr>
            <w:r>
              <w:t>Unknown</w:t>
            </w:r>
          </w:p>
        </w:tc>
        <w:tc>
          <w:tcPr>
            <w:tcW w:w="464" w:type="pct"/>
            <w:hideMark/>
          </w:tcPr>
          <w:p w14:paraId="448324FE" w14:textId="77777777" w:rsidR="008B38C1" w:rsidRDefault="008B38C1">
            <w:pPr>
              <w:pStyle w:val="TableTextLeft"/>
              <w:rPr>
                <w:color w:val="FF0000"/>
              </w:rPr>
            </w:pPr>
            <w:r>
              <w:t>Unknown</w:t>
            </w:r>
          </w:p>
        </w:tc>
        <w:tc>
          <w:tcPr>
            <w:tcW w:w="602" w:type="pct"/>
            <w:hideMark/>
          </w:tcPr>
          <w:p w14:paraId="762EEB27" w14:textId="77777777" w:rsidR="008B38C1" w:rsidRDefault="008B38C1">
            <w:pPr>
              <w:pStyle w:val="TableTextLeft"/>
            </w:pPr>
            <w:r>
              <w:t>?Shale gas, tight gas</w:t>
            </w:r>
          </w:p>
        </w:tc>
        <w:tc>
          <w:tcPr>
            <w:tcW w:w="863" w:type="pct"/>
            <w:hideMark/>
          </w:tcPr>
          <w:p w14:paraId="010030EE" w14:textId="77777777" w:rsidR="008B38C1" w:rsidRDefault="008B38C1">
            <w:pPr>
              <w:pStyle w:val="TableTextLeft"/>
            </w:pPr>
            <w:r>
              <w:t>Unknown</w:t>
            </w:r>
          </w:p>
        </w:tc>
      </w:tr>
      <w:tr w:rsidR="008B38C1" w14:paraId="2394F948" w14:textId="77777777" w:rsidTr="00DC345C">
        <w:trPr>
          <w:cnfStyle w:val="000000010000" w:firstRow="0" w:lastRow="0" w:firstColumn="0" w:lastColumn="0" w:oddVBand="0" w:evenVBand="0" w:oddHBand="0" w:evenHBand="1" w:firstRowFirstColumn="0" w:firstRowLastColumn="0" w:lastRowFirstColumn="0" w:lastRowLastColumn="0"/>
        </w:trPr>
        <w:tc>
          <w:tcPr>
            <w:tcW w:w="501" w:type="pct"/>
            <w:hideMark/>
          </w:tcPr>
          <w:p w14:paraId="671D76BD" w14:textId="77777777" w:rsidR="008B38C1" w:rsidRDefault="008B38C1">
            <w:pPr>
              <w:pStyle w:val="TableTextLeft"/>
            </w:pPr>
            <w:r>
              <w:t>Thorntonia Limestone / Hay River Formation</w:t>
            </w:r>
          </w:p>
        </w:tc>
        <w:tc>
          <w:tcPr>
            <w:tcW w:w="317" w:type="pct"/>
            <w:hideMark/>
          </w:tcPr>
          <w:p w14:paraId="70610C72" w14:textId="77777777" w:rsidR="008B38C1" w:rsidRDefault="008B38C1">
            <w:pPr>
              <w:pStyle w:val="TableTextLeft"/>
            </w:pPr>
            <w:r>
              <w:t>middle Cambrian</w:t>
            </w:r>
          </w:p>
        </w:tc>
        <w:tc>
          <w:tcPr>
            <w:tcW w:w="508" w:type="pct"/>
            <w:hideMark/>
          </w:tcPr>
          <w:p w14:paraId="56275ECF" w14:textId="77777777" w:rsidR="008B38C1" w:rsidRDefault="008B38C1">
            <w:pPr>
              <w:pStyle w:val="TableTextLeft"/>
            </w:pPr>
            <w:r>
              <w:t>peritidal to marine,</w:t>
            </w:r>
          </w:p>
        </w:tc>
        <w:tc>
          <w:tcPr>
            <w:tcW w:w="401" w:type="pct"/>
            <w:hideMark/>
          </w:tcPr>
          <w:p w14:paraId="3F6D0C88" w14:textId="77777777" w:rsidR="008B38C1" w:rsidRDefault="008B38C1">
            <w:pPr>
              <w:pStyle w:val="TableTextLeft"/>
              <w:rPr>
                <w:szCs w:val="18"/>
              </w:rPr>
            </w:pPr>
            <w:r>
              <w:rPr>
                <w:szCs w:val="18"/>
              </w:rPr>
              <w:t>0–3</w:t>
            </w:r>
            <w:r w:rsidR="00D47844">
              <w:rPr>
                <w:szCs w:val="18"/>
              </w:rPr>
              <w:t>,</w:t>
            </w:r>
            <w:r>
              <w:rPr>
                <w:szCs w:val="18"/>
              </w:rPr>
              <w:t>200</w:t>
            </w:r>
          </w:p>
        </w:tc>
        <w:tc>
          <w:tcPr>
            <w:tcW w:w="352" w:type="pct"/>
            <w:hideMark/>
          </w:tcPr>
          <w:p w14:paraId="5586955F" w14:textId="77777777" w:rsidR="008B38C1" w:rsidRDefault="008B38C1">
            <w:pPr>
              <w:pStyle w:val="TableTextLeft"/>
            </w:pPr>
            <w:r>
              <w:t>23 m to &gt;40</w:t>
            </w:r>
            <w:r w:rsidR="004C01AB">
              <w:t>0 m</w:t>
            </w:r>
          </w:p>
        </w:tc>
        <w:tc>
          <w:tcPr>
            <w:tcW w:w="616" w:type="pct"/>
            <w:hideMark/>
          </w:tcPr>
          <w:p w14:paraId="271D40CB" w14:textId="77777777" w:rsidR="008B38C1" w:rsidRDefault="008B38C1">
            <w:pPr>
              <w:pStyle w:val="TableTextLeft"/>
            </w:pPr>
            <w:r>
              <w:t>Type II; type II-III</w:t>
            </w:r>
          </w:p>
        </w:tc>
        <w:tc>
          <w:tcPr>
            <w:tcW w:w="376" w:type="pct"/>
            <w:hideMark/>
          </w:tcPr>
          <w:p w14:paraId="284B7913" w14:textId="77777777" w:rsidR="008B38C1" w:rsidRDefault="008B38C1">
            <w:pPr>
              <w:pStyle w:val="TableTextLeft"/>
            </w:pPr>
            <w:r>
              <w:t>Av 1.5%; 0– 8.3%</w:t>
            </w:r>
          </w:p>
        </w:tc>
        <w:tc>
          <w:tcPr>
            <w:tcW w:w="464" w:type="pct"/>
            <w:hideMark/>
          </w:tcPr>
          <w:p w14:paraId="727092C2" w14:textId="77777777" w:rsidR="008B38C1" w:rsidRDefault="008B38C1">
            <w:pPr>
              <w:pStyle w:val="TableTextLeft"/>
            </w:pPr>
            <w:r>
              <w:t xml:space="preserve">Immature-gas mature </w:t>
            </w:r>
          </w:p>
        </w:tc>
        <w:tc>
          <w:tcPr>
            <w:tcW w:w="602" w:type="pct"/>
            <w:hideMark/>
          </w:tcPr>
          <w:p w14:paraId="63BB19E8" w14:textId="77777777" w:rsidR="008B38C1" w:rsidRDefault="008B38C1">
            <w:pPr>
              <w:pStyle w:val="TableTextLeft"/>
            </w:pPr>
            <w:r>
              <w:t>Shale gas, tight gas</w:t>
            </w:r>
          </w:p>
        </w:tc>
        <w:tc>
          <w:tcPr>
            <w:tcW w:w="863" w:type="pct"/>
            <w:hideMark/>
          </w:tcPr>
          <w:p w14:paraId="1BDDB5D2" w14:textId="77777777" w:rsidR="008B38C1" w:rsidRDefault="008B38C1">
            <w:pPr>
              <w:pStyle w:val="TableTextLeft"/>
            </w:pPr>
            <w:r>
              <w:t>Preliminary exploration (e.g. Petrofrontier, 2011; Central Petroleum, 2017)</w:t>
            </w:r>
          </w:p>
        </w:tc>
      </w:tr>
    </w:tbl>
    <w:p w14:paraId="252BF748" w14:textId="77777777" w:rsidR="008B38C1" w:rsidRDefault="008B38C1" w:rsidP="000350BE">
      <w:pPr>
        <w:pStyle w:val="BodyText"/>
        <w:sectPr w:rsidR="008B38C1" w:rsidSect="005E271C">
          <w:headerReference w:type="default" r:id="rId309"/>
          <w:pgSz w:w="16840" w:h="11907" w:orient="landscape"/>
          <w:pgMar w:top="1418" w:right="1418" w:bottom="1418" w:left="1418" w:header="510" w:footer="624" w:gutter="0"/>
          <w:cols w:space="720"/>
          <w:docGrid w:linePitch="326"/>
        </w:sectPr>
      </w:pPr>
    </w:p>
    <w:p w14:paraId="22BA3A82" w14:textId="77777777" w:rsidR="008B38C1" w:rsidRDefault="008B38C1" w:rsidP="00E34CDE">
      <w:pPr>
        <w:pStyle w:val="AppendixHeading3"/>
      </w:pPr>
      <w:bookmarkStart w:id="217" w:name="_Toc517161167"/>
      <w:r>
        <w:lastRenderedPageBreak/>
        <w:t>Gas market access and infrastructure</w:t>
      </w:r>
      <w:bookmarkEnd w:id="217"/>
    </w:p>
    <w:p w14:paraId="5D634D4A" w14:textId="5F3B381B" w:rsidR="008B38C1" w:rsidRDefault="008B38C1" w:rsidP="00B41716">
      <w:pPr>
        <w:pStyle w:val="BodyText"/>
      </w:pPr>
      <w:r>
        <w:t xml:space="preserve">The Georgina Basin is located between the </w:t>
      </w:r>
      <w:r w:rsidR="006A6AF0">
        <w:t>East Coast Gas Market</w:t>
      </w:r>
      <w:r w:rsidR="00F72E01">
        <w:t xml:space="preserve"> and the </w:t>
      </w:r>
      <w:r w:rsidR="006A6AF0">
        <w:t>Northern Territory</w:t>
      </w:r>
      <w:r>
        <w:t xml:space="preserve"> </w:t>
      </w:r>
      <w:r w:rsidR="006A6AF0">
        <w:t>G</w:t>
      </w:r>
      <w:r>
        <w:t xml:space="preserve">as </w:t>
      </w:r>
      <w:r w:rsidR="006A6AF0">
        <w:t>M</w:t>
      </w:r>
      <w:r>
        <w:t xml:space="preserve">arket, but does not currently supply gas to either. Existing pipeline infrastructure </w:t>
      </w:r>
      <w:r w:rsidR="005F1220">
        <w:t xml:space="preserve">could </w:t>
      </w:r>
      <w:r>
        <w:t>connect the basin to Adelaide, Sydney and Mount Isa (AER, 2017). The basin is poorly to moderately well serviced in terms of road and rail access, depending on location.</w:t>
      </w:r>
    </w:p>
    <w:p w14:paraId="4598F556" w14:textId="77777777" w:rsidR="008B38C1" w:rsidRDefault="00611607" w:rsidP="00B41716">
      <w:pPr>
        <w:pStyle w:val="BodyText"/>
      </w:pPr>
      <w:r>
        <w:t>Figure C</w:t>
      </w:r>
      <w:r w:rsidR="00801A51">
        <w:t>.42</w:t>
      </w:r>
      <w:r w:rsidR="008B38C1">
        <w:t xml:space="preserve"> shows the location of major oil and gas infrastructure in the basin, including oil and gas pipelines and gas processing facilities, along with the distribution of major road and rail networks. Further details are summarised in </w:t>
      </w:r>
      <w:r>
        <w:t>Table C</w:t>
      </w:r>
      <w:r w:rsidR="00096667">
        <w:t>.3</w:t>
      </w:r>
      <w:r w:rsidR="002D029E">
        <w:t>6</w:t>
      </w:r>
      <w:r w:rsidR="008B38C1">
        <w:t>.</w:t>
      </w:r>
    </w:p>
    <w:p w14:paraId="1808BBD6" w14:textId="77777777" w:rsidR="008B38C1" w:rsidRPr="005450A3" w:rsidRDefault="008B38C1" w:rsidP="008B38C1">
      <w:pPr>
        <w:pStyle w:val="FiguresImagesCentred"/>
      </w:pPr>
      <w:r>
        <w:rPr>
          <w:noProof/>
        </w:rPr>
        <w:drawing>
          <wp:inline distT="0" distB="0" distL="0" distR="0" wp14:anchorId="43B9D569" wp14:editId="4BF3A5C2">
            <wp:extent cx="4741051" cy="5071872"/>
            <wp:effectExtent l="0" t="0" r="2540" b="0"/>
            <wp:docPr id="7213" name="Picture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0" y="0"/>
                      <a:ext cx="4753586" cy="5085282"/>
                    </a:xfrm>
                    <a:prstGeom prst="rect">
                      <a:avLst/>
                    </a:prstGeom>
                    <a:noFill/>
                    <a:ln>
                      <a:noFill/>
                    </a:ln>
                  </pic:spPr>
                </pic:pic>
              </a:graphicData>
            </a:graphic>
          </wp:inline>
        </w:drawing>
      </w:r>
    </w:p>
    <w:p w14:paraId="221AC12F" w14:textId="262EE691" w:rsidR="008B38C1" w:rsidRDefault="00E01F8F" w:rsidP="00672502">
      <w:pPr>
        <w:pStyle w:val="Caption"/>
        <w:keepLines/>
      </w:pPr>
      <w:bookmarkStart w:id="218" w:name="_Toc508972113"/>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42</w:t>
      </w:r>
      <w:r w:rsidR="008079F1">
        <w:rPr>
          <w:noProof/>
        </w:rPr>
        <w:fldChar w:fldCharType="end"/>
      </w:r>
      <w:r>
        <w:rPr>
          <w:noProof/>
        </w:rPr>
        <w:t xml:space="preserve"> </w:t>
      </w:r>
      <w:r w:rsidR="008B38C1">
        <w:t xml:space="preserve">Georgina Basin infrastructure, pipelines and production facilities. </w:t>
      </w:r>
      <w:r w:rsidR="00AF7FF4">
        <w:t xml:space="preserve">Oil and gas infrastructure from GA (2015a). Processing facilities from GA (2015b). </w:t>
      </w:r>
      <w:r w:rsidR="008B38C1">
        <w:t>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218"/>
    </w:p>
    <w:p w14:paraId="1898D858" w14:textId="77777777" w:rsidR="00672502" w:rsidRPr="00672502" w:rsidRDefault="00672502" w:rsidP="00672502">
      <w:pPr>
        <w:pStyle w:val="BodyText"/>
      </w:pPr>
    </w:p>
    <w:p w14:paraId="7771E3A4" w14:textId="48DD2B93" w:rsidR="008B38C1" w:rsidRDefault="00096667" w:rsidP="009F3E8F">
      <w:pPr>
        <w:pStyle w:val="Caption"/>
      </w:pPr>
      <w:bookmarkStart w:id="219" w:name="_Toc508972185"/>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36</w:t>
      </w:r>
      <w:r w:rsidR="008079F1">
        <w:rPr>
          <w:noProof/>
        </w:rPr>
        <w:fldChar w:fldCharType="end"/>
      </w:r>
      <w:r>
        <w:t xml:space="preserve"> </w:t>
      </w:r>
      <w:r w:rsidR="008B38C1">
        <w:t>Summary of market access and infrastructure. Pipeline information from AER (2017) and Jemena (2017). Oil and gas infrastructure from GA (2015</w:t>
      </w:r>
      <w:r w:rsidR="009825ED">
        <w:t>a</w:t>
      </w:r>
      <w:r w:rsidR="008B38C1">
        <w:t>).</w:t>
      </w:r>
      <w:r w:rsidR="009825ED" w:rsidRPr="009825ED">
        <w:t xml:space="preserve"> </w:t>
      </w:r>
      <w:r w:rsidR="009825ED">
        <w:t>Processing facilities from GA (2015b)</w:t>
      </w:r>
      <w:r w:rsidR="009825ED" w:rsidRPr="00495D8B">
        <w:t>.</w:t>
      </w:r>
      <w:bookmarkEnd w:id="219"/>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466"/>
        <w:gridCol w:w="6173"/>
      </w:tblGrid>
      <w:tr w:rsidR="008B38C1" w14:paraId="4238B3EC"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6736F3ED" w14:textId="77777777" w:rsidR="008B38C1" w:rsidRDefault="008B38C1">
            <w:pPr>
              <w:pStyle w:val="TableTextLeft"/>
            </w:pPr>
            <w:r>
              <w:t>INFRASTRUCTURE</w:t>
            </w:r>
          </w:p>
        </w:tc>
      </w:tr>
      <w:tr w:rsidR="008B38C1" w14:paraId="27929CD8"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145B42FF" w14:textId="77777777" w:rsidR="008B38C1" w:rsidRDefault="008B38C1">
            <w:pPr>
              <w:pStyle w:val="TableTextLeft"/>
            </w:pPr>
            <w:r>
              <w:t>Gas market</w:t>
            </w:r>
          </w:p>
        </w:tc>
        <w:tc>
          <w:tcPr>
            <w:tcW w:w="3202" w:type="pct"/>
            <w:hideMark/>
          </w:tcPr>
          <w:p w14:paraId="0C25F773" w14:textId="1F32A301" w:rsidR="008B38C1" w:rsidRDefault="008B38C1" w:rsidP="00F72E01">
            <w:pPr>
              <w:pStyle w:val="TableTextLeft"/>
              <w:cnfStyle w:val="100000000000" w:firstRow="1" w:lastRow="0" w:firstColumn="0" w:lastColumn="0" w:oddVBand="0" w:evenVBand="0" w:oddHBand="0" w:evenHBand="0" w:firstRowFirstColumn="0" w:firstRowLastColumn="0" w:lastRowFirstColumn="0" w:lastRowLastColumn="0"/>
            </w:pPr>
            <w:r>
              <w:t xml:space="preserve">Located between the </w:t>
            </w:r>
            <w:r w:rsidR="006A6AF0">
              <w:t>East Coast Gas Market</w:t>
            </w:r>
            <w:r>
              <w:t xml:space="preserve"> and </w:t>
            </w:r>
            <w:r w:rsidR="006A6AF0">
              <w:t>Northern Territory Gas Market</w:t>
            </w:r>
            <w:r>
              <w:t>; no current supply to either</w:t>
            </w:r>
          </w:p>
        </w:tc>
      </w:tr>
      <w:tr w:rsidR="008B38C1" w14:paraId="4ED886ED"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3E97C86F" w14:textId="77777777" w:rsidR="008B38C1" w:rsidRDefault="008B38C1">
            <w:pPr>
              <w:pStyle w:val="TableTextLeft"/>
            </w:pPr>
            <w:r>
              <w:t>Gas pipelines</w:t>
            </w:r>
          </w:p>
        </w:tc>
        <w:tc>
          <w:tcPr>
            <w:tcW w:w="3202" w:type="pct"/>
            <w:hideMark/>
          </w:tcPr>
          <w:p w14:paraId="5FF12C7B" w14:textId="77777777" w:rsidR="008B38C1" w:rsidRDefault="008B38C1" w:rsidP="00873419">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Amadeus Gas Pipeline (Amadeus Basin to Darwin) – capacity 120 TJ/day</w:t>
            </w:r>
          </w:p>
          <w:p w14:paraId="42444293" w14:textId="77777777" w:rsidR="008B38C1" w:rsidRDefault="008B38C1" w:rsidP="00873419">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Carpentaria Pipeline (Ballera to Mount Isa) – capacity 119 TJ/ Day</w:t>
            </w:r>
          </w:p>
          <w:p w14:paraId="4FBADDB7" w14:textId="77777777" w:rsidR="008B38C1" w:rsidRDefault="008B38C1" w:rsidP="00873419">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Northern Gas Pipeline (under construction – due for completion end of 2018)</w:t>
            </w:r>
          </w:p>
        </w:tc>
      </w:tr>
      <w:tr w:rsidR="008B38C1" w14:paraId="1793017F"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63BD1CF2" w14:textId="77777777" w:rsidR="008B38C1" w:rsidRDefault="008B38C1">
            <w:pPr>
              <w:pStyle w:val="TableTextLeft"/>
            </w:pPr>
            <w:r>
              <w:t>Gas processing facilities</w:t>
            </w:r>
          </w:p>
        </w:tc>
        <w:tc>
          <w:tcPr>
            <w:tcW w:w="3202" w:type="pct"/>
            <w:hideMark/>
          </w:tcPr>
          <w:p w14:paraId="690C4A80"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None</w:t>
            </w:r>
          </w:p>
        </w:tc>
      </w:tr>
      <w:tr w:rsidR="008B38C1" w14:paraId="47F1961B"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7DAD1550" w14:textId="77777777" w:rsidR="008B38C1" w:rsidRDefault="008B38C1">
            <w:pPr>
              <w:pStyle w:val="TableTextLeft"/>
            </w:pPr>
            <w:r>
              <w:t>Approx. distance from existing pipelines to area prospective for shale and/or tight gas</w:t>
            </w:r>
          </w:p>
        </w:tc>
        <w:tc>
          <w:tcPr>
            <w:tcW w:w="3202" w:type="pct"/>
            <w:hideMark/>
          </w:tcPr>
          <w:p w14:paraId="74179665"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200–400</w:t>
            </w:r>
            <w:r w:rsidR="008232C9">
              <w:t> km</w:t>
            </w:r>
          </w:p>
        </w:tc>
      </w:tr>
      <w:tr w:rsidR="008B38C1" w14:paraId="6FB094C3"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1A185590" w14:textId="77777777" w:rsidR="008B38C1" w:rsidRDefault="008B38C1">
            <w:pPr>
              <w:pStyle w:val="TableTextLeft"/>
            </w:pPr>
            <w:r>
              <w:t>Road and rail access</w:t>
            </w:r>
          </w:p>
        </w:tc>
        <w:tc>
          <w:tcPr>
            <w:tcW w:w="3202" w:type="pct"/>
            <w:hideMark/>
          </w:tcPr>
          <w:p w14:paraId="3297414A"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Poorly to moderately well serviced</w:t>
            </w:r>
          </w:p>
        </w:tc>
      </w:tr>
      <w:tr w:rsidR="008B38C1" w14:paraId="24D8FB47"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6447F7B8" w14:textId="77777777" w:rsidR="008B38C1" w:rsidRDefault="008B38C1">
            <w:pPr>
              <w:pStyle w:val="TableTextLeft"/>
            </w:pPr>
            <w:r>
              <w:t>Approximate development timeframe</w:t>
            </w:r>
          </w:p>
        </w:tc>
        <w:tc>
          <w:tcPr>
            <w:tcW w:w="3202" w:type="pct"/>
          </w:tcPr>
          <w:p w14:paraId="37F749DA" w14:textId="77777777" w:rsidR="008B38C1" w:rsidRDefault="00473729">
            <w:pPr>
              <w:pStyle w:val="TableTextLeft"/>
              <w:cnfStyle w:val="100000000000" w:firstRow="1" w:lastRow="0" w:firstColumn="0" w:lastColumn="0" w:oddVBand="0" w:evenVBand="0" w:oddHBand="0" w:evenHBand="0" w:firstRowFirstColumn="0" w:firstRowLastColumn="0" w:lastRowFirstColumn="0" w:lastRowLastColumn="0"/>
            </w:pPr>
            <w:r>
              <w:t>8 to &gt;</w:t>
            </w:r>
            <w:r w:rsidRPr="00473729">
              <w:t>10 years</w:t>
            </w:r>
          </w:p>
        </w:tc>
      </w:tr>
    </w:tbl>
    <w:p w14:paraId="332C866B" w14:textId="77777777" w:rsidR="008B38C1" w:rsidRDefault="008B38C1" w:rsidP="00E34CDE">
      <w:pPr>
        <w:pStyle w:val="AppendixHeading3"/>
      </w:pPr>
      <w:bookmarkStart w:id="220" w:name="_Toc517161168"/>
      <w:r>
        <w:t>Regulatory environment impacting shale and tight gas exploration</w:t>
      </w:r>
      <w:bookmarkEnd w:id="220"/>
    </w:p>
    <w:p w14:paraId="45F2BDD5" w14:textId="6A559541" w:rsidR="008B38C1" w:rsidRDefault="008B38C1" w:rsidP="00B41716">
      <w:pPr>
        <w:pStyle w:val="BodyText"/>
      </w:pPr>
      <w:r>
        <w:t xml:space="preserve">All Australian states and territories have regulatory frameworks in place to manage impacts of petroleum exploration and production. In all Australian jurisdictions, companies intending to carry out drilling and stimulation operations must submit several applications to the relevant departments, including a drilling application, an environment plan and a safety management plan (APPEA, 2017). </w:t>
      </w:r>
    </w:p>
    <w:p w14:paraId="4AC6D37A" w14:textId="77777777" w:rsidR="00355F5E" w:rsidRDefault="008B38C1" w:rsidP="00B41716">
      <w:pPr>
        <w:pStyle w:val="BodyText"/>
      </w:pPr>
      <w:r>
        <w:t xml:space="preserve">Regulation is overseen by different government departments across Australia. </w:t>
      </w:r>
    </w:p>
    <w:p w14:paraId="0C69635B" w14:textId="4B08D799" w:rsidR="008B38C1" w:rsidRDefault="008B38C1" w:rsidP="00B41716">
      <w:pPr>
        <w:pStyle w:val="BodyText"/>
      </w:pPr>
      <w:r>
        <w:t xml:space="preserve">There are no regulatory restrictions affecting the development of shale and or tight gas resources in Queensland. </w:t>
      </w:r>
      <w:r w:rsidR="00694C46" w:rsidRPr="00694C46">
        <w:t>In 2016, the Northern Territory Government implemented a moratorium on unconventional onshore gas activities in the territory, while an inquiry was undertaken and pending the Government’s decision on the recommendations of the inquiry; the final report of the inquiry was released in March 2018 (Scientific Inquiry into Hydraulic Fracturing in the Northern Territory, 2018).</w:t>
      </w:r>
      <w:r w:rsidR="005D6583">
        <w:t xml:space="preserve"> </w:t>
      </w:r>
      <w:r>
        <w:t>Details of the moratorium and regulatory restrictions are described below.</w:t>
      </w:r>
    </w:p>
    <w:p w14:paraId="42155EC5" w14:textId="77777777" w:rsidR="008B38C1" w:rsidRDefault="008B38C1" w:rsidP="00E34CDE">
      <w:pPr>
        <w:pStyle w:val="AppendixHeading4"/>
      </w:pPr>
      <w:r>
        <w:t>Northern Territory</w:t>
      </w:r>
    </w:p>
    <w:p w14:paraId="0F70A658" w14:textId="47C5B5E7" w:rsidR="00190D8F" w:rsidRPr="00190D8F" w:rsidRDefault="00190D8F" w:rsidP="00190D8F">
      <w:r w:rsidRPr="00190D8F">
        <w:t xml:space="preserve">In April 2018, the Northern Territory Government accepted all 135 recommendations of the inquiry and lifted the moratorium on hydraulic fracturing over 51% of the Territory. </w:t>
      </w:r>
      <w:r w:rsidR="00694C46">
        <w:t>A</w:t>
      </w:r>
      <w:r w:rsidR="006434DB">
        <w:t xml:space="preserve">n </w:t>
      </w:r>
      <w:r w:rsidR="006434DB" w:rsidRPr="006434DB">
        <w:t xml:space="preserve">implementation plan to be released in July </w:t>
      </w:r>
      <w:r w:rsidR="000578DD">
        <w:t>20</w:t>
      </w:r>
      <w:r w:rsidR="006434DB">
        <w:t xml:space="preserve">18 </w:t>
      </w:r>
      <w:r w:rsidR="006434DB" w:rsidRPr="006434DB">
        <w:t>will clearly show how the recommendations will be implemented</w:t>
      </w:r>
      <w:r w:rsidR="006434DB">
        <w:t xml:space="preserve">.  </w:t>
      </w:r>
    </w:p>
    <w:p w14:paraId="0C46B54C" w14:textId="77777777" w:rsidR="008B38C1" w:rsidRDefault="008B38C1" w:rsidP="00E34CDE">
      <w:pPr>
        <w:pStyle w:val="AppendixHeading4"/>
      </w:pPr>
      <w:r>
        <w:t>Queensland</w:t>
      </w:r>
    </w:p>
    <w:p w14:paraId="09751B29" w14:textId="77777777" w:rsidR="00A50501" w:rsidRDefault="00A50501" w:rsidP="00A50501">
      <w:pPr>
        <w:pStyle w:val="BodyText"/>
      </w:pPr>
      <w:r w:rsidRPr="00A50501">
        <w:t xml:space="preserve">The Queensland Government has no identified constraints to tight and shale gas resource drilling or production stimulation. All planned hydraulic fracture stimulation activities must be reported to the Queensland Department of Natural Resources and Mines (Queensland Government, 2017). </w:t>
      </w:r>
    </w:p>
    <w:p w14:paraId="77B88E26" w14:textId="77777777" w:rsidR="008B38C1" w:rsidRDefault="008B38C1" w:rsidP="00E34CDE">
      <w:pPr>
        <w:pStyle w:val="AppendixHeading3"/>
      </w:pPr>
      <w:bookmarkStart w:id="221" w:name="_Toc517161169"/>
      <w:r>
        <w:lastRenderedPageBreak/>
        <w:t>Hydrogeology and groundwater</w:t>
      </w:r>
      <w:bookmarkEnd w:id="221"/>
    </w:p>
    <w:p w14:paraId="76FA568E" w14:textId="77777777" w:rsidR="00FC3A0A" w:rsidRDefault="00FC3A0A" w:rsidP="00D15FEC">
      <w:pPr>
        <w:pStyle w:val="AppendixHeading4"/>
      </w:pPr>
      <w:r>
        <w:t>Groundwater systems</w:t>
      </w:r>
    </w:p>
    <w:p w14:paraId="7CD783E9" w14:textId="76AEEF49" w:rsidR="00FC3A0A" w:rsidRDefault="00FC3A0A" w:rsidP="00B41716">
      <w:pPr>
        <w:pStyle w:val="BodyText"/>
      </w:pPr>
      <w:r>
        <w:t>The primary water-bearing units identified in the Georgina Basin are the Paleozoic carbonate formations that host fractured or fissured, extensive and highly productive aquifers (Jacobson and Lau, 1987). Less significant sources are found in fractured rock aquifers and porous clastic rock aquifers. Sporadic incidences of Cenozoic age sediments have also shown to provide regionally significant groundwater. Selected stratigraphy is presented in Figure C.39. A more comprehensive stratigraphy can be found in Smith et al. (2013).</w:t>
      </w:r>
    </w:p>
    <w:p w14:paraId="72EC8B49" w14:textId="77777777" w:rsidR="00FC3A0A" w:rsidRDefault="00FC3A0A" w:rsidP="00D15FEC">
      <w:pPr>
        <w:pStyle w:val="AppendixHeading5"/>
      </w:pPr>
      <w:r>
        <w:t>Carbonate Aquifers (middle–upper Cambrian to Ordovician)</w:t>
      </w:r>
    </w:p>
    <w:p w14:paraId="77A86348" w14:textId="301EACDF" w:rsidR="00FC3A0A" w:rsidRDefault="00FC3A0A" w:rsidP="00B41716">
      <w:pPr>
        <w:pStyle w:val="BodyText"/>
      </w:pPr>
      <w:r>
        <w:t xml:space="preserve">Carbonate aquifers are the most important source of groundwater in the Georgina Basin and they are widespread. Of the carbonate aquifers, the Gum Ridge and Anthony Lagoon Formation and their equivalents have been the most extensively developed (Randal, 1978). </w:t>
      </w:r>
    </w:p>
    <w:p w14:paraId="11F5B36D" w14:textId="5AAF4D09" w:rsidR="00FC3A0A" w:rsidRDefault="00FC3A0A" w:rsidP="00B41716">
      <w:pPr>
        <w:pStyle w:val="BodyText"/>
      </w:pPr>
      <w:r>
        <w:t xml:space="preserve">The Gum Ridge/Hay River Formations (part of the Narpa Group) consists of fossiliferous siltstone, chert, silicified limestone, and some sandstones including leached calcareous sandstones. The depth to groundwater varies significantly throughout the basin, ranging from 15 m to 168 m (Verma and Jolly, 1992). The reported thickness of the unit varies between 350 m (Verma and Jolly, 1992) and 3–25 m at the margins of the basin (Smith, 1972). Aquifer yields have been reported from 0.5–5 L/s, with higher yields possible when cavities are present in this carbonate sequence (Verma and Jolly, 1992). </w:t>
      </w:r>
    </w:p>
    <w:p w14:paraId="19F1103A" w14:textId="108A5B66" w:rsidR="00FC3A0A" w:rsidRDefault="00FC3A0A" w:rsidP="00B41716">
      <w:pPr>
        <w:pStyle w:val="BodyText"/>
      </w:pPr>
      <w:r>
        <w:t>The overlying Anthony Lagoon Formation is a carbonate-siliciclastic unit incorporating dolomitic siltstone, dolomitic sandstone-siltstone interbeds, quartz sandstone and a variety of carbonate rock types (Munro, 2012). The thickness of the unit and its equivalents is up to 395 m, while in outcrop, thicknesses of 15m have been reported (Verma and Jolly, 1992). The depth to the water table typically ranges from approximately 35 m to 145 m below ground level.</w:t>
      </w:r>
    </w:p>
    <w:p w14:paraId="50083A51" w14:textId="77777777" w:rsidR="00FC3A0A" w:rsidRDefault="00FC3A0A" w:rsidP="00D15FEC">
      <w:pPr>
        <w:pStyle w:val="AppendixHeading5"/>
      </w:pPr>
      <w:r>
        <w:t>Fractured Rock Aquifers (middle Cambrian)</w:t>
      </w:r>
    </w:p>
    <w:p w14:paraId="66B20692" w14:textId="539D757A" w:rsidR="00FC3A0A" w:rsidRDefault="00FC3A0A" w:rsidP="00B41716">
      <w:pPr>
        <w:pStyle w:val="BodyText"/>
      </w:pPr>
      <w:r>
        <w:t xml:space="preserve">Fractured rock aquifers </w:t>
      </w:r>
      <w:r w:rsidR="004D364C">
        <w:t xml:space="preserve">are </w:t>
      </w:r>
      <w:r>
        <w:t xml:space="preserve">present in the southeast region of the basin </w:t>
      </w:r>
      <w:r w:rsidR="004D364C">
        <w:t xml:space="preserve">and </w:t>
      </w:r>
      <w:r>
        <w:t xml:space="preserve">consist of clastic and silicified clastic rocks of middle Cambrian age. The fractured rock aquifers do not have the same solution cavities as the carbonates and this is reflected by lower groundwater yields and water strike success rates. Of the fractured rock aquifers, the Beetle Creek Formation has been most extensively drilled. The groundwater regimes range from shallow to deep, with average aquifer intersection of 111 m </w:t>
      </w:r>
      <w:r w:rsidR="004D364C">
        <w:t xml:space="preserve">below ground level </w:t>
      </w:r>
      <w:r>
        <w:t>(Randal, 1978), and typical yield of around 1.5 L/s when groundwater is found.</w:t>
      </w:r>
    </w:p>
    <w:p w14:paraId="56B30460" w14:textId="77777777" w:rsidR="00FC3A0A" w:rsidRDefault="00FC3A0A" w:rsidP="00D15FEC">
      <w:pPr>
        <w:pStyle w:val="AppendixHeading5"/>
      </w:pPr>
      <w:r>
        <w:t>Porous Rock Aquifers (middle Cambrian to Ordovician)</w:t>
      </w:r>
    </w:p>
    <w:p w14:paraId="2CBBC1F3" w14:textId="22E02DF1" w:rsidR="00FC3A0A" w:rsidRDefault="00FC3A0A" w:rsidP="00B41716">
      <w:pPr>
        <w:pStyle w:val="BodyText"/>
      </w:pPr>
      <w:r>
        <w:t>Low-yielding porous rock aquifers have been intersected across the basin. Formations include the Middle Cambrian Steamboat Sandstone, the Lower Ordovician Kelly Formation, the Cambrian–Ordovician Tomahawk Beds, the Lower Ordovician Swift Formation and the Middle Ordovician Nora and Upper Ordovician Carlo Formation. Typical depth to these aquifers is between 35 m and 186 m below ground level, with a groundwater yield of typically 1.5 L/s (Randal, 1978).</w:t>
      </w:r>
    </w:p>
    <w:p w14:paraId="3A0C5068" w14:textId="77777777" w:rsidR="00FC3A0A" w:rsidRDefault="00FC3A0A" w:rsidP="00D15FEC">
      <w:pPr>
        <w:pStyle w:val="AppendixHeading5"/>
      </w:pPr>
      <w:r>
        <w:lastRenderedPageBreak/>
        <w:t>Cenozoic Aquifers</w:t>
      </w:r>
    </w:p>
    <w:p w14:paraId="05758A6A" w14:textId="77777777" w:rsidR="00FC3A0A" w:rsidRDefault="00FC3A0A" w:rsidP="00B41716">
      <w:pPr>
        <w:pStyle w:val="BodyText"/>
      </w:pPr>
      <w:r>
        <w:t>The Cenozoic units contain useful supplies of groundwater, but the quality, in terms of salinity (particularly from carbonate rocks) is typically not as good as underlying formations. Cenozoic aquifers include porous rock aquifers of coarse gravel, sandy gravels and soft sandstone (such as the Marion Formation) and carbonate aquifers (such as the Austral Downs Limestone and Noranside Limestone). Typical depth of aquifer ranges from 8 to 16 m below ground level with a thickness of around 30–40 m. Yields of around 1–2 L/s have been reported (Randal, 1978).</w:t>
      </w:r>
    </w:p>
    <w:p w14:paraId="094BB5D0" w14:textId="77777777" w:rsidR="00FC3A0A" w:rsidRDefault="00FC3A0A" w:rsidP="00B41716">
      <w:pPr>
        <w:pStyle w:val="BodyText"/>
      </w:pPr>
      <w:r>
        <w:t>In the southwest, significant groundwater is present in the Cenozoic aquifers of the Western Davenport and Ti-Tree aquifers. Aquifer thickness in the Ti-Tree Basin reaches up to 80 m with yields between 5 and 15 L/s (DNREAS, 2009).</w:t>
      </w:r>
    </w:p>
    <w:p w14:paraId="388AB3F8" w14:textId="77777777" w:rsidR="00FC3A0A" w:rsidRDefault="00FC3A0A" w:rsidP="00D15FEC">
      <w:pPr>
        <w:pStyle w:val="AppendixHeading5"/>
      </w:pPr>
      <w:r>
        <w:t>Eromanga Basin</w:t>
      </w:r>
    </w:p>
    <w:p w14:paraId="3C270EE8" w14:textId="116BAD79" w:rsidR="00FC3A0A" w:rsidRDefault="00FC3A0A" w:rsidP="00B41716">
      <w:pPr>
        <w:pStyle w:val="BodyText"/>
      </w:pPr>
      <w:r>
        <w:t>The Jurassic to middle Cretaceous Eromanga Basin overlies the southeastern portion of the Georgina Basin and hosts the Great Artesian Basin (GAB), a complex and widespread series of aquifer and aquitard formations. Of note is the Early Cretaceous Cadna-owie aquifer and equivalents, which represents one of the most widespread aquifers. Although the formation as a whole is generally a poor aquifer, commonly there is a thin upper sandstone member that is an excellent aquifer and is widely utilised by agriculture and industry. The</w:t>
      </w:r>
      <w:r w:rsidRPr="006B2395">
        <w:t xml:space="preserve"> Ca</w:t>
      </w:r>
      <w:r>
        <w:t>dn</w:t>
      </w:r>
      <w:r w:rsidRPr="006B2395">
        <w:t>a-owie aquifer</w:t>
      </w:r>
      <w:r>
        <w:t xml:space="preserve"> dips towards the east where it’s around 200–400 m deep, the thickness of the aquifer ranges from 0–100 m (Ransley et al., 2015).</w:t>
      </w:r>
    </w:p>
    <w:p w14:paraId="41739DA4" w14:textId="77777777" w:rsidR="00FC3A0A" w:rsidRDefault="00FC3A0A" w:rsidP="00D15FEC">
      <w:pPr>
        <w:pStyle w:val="AppendixHeading4"/>
      </w:pPr>
      <w:r>
        <w:t>Groundwater quality</w:t>
      </w:r>
    </w:p>
    <w:p w14:paraId="0B7381BC" w14:textId="77777777" w:rsidR="00FC3A0A" w:rsidRDefault="00FC3A0A" w:rsidP="00B41716">
      <w:pPr>
        <w:pStyle w:val="BodyText"/>
      </w:pPr>
      <w:r>
        <w:t xml:space="preserve">Whilst groundwater quality shows considerable variation across the Georgina Basin, some broad spatial patterns are evident. </w:t>
      </w:r>
    </w:p>
    <w:p w14:paraId="6944C503" w14:textId="49327E7C" w:rsidR="00FC3A0A" w:rsidRDefault="00FC3A0A" w:rsidP="00B41716">
      <w:pPr>
        <w:pStyle w:val="BodyText"/>
      </w:pPr>
      <w:r>
        <w:t>Groundwater salinity levels are generally low in the middle Cambrian limestones and are generally lower than the non-carbonate aquifers, with average</w:t>
      </w:r>
      <w:r w:rsidRPr="00913837">
        <w:t xml:space="preserve"> </w:t>
      </w:r>
      <w:r>
        <w:t xml:space="preserve">Total Dissolved Solids (TDS) concentrations ranging from 390–962 mg/L (Smith, 1972). Salinity within the Gum Ridge Formation is typically around 500 mg/L TDS, with higher concentrations found around the contact with the Anthony Lagoon Formation. </w:t>
      </w:r>
    </w:p>
    <w:p w14:paraId="0E46FB61" w14:textId="312B455F" w:rsidR="00FC3A0A" w:rsidRDefault="00FC3A0A" w:rsidP="00B41716">
      <w:pPr>
        <w:pStyle w:val="BodyText"/>
      </w:pPr>
      <w:r>
        <w:t xml:space="preserve">Salinity within the Anthony Lagoon Formation has shown significant variation, ranging from low (&lt;500 mg/L) around Lake Tarrabool, where recharge is thought to occur, to high (&gt;5000 mg/L) in areas of former evaporate beds (Verma and Jolly, 1992). </w:t>
      </w:r>
    </w:p>
    <w:p w14:paraId="5426724F" w14:textId="77777777" w:rsidR="00FC3A0A" w:rsidRDefault="00FC3A0A" w:rsidP="00B41716">
      <w:pPr>
        <w:pStyle w:val="BodyText"/>
      </w:pPr>
      <w:r>
        <w:t xml:space="preserve">Cenozoic aquifers of the Ti-Tree and Western Davenport region typically show groundwater of sufficient quality for irrigation and stock purposes. </w:t>
      </w:r>
    </w:p>
    <w:p w14:paraId="61FC11C5" w14:textId="77777777" w:rsidR="00FC3A0A" w:rsidRDefault="00FC3A0A" w:rsidP="00B41716">
      <w:pPr>
        <w:pStyle w:val="BodyText"/>
      </w:pPr>
      <w:r>
        <w:t>The major aquifers of the GAB in this region are typically between 500–1,200 mg/L TDS.</w:t>
      </w:r>
    </w:p>
    <w:p w14:paraId="1E42A0F0" w14:textId="77777777" w:rsidR="00FC3A0A" w:rsidRDefault="00FC3A0A" w:rsidP="00D15FEC">
      <w:pPr>
        <w:pStyle w:val="AppendixHeading4"/>
      </w:pPr>
      <w:r>
        <w:t>Groundwater flow</w:t>
      </w:r>
    </w:p>
    <w:p w14:paraId="0AB2E893" w14:textId="7B65ACF6" w:rsidR="00FC3A0A" w:rsidRDefault="00FC3A0A" w:rsidP="00F27BC3">
      <w:pPr>
        <w:pStyle w:val="BodyText"/>
      </w:pPr>
      <w:r>
        <w:t xml:space="preserve">Groundwater flow directions are variable and are geographically and formation dependant. Groundwater flows of the Gum Ridge Formation are typically east to northeasterly and the </w:t>
      </w:r>
      <w:r>
        <w:lastRenderedPageBreak/>
        <w:t>Anthony Lagoon Formation northwesterly (Verma and Jolly, 1992). Figure C.43 shows the generalised regional groundwater flow in the Cambrian limestones in the northern portion of the basin.</w:t>
      </w:r>
    </w:p>
    <w:p w14:paraId="33E67E60" w14:textId="77777777" w:rsidR="008B38C1" w:rsidRPr="005450A3" w:rsidRDefault="008B38C1" w:rsidP="008B38C1">
      <w:pPr>
        <w:pStyle w:val="FiguresImagesCentred"/>
      </w:pPr>
      <w:r>
        <w:rPr>
          <w:noProof/>
        </w:rPr>
        <w:drawing>
          <wp:inline distT="0" distB="0" distL="0" distR="0" wp14:anchorId="7A3E3159" wp14:editId="3EF82436">
            <wp:extent cx="5765800" cy="3216275"/>
            <wp:effectExtent l="19050" t="19050" r="25400" b="22225"/>
            <wp:docPr id="7212" name="Picture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11" cstate="screen">
                      <a:extLst>
                        <a:ext uri="{28A0092B-C50C-407E-A947-70E740481C1C}">
                          <a14:useLocalDpi xmlns:a14="http://schemas.microsoft.com/office/drawing/2010/main"/>
                        </a:ext>
                      </a:extLst>
                    </a:blip>
                    <a:srcRect t="44012"/>
                    <a:stretch>
                      <a:fillRect/>
                    </a:stretch>
                  </pic:blipFill>
                  <pic:spPr bwMode="auto">
                    <a:xfrm>
                      <a:off x="0" y="0"/>
                      <a:ext cx="5765800" cy="3216275"/>
                    </a:xfrm>
                    <a:prstGeom prst="rect">
                      <a:avLst/>
                    </a:prstGeom>
                    <a:noFill/>
                    <a:ln w="9525" cmpd="sng">
                      <a:solidFill>
                        <a:srgbClr val="000000"/>
                      </a:solidFill>
                      <a:miter lim="800000"/>
                      <a:headEnd/>
                      <a:tailEnd/>
                    </a:ln>
                    <a:effectLst/>
                  </pic:spPr>
                </pic:pic>
              </a:graphicData>
            </a:graphic>
          </wp:inline>
        </w:drawing>
      </w:r>
    </w:p>
    <w:p w14:paraId="563ECF55" w14:textId="6A5E1E92" w:rsidR="00033148" w:rsidRDefault="00033148" w:rsidP="00B41716">
      <w:pPr>
        <w:pStyle w:val="Caption"/>
      </w:pPr>
      <w:bookmarkStart w:id="222" w:name="_Toc499547603"/>
      <w:bookmarkStart w:id="223" w:name="_Toc508972114"/>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43</w:t>
      </w:r>
      <w:r w:rsidR="008079F1">
        <w:rPr>
          <w:noProof/>
        </w:rPr>
        <w:fldChar w:fldCharType="end"/>
      </w:r>
      <w:r>
        <w:rPr>
          <w:noProof/>
        </w:rPr>
        <w:t xml:space="preserve"> </w:t>
      </w:r>
      <w:r>
        <w:t>Regional groundwater flow in the Cambrian limestones of the northern portion of the Georgina Basin (adapted from Knapton 2009).</w:t>
      </w:r>
      <w:bookmarkEnd w:id="222"/>
      <w:bookmarkEnd w:id="223"/>
    </w:p>
    <w:p w14:paraId="42A4E644" w14:textId="2382A81C" w:rsidR="00033148" w:rsidRDefault="00033148" w:rsidP="00B41716">
      <w:pPr>
        <w:pStyle w:val="BodyText"/>
        <w:rPr>
          <w:szCs w:val="20"/>
        </w:rPr>
      </w:pPr>
      <w:r>
        <w:t>In the southeastern Georgina Basin groundwater flow is typically in a west to northwesterly direction (Figure C.44). Towards the centre of the basin groundwater flow is southwards beneath, but typically not into, the GAB. There is also some evidence for groundwater flowing downwards from the GAB into the Georgina Basin.</w:t>
      </w:r>
    </w:p>
    <w:p w14:paraId="274F67B4" w14:textId="49B06893" w:rsidR="00033148" w:rsidRPr="005450A3" w:rsidRDefault="00033148" w:rsidP="008B38C1">
      <w:pPr>
        <w:pStyle w:val="FiguresImagesCentred"/>
      </w:pPr>
      <w:r>
        <w:rPr>
          <w:noProof/>
        </w:rPr>
        <w:lastRenderedPageBreak/>
        <w:drawing>
          <wp:inline distT="0" distB="0" distL="0" distR="0" wp14:anchorId="769CA09A" wp14:editId="71CA2143">
            <wp:extent cx="5473756" cy="6784288"/>
            <wp:effectExtent l="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extLst>
                        <a:ext uri="{28A0092B-C50C-407E-A947-70E740481C1C}">
                          <a14:useLocalDpi xmlns:a14="http://schemas.microsoft.com/office/drawing/2010/main"/>
                        </a:ext>
                      </a:extLst>
                    </a:blip>
                    <a:stretch>
                      <a:fillRect/>
                    </a:stretch>
                  </pic:blipFill>
                  <pic:spPr>
                    <a:xfrm>
                      <a:off x="0" y="0"/>
                      <a:ext cx="5473756" cy="6784288"/>
                    </a:xfrm>
                    <a:prstGeom prst="rect">
                      <a:avLst/>
                    </a:prstGeom>
                  </pic:spPr>
                </pic:pic>
              </a:graphicData>
            </a:graphic>
          </wp:inline>
        </w:drawing>
      </w:r>
    </w:p>
    <w:p w14:paraId="2C4A3610" w14:textId="028113F6" w:rsidR="00033148" w:rsidRDefault="00033148" w:rsidP="00B41716">
      <w:pPr>
        <w:pStyle w:val="Caption"/>
      </w:pPr>
      <w:bookmarkStart w:id="224" w:name="_Toc499547604"/>
      <w:bookmarkStart w:id="225" w:name="_Toc508972115"/>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44</w:t>
      </w:r>
      <w:r w:rsidR="008079F1">
        <w:rPr>
          <w:noProof/>
        </w:rPr>
        <w:fldChar w:fldCharType="end"/>
      </w:r>
      <w:r>
        <w:rPr>
          <w:noProof/>
        </w:rPr>
        <w:t xml:space="preserve"> </w:t>
      </w:r>
      <w:r>
        <w:t>Composite potentiometric surface for all aquifers in the in the southeastern Georgina Basin (adapted from Randal, 1978).</w:t>
      </w:r>
      <w:bookmarkEnd w:id="224"/>
      <w:bookmarkEnd w:id="225"/>
    </w:p>
    <w:p w14:paraId="3608DD34" w14:textId="77777777" w:rsidR="00033148" w:rsidRDefault="00033148" w:rsidP="00D15FEC">
      <w:pPr>
        <w:pStyle w:val="AppendixHeading4"/>
      </w:pPr>
      <w:r>
        <w:t>Groundwater planning and use</w:t>
      </w:r>
    </w:p>
    <w:p w14:paraId="0D1AE21F" w14:textId="50F6E927" w:rsidR="00033148" w:rsidRDefault="00033148" w:rsidP="00B67F8A">
      <w:pPr>
        <w:pStyle w:val="BodyText"/>
      </w:pPr>
      <w:r>
        <w:t xml:space="preserve">In Queensland, the Georgina Basin partly lies within the area covered by the </w:t>
      </w:r>
      <w:r w:rsidRPr="00523AC8">
        <w:t>Water Resource (Great Artesian Basin) Plan 2006</w:t>
      </w:r>
      <w:r>
        <w:t xml:space="preserve"> (Queensland Government, 2006) and the Water Plan (Georgina and Diamantina) 2004 (Queensland Government, 2004). Within the Northern Territory, parts of Georgina Basin lie within the Daly Roper, Western Davenport and Ti-Tree water control districts </w:t>
      </w:r>
      <w:r>
        <w:lastRenderedPageBreak/>
        <w:t xml:space="preserve">(Northern Territory Government, 2016) under the </w:t>
      </w:r>
      <w:r w:rsidRPr="005962FF">
        <w:t>Water Act 1992 (NT) (Northern Territory Legislation, 1992)</w:t>
      </w:r>
      <w:r>
        <w:t>.</w:t>
      </w:r>
    </w:p>
    <w:p w14:paraId="5B6164A6" w14:textId="32CAFB8D" w:rsidR="00033148" w:rsidRDefault="00033148" w:rsidP="00B67F8A">
      <w:pPr>
        <w:pStyle w:val="BodyText"/>
      </w:pPr>
      <w:r>
        <w:t>Groundwater extraction licences granted in the Western Davenport Water Control District for the financial year 2008–2009 totalled 2458 ML, of which approximately 81% was for horticulture, about 2% for roadhouses and 17% for public water supply to three Indigenous communities. Actual extraction for the 2008–2009 totalled 918 ML (DNREAS, 2011). Outside of Water Control Districts, groundwater use is generally not metered</w:t>
      </w:r>
      <w:r w:rsidDel="00C435F9">
        <w:t xml:space="preserve"> </w:t>
      </w:r>
    </w:p>
    <w:p w14:paraId="425F26A5" w14:textId="3021147C" w:rsidR="00033148" w:rsidRDefault="00033148" w:rsidP="00B67F8A">
      <w:pPr>
        <w:pStyle w:val="BodyText"/>
      </w:pPr>
      <w:r>
        <w:t xml:space="preserve">Groundwater is the main water resource for consumptive use, including mining, irrigation and stock and domestic use in the in the Georgina Basin. </w:t>
      </w:r>
    </w:p>
    <w:p w14:paraId="575A68D3" w14:textId="3399FDF7" w:rsidR="00033148" w:rsidRDefault="00033148" w:rsidP="00B67F8A">
      <w:pPr>
        <w:pStyle w:val="BodyText"/>
      </w:pPr>
      <w:r>
        <w:t xml:space="preserve">Table C.37 presents information from the Bureau of Meteorology’s NGIS dataset </w:t>
      </w:r>
      <w:r w:rsidR="006B4EAA">
        <w:t xml:space="preserve">(BoM, 2016) </w:t>
      </w:r>
      <w:r>
        <w:t xml:space="preserve">and shows summary information of registered bores in the basin. </w:t>
      </w:r>
    </w:p>
    <w:p w14:paraId="42743B2C" w14:textId="7CF047EE" w:rsidR="00033148" w:rsidRDefault="00033148" w:rsidP="00B67F8A">
      <w:pPr>
        <w:pStyle w:val="Caption"/>
        <w:rPr>
          <w:highlight w:val="yellow"/>
        </w:rPr>
      </w:pPr>
      <w:bookmarkStart w:id="226" w:name="_Ref490663480"/>
      <w:bookmarkStart w:id="227" w:name="_Toc499547507"/>
      <w:bookmarkStart w:id="228" w:name="_Toc508972186"/>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37</w:t>
      </w:r>
      <w:r w:rsidR="008079F1">
        <w:rPr>
          <w:noProof/>
        </w:rPr>
        <w:fldChar w:fldCharType="end"/>
      </w:r>
      <w:r>
        <w:t xml:space="preserve"> Summary of groundwater bores and water use.</w:t>
      </w:r>
      <w:bookmarkEnd w:id="226"/>
      <w:bookmarkEnd w:id="227"/>
      <w:bookmarkEnd w:id="228"/>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033148" w14:paraId="5532D791"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000EDCA2" w14:textId="77777777" w:rsidR="00033148" w:rsidRDefault="00033148">
            <w:pPr>
              <w:pStyle w:val="TableTextLeft"/>
            </w:pPr>
            <w:r>
              <w:t>GROUNDWATER BORES AND WATER USE</w:t>
            </w:r>
          </w:p>
        </w:tc>
      </w:tr>
      <w:tr w:rsidR="00033148" w14:paraId="03AACBC3"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1A84AFAB" w14:textId="77777777" w:rsidR="00033148" w:rsidRDefault="00033148">
            <w:pPr>
              <w:pStyle w:val="TableTextLeft"/>
            </w:pPr>
            <w:r>
              <w:t>Number of bores (Density of Registered Bores - bores/km</w:t>
            </w:r>
            <w:r>
              <w:rPr>
                <w:vertAlign w:val="superscript"/>
              </w:rPr>
              <w:t>2</w:t>
            </w:r>
            <w:r>
              <w:t>)</w:t>
            </w:r>
          </w:p>
        </w:tc>
        <w:tc>
          <w:tcPr>
            <w:tcW w:w="2421" w:type="pct"/>
            <w:hideMark/>
          </w:tcPr>
          <w:p w14:paraId="6F53FA00" w14:textId="29046255" w:rsidR="00033148" w:rsidRDefault="00033148">
            <w:pPr>
              <w:pStyle w:val="TableTextLeft"/>
              <w:cnfStyle w:val="100000000000" w:firstRow="1" w:lastRow="0" w:firstColumn="0" w:lastColumn="0" w:oddVBand="0" w:evenVBand="0" w:oddHBand="0" w:evenHBand="0" w:firstRowFirstColumn="0" w:firstRowLastColumn="0" w:lastRowFirstColumn="0" w:lastRowLastColumn="0"/>
            </w:pPr>
            <w:r>
              <w:t>5,797 (0.02)</w:t>
            </w:r>
          </w:p>
        </w:tc>
      </w:tr>
      <w:tr w:rsidR="00033148" w14:paraId="49A4A8EC"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4A57B1C2" w14:textId="77777777" w:rsidR="00033148" w:rsidRDefault="00033148">
            <w:pPr>
              <w:pStyle w:val="TableTextLeft"/>
            </w:pPr>
            <w:r>
              <w:t>Purposes of registered bores</w:t>
            </w:r>
          </w:p>
          <w:p w14:paraId="214B48FA" w14:textId="77777777" w:rsidR="00033148" w:rsidRDefault="00033148">
            <w:pPr>
              <w:pStyle w:val="TableTextLeft"/>
            </w:pPr>
            <w:r>
              <w:t>(Top 5, number)</w:t>
            </w:r>
          </w:p>
        </w:tc>
        <w:tc>
          <w:tcPr>
            <w:tcW w:w="2421" w:type="pct"/>
            <w:hideMark/>
          </w:tcPr>
          <w:tbl>
            <w:tblPr>
              <w:tblW w:w="4200" w:type="dxa"/>
              <w:tblLook w:val="04A0" w:firstRow="1" w:lastRow="0" w:firstColumn="1" w:lastColumn="0" w:noHBand="0" w:noVBand="1"/>
            </w:tblPr>
            <w:tblGrid>
              <w:gridCol w:w="2122"/>
              <w:gridCol w:w="2078"/>
            </w:tblGrid>
            <w:tr w:rsidR="00033148" w14:paraId="7C7D1C8F" w14:textId="77777777" w:rsidTr="00135468">
              <w:trPr>
                <w:trHeight w:val="300"/>
              </w:trPr>
              <w:tc>
                <w:tcPr>
                  <w:tcW w:w="2120" w:type="dxa"/>
                  <w:noWrap/>
                  <w:vAlign w:val="bottom"/>
                  <w:hideMark/>
                </w:tcPr>
                <w:p w14:paraId="603B6F11" w14:textId="77777777" w:rsidR="00033148" w:rsidRDefault="00033148">
                  <w:pPr>
                    <w:pStyle w:val="TableTextLeft"/>
                  </w:pPr>
                  <w:r>
                    <w:t>Stock</w:t>
                  </w:r>
                </w:p>
              </w:tc>
              <w:tc>
                <w:tcPr>
                  <w:tcW w:w="2076" w:type="dxa"/>
                  <w:noWrap/>
                  <w:vAlign w:val="bottom"/>
                  <w:hideMark/>
                </w:tcPr>
                <w:p w14:paraId="6320CD9E" w14:textId="77777777" w:rsidR="00033148" w:rsidRDefault="00033148" w:rsidP="000350BE">
                  <w:pPr>
                    <w:pStyle w:val="TableTextRight0"/>
                  </w:pPr>
                  <w:r>
                    <w:t>3,882</w:t>
                  </w:r>
                </w:p>
              </w:tc>
            </w:tr>
            <w:tr w:rsidR="00033148" w14:paraId="59C35170" w14:textId="77777777" w:rsidTr="00135468">
              <w:trPr>
                <w:trHeight w:val="300"/>
              </w:trPr>
              <w:tc>
                <w:tcPr>
                  <w:tcW w:w="2120" w:type="dxa"/>
                  <w:noWrap/>
                  <w:vAlign w:val="bottom"/>
                  <w:hideMark/>
                </w:tcPr>
                <w:p w14:paraId="66BD84F2" w14:textId="77777777" w:rsidR="00033148" w:rsidRDefault="00033148">
                  <w:pPr>
                    <w:pStyle w:val="TableTextLeft"/>
                  </w:pPr>
                  <w:r>
                    <w:t>Unknown</w:t>
                  </w:r>
                </w:p>
              </w:tc>
              <w:tc>
                <w:tcPr>
                  <w:tcW w:w="2076" w:type="dxa"/>
                  <w:noWrap/>
                  <w:vAlign w:val="bottom"/>
                  <w:hideMark/>
                </w:tcPr>
                <w:p w14:paraId="0FA22071" w14:textId="77777777" w:rsidR="00033148" w:rsidRDefault="00033148" w:rsidP="000350BE">
                  <w:pPr>
                    <w:pStyle w:val="TableTextRight0"/>
                  </w:pPr>
                  <w:r>
                    <w:t>1,713</w:t>
                  </w:r>
                </w:p>
              </w:tc>
            </w:tr>
            <w:tr w:rsidR="00033148" w14:paraId="5C8E5896" w14:textId="77777777" w:rsidTr="00135468">
              <w:trPr>
                <w:trHeight w:val="300"/>
              </w:trPr>
              <w:tc>
                <w:tcPr>
                  <w:tcW w:w="2120" w:type="dxa"/>
                  <w:noWrap/>
                  <w:vAlign w:val="bottom"/>
                  <w:hideMark/>
                </w:tcPr>
                <w:p w14:paraId="35180CFB" w14:textId="77777777" w:rsidR="00033148" w:rsidRDefault="00033148">
                  <w:pPr>
                    <w:pStyle w:val="TableTextLeft"/>
                  </w:pPr>
                  <w:r>
                    <w:t>Domestic Household</w:t>
                  </w:r>
                </w:p>
              </w:tc>
              <w:tc>
                <w:tcPr>
                  <w:tcW w:w="2076" w:type="dxa"/>
                  <w:noWrap/>
                  <w:vAlign w:val="bottom"/>
                  <w:hideMark/>
                </w:tcPr>
                <w:p w14:paraId="76B6C41C" w14:textId="77777777" w:rsidR="00033148" w:rsidRDefault="00033148" w:rsidP="000350BE">
                  <w:pPr>
                    <w:pStyle w:val="TableTextRight0"/>
                  </w:pPr>
                  <w:r>
                    <w:t>186</w:t>
                  </w:r>
                </w:p>
              </w:tc>
            </w:tr>
            <w:tr w:rsidR="00033148" w14:paraId="557D000E" w14:textId="77777777" w:rsidTr="00135468">
              <w:trPr>
                <w:trHeight w:val="300"/>
              </w:trPr>
              <w:tc>
                <w:tcPr>
                  <w:tcW w:w="2120" w:type="dxa"/>
                  <w:noWrap/>
                  <w:vAlign w:val="bottom"/>
                  <w:hideMark/>
                </w:tcPr>
                <w:p w14:paraId="5BE95A6B" w14:textId="77777777" w:rsidR="00033148" w:rsidRDefault="00033148">
                  <w:pPr>
                    <w:pStyle w:val="TableTextLeft"/>
                  </w:pPr>
                  <w:r>
                    <w:t>Irrigated Agriculture</w:t>
                  </w:r>
                </w:p>
              </w:tc>
              <w:tc>
                <w:tcPr>
                  <w:tcW w:w="2076" w:type="dxa"/>
                  <w:noWrap/>
                  <w:vAlign w:val="bottom"/>
                  <w:hideMark/>
                </w:tcPr>
                <w:p w14:paraId="223E923D" w14:textId="77777777" w:rsidR="00033148" w:rsidRDefault="00033148" w:rsidP="000350BE">
                  <w:pPr>
                    <w:pStyle w:val="TableTextRight0"/>
                  </w:pPr>
                  <w:r>
                    <w:t>51</w:t>
                  </w:r>
                </w:p>
              </w:tc>
            </w:tr>
            <w:tr w:rsidR="00033148" w14:paraId="6A452E1B" w14:textId="77777777" w:rsidTr="00135468">
              <w:trPr>
                <w:trHeight w:val="300"/>
              </w:trPr>
              <w:tc>
                <w:tcPr>
                  <w:tcW w:w="2120" w:type="dxa"/>
                  <w:noWrap/>
                  <w:vAlign w:val="bottom"/>
                  <w:hideMark/>
                </w:tcPr>
                <w:p w14:paraId="37780762" w14:textId="77777777" w:rsidR="00033148" w:rsidRDefault="00033148">
                  <w:pPr>
                    <w:pStyle w:val="TableTextLeft"/>
                  </w:pPr>
                  <w:r>
                    <w:t>Monitoring</w:t>
                  </w:r>
                </w:p>
              </w:tc>
              <w:tc>
                <w:tcPr>
                  <w:tcW w:w="2076" w:type="dxa"/>
                  <w:noWrap/>
                  <w:vAlign w:val="bottom"/>
                  <w:hideMark/>
                </w:tcPr>
                <w:p w14:paraId="12BFFC77" w14:textId="77777777" w:rsidR="00033148" w:rsidRDefault="00033148" w:rsidP="000350BE">
                  <w:pPr>
                    <w:pStyle w:val="TableTextRight0"/>
                  </w:pPr>
                  <w:r>
                    <w:t>43</w:t>
                  </w:r>
                </w:p>
              </w:tc>
            </w:tr>
          </w:tbl>
          <w:p w14:paraId="7B06A995" w14:textId="77777777" w:rsidR="00033148" w:rsidRDefault="00033148">
            <w:pPr>
              <w:pStyle w:val="TableTextLeft"/>
              <w:cnfStyle w:val="100000000000" w:firstRow="1" w:lastRow="0" w:firstColumn="0" w:lastColumn="0" w:oddVBand="0" w:evenVBand="0" w:oddHBand="0" w:evenHBand="0" w:firstRowFirstColumn="0" w:firstRowLastColumn="0" w:lastRowFirstColumn="0" w:lastRowLastColumn="0"/>
            </w:pPr>
          </w:p>
        </w:tc>
      </w:tr>
      <w:tr w:rsidR="00033148" w14:paraId="2040B830"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4CF13FDF" w14:textId="77777777" w:rsidR="00033148" w:rsidRDefault="00033148">
            <w:pPr>
              <w:pStyle w:val="TableTextLeft"/>
            </w:pPr>
            <w:r>
              <w:t>Depth (m) of registered bores below ground level (10</w:t>
            </w:r>
            <w:r>
              <w:rPr>
                <w:rStyle w:val="Superscript"/>
              </w:rPr>
              <w:t>th</w:t>
            </w:r>
            <w:r>
              <w:t xml:space="preserve"> and 90</w:t>
            </w:r>
            <w:r>
              <w:rPr>
                <w:rStyle w:val="Superscript"/>
              </w:rPr>
              <w:t>th</w:t>
            </w:r>
            <w:r>
              <w:t xml:space="preserve"> Percentile and median)</w:t>
            </w:r>
          </w:p>
        </w:tc>
        <w:tc>
          <w:tcPr>
            <w:tcW w:w="2421" w:type="pct"/>
            <w:hideMark/>
          </w:tcPr>
          <w:p w14:paraId="5E2C3B8E" w14:textId="283D2DDF" w:rsidR="00033148" w:rsidRDefault="00033148">
            <w:pPr>
              <w:pStyle w:val="TableTextLeft"/>
              <w:cnfStyle w:val="100000000000" w:firstRow="1" w:lastRow="0" w:firstColumn="0" w:lastColumn="0" w:oddVBand="0" w:evenVBand="0" w:oddHBand="0" w:evenHBand="0" w:firstRowFirstColumn="0" w:firstRowLastColumn="0" w:lastRowFirstColumn="0" w:lastRowLastColumn="0"/>
            </w:pPr>
            <w:r>
              <w:t>10</w:t>
            </w:r>
            <w:r>
              <w:rPr>
                <w:rStyle w:val="Superscript"/>
              </w:rPr>
              <w:t>th</w:t>
            </w:r>
            <w:r>
              <w:t xml:space="preserve"> Percentile</w:t>
            </w:r>
            <w:r w:rsidRPr="004059C5">
              <w:t xml:space="preserve">: </w:t>
            </w:r>
            <w:r w:rsidRPr="004059C5">
              <w:tab/>
            </w:r>
            <w:r>
              <w:t xml:space="preserve"> 28.3</w:t>
            </w:r>
          </w:p>
          <w:p w14:paraId="61F5A5DA" w14:textId="4E15996E" w:rsidR="00033148" w:rsidRDefault="00033148">
            <w:pPr>
              <w:pStyle w:val="TableTextLeft"/>
              <w:cnfStyle w:val="100000000000" w:firstRow="1" w:lastRow="0" w:firstColumn="0" w:lastColumn="0" w:oddVBand="0" w:evenVBand="0" w:oddHBand="0" w:evenHBand="0" w:firstRowFirstColumn="0" w:firstRowLastColumn="0" w:lastRowFirstColumn="0" w:lastRowLastColumn="0"/>
            </w:pPr>
            <w:r>
              <w:t>Median</w:t>
            </w:r>
            <w:r w:rsidRPr="004059C5">
              <w:t xml:space="preserve">: </w:t>
            </w:r>
            <w:r w:rsidRPr="004059C5">
              <w:tab/>
            </w:r>
            <w:r w:rsidRPr="004059C5">
              <w:tab/>
            </w:r>
            <w:r>
              <w:t xml:space="preserve"> 80.8</w:t>
            </w:r>
          </w:p>
          <w:p w14:paraId="27E89249" w14:textId="2DABED80" w:rsidR="00033148" w:rsidRDefault="00033148">
            <w:pPr>
              <w:pStyle w:val="TableTextLeft"/>
              <w:cnfStyle w:val="100000000000" w:firstRow="1" w:lastRow="0" w:firstColumn="0" w:lastColumn="0" w:oddVBand="0" w:evenVBand="0" w:oddHBand="0" w:evenHBand="0" w:firstRowFirstColumn="0" w:firstRowLastColumn="0" w:lastRowFirstColumn="0" w:lastRowLastColumn="0"/>
            </w:pPr>
            <w:r>
              <w:t>90</w:t>
            </w:r>
            <w:r>
              <w:rPr>
                <w:rStyle w:val="Superscript"/>
              </w:rPr>
              <w:t>th</w:t>
            </w:r>
            <w:r>
              <w:t xml:space="preserve"> Percentile</w:t>
            </w:r>
            <w:r w:rsidRPr="004059C5">
              <w:t xml:space="preserve">: </w:t>
            </w:r>
            <w:r w:rsidRPr="004059C5">
              <w:tab/>
            </w:r>
            <w:r>
              <w:t>152</w:t>
            </w:r>
          </w:p>
        </w:tc>
      </w:tr>
    </w:tbl>
    <w:p w14:paraId="0BB67932" w14:textId="77777777" w:rsidR="008B38C1" w:rsidRDefault="008B38C1" w:rsidP="00E34CDE">
      <w:pPr>
        <w:pStyle w:val="AppendixHeading3"/>
      </w:pPr>
      <w:bookmarkStart w:id="229" w:name="_Toc517161170"/>
      <w:r>
        <w:t>Surface water systems and hydrology</w:t>
      </w:r>
      <w:bookmarkEnd w:id="229"/>
    </w:p>
    <w:p w14:paraId="149A4BDE" w14:textId="77777777" w:rsidR="00033148" w:rsidRDefault="00033148" w:rsidP="00D15FEC">
      <w:pPr>
        <w:pStyle w:val="AppendixHeading4"/>
      </w:pPr>
      <w:r>
        <w:t>Surface Water Systems</w:t>
      </w:r>
    </w:p>
    <w:p w14:paraId="7E5D4DE6" w14:textId="77CF8BD3" w:rsidR="00033148" w:rsidRDefault="00033148" w:rsidP="00B67F8A">
      <w:pPr>
        <w:pStyle w:val="BodyText"/>
      </w:pPr>
      <w:r>
        <w:t>The Georgina Basin lies mostly within the Carpentaria Coast Drainage Division, and according to the Bureau of Meteorology’s Geofabric (BoM, 2014), the basin covers eleven river drainage networks, as presented in Figure B.15. These include nine in the Carpentaria Coast Drainage Division: the Calvert River; Flinders–Norman rivers; Limmen Bight River; McArthur River; Nicholson–Leichardt rivers; Robinson River; Roper River; Settlement Creek, and Towns River. The basin also lies within parts of the Diamantina-Georgina rivers (Lake Eyre Basin Drainage Division) and the Victoria-Wiso rivers (Tanami-Timor Sea Coast Drainage Division) catchments.</w:t>
      </w:r>
    </w:p>
    <w:p w14:paraId="5C8270FB" w14:textId="77777777" w:rsidR="00033148" w:rsidRDefault="00033148" w:rsidP="00D15FEC">
      <w:pPr>
        <w:pStyle w:val="AppendixHeading4"/>
      </w:pPr>
      <w:r>
        <w:t>Surface water quality</w:t>
      </w:r>
    </w:p>
    <w:p w14:paraId="133533C3" w14:textId="1EA45FBA" w:rsidR="00033148" w:rsidRDefault="00033148" w:rsidP="00B67F8A">
      <w:pPr>
        <w:pStyle w:val="BodyText"/>
      </w:pPr>
      <w:r>
        <w:t xml:space="preserve">Surface water quality for the Victoria River as measured by electrical conductivity ranged from 200 to 400 µS/cm (Kirby and Faulks, 2004). In the Roper River, electrical conductivity was higher, and ranged from 834 to 1873 µS/cm (Faulks, 2001), which make it unsuitable for human consumption. </w:t>
      </w:r>
    </w:p>
    <w:p w14:paraId="7B0F8CDD" w14:textId="48B89D11" w:rsidR="00033148" w:rsidRDefault="00033148" w:rsidP="00B67F8A">
      <w:pPr>
        <w:pStyle w:val="BodyText"/>
      </w:pPr>
      <w:r>
        <w:lastRenderedPageBreak/>
        <w:t>A survey of several surface water bodies in the southeastern Georgina Basin by Randal (1978) showed the water suitable for stock purposes, with the exception of a sample taken at Young Australia Mine. It was noted that, although most samples were suitable for domestic use, water colour was milky due to clay suspension.</w:t>
      </w:r>
    </w:p>
    <w:p w14:paraId="1E9BF000" w14:textId="77777777" w:rsidR="00033148" w:rsidRDefault="00033148" w:rsidP="00D15FEC">
      <w:pPr>
        <w:pStyle w:val="AppendixHeading4"/>
      </w:pPr>
      <w:r>
        <w:t>Surface water flow</w:t>
      </w:r>
    </w:p>
    <w:p w14:paraId="5F52F143" w14:textId="6D6E692B" w:rsidR="00033148" w:rsidRDefault="00033148" w:rsidP="00B67F8A">
      <w:pPr>
        <w:pStyle w:val="BodyText"/>
      </w:pPr>
      <w:r>
        <w:t xml:space="preserve">Rainfall in the region is markedly seasonal, with the majority of the rainfall occurring under the influence of the northwest monsoon usually between late December and late February. Average rainfall varies from around 600–1000 mm in the north to 200–300 in the south (BoM 2017a). </w:t>
      </w:r>
    </w:p>
    <w:p w14:paraId="0BFE7933" w14:textId="1DC13EA0" w:rsidR="00033148" w:rsidRDefault="00033148" w:rsidP="00B67F8A">
      <w:pPr>
        <w:pStyle w:val="BodyText"/>
      </w:pPr>
      <w:r>
        <w:t>Generally rivers are ephemeral and flow following the monsoonal rains, however a number of perennial rivers such as the Nicholson-Leichhardt Rivers (See Figure B.15) exist. The predominantly perennial Roper River has marked seasonal flow regime of high water levels during the wet season (November to April) and decreased water flow and river stage towards the end of the dry season. Approximately 96% of rainfall and 92% of runoff occurred during the wet season months according to the historical and recent climate records (CSIRO, 2009).</w:t>
      </w:r>
    </w:p>
    <w:p w14:paraId="3C7C558C" w14:textId="198C41FD" w:rsidR="00033148" w:rsidRDefault="00033148" w:rsidP="00B67F8A">
      <w:pPr>
        <w:pStyle w:val="BodyText"/>
      </w:pPr>
      <w:r>
        <w:t>The Victoria River, one of the largest surface water catchments of the Georgina Basin (see Figure B.15), supports numerous waterholes, but very few are permanent. Although surface flow in the Victoria River ceases some weeks after the end of the wet season, long pools of permanent water occur along the river from Wave Hill settlement to its mouth (Randal, 1973).</w:t>
      </w:r>
    </w:p>
    <w:p w14:paraId="08EAA24C" w14:textId="77777777" w:rsidR="00033148" w:rsidRDefault="00033148" w:rsidP="00D15FEC">
      <w:pPr>
        <w:pStyle w:val="AppendixHeading4"/>
      </w:pPr>
      <w:r>
        <w:t>Surface water planning and use</w:t>
      </w:r>
    </w:p>
    <w:p w14:paraId="2C60E732" w14:textId="1764B48B" w:rsidR="00033148" w:rsidRDefault="00033148" w:rsidP="00B67F8A">
      <w:pPr>
        <w:pStyle w:val="BodyText"/>
      </w:pPr>
      <w:r>
        <w:t>The Water Resource (Georgina and Diamantina) Plan 2004 (Queensland Government, 2004) allocates 1500 ML across the whole Diamantina–Georgina catchment area for projects of state significance. However, there is negligible use of surface water in the region, as most are reliant on groundwater for a dependable water supply (Queensland Government, 2004).</w:t>
      </w:r>
    </w:p>
    <w:p w14:paraId="4CDD5938" w14:textId="4D33AAC7" w:rsidR="008B38C1" w:rsidRDefault="008B38C1" w:rsidP="00E34CDE">
      <w:pPr>
        <w:pStyle w:val="AppendixHeading3"/>
      </w:pPr>
      <w:bookmarkStart w:id="230" w:name="_Toc517161171"/>
      <w:r>
        <w:t>Groundwater–surface water interactions</w:t>
      </w:r>
      <w:bookmarkEnd w:id="230"/>
    </w:p>
    <w:p w14:paraId="43B5519C" w14:textId="51ACC551" w:rsidR="00033148" w:rsidRDefault="00033148" w:rsidP="00B67F8A">
      <w:pPr>
        <w:pStyle w:val="BodyText"/>
      </w:pPr>
      <w:r>
        <w:t xml:space="preserve">Typically, rivers and watercourses in the basin lose surface water to the aquifers below. Recharge primarily by infiltration from these seasonal creeks, direct infiltration of rainfall, </w:t>
      </w:r>
      <w:r w:rsidR="00FA779E">
        <w:t xml:space="preserve">and </w:t>
      </w:r>
      <w:r>
        <w:t>infiltration of surface water, e.g. Tarrabool Lake.</w:t>
      </w:r>
    </w:p>
    <w:p w14:paraId="1E08B06E" w14:textId="77777777" w:rsidR="00033148" w:rsidRDefault="00033148" w:rsidP="00B67F8A">
      <w:pPr>
        <w:pStyle w:val="BodyText"/>
      </w:pPr>
      <w:r>
        <w:t>Ephemeral and perennial groundwater springs exist in the Georgina Basin. Springs around the Cloncurry Complex are short-lived and only active after rain. Regionally fed springs from the Longsight Sandstone are present in the Eromanga Basin in the southwest. The Bureau of Meteorology Atlas of Groundwater Dependant Ecosystems (BoM 2017b) identified 7700 km</w:t>
      </w:r>
      <w:r w:rsidRPr="005450A3">
        <w:rPr>
          <w:rStyle w:val="Superscript"/>
        </w:rPr>
        <w:t>2</w:t>
      </w:r>
      <w:r>
        <w:t xml:space="preserve"> of moderate–high potential and identified aquatic and terrestrial Groundwater Dependant Ecosystems; some of these aquatic ecosystems are spring-fed.</w:t>
      </w:r>
    </w:p>
    <w:p w14:paraId="4E652EDF" w14:textId="77777777" w:rsidR="00033148" w:rsidRDefault="00033148"/>
    <w:p w14:paraId="379365D5" w14:textId="77777777" w:rsidR="008B38C1" w:rsidRDefault="008B38C1" w:rsidP="00E34CDE">
      <w:pPr>
        <w:pStyle w:val="AppendixHeading3"/>
      </w:pPr>
      <w:bookmarkStart w:id="231" w:name="_Toc517161172"/>
      <w:r>
        <w:lastRenderedPageBreak/>
        <w:t>Environmental assets</w:t>
      </w:r>
      <w:bookmarkEnd w:id="231"/>
    </w:p>
    <w:p w14:paraId="2CB66FED" w14:textId="170B715D" w:rsidR="008B38C1" w:rsidRDefault="008B38C1" w:rsidP="00033148">
      <w:r>
        <w:t xml:space="preserve">Within the Georgina Basin, there </w:t>
      </w:r>
      <w:r w:rsidR="00033148">
        <w:t>are 6,487 km</w:t>
      </w:r>
      <w:r w:rsidR="00033148" w:rsidRPr="005450A3">
        <w:rPr>
          <w:rStyle w:val="Superscript"/>
        </w:rPr>
        <w:t>2</w:t>
      </w:r>
      <w:r w:rsidR="00033148">
        <w:t xml:space="preserve"> of </w:t>
      </w:r>
      <w:r>
        <w:t>Listed Nationally Important Wetlands, 7700</w:t>
      </w:r>
      <w:r w:rsidR="008232C9">
        <w:t> km</w:t>
      </w:r>
      <w:r w:rsidRPr="005450A3">
        <w:rPr>
          <w:rStyle w:val="Superscript"/>
        </w:rPr>
        <w:t>2</w:t>
      </w:r>
      <w:r>
        <w:t xml:space="preserve"> of Groundwater Dependant Ecosystems (of at least moderate potential), and a total of 9666</w:t>
      </w:r>
      <w:r w:rsidR="008232C9">
        <w:t> km</w:t>
      </w:r>
      <w:r w:rsidRPr="005450A3">
        <w:rPr>
          <w:rStyle w:val="Superscript"/>
        </w:rPr>
        <w:t>2</w:t>
      </w:r>
      <w:r>
        <w:t xml:space="preserve"> of protected areas (such as national parks) are listed; there are no Ramsar wetlands (</w:t>
      </w:r>
      <w:r w:rsidR="00611607">
        <w:t>Table C</w:t>
      </w:r>
      <w:r w:rsidR="00096667">
        <w:t>.3</w:t>
      </w:r>
      <w:r w:rsidR="002D029E">
        <w:t>8</w:t>
      </w:r>
      <w:r>
        <w:t>).</w:t>
      </w:r>
    </w:p>
    <w:p w14:paraId="6DF09EE0" w14:textId="77777777" w:rsidR="008B38C1" w:rsidRDefault="00096667" w:rsidP="009F3E8F">
      <w:pPr>
        <w:pStyle w:val="Caption"/>
      </w:pPr>
      <w:bookmarkStart w:id="232" w:name="_Toc508972187"/>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38</w:t>
      </w:r>
      <w:r w:rsidR="008079F1">
        <w:rPr>
          <w:noProof/>
        </w:rPr>
        <w:fldChar w:fldCharType="end"/>
      </w:r>
      <w:r>
        <w:t xml:space="preserve"> </w:t>
      </w:r>
      <w:r w:rsidR="008B38C1">
        <w:t>Summary of environmental assets.</w:t>
      </w:r>
      <w:bookmarkEnd w:id="232"/>
    </w:p>
    <w:tbl>
      <w:tblPr>
        <w:tblStyle w:val="TableBAHeaderColumn"/>
        <w:tblW w:w="5000" w:type="pct"/>
        <w:tblInd w:w="0" w:type="dxa"/>
        <w:tblLook w:val="04A0" w:firstRow="1" w:lastRow="0" w:firstColumn="1" w:lastColumn="0" w:noHBand="0" w:noVBand="1"/>
      </w:tblPr>
      <w:tblGrid>
        <w:gridCol w:w="4972"/>
        <w:gridCol w:w="4667"/>
      </w:tblGrid>
      <w:tr w:rsidR="008B38C1" w14:paraId="3D36F9BD"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430BF807" w14:textId="77777777" w:rsidR="008B38C1" w:rsidRDefault="008B38C1">
            <w:pPr>
              <w:pStyle w:val="TableTextLeft"/>
            </w:pPr>
            <w:r>
              <w:t>Environmental Assets</w:t>
            </w:r>
          </w:p>
        </w:tc>
      </w:tr>
      <w:tr w:rsidR="008B38C1" w14:paraId="754756F1"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01178F4C" w14:textId="77777777" w:rsidR="008B38C1" w:rsidRDefault="008B38C1">
            <w:pPr>
              <w:pStyle w:val="TableTextLeft"/>
            </w:pPr>
            <w:r>
              <w:t>Ramsar Wetlands</w:t>
            </w:r>
          </w:p>
        </w:tc>
        <w:tc>
          <w:tcPr>
            <w:tcW w:w="2421" w:type="pct"/>
            <w:hideMark/>
          </w:tcPr>
          <w:p w14:paraId="7FE0FC98"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None</w:t>
            </w:r>
          </w:p>
        </w:tc>
      </w:tr>
      <w:tr w:rsidR="008B38C1" w14:paraId="28795962"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4CDF4D5E" w14:textId="77777777" w:rsidR="008B38C1" w:rsidRDefault="008B38C1">
            <w:pPr>
              <w:pStyle w:val="TableTextLeft"/>
            </w:pPr>
            <w:r>
              <w:t>Nationally Important Wetlands</w:t>
            </w:r>
          </w:p>
          <w:p w14:paraId="2DA7E5B1" w14:textId="77777777" w:rsidR="008B38C1" w:rsidRDefault="008B38C1">
            <w:pPr>
              <w:pStyle w:val="TableTextLeft"/>
            </w:pPr>
            <w:r>
              <w:t>Top 5 by area</w:t>
            </w:r>
          </w:p>
          <w:p w14:paraId="1D238946" w14:textId="77777777" w:rsidR="008B38C1" w:rsidRDefault="008B38C1">
            <w:pPr>
              <w:pStyle w:val="TableTextLeft"/>
            </w:pPr>
            <w:r>
              <w:t>(area</w:t>
            </w:r>
            <w:r w:rsidR="008232C9">
              <w:t> km</w:t>
            </w:r>
            <w:r>
              <w:rPr>
                <w:vertAlign w:val="superscript"/>
              </w:rPr>
              <w:t>2</w:t>
            </w:r>
            <w:r>
              <w:t>)</w:t>
            </w:r>
          </w:p>
        </w:tc>
        <w:tc>
          <w:tcPr>
            <w:tcW w:w="2421" w:type="pct"/>
            <w:hideMark/>
          </w:tcPr>
          <w:tbl>
            <w:tblPr>
              <w:tblW w:w="4200" w:type="dxa"/>
              <w:tblLook w:val="04A0" w:firstRow="1" w:lastRow="0" w:firstColumn="1" w:lastColumn="0" w:noHBand="0" w:noVBand="1"/>
            </w:tblPr>
            <w:tblGrid>
              <w:gridCol w:w="3490"/>
              <w:gridCol w:w="710"/>
            </w:tblGrid>
            <w:tr w:rsidR="008B38C1" w14:paraId="27A24C04" w14:textId="77777777" w:rsidTr="00135468">
              <w:trPr>
                <w:trHeight w:val="300"/>
              </w:trPr>
              <w:tc>
                <w:tcPr>
                  <w:tcW w:w="3487" w:type="dxa"/>
                  <w:noWrap/>
                  <w:vAlign w:val="center"/>
                  <w:hideMark/>
                </w:tcPr>
                <w:p w14:paraId="77561153" w14:textId="77777777" w:rsidR="008B38C1" w:rsidRDefault="008B38C1">
                  <w:pPr>
                    <w:pStyle w:val="TableTextLeft"/>
                  </w:pPr>
                  <w:r>
                    <w:t>Thorntonia Aggregation</w:t>
                  </w:r>
                </w:p>
              </w:tc>
              <w:tc>
                <w:tcPr>
                  <w:tcW w:w="709" w:type="dxa"/>
                  <w:noWrap/>
                  <w:vAlign w:val="center"/>
                  <w:hideMark/>
                </w:tcPr>
                <w:p w14:paraId="3BE3A79F" w14:textId="77777777" w:rsidR="008B38C1" w:rsidRDefault="008B38C1" w:rsidP="000350BE">
                  <w:pPr>
                    <w:pStyle w:val="TableTextRight0"/>
                  </w:pPr>
                  <w:r>
                    <w:t>2</w:t>
                  </w:r>
                  <w:r w:rsidR="00D47844">
                    <w:t>,</w:t>
                  </w:r>
                  <w:r>
                    <w:t>963</w:t>
                  </w:r>
                </w:p>
              </w:tc>
            </w:tr>
            <w:tr w:rsidR="008B38C1" w14:paraId="066AA48C" w14:textId="77777777" w:rsidTr="00135468">
              <w:trPr>
                <w:trHeight w:val="300"/>
              </w:trPr>
              <w:tc>
                <w:tcPr>
                  <w:tcW w:w="3487" w:type="dxa"/>
                  <w:noWrap/>
                  <w:vAlign w:val="center"/>
                  <w:hideMark/>
                </w:tcPr>
                <w:p w14:paraId="184AF359" w14:textId="77777777" w:rsidR="008B38C1" w:rsidRDefault="008B38C1">
                  <w:pPr>
                    <w:pStyle w:val="TableTextLeft"/>
                  </w:pPr>
                  <w:r>
                    <w:t>Georgina River - King Creek Floodout</w:t>
                  </w:r>
                </w:p>
              </w:tc>
              <w:tc>
                <w:tcPr>
                  <w:tcW w:w="709" w:type="dxa"/>
                  <w:noWrap/>
                  <w:vAlign w:val="center"/>
                  <w:hideMark/>
                </w:tcPr>
                <w:p w14:paraId="0E665229" w14:textId="77777777" w:rsidR="008B38C1" w:rsidRDefault="008B38C1" w:rsidP="000350BE">
                  <w:pPr>
                    <w:pStyle w:val="TableTextRight0"/>
                  </w:pPr>
                  <w:r>
                    <w:t>946</w:t>
                  </w:r>
                </w:p>
              </w:tc>
            </w:tr>
            <w:tr w:rsidR="008B38C1" w14:paraId="6D0EB555" w14:textId="77777777" w:rsidTr="00135468">
              <w:trPr>
                <w:trHeight w:val="300"/>
              </w:trPr>
              <w:tc>
                <w:tcPr>
                  <w:tcW w:w="3487" w:type="dxa"/>
                  <w:noWrap/>
                  <w:vAlign w:val="center"/>
                  <w:hideMark/>
                </w:tcPr>
                <w:p w14:paraId="4437446F" w14:textId="77777777" w:rsidR="008B38C1" w:rsidRDefault="008B38C1">
                  <w:pPr>
                    <w:pStyle w:val="TableTextLeft"/>
                  </w:pPr>
                  <w:r>
                    <w:t>Lake Sylvester</w:t>
                  </w:r>
                </w:p>
              </w:tc>
              <w:tc>
                <w:tcPr>
                  <w:tcW w:w="709" w:type="dxa"/>
                  <w:noWrap/>
                  <w:vAlign w:val="center"/>
                  <w:hideMark/>
                </w:tcPr>
                <w:p w14:paraId="17492B4C" w14:textId="77777777" w:rsidR="008B38C1" w:rsidRDefault="008B38C1" w:rsidP="000350BE">
                  <w:pPr>
                    <w:pStyle w:val="TableTextRight0"/>
                  </w:pPr>
                  <w:r>
                    <w:t>761</w:t>
                  </w:r>
                </w:p>
              </w:tc>
            </w:tr>
            <w:tr w:rsidR="008B38C1" w14:paraId="70DED800" w14:textId="77777777" w:rsidTr="00135468">
              <w:trPr>
                <w:trHeight w:val="300"/>
              </w:trPr>
              <w:tc>
                <w:tcPr>
                  <w:tcW w:w="3487" w:type="dxa"/>
                  <w:noWrap/>
                  <w:vAlign w:val="center"/>
                  <w:hideMark/>
                </w:tcPr>
                <w:p w14:paraId="684F7CF5" w14:textId="77777777" w:rsidR="008B38C1" w:rsidRDefault="008B38C1">
                  <w:pPr>
                    <w:pStyle w:val="TableTextLeft"/>
                  </w:pPr>
                  <w:r>
                    <w:t>Austral Limestone Aggregation</w:t>
                  </w:r>
                </w:p>
              </w:tc>
              <w:tc>
                <w:tcPr>
                  <w:tcW w:w="709" w:type="dxa"/>
                  <w:noWrap/>
                  <w:vAlign w:val="center"/>
                  <w:hideMark/>
                </w:tcPr>
                <w:p w14:paraId="4C799F3D" w14:textId="77777777" w:rsidR="008B38C1" w:rsidRDefault="008B38C1" w:rsidP="000350BE">
                  <w:pPr>
                    <w:pStyle w:val="TableTextRight0"/>
                  </w:pPr>
                  <w:r>
                    <w:t>683</w:t>
                  </w:r>
                </w:p>
              </w:tc>
            </w:tr>
            <w:tr w:rsidR="008B38C1" w14:paraId="18D60EB9" w14:textId="77777777" w:rsidTr="00135468">
              <w:trPr>
                <w:trHeight w:val="300"/>
              </w:trPr>
              <w:tc>
                <w:tcPr>
                  <w:tcW w:w="3487" w:type="dxa"/>
                  <w:noWrap/>
                  <w:vAlign w:val="center"/>
                  <w:hideMark/>
                </w:tcPr>
                <w:p w14:paraId="301166F8" w14:textId="77777777" w:rsidR="008B38C1" w:rsidRDefault="008B38C1">
                  <w:pPr>
                    <w:pStyle w:val="TableTextLeft"/>
                  </w:pPr>
                  <w:r>
                    <w:t>Tarrabool Lake</w:t>
                  </w:r>
                </w:p>
              </w:tc>
              <w:tc>
                <w:tcPr>
                  <w:tcW w:w="709" w:type="dxa"/>
                  <w:noWrap/>
                  <w:vAlign w:val="center"/>
                  <w:hideMark/>
                </w:tcPr>
                <w:p w14:paraId="26A81262" w14:textId="77777777" w:rsidR="008B38C1" w:rsidRDefault="008B38C1" w:rsidP="000350BE">
                  <w:pPr>
                    <w:pStyle w:val="TableTextRight0"/>
                  </w:pPr>
                  <w:r>
                    <w:t>469</w:t>
                  </w:r>
                </w:p>
              </w:tc>
            </w:tr>
            <w:tr w:rsidR="008B38C1" w14:paraId="13E72809" w14:textId="77777777" w:rsidTr="00135468">
              <w:trPr>
                <w:trHeight w:val="300"/>
              </w:trPr>
              <w:tc>
                <w:tcPr>
                  <w:tcW w:w="3487" w:type="dxa"/>
                  <w:noWrap/>
                  <w:vAlign w:val="center"/>
                  <w:hideMark/>
                </w:tcPr>
                <w:p w14:paraId="66FF8FDE" w14:textId="77777777" w:rsidR="008B38C1" w:rsidRDefault="008B38C1">
                  <w:pPr>
                    <w:pStyle w:val="TableTextLeft"/>
                  </w:pPr>
                  <w:r>
                    <w:t>TOTAL WETLAND AREA</w:t>
                  </w:r>
                </w:p>
              </w:tc>
              <w:tc>
                <w:tcPr>
                  <w:tcW w:w="709" w:type="dxa"/>
                  <w:noWrap/>
                  <w:vAlign w:val="center"/>
                  <w:hideMark/>
                </w:tcPr>
                <w:p w14:paraId="753F2E7B" w14:textId="77777777" w:rsidR="008B38C1" w:rsidRDefault="008B38C1" w:rsidP="000350BE">
                  <w:pPr>
                    <w:pStyle w:val="TableTextRight0"/>
                  </w:pPr>
                  <w:r>
                    <w:t>6</w:t>
                  </w:r>
                  <w:r w:rsidR="00D47844">
                    <w:t>,</w:t>
                  </w:r>
                  <w:r>
                    <w:t>487</w:t>
                  </w:r>
                </w:p>
              </w:tc>
            </w:tr>
          </w:tbl>
          <w:p w14:paraId="25F7A4C8"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p>
        </w:tc>
      </w:tr>
      <w:tr w:rsidR="008B38C1" w14:paraId="60282572"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5266DE71" w14:textId="77777777" w:rsidR="008B38C1" w:rsidRDefault="008B38C1">
            <w:pPr>
              <w:pStyle w:val="TableTextLeft"/>
            </w:pPr>
            <w:r>
              <w:t>Protected areas (CAPAD 2016)</w:t>
            </w:r>
          </w:p>
          <w:p w14:paraId="4F7066B9" w14:textId="77777777" w:rsidR="008B38C1" w:rsidRDefault="008B38C1">
            <w:pPr>
              <w:pStyle w:val="TableTextLeft"/>
            </w:pPr>
            <w:r>
              <w:t>Top 5 by area (area</w:t>
            </w:r>
            <w:r w:rsidR="008232C9">
              <w:t> km</w:t>
            </w:r>
            <w:r>
              <w:rPr>
                <w:vertAlign w:val="superscript"/>
              </w:rPr>
              <w:t>2</w:t>
            </w:r>
            <w:r>
              <w:t>)</w:t>
            </w:r>
          </w:p>
        </w:tc>
        <w:tc>
          <w:tcPr>
            <w:tcW w:w="2421" w:type="pct"/>
            <w:hideMark/>
          </w:tcPr>
          <w:tbl>
            <w:tblPr>
              <w:tblW w:w="4200" w:type="dxa"/>
              <w:tblLook w:val="04A0" w:firstRow="1" w:lastRow="0" w:firstColumn="1" w:lastColumn="0" w:noHBand="0" w:noVBand="1"/>
            </w:tblPr>
            <w:tblGrid>
              <w:gridCol w:w="3490"/>
              <w:gridCol w:w="710"/>
            </w:tblGrid>
            <w:tr w:rsidR="008B38C1" w14:paraId="686F5FF3" w14:textId="77777777" w:rsidTr="00135468">
              <w:trPr>
                <w:trHeight w:val="300"/>
              </w:trPr>
              <w:tc>
                <w:tcPr>
                  <w:tcW w:w="3487" w:type="dxa"/>
                  <w:noWrap/>
                  <w:vAlign w:val="bottom"/>
                  <w:hideMark/>
                </w:tcPr>
                <w:p w14:paraId="2621A099" w14:textId="77777777" w:rsidR="008B38C1" w:rsidRDefault="008B38C1">
                  <w:pPr>
                    <w:pStyle w:val="TableTextLeft"/>
                  </w:pPr>
                  <w:r>
                    <w:t>Nature Refuge</w:t>
                  </w:r>
                </w:p>
              </w:tc>
              <w:tc>
                <w:tcPr>
                  <w:tcW w:w="709" w:type="dxa"/>
                  <w:noWrap/>
                  <w:vAlign w:val="bottom"/>
                  <w:hideMark/>
                </w:tcPr>
                <w:p w14:paraId="731ADBCE" w14:textId="77777777" w:rsidR="008B38C1" w:rsidRDefault="008B38C1" w:rsidP="000350BE">
                  <w:pPr>
                    <w:pStyle w:val="TableTextRight0"/>
                  </w:pPr>
                  <w:r>
                    <w:t>6</w:t>
                  </w:r>
                  <w:r w:rsidR="00D47844">
                    <w:t>,</w:t>
                  </w:r>
                  <w:r>
                    <w:t>552</w:t>
                  </w:r>
                </w:p>
              </w:tc>
            </w:tr>
            <w:tr w:rsidR="008B38C1" w14:paraId="1ACBB592" w14:textId="77777777" w:rsidTr="00135468">
              <w:trPr>
                <w:trHeight w:val="300"/>
              </w:trPr>
              <w:tc>
                <w:tcPr>
                  <w:tcW w:w="3487" w:type="dxa"/>
                  <w:noWrap/>
                  <w:vAlign w:val="bottom"/>
                  <w:hideMark/>
                </w:tcPr>
                <w:p w14:paraId="13C0DFB2" w14:textId="77777777" w:rsidR="008B38C1" w:rsidRDefault="008B38C1">
                  <w:pPr>
                    <w:pStyle w:val="TableTextLeft"/>
                  </w:pPr>
                  <w:r>
                    <w:t>National Park</w:t>
                  </w:r>
                </w:p>
              </w:tc>
              <w:tc>
                <w:tcPr>
                  <w:tcW w:w="709" w:type="dxa"/>
                  <w:noWrap/>
                  <w:vAlign w:val="bottom"/>
                  <w:hideMark/>
                </w:tcPr>
                <w:p w14:paraId="69527126" w14:textId="77777777" w:rsidR="008B38C1" w:rsidRDefault="008B38C1" w:rsidP="000350BE">
                  <w:pPr>
                    <w:pStyle w:val="TableTextRight0"/>
                  </w:pPr>
                  <w:r>
                    <w:t>2</w:t>
                  </w:r>
                  <w:r w:rsidR="00D47844">
                    <w:t>,</w:t>
                  </w:r>
                  <w:r>
                    <w:t>628</w:t>
                  </w:r>
                </w:p>
              </w:tc>
            </w:tr>
            <w:tr w:rsidR="008B38C1" w14:paraId="70780D17" w14:textId="77777777" w:rsidTr="00135468">
              <w:trPr>
                <w:trHeight w:val="300"/>
              </w:trPr>
              <w:tc>
                <w:tcPr>
                  <w:tcW w:w="3487" w:type="dxa"/>
                  <w:noWrap/>
                  <w:vAlign w:val="bottom"/>
                  <w:hideMark/>
                </w:tcPr>
                <w:p w14:paraId="140151B2" w14:textId="77777777" w:rsidR="008B38C1" w:rsidRDefault="008B38C1">
                  <w:pPr>
                    <w:pStyle w:val="TableTextLeft"/>
                  </w:pPr>
                  <w:r>
                    <w:t>Conservation Reserve</w:t>
                  </w:r>
                </w:p>
              </w:tc>
              <w:tc>
                <w:tcPr>
                  <w:tcW w:w="709" w:type="dxa"/>
                  <w:noWrap/>
                  <w:vAlign w:val="bottom"/>
                  <w:hideMark/>
                </w:tcPr>
                <w:p w14:paraId="11A7E139" w14:textId="77777777" w:rsidR="008B38C1" w:rsidRDefault="008B38C1" w:rsidP="000350BE">
                  <w:pPr>
                    <w:pStyle w:val="TableTextRight0"/>
                  </w:pPr>
                  <w:r>
                    <w:t>376</w:t>
                  </w:r>
                </w:p>
              </w:tc>
            </w:tr>
            <w:tr w:rsidR="008B38C1" w14:paraId="14C09BDA" w14:textId="77777777" w:rsidTr="00135468">
              <w:trPr>
                <w:trHeight w:val="300"/>
              </w:trPr>
              <w:tc>
                <w:tcPr>
                  <w:tcW w:w="3487" w:type="dxa"/>
                  <w:noWrap/>
                  <w:vAlign w:val="bottom"/>
                  <w:hideMark/>
                </w:tcPr>
                <w:p w14:paraId="489B0CD6" w14:textId="77777777" w:rsidR="008B38C1" w:rsidRDefault="008B38C1">
                  <w:pPr>
                    <w:pStyle w:val="TableTextLeft"/>
                  </w:pPr>
                  <w:r>
                    <w:t>Biodiversity Hotspot</w:t>
                  </w:r>
                </w:p>
              </w:tc>
              <w:tc>
                <w:tcPr>
                  <w:tcW w:w="709" w:type="dxa"/>
                  <w:noWrap/>
                  <w:vAlign w:val="bottom"/>
                  <w:hideMark/>
                </w:tcPr>
                <w:p w14:paraId="7F4853B7" w14:textId="77777777" w:rsidR="008B38C1" w:rsidRDefault="008B38C1" w:rsidP="000350BE">
                  <w:pPr>
                    <w:pStyle w:val="TableTextRight0"/>
                  </w:pPr>
                  <w:r>
                    <w:t>61</w:t>
                  </w:r>
                </w:p>
              </w:tc>
            </w:tr>
            <w:tr w:rsidR="008B38C1" w14:paraId="060BFC20" w14:textId="77777777" w:rsidTr="00135468">
              <w:trPr>
                <w:trHeight w:val="300"/>
              </w:trPr>
              <w:tc>
                <w:tcPr>
                  <w:tcW w:w="3487" w:type="dxa"/>
                  <w:noWrap/>
                  <w:vAlign w:val="bottom"/>
                  <w:hideMark/>
                </w:tcPr>
                <w:p w14:paraId="3C27C426" w14:textId="77777777" w:rsidR="008B38C1" w:rsidRDefault="008B38C1">
                  <w:pPr>
                    <w:pStyle w:val="TableTextLeft"/>
                  </w:pPr>
                  <w:r>
                    <w:t>Regional Park</w:t>
                  </w:r>
                </w:p>
              </w:tc>
              <w:tc>
                <w:tcPr>
                  <w:tcW w:w="709" w:type="dxa"/>
                  <w:noWrap/>
                  <w:vAlign w:val="bottom"/>
                  <w:hideMark/>
                </w:tcPr>
                <w:p w14:paraId="5C9CCA5B" w14:textId="77777777" w:rsidR="008B38C1" w:rsidRDefault="008B38C1" w:rsidP="000350BE">
                  <w:pPr>
                    <w:pStyle w:val="TableTextRight0"/>
                  </w:pPr>
                  <w:r>
                    <w:t>50</w:t>
                  </w:r>
                </w:p>
              </w:tc>
            </w:tr>
            <w:tr w:rsidR="008B38C1" w14:paraId="4060752C" w14:textId="77777777" w:rsidTr="00135468">
              <w:trPr>
                <w:trHeight w:val="300"/>
              </w:trPr>
              <w:tc>
                <w:tcPr>
                  <w:tcW w:w="3487" w:type="dxa"/>
                  <w:noWrap/>
                  <w:vAlign w:val="bottom"/>
                  <w:hideMark/>
                </w:tcPr>
                <w:p w14:paraId="14D3FCCB" w14:textId="77777777" w:rsidR="008B38C1" w:rsidRDefault="008B38C1">
                  <w:pPr>
                    <w:pStyle w:val="TableTextLeft"/>
                  </w:pPr>
                  <w:r>
                    <w:t>TOTAL PROTECTED AREA</w:t>
                  </w:r>
                </w:p>
              </w:tc>
              <w:tc>
                <w:tcPr>
                  <w:tcW w:w="709" w:type="dxa"/>
                  <w:noWrap/>
                  <w:vAlign w:val="bottom"/>
                  <w:hideMark/>
                </w:tcPr>
                <w:p w14:paraId="2395AED2" w14:textId="77777777" w:rsidR="008B38C1" w:rsidRDefault="008B38C1" w:rsidP="000350BE">
                  <w:pPr>
                    <w:pStyle w:val="TableTextRight0"/>
                  </w:pPr>
                  <w:r>
                    <w:t>9</w:t>
                  </w:r>
                  <w:r w:rsidR="00D47844">
                    <w:t>,</w:t>
                  </w:r>
                  <w:r>
                    <w:t>666</w:t>
                  </w:r>
                </w:p>
              </w:tc>
            </w:tr>
          </w:tbl>
          <w:p w14:paraId="4F7BEC61"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p>
        </w:tc>
      </w:tr>
      <w:tr w:rsidR="008B38C1" w14:paraId="736C7559"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7F3168F1" w14:textId="77777777" w:rsidR="008B38C1" w:rsidRDefault="008B38C1">
            <w:pPr>
              <w:pStyle w:val="TableTextLeft"/>
            </w:pPr>
            <w:r>
              <w:t>Aquatic and Terrestrial Groundwater Dependant Ecosystems, of known, high potential and moderate potential (area</w:t>
            </w:r>
            <w:r w:rsidR="008232C9">
              <w:t> km</w:t>
            </w:r>
            <w:r>
              <w:rPr>
                <w:vertAlign w:val="superscript"/>
              </w:rPr>
              <w:t>2</w:t>
            </w:r>
            <w:r>
              <w:t>).</w:t>
            </w:r>
          </w:p>
          <w:p w14:paraId="2593E049" w14:textId="77777777" w:rsidR="008B38C1" w:rsidRDefault="008B38C1">
            <w:pPr>
              <w:pStyle w:val="TableTextLeft"/>
            </w:pPr>
          </w:p>
        </w:tc>
        <w:tc>
          <w:tcPr>
            <w:tcW w:w="2421" w:type="pct"/>
          </w:tcPr>
          <w:p w14:paraId="35101860"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7,700</w:t>
            </w:r>
          </w:p>
          <w:p w14:paraId="4583FC22"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p>
        </w:tc>
      </w:tr>
    </w:tbl>
    <w:p w14:paraId="22DEBEBC" w14:textId="77777777" w:rsidR="008B38C1" w:rsidRDefault="008B38C1" w:rsidP="00E34CDE">
      <w:pPr>
        <w:pStyle w:val="AppendixHeading3"/>
      </w:pPr>
      <w:bookmarkStart w:id="233" w:name="_Toc517161173"/>
      <w:r>
        <w:t>Social considerations</w:t>
      </w:r>
      <w:bookmarkEnd w:id="233"/>
    </w:p>
    <w:p w14:paraId="5647FF3F" w14:textId="77777777" w:rsidR="008B38C1" w:rsidRDefault="008B38C1" w:rsidP="00B67F8A">
      <w:pPr>
        <w:pStyle w:val="BodyText"/>
      </w:pPr>
      <w:r>
        <w:t xml:space="preserve">Information on population, land use type, and areas listed as either Indigenous Protected Areas (CAPAD, 2016) or where Native Title exists is presented in the </w:t>
      </w:r>
      <w:r w:rsidR="00611607">
        <w:t>Table C</w:t>
      </w:r>
      <w:r w:rsidR="00096667">
        <w:t>.3</w:t>
      </w:r>
      <w:r w:rsidR="002D029E">
        <w:t>9</w:t>
      </w:r>
      <w:r w:rsidR="00096667">
        <w:t>.</w:t>
      </w:r>
    </w:p>
    <w:p w14:paraId="231802A2" w14:textId="77777777" w:rsidR="008B38C1" w:rsidRDefault="00096667" w:rsidP="009F3E8F">
      <w:pPr>
        <w:pStyle w:val="Caption"/>
        <w:rPr>
          <w:szCs w:val="24"/>
        </w:rPr>
      </w:pPr>
      <w:bookmarkStart w:id="234" w:name="_Toc508972188"/>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39</w:t>
      </w:r>
      <w:r w:rsidR="008079F1">
        <w:rPr>
          <w:noProof/>
        </w:rPr>
        <w:fldChar w:fldCharType="end"/>
      </w:r>
      <w:r>
        <w:t xml:space="preserve"> </w:t>
      </w:r>
      <w:r w:rsidR="008B38C1">
        <w:t>Summary of population, land use and aboriginal protected area.</w:t>
      </w:r>
      <w:bookmarkEnd w:id="234"/>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8B38C1" w14:paraId="3CA3ED69"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6B29C628" w14:textId="77777777" w:rsidR="008B38C1" w:rsidRDefault="008B38C1">
            <w:pPr>
              <w:pStyle w:val="TableTextLeft"/>
            </w:pPr>
            <w:r>
              <w:t>GENERAL CHARACTERISTICS</w:t>
            </w:r>
          </w:p>
        </w:tc>
      </w:tr>
      <w:tr w:rsidR="008B38C1" w14:paraId="22F68D40"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77D798CD" w14:textId="77777777" w:rsidR="008B38C1" w:rsidRDefault="008B38C1">
            <w:pPr>
              <w:pStyle w:val="TableTextLeft"/>
            </w:pPr>
            <w:r>
              <w:t>Population</w:t>
            </w:r>
          </w:p>
        </w:tc>
        <w:tc>
          <w:tcPr>
            <w:tcW w:w="2421" w:type="pct"/>
            <w:hideMark/>
          </w:tcPr>
          <w:p w14:paraId="250DF180"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3672</w:t>
            </w:r>
          </w:p>
        </w:tc>
      </w:tr>
      <w:tr w:rsidR="008B38C1" w14:paraId="702D4866"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67958A3E" w14:textId="77777777" w:rsidR="008B38C1" w:rsidRDefault="008B38C1">
            <w:pPr>
              <w:pStyle w:val="TableTextLeft"/>
            </w:pPr>
            <w:r>
              <w:t>Major population centres (two)</w:t>
            </w:r>
          </w:p>
        </w:tc>
        <w:tc>
          <w:tcPr>
            <w:tcW w:w="2421" w:type="pct"/>
            <w:hideMark/>
          </w:tcPr>
          <w:p w14:paraId="6EE55CFD"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Boulia, Ali Curung</w:t>
            </w:r>
          </w:p>
        </w:tc>
      </w:tr>
      <w:tr w:rsidR="008B38C1" w14:paraId="7770CE65"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143F5FE0" w14:textId="77777777" w:rsidR="008B38C1" w:rsidRDefault="008B38C1">
            <w:pPr>
              <w:pStyle w:val="TableTextLeft"/>
            </w:pPr>
            <w:r>
              <w:t>Land use types</w:t>
            </w:r>
          </w:p>
          <w:p w14:paraId="5E4DE0BA" w14:textId="77777777" w:rsidR="008B38C1" w:rsidRDefault="008B38C1">
            <w:pPr>
              <w:pStyle w:val="TableTextLeft"/>
            </w:pPr>
            <w:r>
              <w:t>Top 5 by area</w:t>
            </w:r>
          </w:p>
          <w:p w14:paraId="6CB31CEE" w14:textId="77777777" w:rsidR="008B38C1" w:rsidRDefault="008B38C1">
            <w:pPr>
              <w:pStyle w:val="TableTextLeft"/>
            </w:pPr>
            <w:r>
              <w:t>(area</w:t>
            </w:r>
            <w:r w:rsidR="008232C9">
              <w:t> km</w:t>
            </w:r>
            <w:r>
              <w:rPr>
                <w:vertAlign w:val="superscript"/>
              </w:rPr>
              <w:t>2</w:t>
            </w:r>
            <w:r>
              <w:t>)</w:t>
            </w:r>
          </w:p>
        </w:tc>
        <w:tc>
          <w:tcPr>
            <w:tcW w:w="2421" w:type="pct"/>
            <w:hideMark/>
          </w:tcPr>
          <w:tbl>
            <w:tblPr>
              <w:tblW w:w="4125" w:type="dxa"/>
              <w:tblLook w:val="04A0" w:firstRow="1" w:lastRow="0" w:firstColumn="1" w:lastColumn="0" w:noHBand="0" w:noVBand="1"/>
            </w:tblPr>
            <w:tblGrid>
              <w:gridCol w:w="3044"/>
              <w:gridCol w:w="1081"/>
            </w:tblGrid>
            <w:tr w:rsidR="008B38C1" w14:paraId="5A175C0D" w14:textId="77777777" w:rsidTr="00135468">
              <w:trPr>
                <w:trHeight w:val="300"/>
              </w:trPr>
              <w:tc>
                <w:tcPr>
                  <w:tcW w:w="3040" w:type="dxa"/>
                  <w:tcBorders>
                    <w:top w:val="single" w:sz="4" w:space="0" w:color="auto"/>
                    <w:left w:val="nil"/>
                    <w:bottom w:val="nil"/>
                    <w:right w:val="nil"/>
                  </w:tcBorders>
                  <w:noWrap/>
                  <w:vAlign w:val="center"/>
                  <w:hideMark/>
                </w:tcPr>
                <w:p w14:paraId="2E69BCBD" w14:textId="77777777" w:rsidR="008B38C1" w:rsidRDefault="008B38C1">
                  <w:pPr>
                    <w:pStyle w:val="TableTextLeft"/>
                  </w:pPr>
                  <w:r>
                    <w:t>Grazing native vegetation</w:t>
                  </w:r>
                </w:p>
              </w:tc>
              <w:tc>
                <w:tcPr>
                  <w:tcW w:w="1080" w:type="dxa"/>
                  <w:tcBorders>
                    <w:top w:val="single" w:sz="4" w:space="0" w:color="auto"/>
                    <w:left w:val="nil"/>
                    <w:bottom w:val="nil"/>
                    <w:right w:val="nil"/>
                  </w:tcBorders>
                  <w:noWrap/>
                  <w:vAlign w:val="center"/>
                  <w:hideMark/>
                </w:tcPr>
                <w:p w14:paraId="297A7641" w14:textId="77777777" w:rsidR="008B38C1" w:rsidRDefault="008B38C1" w:rsidP="000350BE">
                  <w:pPr>
                    <w:pStyle w:val="TableTextRight0"/>
                  </w:pPr>
                  <w:r>
                    <w:t>307,206</w:t>
                  </w:r>
                </w:p>
              </w:tc>
            </w:tr>
            <w:tr w:rsidR="008B38C1" w14:paraId="4CF2F221" w14:textId="77777777" w:rsidTr="00135468">
              <w:trPr>
                <w:trHeight w:val="300"/>
              </w:trPr>
              <w:tc>
                <w:tcPr>
                  <w:tcW w:w="3040" w:type="dxa"/>
                  <w:noWrap/>
                  <w:vAlign w:val="center"/>
                  <w:hideMark/>
                </w:tcPr>
                <w:p w14:paraId="4D3340A7" w14:textId="77777777" w:rsidR="008B38C1" w:rsidRDefault="008B38C1">
                  <w:pPr>
                    <w:pStyle w:val="TableTextLeft"/>
                  </w:pPr>
                  <w:r>
                    <w:t>Other Protected areas</w:t>
                  </w:r>
                </w:p>
              </w:tc>
              <w:tc>
                <w:tcPr>
                  <w:tcW w:w="1080" w:type="dxa"/>
                  <w:noWrap/>
                  <w:vAlign w:val="center"/>
                  <w:hideMark/>
                </w:tcPr>
                <w:p w14:paraId="42443004" w14:textId="77777777" w:rsidR="008B38C1" w:rsidRDefault="008B38C1" w:rsidP="000350BE">
                  <w:pPr>
                    <w:pStyle w:val="TableTextRight0"/>
                  </w:pPr>
                  <w:r>
                    <w:t>27,501</w:t>
                  </w:r>
                </w:p>
              </w:tc>
            </w:tr>
            <w:tr w:rsidR="008B38C1" w14:paraId="00554C38" w14:textId="77777777" w:rsidTr="00135468">
              <w:trPr>
                <w:trHeight w:val="300"/>
              </w:trPr>
              <w:tc>
                <w:tcPr>
                  <w:tcW w:w="3040" w:type="dxa"/>
                  <w:noWrap/>
                  <w:vAlign w:val="center"/>
                  <w:hideMark/>
                </w:tcPr>
                <w:p w14:paraId="1F3FAC50" w14:textId="77777777" w:rsidR="008B38C1" w:rsidRDefault="008B38C1">
                  <w:pPr>
                    <w:pStyle w:val="TableTextLeft"/>
                  </w:pPr>
                  <w:r>
                    <w:t>Minimal use</w:t>
                  </w:r>
                </w:p>
              </w:tc>
              <w:tc>
                <w:tcPr>
                  <w:tcW w:w="1080" w:type="dxa"/>
                  <w:noWrap/>
                  <w:vAlign w:val="center"/>
                  <w:hideMark/>
                </w:tcPr>
                <w:p w14:paraId="68C2481C" w14:textId="77777777" w:rsidR="008B38C1" w:rsidRDefault="008B38C1" w:rsidP="000350BE">
                  <w:pPr>
                    <w:pStyle w:val="TableTextRight0"/>
                  </w:pPr>
                  <w:r>
                    <w:t>16,579</w:t>
                  </w:r>
                </w:p>
              </w:tc>
            </w:tr>
            <w:tr w:rsidR="008B38C1" w14:paraId="143BD78B" w14:textId="77777777" w:rsidTr="00135468">
              <w:trPr>
                <w:trHeight w:val="300"/>
              </w:trPr>
              <w:tc>
                <w:tcPr>
                  <w:tcW w:w="3040" w:type="dxa"/>
                  <w:noWrap/>
                  <w:vAlign w:val="center"/>
                  <w:hideMark/>
                </w:tcPr>
                <w:p w14:paraId="63599EFD" w14:textId="77777777" w:rsidR="008B38C1" w:rsidRDefault="008B38C1">
                  <w:pPr>
                    <w:pStyle w:val="TableTextLeft"/>
                  </w:pPr>
                  <w:r>
                    <w:t>Nature Conservation</w:t>
                  </w:r>
                </w:p>
              </w:tc>
              <w:tc>
                <w:tcPr>
                  <w:tcW w:w="1080" w:type="dxa"/>
                  <w:noWrap/>
                  <w:vAlign w:val="center"/>
                  <w:hideMark/>
                </w:tcPr>
                <w:p w14:paraId="003534EB" w14:textId="77777777" w:rsidR="008B38C1" w:rsidRDefault="008B38C1" w:rsidP="000350BE">
                  <w:pPr>
                    <w:pStyle w:val="TableTextRight0"/>
                  </w:pPr>
                  <w:r>
                    <w:t>3</w:t>
                  </w:r>
                  <w:r w:rsidR="00D47844">
                    <w:t>,</w:t>
                  </w:r>
                  <w:r>
                    <w:t>057</w:t>
                  </w:r>
                </w:p>
              </w:tc>
            </w:tr>
            <w:tr w:rsidR="008B38C1" w14:paraId="1E885495" w14:textId="77777777" w:rsidTr="00135468">
              <w:trPr>
                <w:trHeight w:val="300"/>
              </w:trPr>
              <w:tc>
                <w:tcPr>
                  <w:tcW w:w="3040" w:type="dxa"/>
                  <w:noWrap/>
                  <w:vAlign w:val="center"/>
                  <w:hideMark/>
                </w:tcPr>
                <w:p w14:paraId="56C89D81" w14:textId="77777777" w:rsidR="008B38C1" w:rsidRDefault="008B38C1">
                  <w:pPr>
                    <w:pStyle w:val="TableTextLeft"/>
                  </w:pPr>
                  <w:r>
                    <w:t>Urban intensive uses</w:t>
                  </w:r>
                </w:p>
              </w:tc>
              <w:tc>
                <w:tcPr>
                  <w:tcW w:w="1080" w:type="dxa"/>
                  <w:noWrap/>
                  <w:vAlign w:val="center"/>
                  <w:hideMark/>
                </w:tcPr>
                <w:p w14:paraId="694F33EF" w14:textId="77777777" w:rsidR="008B38C1" w:rsidRDefault="008B38C1" w:rsidP="000350BE">
                  <w:pPr>
                    <w:pStyle w:val="TableTextRight0"/>
                  </w:pPr>
                  <w:r>
                    <w:t>340</w:t>
                  </w:r>
                </w:p>
              </w:tc>
            </w:tr>
          </w:tbl>
          <w:p w14:paraId="6F219C29"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p>
        </w:tc>
      </w:tr>
      <w:tr w:rsidR="008B38C1" w14:paraId="122483EC" w14:textId="77777777" w:rsidTr="001354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3DAB027C" w14:textId="77777777" w:rsidR="008B38C1" w:rsidRDefault="008B38C1">
            <w:pPr>
              <w:pStyle w:val="TableTextLeft"/>
            </w:pPr>
            <w:r>
              <w:t>Aboriginal Protected Area (CAPAD 2016) and Native title (area</w:t>
            </w:r>
            <w:r w:rsidR="008232C9">
              <w:t> km</w:t>
            </w:r>
            <w:r>
              <w:rPr>
                <w:vertAlign w:val="superscript"/>
              </w:rPr>
              <w:t>2</w:t>
            </w:r>
            <w:r>
              <w:t>)</w:t>
            </w:r>
          </w:p>
        </w:tc>
        <w:tc>
          <w:tcPr>
            <w:tcW w:w="2421" w:type="pct"/>
          </w:tcPr>
          <w:p w14:paraId="648B2A62"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188,160</w:t>
            </w:r>
          </w:p>
          <w:p w14:paraId="49E5DB8D"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p>
        </w:tc>
      </w:tr>
    </w:tbl>
    <w:p w14:paraId="1DE5A417" w14:textId="77777777" w:rsidR="00B67F8A" w:rsidRDefault="00B67F8A" w:rsidP="005A67CA">
      <w:pPr>
        <w:pStyle w:val="BodyText"/>
      </w:pPr>
    </w:p>
    <w:p w14:paraId="0DD4D868" w14:textId="77777777" w:rsidR="008B38C1" w:rsidRDefault="008B38C1" w:rsidP="00035C4A">
      <w:pPr>
        <w:pStyle w:val="Heading3notnumbered"/>
      </w:pPr>
      <w:bookmarkStart w:id="235" w:name="_Toc517161174"/>
      <w:r>
        <w:lastRenderedPageBreak/>
        <w:t>Key references</w:t>
      </w:r>
      <w:bookmarkEnd w:id="235"/>
    </w:p>
    <w:p w14:paraId="343ACFCF" w14:textId="77777777" w:rsidR="00727542" w:rsidRDefault="00727542" w:rsidP="00727542">
      <w:pPr>
        <w:pStyle w:val="References"/>
      </w:pPr>
      <w:r>
        <w:t>AER (Australian Energy Regulator) (2017) State of the energy market, May 2017. Viewed 16/01/2018, &lt;</w:t>
      </w:r>
      <w:hyperlink r:id="rId313" w:history="1">
        <w:r w:rsidRPr="00165029">
          <w:rPr>
            <w:rStyle w:val="Hyperlink"/>
          </w:rPr>
          <w:t>https://www.aer.gov.au/publications/state-of-the-energy-market-reports/state-of-the-energy-market-may-2017</w:t>
        </w:r>
      </w:hyperlink>
      <w:r>
        <w:t>&gt;.</w:t>
      </w:r>
    </w:p>
    <w:p w14:paraId="4F4319D5" w14:textId="77777777" w:rsidR="00727542" w:rsidRDefault="00727542" w:rsidP="00727542">
      <w:pPr>
        <w:pStyle w:val="References"/>
      </w:pPr>
      <w:r>
        <w:t>AERA (Australian Energy Resources Assessment) (2018) Australian Energy Resources Assessment interim report, Geoscience Australia, Canberra. Viewed 16/01/2018, &lt;</w:t>
      </w:r>
      <w:hyperlink r:id="rId314" w:history="1">
        <w:r w:rsidRPr="00C40D71">
          <w:rPr>
            <w:rStyle w:val="Hyperlink"/>
          </w:rPr>
          <w:t>http://www.ga.gov.au/aera</w:t>
        </w:r>
      </w:hyperlink>
      <w:r w:rsidRPr="00727542">
        <w:t xml:space="preserve">&gt;. </w:t>
      </w:r>
      <w:r>
        <w:t xml:space="preserve">  </w:t>
      </w:r>
    </w:p>
    <w:p w14:paraId="34B2177D" w14:textId="43CE41AB" w:rsidR="008B38C1" w:rsidRPr="0045199C" w:rsidRDefault="008B38C1" w:rsidP="0045199C">
      <w:pPr>
        <w:pStyle w:val="References"/>
      </w:pPr>
      <w:r w:rsidRPr="0045199C">
        <w:t>Ambrose GJ, Warner DS and Heugh JP</w:t>
      </w:r>
      <w:r w:rsidR="00E92BEE">
        <w:t xml:space="preserve"> (20</w:t>
      </w:r>
      <w:r w:rsidRPr="0045199C">
        <w:t>12</w:t>
      </w:r>
      <w:r w:rsidR="00E92BEE">
        <w:t>)</w:t>
      </w:r>
      <w:r w:rsidRPr="0045199C">
        <w:t xml:space="preserve"> </w:t>
      </w:r>
      <w:r w:rsidRPr="00147CAE">
        <w:t>Georgina Basin, Middle Cambrian petroleum systems and the search for unconventional hydrocarbons.</w:t>
      </w:r>
      <w:r w:rsidRPr="0045199C">
        <w:t xml:space="preserve"> In: Ambrose GJ and Scott J (Editors), Central Australian Basins Symposium III. Petroleum Exploration Society of Australia, Special Publication, 15 pp.</w:t>
      </w:r>
    </w:p>
    <w:p w14:paraId="1F94C0B7" w14:textId="77777777" w:rsidR="00727542" w:rsidRDefault="00727542" w:rsidP="00727542">
      <w:pPr>
        <w:pStyle w:val="References"/>
      </w:pPr>
      <w:r>
        <w:t>APPEA (2017) Shale g</w:t>
      </w:r>
      <w:r w:rsidRPr="00985702">
        <w:t>as in Australia</w:t>
      </w:r>
      <w:r>
        <w:t>. Viewed 15/01/2018,</w:t>
      </w:r>
      <w:r w:rsidRPr="00985702">
        <w:t xml:space="preserve"> </w:t>
      </w:r>
      <w:r>
        <w:t>&lt;</w:t>
      </w:r>
      <w:hyperlink r:id="rId315" w:history="1">
        <w:r w:rsidRPr="000E4EFC">
          <w:rPr>
            <w:rStyle w:val="Hyperlink"/>
          </w:rPr>
          <w:t>https://www.shale-gas.com.au/environment/regulation-and-licensing/</w:t>
        </w:r>
      </w:hyperlink>
      <w:r>
        <w:t>&gt;.</w:t>
      </w:r>
    </w:p>
    <w:p w14:paraId="28B1EF8B" w14:textId="77777777" w:rsidR="00727542" w:rsidRPr="00150F31" w:rsidRDefault="00727542" w:rsidP="00727542">
      <w:pPr>
        <w:pStyle w:val="References"/>
      </w:pPr>
      <w:r w:rsidRPr="00150F31">
        <w:t>AWT International</w:t>
      </w:r>
      <w:r>
        <w:t xml:space="preserve"> (</w:t>
      </w:r>
      <w:r w:rsidRPr="00150F31">
        <w:t>2013</w:t>
      </w:r>
      <w:r>
        <w:t xml:space="preserve">) </w:t>
      </w:r>
      <w:r w:rsidRPr="00150F31">
        <w:t>Shale Gas Prospectivity Potential Report prepared for the Australian Council of Learned Academies (ACOLA</w:t>
      </w:r>
      <w:r>
        <w:t xml:space="preserve">) </w:t>
      </w:r>
      <w:r w:rsidRPr="00150F31">
        <w:t>54 p.</w:t>
      </w:r>
    </w:p>
    <w:p w14:paraId="0CF97BA0" w14:textId="266A24B7" w:rsidR="002002F9" w:rsidRDefault="002002F9" w:rsidP="008B38C1">
      <w:pPr>
        <w:pStyle w:val="References"/>
      </w:pPr>
      <w:r>
        <w:t>Baraka</w:t>
      </w:r>
      <w:r w:rsidR="00E92BEE">
        <w:t xml:space="preserve"> (20</w:t>
      </w:r>
      <w:r>
        <w:t>12</w:t>
      </w:r>
      <w:r w:rsidR="00E92BEE">
        <w:t>)</w:t>
      </w:r>
      <w:r>
        <w:t xml:space="preserve"> Confirmation of oil in the southern Georgina Basin. Baraka Energy and Resources ASX Announcement. </w:t>
      </w:r>
      <w:r w:rsidR="00E92BEE">
        <w:t>Viewed 16/01/2018, &lt;</w:t>
      </w:r>
      <w:hyperlink r:id="rId316" w:history="1">
        <w:r w:rsidRPr="002D5448">
          <w:rPr>
            <w:rStyle w:val="Hyperlink"/>
          </w:rPr>
          <w:t>http://www.barakaenergy.com.au/pdfs/2012-10-15-012917Confirmation_of_Oil_in_the_Southern_Georgina_Basin_15Oct2012.pdf</w:t>
        </w:r>
      </w:hyperlink>
      <w:r w:rsidR="00E92BEE">
        <w:rPr>
          <w:rStyle w:val="Hyperlink"/>
        </w:rPr>
        <w:t>&gt;.</w:t>
      </w:r>
    </w:p>
    <w:p w14:paraId="4A37BF81" w14:textId="2EE7B56F" w:rsidR="008B38C1" w:rsidRDefault="008B38C1" w:rsidP="008B38C1">
      <w:pPr>
        <w:pStyle w:val="References"/>
      </w:pPr>
      <w:r w:rsidRPr="0045199C">
        <w:t>Bennett PJ, Philipchuk P and Freeman A</w:t>
      </w:r>
      <w:r w:rsidR="00E92BEE">
        <w:t xml:space="preserve"> (20</w:t>
      </w:r>
      <w:r w:rsidRPr="0045199C">
        <w:t>10</w:t>
      </w:r>
      <w:r w:rsidR="00E92BEE">
        <w:t>)</w:t>
      </w:r>
      <w:r w:rsidRPr="0045199C">
        <w:t xml:space="preserve"> Arthur Creek "hot shale": a Bakken unconventional oil analogy in the Georgina Basin of Northern Territory, Australia. AAPG International Conference and Exhibition, Calgary, Alberta, 11–15 September 2010, AAPG Search and Discovery Article #80125. </w:t>
      </w:r>
      <w:r w:rsidR="00E92BEE">
        <w:t>Viewed 16/01/2018, &lt;</w:t>
      </w:r>
      <w:hyperlink r:id="rId317" w:tooltip="link to paper" w:history="1">
        <w:r w:rsidRPr="0045199C">
          <w:rPr>
            <w:rStyle w:val="Hyperlink"/>
          </w:rPr>
          <w:t>http://www.searchanddiscovery.com/pdfz/documents/2010/80125bennett/ndx_bennett.pdf.html</w:t>
        </w:r>
      </w:hyperlink>
      <w:r w:rsidR="00E92BEE">
        <w:rPr>
          <w:rStyle w:val="Hyperlink"/>
        </w:rPr>
        <w:t>&gt;</w:t>
      </w:r>
    </w:p>
    <w:p w14:paraId="1FB28A29" w14:textId="77777777" w:rsidR="00E92BEE" w:rsidRDefault="00E92BEE" w:rsidP="00E92BEE">
      <w:pPr>
        <w:pStyle w:val="References"/>
      </w:pPr>
      <w:r>
        <w:t>BoM (Bureau of Meteorology) (2014) Australian Hydrological Geospatial Fabric (“Geofabric”), version 2.1.1. Viewed 02/08/2017, &lt;</w:t>
      </w:r>
      <w:hyperlink r:id="rId318" w:history="1">
        <w:r w:rsidRPr="00DA1EAB">
          <w:rPr>
            <w:rStyle w:val="Hyperlink"/>
          </w:rPr>
          <w:t>http://www.bom.gov.au/water/geofabric/download.shtml</w:t>
        </w:r>
      </w:hyperlink>
      <w:r>
        <w:t>&gt;.</w:t>
      </w:r>
    </w:p>
    <w:p w14:paraId="35B0B603" w14:textId="77777777" w:rsidR="006B4EAA" w:rsidRDefault="006B4EAA" w:rsidP="006B4EAA">
      <w:pPr>
        <w:pStyle w:val="References"/>
      </w:pPr>
      <w:r>
        <w:t>BoM (Bureau of Meteorology) (2016) National Groundwater Information System, v.1.3. Viewed 07/07/2017, &lt;</w:t>
      </w:r>
      <w:hyperlink r:id="rId319" w:history="1">
        <w:r w:rsidRPr="00DA1EAB">
          <w:rPr>
            <w:rStyle w:val="Hyperlink"/>
          </w:rPr>
          <w:t>http://www.bom.gov.au/water/groundwater/ngis/</w:t>
        </w:r>
      </w:hyperlink>
      <w:r>
        <w:t>&gt;.</w:t>
      </w:r>
    </w:p>
    <w:p w14:paraId="5BE6367D" w14:textId="45251ED7" w:rsidR="00033148" w:rsidRDefault="00033148">
      <w:pPr>
        <w:pStyle w:val="References"/>
      </w:pPr>
      <w:r w:rsidRPr="004F73E5">
        <w:t>B</w:t>
      </w:r>
      <w:r>
        <w:t>o</w:t>
      </w:r>
      <w:r w:rsidRPr="004F73E5">
        <w:t>M</w:t>
      </w:r>
      <w:r w:rsidR="00E92BEE">
        <w:t xml:space="preserve"> </w:t>
      </w:r>
      <w:r w:rsidR="003D7401">
        <w:t xml:space="preserve">(Bureau of Meteorology) </w:t>
      </w:r>
      <w:r w:rsidR="00E92BEE">
        <w:t>(20</w:t>
      </w:r>
      <w:r w:rsidRPr="004F73E5">
        <w:t>17</w:t>
      </w:r>
      <w:r>
        <w:t>a</w:t>
      </w:r>
      <w:r w:rsidR="00E92BEE">
        <w:t>)</w:t>
      </w:r>
      <w:r w:rsidRPr="004F73E5">
        <w:t xml:space="preserve"> Average annual Australian Rainfall 1961-1990. </w:t>
      </w:r>
      <w:r w:rsidR="00E92BEE">
        <w:t>Viewed 03/09/2017, &lt;</w:t>
      </w:r>
      <w:hyperlink r:id="rId320" w:history="1">
        <w:r w:rsidRPr="00E94700">
          <w:rPr>
            <w:rStyle w:val="Hyperlink"/>
          </w:rPr>
          <w:t>http://www.bom.gov.au/jsp/ncc/climate_averages/rainfall/index.jsp</w:t>
        </w:r>
      </w:hyperlink>
      <w:r w:rsidR="00E92BEE">
        <w:t>&gt;.</w:t>
      </w:r>
    </w:p>
    <w:p w14:paraId="29C5466F" w14:textId="668F6361" w:rsidR="00033148" w:rsidRPr="004F73E5" w:rsidRDefault="00033148">
      <w:pPr>
        <w:pStyle w:val="References"/>
      </w:pPr>
      <w:r>
        <w:t>BoM</w:t>
      </w:r>
      <w:r w:rsidR="003D7401">
        <w:t xml:space="preserve"> (Bureau of Meteorology)</w:t>
      </w:r>
      <w:r w:rsidR="00E92BEE">
        <w:t xml:space="preserve"> (20</w:t>
      </w:r>
      <w:r>
        <w:t>17b</w:t>
      </w:r>
      <w:r w:rsidR="00E92BEE">
        <w:t>)</w:t>
      </w:r>
      <w:r w:rsidR="00E92BEE" w:rsidRPr="006346B6">
        <w:t xml:space="preserve"> </w:t>
      </w:r>
      <w:r w:rsidRPr="006346B6">
        <w:t>The Bureau of Meteorology Atlas of Groundwater Dependant Ecosystems</w:t>
      </w:r>
      <w:r w:rsidR="00E92BEE">
        <w:t>. Viewed 28/07/2017, &lt;</w:t>
      </w:r>
      <w:hyperlink r:id="rId321" w:history="1">
        <w:r w:rsidRPr="00E94700">
          <w:rPr>
            <w:rStyle w:val="Hyperlink"/>
          </w:rPr>
          <w:t>http://www.bom.gov.au/water/groundwater/gde/</w:t>
        </w:r>
      </w:hyperlink>
      <w:r w:rsidR="00E92BEE">
        <w:t>&gt;.</w:t>
      </w:r>
    </w:p>
    <w:p w14:paraId="08968CB6" w14:textId="7710F40A" w:rsidR="008B38C1" w:rsidRDefault="008B38C1" w:rsidP="00672502">
      <w:pPr>
        <w:pStyle w:val="References"/>
        <w:keepLines/>
        <w:rPr>
          <w:szCs w:val="20"/>
        </w:rPr>
      </w:pPr>
      <w:r>
        <w:lastRenderedPageBreak/>
        <w:t>Boreham CJ and Ambrose GJ</w:t>
      </w:r>
      <w:r w:rsidR="00E92BEE">
        <w:t xml:space="preserve"> (20</w:t>
      </w:r>
      <w:r>
        <w:t>07</w:t>
      </w:r>
      <w:r w:rsidR="00E92BEE">
        <w:t>)</w:t>
      </w:r>
      <w:r>
        <w:t xml:space="preserve"> </w:t>
      </w:r>
      <w:r w:rsidRPr="00147CAE">
        <w:t>Cambrian petroleum systems in the southern Georgina Basin, Northern Territory, Australia.</w:t>
      </w:r>
      <w:r w:rsidRPr="000350BE">
        <w:t xml:space="preserve"> </w:t>
      </w:r>
      <w:r>
        <w:t>In: Munson TJ and Ambrose GJ (</w:t>
      </w:r>
      <w:r w:rsidR="00E92BEE">
        <w:t>ed</w:t>
      </w:r>
      <w:r>
        <w:t>s), Proceedings of the Central Australian Basins Symposium (CABS), Alice Springs, Northern Territory, 16–18 August, 2005. Northern Territory Geological Survey, Special Publication, 2, pp. 254–281.</w:t>
      </w:r>
    </w:p>
    <w:p w14:paraId="12A0C796" w14:textId="1808A740" w:rsidR="008B38C1" w:rsidRDefault="008B38C1" w:rsidP="008B38C1">
      <w:pPr>
        <w:pStyle w:val="References"/>
      </w:pPr>
      <w:r>
        <w:t>Boult P and Bennett PJ</w:t>
      </w:r>
      <w:r w:rsidR="00E92BEE">
        <w:t xml:space="preserve"> (20</w:t>
      </w:r>
      <w:r w:rsidRPr="0045199C">
        <w:t>12</w:t>
      </w:r>
      <w:r w:rsidR="00E92BEE">
        <w:t>)</w:t>
      </w:r>
      <w:r w:rsidRPr="0045199C">
        <w:t xml:space="preserve"> Tectonic and stratigraphic mapping framework of the lower Arthur Creek, South Georgina Basin, Northern Territory, Australia. AAPG International Conference and Exhibition, Singapore, 16–19 September 2012, AAPG Search and Discovery Article #50752. </w:t>
      </w:r>
      <w:r w:rsidR="00E92BEE">
        <w:t>Viewed 16/01/2018, &lt;</w:t>
      </w:r>
      <w:hyperlink r:id="rId322" w:tooltip="Link to paper" w:history="1">
        <w:r w:rsidRPr="0045199C">
          <w:rPr>
            <w:rStyle w:val="Hyperlink"/>
          </w:rPr>
          <w:t>http://www.searchanddiscovery.com/pdfz/documents/2012/50752boult/ndx_boult.pdf.html</w:t>
        </w:r>
      </w:hyperlink>
      <w:r w:rsidR="00E92BEE">
        <w:t>&gt;.</w:t>
      </w:r>
    </w:p>
    <w:p w14:paraId="2041AC3D" w14:textId="1F04F2F5" w:rsidR="00923F1B" w:rsidRPr="00356E9E" w:rsidRDefault="00923F1B" w:rsidP="00923F1B">
      <w:pPr>
        <w:pStyle w:val="References"/>
      </w:pPr>
      <w:r>
        <w:t xml:space="preserve">CAPAD (2016) </w:t>
      </w:r>
      <w:r w:rsidRPr="00356E9E">
        <w:t>Collaborative Australia</w:t>
      </w:r>
      <w:r>
        <w:t>n Protected Area Database</w:t>
      </w:r>
      <w:r w:rsidR="00E92BEE">
        <w:t xml:space="preserve"> (20</w:t>
      </w:r>
      <w:r>
        <w:t>16</w:t>
      </w:r>
      <w:r w:rsidR="00E92BEE">
        <w:t>)</w:t>
      </w:r>
      <w:r>
        <w:t xml:space="preserve"> S</w:t>
      </w:r>
      <w:r w:rsidRPr="00356E9E">
        <w:t>patial dataset provided from the Departmen</w:t>
      </w:r>
      <w:r>
        <w:t>t of the Environment and Energy.</w:t>
      </w:r>
      <w:r w:rsidRPr="00356E9E">
        <w:t xml:space="preserve"> </w:t>
      </w:r>
      <w:r>
        <w:t>Viewed 18/07/2017, &lt;</w:t>
      </w:r>
      <w:hyperlink r:id="rId323" w:history="1">
        <w:r w:rsidRPr="00456161">
          <w:rPr>
            <w:rStyle w:val="Hyperlink"/>
          </w:rPr>
          <w:t>https://www.environment.gov.au/land/nrs/science/capad/2016</w:t>
        </w:r>
      </w:hyperlink>
      <w:r>
        <w:t>&gt;.</w:t>
      </w:r>
      <w:r w:rsidRPr="00356E9E">
        <w:t xml:space="preserve"> </w:t>
      </w:r>
    </w:p>
    <w:p w14:paraId="7AC61FA9" w14:textId="0F742D11" w:rsidR="008B38C1" w:rsidRDefault="008B38C1" w:rsidP="008B38C1">
      <w:pPr>
        <w:pStyle w:val="References"/>
      </w:pPr>
      <w:r>
        <w:t>Carr LK and Korsch RJ</w:t>
      </w:r>
      <w:r w:rsidR="00E92BEE">
        <w:t xml:space="preserve"> (20</w:t>
      </w:r>
      <w:r>
        <w:t>11</w:t>
      </w:r>
      <w:r w:rsidR="00E92BEE">
        <w:t>)</w:t>
      </w:r>
      <w:r w:rsidRPr="00147CAE">
        <w:t xml:space="preserve"> Architecture of the Amadeus and Georgina basins, Northern </w:t>
      </w:r>
      <w:r w:rsidRPr="0045199C">
        <w:t>Territory, based on Deep Seismic Reflection Line 09GA-GA1. In: Annual Geoscience Exploration Seminar (AGES) 2011. Record of abstracts. Northern Territory Geological Survey, Record, 2011-003, pp. 81–86.</w:t>
      </w:r>
      <w:r>
        <w:t xml:space="preserve"> </w:t>
      </w:r>
    </w:p>
    <w:p w14:paraId="4D5C7C08" w14:textId="77777777" w:rsidR="00923F1B" w:rsidRPr="009E7E91" w:rsidRDefault="00923F1B" w:rsidP="00923F1B">
      <w:pPr>
        <w:pStyle w:val="References"/>
        <w:rPr>
          <w:rStyle w:val="Hyperlink"/>
          <w:rFonts w:eastAsia="Times"/>
        </w:rPr>
      </w:pPr>
      <w:r w:rsidRPr="00AA00C4">
        <w:rPr>
          <w:rFonts w:eastAsia="Times"/>
        </w:rPr>
        <w:t>Carr LK</w:t>
      </w:r>
      <w:r>
        <w:rPr>
          <w:rFonts w:eastAsia="Times"/>
        </w:rPr>
        <w:t>,</w:t>
      </w:r>
      <w:r w:rsidRPr="00AA00C4">
        <w:rPr>
          <w:rFonts w:eastAsia="Times"/>
        </w:rPr>
        <w:t xml:space="preserve"> Korsch RJ, Palu </w:t>
      </w:r>
      <w:r>
        <w:rPr>
          <w:rFonts w:eastAsia="Times"/>
        </w:rPr>
        <w:t>T</w:t>
      </w:r>
      <w:r w:rsidRPr="00AA00C4">
        <w:rPr>
          <w:rFonts w:eastAsia="Times"/>
        </w:rPr>
        <w:t xml:space="preserve">J and Reese B </w:t>
      </w:r>
      <w:r>
        <w:rPr>
          <w:rFonts w:eastAsia="Times"/>
        </w:rPr>
        <w:t>(</w:t>
      </w:r>
      <w:r w:rsidRPr="00AA00C4">
        <w:rPr>
          <w:rFonts w:eastAsia="Times"/>
        </w:rPr>
        <w:t>2016</w:t>
      </w:r>
      <w:r>
        <w:rPr>
          <w:rFonts w:eastAsia="Times"/>
        </w:rPr>
        <w:t>)</w:t>
      </w:r>
      <w:r w:rsidRPr="00AA00C4">
        <w:rPr>
          <w:rFonts w:eastAsia="Times"/>
        </w:rPr>
        <w:t xml:space="preserve"> Onshore Basin Inventory: the McArthur, South Nicholson, Georgina, Wiso, Amadeus, Warburton, Cooper and Galilee basins, central Australia. Record 2016/04. Geoscience Australia, Canberra. </w:t>
      </w:r>
      <w:r>
        <w:t>Viewed 22/01/2018, &lt;</w:t>
      </w:r>
      <w:hyperlink r:id="rId324" w:history="1">
        <w:r w:rsidRPr="000E4EFC">
          <w:rPr>
            <w:rStyle w:val="Hyperlink"/>
          </w:rPr>
          <w:t>http://dx.doi.org/10.11636/Record.2016.004</w:t>
        </w:r>
      </w:hyperlink>
      <w:r>
        <w:rPr>
          <w:rStyle w:val="Hyperlink"/>
        </w:rPr>
        <w:t>&gt;.</w:t>
      </w:r>
    </w:p>
    <w:p w14:paraId="731585DD" w14:textId="55BDB2DA" w:rsidR="008B38C1" w:rsidRDefault="008B38C1" w:rsidP="008B38C1">
      <w:pPr>
        <w:pStyle w:val="References"/>
        <w:rPr>
          <w:rFonts w:eastAsia="Times New Roman"/>
        </w:rPr>
      </w:pPr>
      <w:r>
        <w:t>Central Petroleum</w:t>
      </w:r>
      <w:r w:rsidR="00E92BEE">
        <w:t xml:space="preserve"> (20</w:t>
      </w:r>
      <w:r>
        <w:t>12</w:t>
      </w:r>
      <w:r w:rsidR="00E92BEE">
        <w:t>)</w:t>
      </w:r>
      <w:r>
        <w:t xml:space="preserve"> ASX announcement and press release - Fractured basement hydrocarbon plays and “buried hill” plays in central Australia</w:t>
      </w:r>
      <w:r w:rsidR="0045199C">
        <w:t>.</w:t>
      </w:r>
      <w:r>
        <w:t xml:space="preserve"> </w:t>
      </w:r>
      <w:r w:rsidR="00E92BEE">
        <w:t>Viewed 16/01/2018, &lt;</w:t>
      </w:r>
      <w:hyperlink r:id="rId325" w:history="1">
        <w:r w:rsidRPr="0045199C">
          <w:rPr>
            <w:rStyle w:val="Hyperlink"/>
          </w:rPr>
          <w:t>www.asx.com.au/asxpdf/20110718/pdf/41zthwzbm2qknq.pdf</w:t>
        </w:r>
      </w:hyperlink>
      <w:r w:rsidR="00E92BEE">
        <w:t>&gt;.</w:t>
      </w:r>
    </w:p>
    <w:p w14:paraId="1BBD5318" w14:textId="5F8306C4" w:rsidR="008B38C1" w:rsidRDefault="008B38C1" w:rsidP="008B38C1">
      <w:pPr>
        <w:pStyle w:val="References"/>
      </w:pPr>
      <w:r>
        <w:t>Central Petroleum</w:t>
      </w:r>
      <w:r w:rsidR="00E92BEE">
        <w:t xml:space="preserve"> (20</w:t>
      </w:r>
      <w:r>
        <w:t>17</w:t>
      </w:r>
      <w:r w:rsidR="00E92BEE">
        <w:t>)</w:t>
      </w:r>
      <w:r>
        <w:t xml:space="preserve"> Southern Georgina Basin</w:t>
      </w:r>
      <w:r w:rsidR="0045199C">
        <w:t>.</w:t>
      </w:r>
      <w:r>
        <w:t xml:space="preserve"> </w:t>
      </w:r>
      <w:r w:rsidR="00E92BEE">
        <w:t>Viewed 16/01/2018, &lt;</w:t>
      </w:r>
      <w:hyperlink r:id="rId326" w:history="1">
        <w:r w:rsidRPr="0045199C">
          <w:rPr>
            <w:rStyle w:val="Hyperlink"/>
          </w:rPr>
          <w:t>http://centralpetroleum.com.au/our-business/our-licence-areas/georgina-basin/southern-georgina-basin/</w:t>
        </w:r>
      </w:hyperlink>
      <w:r w:rsidR="00E92BEE">
        <w:t>&gt;.</w:t>
      </w:r>
    </w:p>
    <w:p w14:paraId="49297119" w14:textId="677F8BA6" w:rsidR="008B38C1" w:rsidRDefault="008B38C1" w:rsidP="008B38C1">
      <w:pPr>
        <w:pStyle w:val="References"/>
      </w:pPr>
      <w:r>
        <w:t>CSIRO</w:t>
      </w:r>
      <w:r w:rsidR="00E92BEE">
        <w:t xml:space="preserve"> (20</w:t>
      </w:r>
      <w:r>
        <w:t>09</w:t>
      </w:r>
      <w:r w:rsidR="00E92BEE">
        <w:t>)</w:t>
      </w:r>
      <w:r>
        <w:t xml:space="preserve"> Water in the Roper region, pp 59-120 in CSIRO (2009) Water in the Gulf of Carpentaria Drainage Division. A report to the Australian Government from the CSIRO Northern Australia Sustainable Yields Project. CSIRO Water for a Healthy Country Flagship, Australia. xl + 479pp</w:t>
      </w:r>
      <w:r w:rsidR="00272F28">
        <w:t>.</w:t>
      </w:r>
    </w:p>
    <w:p w14:paraId="3C5800E1" w14:textId="354DF949" w:rsidR="00033148" w:rsidRDefault="00033148" w:rsidP="008B38C1">
      <w:pPr>
        <w:pStyle w:val="References"/>
      </w:pPr>
      <w:r>
        <w:rPr>
          <w:bCs/>
        </w:rPr>
        <w:t>DNREAS</w:t>
      </w:r>
      <w:r w:rsidR="00E92BEE">
        <w:rPr>
          <w:bCs/>
        </w:rPr>
        <w:t xml:space="preserve"> (20</w:t>
      </w:r>
      <w:r>
        <w:rPr>
          <w:bCs/>
        </w:rPr>
        <w:t>11</w:t>
      </w:r>
      <w:r w:rsidR="00E92BEE">
        <w:rPr>
          <w:bCs/>
        </w:rPr>
        <w:t>)</w:t>
      </w:r>
      <w:r>
        <w:rPr>
          <w:bCs/>
        </w:rPr>
        <w:t xml:space="preserve"> Department of Natural Resources, Environment, the Arts and Sport. Water Allocation Plan - Western Davenport Water Control District </w:t>
      </w:r>
      <w:r>
        <w:t>2011-2021, Northern Territory Government, Darwin.</w:t>
      </w:r>
    </w:p>
    <w:p w14:paraId="17269B2C" w14:textId="3B161751" w:rsidR="00033148" w:rsidRDefault="00033148" w:rsidP="008B38C1">
      <w:pPr>
        <w:pStyle w:val="References"/>
      </w:pPr>
      <w:r>
        <w:rPr>
          <w:bCs/>
        </w:rPr>
        <w:t>DNREAS (2009) Department of Natural Resources, Environment, the Arts and Sport. Ti-Tree Basin Water Resource Report</w:t>
      </w:r>
      <w:r>
        <w:t>, Northern Territory Government, Darwin</w:t>
      </w:r>
      <w:r w:rsidR="00272F28">
        <w:t>.</w:t>
      </w:r>
    </w:p>
    <w:p w14:paraId="3E065432" w14:textId="27E7AC5C" w:rsidR="008B38C1" w:rsidRDefault="008B38C1" w:rsidP="008B38C1">
      <w:pPr>
        <w:pStyle w:val="References"/>
        <w:rPr>
          <w:szCs w:val="20"/>
        </w:rPr>
      </w:pPr>
      <w:r>
        <w:lastRenderedPageBreak/>
        <w:t>DNRM (Department of Natural Resources and Mines)</w:t>
      </w:r>
      <w:r w:rsidR="00E92BEE">
        <w:t xml:space="preserve"> (20</w:t>
      </w:r>
      <w:r>
        <w:t>16a</w:t>
      </w:r>
      <w:r w:rsidR="00E92BEE">
        <w:t>)</w:t>
      </w:r>
      <w:r>
        <w:t xml:space="preserve"> Petroleum and gas production statistics (December 2016)</w:t>
      </w:r>
      <w:r w:rsidR="0045199C">
        <w:t>.</w:t>
      </w:r>
      <w:r>
        <w:t xml:space="preserve"> </w:t>
      </w:r>
      <w:r w:rsidR="00E92BEE">
        <w:t>Fractured basement hydrocarbon plays and “buried hill” plays in central Australia. Viewed 16/01/2018, &lt;</w:t>
      </w:r>
      <w:hyperlink r:id="rId327" w:history="1">
        <w:r w:rsidRPr="0045199C">
          <w:rPr>
            <w:rStyle w:val="Hyperlink"/>
          </w:rPr>
          <w:t>https://data.qld.gov.au/dataset/petroleum-gas-production-and-reserve-statistics/resource/9746212a-e0c6-484d-95ad-b2be1c46027d</w:t>
        </w:r>
      </w:hyperlink>
      <w:r w:rsidR="00E92BEE">
        <w:rPr>
          <w:rStyle w:val="Hyperlink"/>
        </w:rPr>
        <w:t>&gt;.</w:t>
      </w:r>
    </w:p>
    <w:p w14:paraId="13D8C5E7" w14:textId="3ED90D80" w:rsidR="008B38C1" w:rsidRDefault="008B38C1" w:rsidP="008B38C1">
      <w:pPr>
        <w:pStyle w:val="References"/>
      </w:pPr>
      <w:r>
        <w:t>DNRM (Department of Natural Resources and Mines)</w:t>
      </w:r>
      <w:r w:rsidR="00E92BEE">
        <w:t xml:space="preserve"> (20</w:t>
      </w:r>
      <w:r>
        <w:t>1</w:t>
      </w:r>
      <w:r w:rsidR="005C32FA">
        <w:t>6</w:t>
      </w:r>
      <w:r>
        <w:t>b</w:t>
      </w:r>
      <w:r w:rsidR="00E92BEE">
        <w:t>)</w:t>
      </w:r>
      <w:r>
        <w:t xml:space="preserve"> Petroleum and gas reserves statistics (December 2016)</w:t>
      </w:r>
      <w:r w:rsidR="0045199C">
        <w:t>.</w:t>
      </w:r>
      <w:r>
        <w:t xml:space="preserve"> </w:t>
      </w:r>
      <w:r w:rsidR="00E92BEE">
        <w:t>Fractured basement hydrocarbon plays and “buried hill” plays in central Australia. Viewed 16/01/2018, &lt;</w:t>
      </w:r>
      <w:hyperlink r:id="rId328" w:history="1">
        <w:r w:rsidRPr="0045199C">
          <w:rPr>
            <w:rStyle w:val="Hyperlink"/>
          </w:rPr>
          <w:t>https://data.qld.gov.au/dataset/petroleum-gas-production-and-reserve-statistics/resource/351e9bd4-d9a1-4d60-a2ed-0e56cae79c4a</w:t>
        </w:r>
      </w:hyperlink>
      <w:r w:rsidR="00E92BEE">
        <w:rPr>
          <w:rStyle w:val="Hyperlink"/>
        </w:rPr>
        <w:t>&gt;.</w:t>
      </w:r>
    </w:p>
    <w:p w14:paraId="07DD2D0C" w14:textId="77777777" w:rsidR="00983C9B" w:rsidRPr="00CD20C0" w:rsidRDefault="00983C9B" w:rsidP="00983C9B">
      <w:pPr>
        <w:pStyle w:val="References"/>
      </w:pPr>
      <w:r w:rsidRPr="00CD20C0">
        <w:t>DNRM (Department of Natural Resources and Mines)</w:t>
      </w:r>
      <w:r>
        <w:t xml:space="preserve"> (2</w:t>
      </w:r>
      <w:r w:rsidRPr="00CD20C0">
        <w:t>0</w:t>
      </w:r>
      <w:r>
        <w:t>17)</w:t>
      </w:r>
      <w:r w:rsidRPr="00CD20C0">
        <w:t xml:space="preserve"> Queensland’s unconventional petroleum potential – shale oil and gas, tight gas and coal seam gas. Department of Natural </w:t>
      </w:r>
      <w:r>
        <w:t>Resources and Mines, Queensland. Viewed</w:t>
      </w:r>
      <w:r w:rsidRPr="00CD20C0">
        <w:t xml:space="preserve"> </w:t>
      </w:r>
      <w:r>
        <w:t>16/01/2018, &lt;</w:t>
      </w:r>
      <w:hyperlink r:id="rId329" w:history="1">
        <w:r w:rsidRPr="00CD20C0">
          <w:rPr>
            <w:rStyle w:val="Hyperlink"/>
          </w:rPr>
          <w:t>https://www.business.qld.gov.au/industries/invest/mining/resources-potential/petroleum-gas</w:t>
        </w:r>
      </w:hyperlink>
      <w:r>
        <w:t xml:space="preserve">&gt;. </w:t>
      </w:r>
    </w:p>
    <w:p w14:paraId="6223DCE1" w14:textId="77777777" w:rsidR="00B221F1" w:rsidRDefault="00B221F1" w:rsidP="00B221F1">
      <w:pPr>
        <w:pStyle w:val="References"/>
      </w:pPr>
      <w:r>
        <w:t>DNRME (Department of Natural Resources, Mines and Energy) (2017a) Petroleum well locations – Queensland. Viewed 23/07/2017, &lt;</w:t>
      </w:r>
      <w:hyperlink r:id="rId330" w:history="1">
        <w:r w:rsidRPr="00E46720">
          <w:rPr>
            <w:rStyle w:val="Hyperlink"/>
          </w:rPr>
          <w:t>http://qldspatial.information.qld.gov.au/catalogue/custom/detail.page?fid=%7bCBBE665F-60A8-4116-87C8-AEBF0D21B97C%7d</w:t>
        </w:r>
      </w:hyperlink>
      <w:r>
        <w:t>&gt;.</w:t>
      </w:r>
    </w:p>
    <w:p w14:paraId="14DD9675" w14:textId="77777777" w:rsidR="00B221F1" w:rsidRDefault="00B221F1" w:rsidP="00B221F1">
      <w:pPr>
        <w:pStyle w:val="References"/>
      </w:pPr>
      <w:r>
        <w:t>DNRME (Department of Natural Resources, Mines and Energy) (2017b) Seismic survey 2D – Queensland</w:t>
      </w:r>
      <w:r>
        <w:rPr>
          <w:b/>
        </w:rPr>
        <w:t xml:space="preserve">. </w:t>
      </w:r>
      <w:r>
        <w:t>Viewed 23/07/2017, &lt;</w:t>
      </w:r>
      <w:hyperlink r:id="rId331" w:history="1">
        <w:r w:rsidRPr="0065740D">
          <w:rPr>
            <w:rStyle w:val="Hyperlink"/>
          </w:rPr>
          <w:t>http://qldspatial.information.qld.gov.au/catalogue/custom/index.page</w:t>
        </w:r>
      </w:hyperlink>
      <w:r>
        <w:t>&gt;.</w:t>
      </w:r>
    </w:p>
    <w:p w14:paraId="13E1BD81" w14:textId="29D8ABF6" w:rsidR="00B221F1" w:rsidRDefault="00B221F1" w:rsidP="00B221F1">
      <w:pPr>
        <w:pStyle w:val="References"/>
      </w:pPr>
      <w:r>
        <w:t>DNRME (Department of Natural Resources, Mines and Energy) (2017c) Seismic survey 3D – Queensland. Viewed 23/07/2017, &lt;</w:t>
      </w:r>
      <w:hyperlink r:id="rId332" w:history="1">
        <w:r w:rsidRPr="0065740D">
          <w:rPr>
            <w:rStyle w:val="Hyperlink"/>
          </w:rPr>
          <w:t>http://qldspatial.information.qld.gov.au/catalogue/custom/index.page</w:t>
        </w:r>
      </w:hyperlink>
      <w:r>
        <w:rPr>
          <w:rStyle w:val="Hyperlink"/>
        </w:rPr>
        <w:t>&gt;</w:t>
      </w:r>
      <w:r>
        <w:t>.</w:t>
      </w:r>
    </w:p>
    <w:p w14:paraId="562FBDC7" w14:textId="7849CA70" w:rsidR="00B221F1" w:rsidRDefault="00B221F1" w:rsidP="00B221F1">
      <w:pPr>
        <w:pStyle w:val="References"/>
      </w:pPr>
      <w:r>
        <w:t>DNRME (Department of Natural Resources, Mines and Energy) (2017d) Seismic survey deep – Queensland. Viewed 23/07/2017, &lt;</w:t>
      </w:r>
      <w:hyperlink r:id="rId333" w:history="1">
        <w:r w:rsidRPr="0065740D">
          <w:rPr>
            <w:rStyle w:val="Hyperlink"/>
          </w:rPr>
          <w:t>http://qldspatial.information.qld.gov.au/catalogue/custom/index.page</w:t>
        </w:r>
      </w:hyperlink>
      <w:r>
        <w:rPr>
          <w:rStyle w:val="Hyperlink"/>
        </w:rPr>
        <w:t>&gt;</w:t>
      </w:r>
      <w:r>
        <w:t>.</w:t>
      </w:r>
    </w:p>
    <w:p w14:paraId="562FB4F0" w14:textId="77777777" w:rsidR="007A2D5C" w:rsidRPr="00DD43E4" w:rsidRDefault="007A2D5C" w:rsidP="007A2D5C">
      <w:pPr>
        <w:pStyle w:val="References"/>
      </w:pPr>
      <w:r w:rsidRPr="00DD43E4">
        <w:t xml:space="preserve">DSWPET </w:t>
      </w:r>
      <w:r>
        <w:t>(</w:t>
      </w:r>
      <w:r w:rsidRPr="00DD43E4">
        <w:t>2011b</w:t>
      </w:r>
      <w:r>
        <w:t>)</w:t>
      </w:r>
      <w:r w:rsidRPr="00DD43E4">
        <w:t xml:space="preserve"> Unconventional reservoir resource assessment, the Arthur Creek Formation, Georgina Basin, Australia. Central Petroleum Ltd, ASX Announcement, 11 April 2011.</w:t>
      </w:r>
      <w:r>
        <w:t xml:space="preserve"> Viewed</w:t>
      </w:r>
      <w:r w:rsidRPr="00CD20C0">
        <w:t xml:space="preserve"> </w:t>
      </w:r>
      <w:r>
        <w:t>16/01/2018, &lt;</w:t>
      </w:r>
      <w:hyperlink r:id="rId334" w:history="1">
        <w:r w:rsidRPr="00C03A7D">
          <w:rPr>
            <w:rStyle w:val="Hyperlink"/>
          </w:rPr>
          <w:t>www.asx.com.au/asxpdf/20110411/pdf/41xyzxdrpth0gg.pdf</w:t>
        </w:r>
      </w:hyperlink>
      <w:r>
        <w:t>&gt;.</w:t>
      </w:r>
    </w:p>
    <w:p w14:paraId="0A31E468" w14:textId="63CE2258" w:rsidR="008B38C1" w:rsidRPr="0045199C" w:rsidRDefault="008B38C1" w:rsidP="0045199C">
      <w:pPr>
        <w:pStyle w:val="References"/>
      </w:pPr>
      <w:r w:rsidRPr="0045199C">
        <w:t>Draper JJ</w:t>
      </w:r>
      <w:r w:rsidR="00E92BEE">
        <w:t xml:space="preserve"> (20</w:t>
      </w:r>
      <w:r w:rsidRPr="0045199C">
        <w:t>07</w:t>
      </w:r>
      <w:r w:rsidR="007A2D5C">
        <w:t>)</w:t>
      </w:r>
      <w:r w:rsidRPr="0045199C">
        <w:t xml:space="preserve"> Georgina Basin – an Early Palaeozoic carbonate petroleum system in Queensland. APPEA Journal, 7(1), 105–124.</w:t>
      </w:r>
    </w:p>
    <w:p w14:paraId="37141850" w14:textId="6796514D" w:rsidR="008B38C1" w:rsidRPr="0045199C" w:rsidRDefault="008B38C1" w:rsidP="0045199C">
      <w:pPr>
        <w:pStyle w:val="References"/>
      </w:pPr>
      <w:r w:rsidRPr="0045199C">
        <w:t>Dunster JN, Kruse PD, Duffett ML and Ambrose GJ</w:t>
      </w:r>
      <w:r w:rsidR="00E92BEE">
        <w:t xml:space="preserve"> (20</w:t>
      </w:r>
      <w:r w:rsidRPr="0045199C">
        <w:t>07</w:t>
      </w:r>
      <w:r w:rsidR="007A2D5C">
        <w:t>)</w:t>
      </w:r>
      <w:r w:rsidRPr="0045199C">
        <w:t xml:space="preserve"> </w:t>
      </w:r>
      <w:r w:rsidRPr="00147CAE">
        <w:t>Geology and resource potential of the southern Georgina Basin</w:t>
      </w:r>
      <w:r w:rsidRPr="0045199C">
        <w:t>. Northern Territory Geological Survey. Digital Information Package, DIP007, 232 pp.</w:t>
      </w:r>
    </w:p>
    <w:p w14:paraId="7920E521" w14:textId="77777777" w:rsidR="00983C9B" w:rsidRPr="00C03A7D" w:rsidRDefault="00983C9B" w:rsidP="00672502">
      <w:pPr>
        <w:pStyle w:val="References"/>
        <w:keepLines/>
        <w:rPr>
          <w:rStyle w:val="Hyperlink"/>
        </w:rPr>
      </w:pPr>
      <w:r w:rsidRPr="00DD43E4">
        <w:lastRenderedPageBreak/>
        <w:t xml:space="preserve">EIA (Energy Information Administration) </w:t>
      </w:r>
      <w:r>
        <w:t>(</w:t>
      </w:r>
      <w:r w:rsidRPr="00DD43E4">
        <w:t>2013</w:t>
      </w:r>
      <w:r>
        <w:t>)</w:t>
      </w:r>
      <w:r w:rsidRPr="00DD43E4">
        <w:t xml:space="preserve"> Technically Recoverable Shale Oil and Shale Gas Resources: An Assessment of 137 Shale Formations in 41 Countries Outside the United States. United States Energy Information Administration, 730 p. </w:t>
      </w:r>
      <w:r>
        <w:t>Viewed</w:t>
      </w:r>
      <w:r w:rsidRPr="00CD20C0">
        <w:t xml:space="preserve"> </w:t>
      </w:r>
      <w:r>
        <w:t>16/01/2018, &lt;</w:t>
      </w:r>
      <w:hyperlink r:id="rId335" w:history="1">
        <w:r w:rsidRPr="00635952">
          <w:rPr>
            <w:rStyle w:val="Hyperlink"/>
          </w:rPr>
          <w:t>https://www.eia.gov/analysis/studies/worldshalegas/pdf/overview.pdf</w:t>
        </w:r>
      </w:hyperlink>
      <w:r>
        <w:t>&gt;.</w:t>
      </w:r>
    </w:p>
    <w:p w14:paraId="1E4FF2EA" w14:textId="6C63A670" w:rsidR="008B38C1" w:rsidRDefault="008B38C1" w:rsidP="008B38C1">
      <w:pPr>
        <w:pStyle w:val="References"/>
      </w:pPr>
      <w:r>
        <w:t>Faulks JJ</w:t>
      </w:r>
      <w:r w:rsidR="00E92BEE">
        <w:t xml:space="preserve"> (20</w:t>
      </w:r>
      <w:r>
        <w:t>01</w:t>
      </w:r>
      <w:r w:rsidR="007A2D5C">
        <w:t>)</w:t>
      </w:r>
      <w:r>
        <w:t xml:space="preserve"> Roper River Catchment- An assessment of the physical and ecological condition of the roper river and its major tributaries. Technical Report No. 36/2001. Northern Territory Government.</w:t>
      </w:r>
    </w:p>
    <w:p w14:paraId="01ED4E32" w14:textId="77777777" w:rsidR="00FE4817" w:rsidRDefault="00FE4817" w:rsidP="00FE4817">
      <w:pPr>
        <w:pStyle w:val="References"/>
      </w:pPr>
      <w:r>
        <w:t xml:space="preserve">GA (Geoscience Australia) (2015a) </w:t>
      </w:r>
      <w:r w:rsidRPr="00093164">
        <w:t>Oil and Gas Infrastructure</w:t>
      </w:r>
      <w:r>
        <w:t>. Viewed 16/01/2018, &lt;</w:t>
      </w:r>
      <w:hyperlink r:id="rId336" w:history="1">
        <w:r w:rsidRPr="0065740D">
          <w:rPr>
            <w:rStyle w:val="Hyperlink"/>
          </w:rPr>
          <w:t>http://services.ga.gov.au/site_9/rest/services/Oil_Gas_Infrastructure/MapServer</w:t>
        </w:r>
      </w:hyperlink>
      <w:r>
        <w:rPr>
          <w:rStyle w:val="Hyperlink"/>
        </w:rPr>
        <w:t>&gt;.</w:t>
      </w:r>
    </w:p>
    <w:p w14:paraId="07DD8BB1" w14:textId="77777777" w:rsidR="00FE4817" w:rsidRDefault="00FE4817" w:rsidP="00FE4817">
      <w:pPr>
        <w:pStyle w:val="References"/>
      </w:pPr>
      <w:r>
        <w:t xml:space="preserve">GA (Geoscience Australia) (2015b) </w:t>
      </w:r>
      <w:r w:rsidRPr="00093164">
        <w:t xml:space="preserve">Oil and Gas </w:t>
      </w:r>
      <w:r>
        <w:t xml:space="preserve">platforms. </w:t>
      </w:r>
      <w:r w:rsidRPr="000C32BC">
        <w:t>Viewed 16/01/2018</w:t>
      </w:r>
      <w:r>
        <w:t>, &lt;</w:t>
      </w:r>
      <w:hyperlink r:id="rId337" w:anchor="!0a4a79dc-978a-0e89-e054-00144fdd4fa6" w:history="1">
        <w:r w:rsidRPr="00743C84">
          <w:rPr>
            <w:rStyle w:val="Hyperlink"/>
          </w:rPr>
          <w:t>https://ecat.ga.gov.au/geonetwork/srv/eng/search#!0a4a79dc-978a-0e89-e054-00144fdd4fa6</w:t>
        </w:r>
      </w:hyperlink>
      <w:r>
        <w:rPr>
          <w:rStyle w:val="Hyperlink"/>
        </w:rPr>
        <w:t>&gt;.</w:t>
      </w:r>
      <w:r>
        <w:t xml:space="preserve"> </w:t>
      </w:r>
    </w:p>
    <w:p w14:paraId="18F8C04E" w14:textId="77777777" w:rsidR="007A2D5C" w:rsidRDefault="007A2D5C" w:rsidP="007A2D5C">
      <w:pPr>
        <w:pStyle w:val="References"/>
      </w:pPr>
      <w:r>
        <w:t>Jacobson G and Lau JE (1987) Hydrogeology of Australia, Geoscience Australia. Viewed 10/07/2017, &lt;</w:t>
      </w:r>
      <w:hyperlink r:id="rId338" w:anchor="!a05f7892-72bf-7506-e044-00144fdd4fa6" w:history="1">
        <w:r>
          <w:rPr>
            <w:rStyle w:val="Hyperlink"/>
          </w:rPr>
          <w:t>https://ecat.ga.gov.au/geonetwork/srv/eng/search#!a05f7892-72bf-7506-e044-00144fdd4fa6</w:t>
        </w:r>
      </w:hyperlink>
      <w:r>
        <w:rPr>
          <w:rStyle w:val="Hyperlink"/>
        </w:rPr>
        <w:t>&gt;.</w:t>
      </w:r>
    </w:p>
    <w:p w14:paraId="19F63F8A" w14:textId="77777777" w:rsidR="007A2D5C" w:rsidRDefault="007A2D5C" w:rsidP="007A2D5C">
      <w:pPr>
        <w:pStyle w:val="References"/>
      </w:pPr>
      <w:r>
        <w:t>Jell PA (ed.) (2013) Geology of Queensland. Geological Survey of Queensland, Brisbane.</w:t>
      </w:r>
    </w:p>
    <w:p w14:paraId="24D63B18" w14:textId="77777777" w:rsidR="007A2D5C" w:rsidRDefault="007A2D5C" w:rsidP="007A2D5C">
      <w:pPr>
        <w:pStyle w:val="References"/>
      </w:pPr>
      <w:r>
        <w:t>Jemena (2017) Northern gas pipeline. Viewed 16/01/2018, &lt;</w:t>
      </w:r>
      <w:hyperlink r:id="rId339" w:history="1">
        <w:r>
          <w:rPr>
            <w:rStyle w:val="Hyperlink"/>
          </w:rPr>
          <w:t>http://jemena.com.au/industry/pipelines/northern-gas-pipeline</w:t>
        </w:r>
      </w:hyperlink>
      <w:r>
        <w:rPr>
          <w:rStyle w:val="Hyperlink"/>
        </w:rPr>
        <w:t>&gt;.</w:t>
      </w:r>
    </w:p>
    <w:p w14:paraId="1E2ADECC" w14:textId="5A6292CE" w:rsidR="00033148" w:rsidRDefault="00033148" w:rsidP="007A2D5C">
      <w:pPr>
        <w:pStyle w:val="References"/>
      </w:pPr>
      <w:r>
        <w:t>Kirby SL and Faulks JJ</w:t>
      </w:r>
      <w:r w:rsidR="00E92BEE">
        <w:t xml:space="preserve"> (20</w:t>
      </w:r>
      <w:r>
        <w:t>04</w:t>
      </w:r>
      <w:r w:rsidR="007A2D5C">
        <w:t>)</w:t>
      </w:r>
      <w:r>
        <w:t xml:space="preserve"> An assessment of the physical and ecological conditions of the Victoria River and its Major Tributaries Technical Report 40/2004K, Northern Territory Government.</w:t>
      </w:r>
    </w:p>
    <w:p w14:paraId="6DB1EF97" w14:textId="1D38830B" w:rsidR="00033148" w:rsidRPr="009866E9" w:rsidRDefault="00033148" w:rsidP="00D15FEC">
      <w:pPr>
        <w:pStyle w:val="References"/>
      </w:pPr>
      <w:r>
        <w:t>Knapton A</w:t>
      </w:r>
      <w:r w:rsidR="007A2D5C">
        <w:t xml:space="preserve"> </w:t>
      </w:r>
      <w:r w:rsidR="00E92BEE">
        <w:t>(20</w:t>
      </w:r>
      <w:r>
        <w:t>09</w:t>
      </w:r>
      <w:r w:rsidR="007A2D5C">
        <w:t>)</w:t>
      </w:r>
      <w:r>
        <w:t xml:space="preserve"> Integrated Surface - Groundwater Model of the Roper River Catchment: Part C: FEFLOW Groundwater Model. Gulf Water Study, Northern Territory Government Department of Natural Resources, Environment, the Arts and Sport, Technical Report No. 32/2009D</w:t>
      </w:r>
      <w:r w:rsidR="00272F28">
        <w:t>.</w:t>
      </w:r>
    </w:p>
    <w:p w14:paraId="5DF2565E" w14:textId="40350435" w:rsidR="008B38C1" w:rsidRDefault="008B38C1" w:rsidP="008B38C1">
      <w:pPr>
        <w:pStyle w:val="References"/>
      </w:pPr>
      <w:r>
        <w:t>Munro N</w:t>
      </w:r>
      <w:r w:rsidR="00E92BEE">
        <w:t xml:space="preserve"> (20</w:t>
      </w:r>
      <w:r>
        <w:t>12</w:t>
      </w:r>
      <w:r w:rsidR="007A2D5C">
        <w:t>)</w:t>
      </w:r>
      <w:r>
        <w:t xml:space="preserve"> Final Report: Brunette Downs Project, Natural Resources Exploration PTY LTD. </w:t>
      </w:r>
      <w:r w:rsidR="007A2D5C">
        <w:t>Viewe</w:t>
      </w:r>
      <w:r>
        <w:t xml:space="preserve">d </w:t>
      </w:r>
      <w:r w:rsidR="007A2D5C">
        <w:t>0</w:t>
      </w:r>
      <w:r>
        <w:t>1/</w:t>
      </w:r>
      <w:r w:rsidR="007A2D5C">
        <w:t>0</w:t>
      </w:r>
      <w:r>
        <w:t>8/2017</w:t>
      </w:r>
      <w:r w:rsidR="007A2D5C">
        <w:t>,</w:t>
      </w:r>
      <w:r>
        <w:t xml:space="preserve"> </w:t>
      </w:r>
      <w:r w:rsidR="007A2D5C">
        <w:t>&lt;</w:t>
      </w:r>
      <w:hyperlink r:id="rId340" w:history="1">
        <w:r w:rsidRPr="00E86F17">
          <w:rPr>
            <w:rStyle w:val="Hyperlink"/>
          </w:rPr>
          <w:t>http://www.geoscience.nt.gov.au/gemis/ntgsjspui/bitstream/1/77092/1/GR168-10_2012_GAS_01.pdf</w:t>
        </w:r>
      </w:hyperlink>
      <w:r w:rsidR="007A2D5C">
        <w:t>&gt;.</w:t>
      </w:r>
    </w:p>
    <w:p w14:paraId="560499EA" w14:textId="77777777" w:rsidR="00A655D8" w:rsidRPr="000E4EFC" w:rsidRDefault="00A655D8" w:rsidP="00A655D8">
      <w:pPr>
        <w:pStyle w:val="References"/>
      </w:pPr>
      <w:r>
        <w:t>Munson TJ (2</w:t>
      </w:r>
      <w:r w:rsidRPr="000E4EFC">
        <w:t>014</w:t>
      </w:r>
      <w:r>
        <w:t xml:space="preserve">) </w:t>
      </w:r>
      <w:r w:rsidRPr="00147CAE">
        <w:t>Petroleum geology and potential of the onshore Northern Territory, 2014</w:t>
      </w:r>
      <w:r w:rsidRPr="000E4EFC">
        <w:t>. Northern Territory Geological Survey, Report 22, 242 pp.</w:t>
      </w:r>
    </w:p>
    <w:p w14:paraId="4CA318C7" w14:textId="143C1994" w:rsidR="008B38C1" w:rsidRPr="0045199C" w:rsidRDefault="008B38C1" w:rsidP="0045199C">
      <w:pPr>
        <w:pStyle w:val="References"/>
      </w:pPr>
      <w:r w:rsidRPr="0045199C">
        <w:t>Munson TJ, Kruse PD and Ahmad M</w:t>
      </w:r>
      <w:r w:rsidR="00E92BEE">
        <w:t xml:space="preserve"> (20</w:t>
      </w:r>
      <w:r w:rsidRPr="0045199C">
        <w:t>13</w:t>
      </w:r>
      <w:r w:rsidR="007A2D5C">
        <w:t>)</w:t>
      </w:r>
      <w:r w:rsidRPr="0045199C">
        <w:t xml:space="preserve">. </w:t>
      </w:r>
      <w:r w:rsidRPr="00147CAE">
        <w:t>Centralian Superbasin</w:t>
      </w:r>
      <w:r w:rsidRPr="0045199C">
        <w:t>. In: Ahmad M and Munson T</w:t>
      </w:r>
      <w:r w:rsidR="00F63931">
        <w:t>J</w:t>
      </w:r>
      <w:r w:rsidRPr="0045199C">
        <w:t xml:space="preserve"> (Compilers), Geology and mineral resources of the Northern Territory. Northern Territory Geological Survey, Special Publication, 5, 22.1–22.19.</w:t>
      </w:r>
    </w:p>
    <w:p w14:paraId="4758B9CC" w14:textId="7DCC1C7C" w:rsidR="00033148" w:rsidRDefault="00033148" w:rsidP="00672502">
      <w:pPr>
        <w:pStyle w:val="References"/>
        <w:keepLines/>
      </w:pPr>
      <w:r>
        <w:lastRenderedPageBreak/>
        <w:t>Northern Territory Government</w:t>
      </w:r>
      <w:r w:rsidR="00E92BEE">
        <w:t xml:space="preserve"> (20</w:t>
      </w:r>
      <w:r>
        <w:t>16</w:t>
      </w:r>
      <w:r w:rsidR="007A2D5C">
        <w:t>)</w:t>
      </w:r>
      <w:r>
        <w:t xml:space="preserve"> "NT Declared Water Control Districts", Map of Water Control Districts in the Northern Territory of Australia. Drawing Ref DENR</w:t>
      </w:r>
      <w:r w:rsidR="00FB13A2">
        <w:t>2016025</w:t>
      </w:r>
      <w:r>
        <w:t>, November 2016.</w:t>
      </w:r>
      <w:r w:rsidR="00797D79">
        <w:t xml:space="preserve"> Viewed 29/09/2017,</w:t>
      </w:r>
      <w:r>
        <w:t xml:space="preserve"> </w:t>
      </w:r>
      <w:r w:rsidR="00797D79">
        <w:t>&lt;</w:t>
      </w:r>
      <w:hyperlink r:id="rId341" w:history="1">
        <w:r w:rsidR="00797D79" w:rsidRPr="00F14B0E">
          <w:rPr>
            <w:rStyle w:val="Hyperlink"/>
          </w:rPr>
          <w:t>http://www.ntlis.nt.gov.au/mpds/get_file?file_id=4072</w:t>
        </w:r>
      </w:hyperlink>
      <w:r w:rsidR="00797D79">
        <w:t>&gt;.</w:t>
      </w:r>
    </w:p>
    <w:p w14:paraId="5FFB7A49" w14:textId="144019C0" w:rsidR="00033148" w:rsidRDefault="00033148" w:rsidP="00D15FEC">
      <w:pPr>
        <w:pStyle w:val="References"/>
      </w:pPr>
      <w:r>
        <w:t xml:space="preserve">Northern Territory Legislation </w:t>
      </w:r>
      <w:r w:rsidR="00DE4DB5">
        <w:t>(</w:t>
      </w:r>
      <w:r>
        <w:t>1992</w:t>
      </w:r>
      <w:r w:rsidR="00DE4DB5">
        <w:t>)</w:t>
      </w:r>
      <w:r>
        <w:t xml:space="preserve"> "Water Act 1992", Act of the Parliament of the Northern Territory, as in force at 1 July 2016. </w:t>
      </w:r>
      <w:r w:rsidR="00DE4DB5">
        <w:t>Viewed 29/08/2017, &lt;</w:t>
      </w:r>
      <w:hyperlink r:id="rId342" w:history="1">
        <w:r w:rsidR="00FB13A2" w:rsidRPr="009935AF">
          <w:rPr>
            <w:rStyle w:val="Hyperlink"/>
          </w:rPr>
          <w:t>https://legislation.nt.gov.au/en/Legislation/WATER-ACT</w:t>
        </w:r>
      </w:hyperlink>
      <w:r w:rsidR="00DE4DB5">
        <w:t>&gt;.</w:t>
      </w:r>
    </w:p>
    <w:p w14:paraId="3CCA999B" w14:textId="77777777" w:rsidR="00A655D8" w:rsidRDefault="00A655D8" w:rsidP="00A655D8">
      <w:pPr>
        <w:pStyle w:val="References"/>
      </w:pPr>
      <w:r w:rsidRPr="000E4EFC">
        <w:t>NTGS (Northern Territory Geological Survey)</w:t>
      </w:r>
      <w:r>
        <w:t xml:space="preserve"> (20</w:t>
      </w:r>
      <w:r w:rsidRPr="000E4EFC">
        <w:t>17</w:t>
      </w:r>
      <w:r>
        <w:t xml:space="preserve">a) </w:t>
      </w:r>
      <w:r w:rsidRPr="000E4EFC">
        <w:t>Geoscience exploration and mining information system (GEMIS) – Petroleum wells</w:t>
      </w:r>
      <w:r>
        <w:t>. Viewed</w:t>
      </w:r>
      <w:r w:rsidRPr="00AA00C4">
        <w:t xml:space="preserve"> </w:t>
      </w:r>
      <w:r>
        <w:t>11/08/2017, &lt;</w:t>
      </w:r>
      <w:hyperlink r:id="rId343" w:history="1">
        <w:r w:rsidRPr="000E4EFC">
          <w:rPr>
            <w:rStyle w:val="Hyperlink"/>
          </w:rPr>
          <w:t>http://www.geoscience.nt.gov.au/gemis/ntgsjspui/handle/1/79187</w:t>
        </w:r>
      </w:hyperlink>
      <w:r>
        <w:rPr>
          <w:rStyle w:val="Hyperlink"/>
        </w:rPr>
        <w:t>&gt;.</w:t>
      </w:r>
      <w:r>
        <w:t xml:space="preserve"> </w:t>
      </w:r>
    </w:p>
    <w:p w14:paraId="437399A3" w14:textId="77777777" w:rsidR="00A655D8" w:rsidRPr="005C209B" w:rsidRDefault="00A655D8" w:rsidP="00A655D8">
      <w:pPr>
        <w:pStyle w:val="References"/>
      </w:pPr>
      <w:r w:rsidRPr="000E4EFC">
        <w:t>NTGS (Northern Territory Geological Survey)</w:t>
      </w:r>
      <w:r>
        <w:t xml:space="preserve"> (20</w:t>
      </w:r>
      <w:r w:rsidRPr="000E4EFC">
        <w:t>17</w:t>
      </w:r>
      <w:r>
        <w:t>b) Northern Territory Statewide Geophysics – Seismic Lines. Viewed 11/08/2017, &lt;</w:t>
      </w:r>
      <w:hyperlink r:id="rId344" w:history="1">
        <w:r w:rsidRPr="002C6079">
          <w:rPr>
            <w:rStyle w:val="Hyperlink"/>
          </w:rPr>
          <w:t>http://www.ntlis.nt.gov.au/metadata/export_data?type=html&amp;metadata_id=FB25348A02CB16B2E040CD9B2144584B</w:t>
        </w:r>
      </w:hyperlink>
      <w:r>
        <w:rPr>
          <w:rStyle w:val="Hyperlink"/>
        </w:rPr>
        <w:t>&gt;.</w:t>
      </w:r>
      <w:r>
        <w:t xml:space="preserve"> </w:t>
      </w:r>
    </w:p>
    <w:p w14:paraId="43978595" w14:textId="5A02D43A" w:rsidR="008B38C1" w:rsidRDefault="009146B8" w:rsidP="008B38C1">
      <w:pPr>
        <w:pStyle w:val="References"/>
        <w:rPr>
          <w:rStyle w:val="Hyperlink"/>
        </w:rPr>
      </w:pPr>
      <w:r>
        <w:t>PetroFontier</w:t>
      </w:r>
      <w:r w:rsidR="00E92BEE">
        <w:t xml:space="preserve"> (20</w:t>
      </w:r>
      <w:r w:rsidR="008B38C1">
        <w:t>11</w:t>
      </w:r>
      <w:r w:rsidR="00DE4DB5">
        <w:t>)</w:t>
      </w:r>
      <w:r w:rsidR="008B38C1">
        <w:t xml:space="preserve"> Petro</w:t>
      </w:r>
      <w:r>
        <w:t>F</w:t>
      </w:r>
      <w:r w:rsidR="008B38C1">
        <w:t xml:space="preserve">rontier Corp. announces successful drilling of Baldwin-2Hst1 horizontal well in the Georgina Basin, Australia. </w:t>
      </w:r>
      <w:r w:rsidR="00DE4DB5">
        <w:t>Viewed 22/01/2017, &lt;/</w:t>
      </w:r>
      <w:r w:rsidR="008B38C1">
        <w:rPr>
          <w:rStyle w:val="Hyperlink"/>
        </w:rPr>
        <w:t>http://petrofrontier.com/assets/files/press-releases/2011-10-11.pdf</w:t>
      </w:r>
      <w:r w:rsidR="00DE4DB5">
        <w:rPr>
          <w:rStyle w:val="Hyperlink"/>
        </w:rPr>
        <w:t>&gt;.</w:t>
      </w:r>
    </w:p>
    <w:p w14:paraId="01D2BDE5" w14:textId="77777777" w:rsidR="00DE4DB5" w:rsidRDefault="00DE4DB5" w:rsidP="00DE4DB5">
      <w:pPr>
        <w:pStyle w:val="References"/>
      </w:pPr>
      <w:r>
        <w:t xml:space="preserve">Queensland Government (2006) “Water Plan (Great Artesian Basin) 2006”, legislation under the Water Act 2000 (Qld), current as at 3 July 2017. Viewed 04/08/2017, </w:t>
      </w:r>
      <w:hyperlink r:id="rId345" w:history="1">
        <w:r w:rsidRPr="00495DBB">
          <w:rPr>
            <w:rStyle w:val="Hyperlink"/>
          </w:rPr>
          <w:t>https://www.legislation.qld.gov.au/LEGISLTN/CURRENT/W/WaterReGABP06.pdf</w:t>
        </w:r>
      </w:hyperlink>
      <w:r>
        <w:t>&gt;.</w:t>
      </w:r>
    </w:p>
    <w:p w14:paraId="0CCBB7A3" w14:textId="77777777" w:rsidR="00DE4DB5" w:rsidRDefault="00DE4DB5" w:rsidP="00DE4DB5">
      <w:pPr>
        <w:pStyle w:val="References"/>
      </w:pPr>
      <w:r>
        <w:t>Queensland Government (2011) “Water Plan (Cooper Creek) 2011”, legislation under the Water Act 2000 (Qld), current as at 6 December 2016. Viewed 04/08/2017, &lt;</w:t>
      </w:r>
      <w:hyperlink r:id="rId346" w:history="1">
        <w:r w:rsidRPr="00E03451">
          <w:rPr>
            <w:rStyle w:val="Hyperlink"/>
          </w:rPr>
          <w:t>https://www.legislation.qld.gov.au/LEGISLTN/CURRENT/W/WaterReCCPl11.pdf</w:t>
        </w:r>
      </w:hyperlink>
      <w:r>
        <w:t xml:space="preserve">&gt;. </w:t>
      </w:r>
    </w:p>
    <w:p w14:paraId="7E509997" w14:textId="77777777" w:rsidR="00DE4DB5" w:rsidRPr="00456161" w:rsidRDefault="00DE4DB5" w:rsidP="00DE4DB5">
      <w:pPr>
        <w:pStyle w:val="References"/>
      </w:pPr>
      <w:r w:rsidRPr="00456161">
        <w:t>Queensland Government</w:t>
      </w:r>
      <w:r>
        <w:t xml:space="preserve"> (2017)</w:t>
      </w:r>
      <w:r w:rsidRPr="00456161">
        <w:t xml:space="preserve"> Drilling, completion and abandonment of petroleum wells. </w:t>
      </w:r>
      <w:r>
        <w:t>Viewed 22/01/2018, &lt;</w:t>
      </w:r>
      <w:hyperlink r:id="rId347" w:history="1">
        <w:r w:rsidRPr="003E47FE">
          <w:rPr>
            <w:rStyle w:val="Hyperlink"/>
          </w:rPr>
          <w:t>https://www.business.qld.gov.au/industries/mining-energy-water/resources/applications-compliance/lodging-statutory-reports/petroleum-gas-reporting/petroleum-wells</w:t>
        </w:r>
      </w:hyperlink>
      <w:r>
        <w:t>&gt;.</w:t>
      </w:r>
    </w:p>
    <w:p w14:paraId="64D740A0" w14:textId="30C240AA" w:rsidR="008B38C1" w:rsidRDefault="008B38C1" w:rsidP="008B38C1">
      <w:pPr>
        <w:pStyle w:val="References"/>
      </w:pPr>
      <w:r>
        <w:t xml:space="preserve">Randal MA </w:t>
      </w:r>
      <w:r w:rsidR="00DE4DB5">
        <w:t>(</w:t>
      </w:r>
      <w:r>
        <w:t>1973</w:t>
      </w:r>
      <w:r w:rsidR="00DE4DB5">
        <w:t>)</w:t>
      </w:r>
      <w:r>
        <w:t xml:space="preserve"> Groundwater in the Northern Territory Wiso Basin and Environs, Northern Territory. Bureau of Mineral Resources, Geology and Geophysics, Bulletin 123. Canberra.</w:t>
      </w:r>
    </w:p>
    <w:p w14:paraId="41BCA341" w14:textId="7F616D50" w:rsidR="0045199C" w:rsidRPr="0045199C" w:rsidRDefault="00DE4DB5" w:rsidP="0045199C">
      <w:pPr>
        <w:pStyle w:val="References"/>
      </w:pPr>
      <w:r>
        <w:t>Randal MA (</w:t>
      </w:r>
      <w:r w:rsidR="00B9246C">
        <w:t>1978</w:t>
      </w:r>
      <w:r>
        <w:t>)</w:t>
      </w:r>
      <w:r w:rsidR="00B9246C">
        <w:t xml:space="preserve"> Hydrogeology of the southeastern Georgina Basin and environs, Queensland and Northern Territory. Queensland Department of Mines. Publication 366, April 1978.</w:t>
      </w:r>
    </w:p>
    <w:p w14:paraId="440B7B84" w14:textId="77777777" w:rsidR="00DE4DB5" w:rsidRDefault="00DE4DB5" w:rsidP="00DE4DB5">
      <w:pPr>
        <w:pStyle w:val="References"/>
      </w:pPr>
      <w:r>
        <w:t>Ransley TR, Radke BM, Feitz AJ, Kellett JR, Owens R, Bell J, Stewart G and Carey H (2015) Hydrogeological Atlas of the Great Artesian Basin, Geoscience Australia, Canberra. Viewed 22/01/2018, &lt;</w:t>
      </w:r>
      <w:hyperlink r:id="rId348" w:history="1">
        <w:r w:rsidRPr="00E03451">
          <w:rPr>
            <w:rStyle w:val="Hyperlink"/>
          </w:rPr>
          <w:t>http://dx.doi.org/10.11636/9781925124668</w:t>
        </w:r>
      </w:hyperlink>
      <w:r>
        <w:t>&gt;.</w:t>
      </w:r>
    </w:p>
    <w:p w14:paraId="6249D927" w14:textId="77777777" w:rsidR="00CB0530" w:rsidRPr="00AA00C4" w:rsidRDefault="00CB0530" w:rsidP="00672502">
      <w:pPr>
        <w:pStyle w:val="References"/>
        <w:keepLines/>
      </w:pPr>
      <w:r w:rsidRPr="00AA00C4">
        <w:lastRenderedPageBreak/>
        <w:t>Ra</w:t>
      </w:r>
      <w:r>
        <w:t>ymond</w:t>
      </w:r>
      <w:r w:rsidRPr="009A5D99">
        <w:t xml:space="preserve"> O</w:t>
      </w:r>
      <w:r>
        <w:t>L</w:t>
      </w:r>
      <w:r w:rsidRPr="009A5D99">
        <w:t xml:space="preserve"> (Coordinator)</w:t>
      </w:r>
      <w:r>
        <w:t xml:space="preserve"> (20</w:t>
      </w:r>
      <w:r w:rsidRPr="009A5D99">
        <w:t>09</w:t>
      </w:r>
      <w:r>
        <w:t xml:space="preserve">) </w:t>
      </w:r>
      <w:r w:rsidRPr="009A5D99">
        <w:t>Surface geology of Australia 1:1 million scale digital geology data: Geoscience</w:t>
      </w:r>
      <w:r>
        <w:t xml:space="preserve"> Australia, Digital Geology Map. Viewed 16/01/2018, &lt;</w:t>
      </w:r>
      <w:hyperlink r:id="rId349" w:tooltip="Link to Geoscience Australia website" w:history="1">
        <w:r w:rsidRPr="00AA00C4">
          <w:rPr>
            <w:rStyle w:val="Hyperlink"/>
          </w:rPr>
          <w:t>https://www.ga.gov.au/products/servlet/controller?event=GEOCAT_DETAILS&amp;catno=69455</w:t>
        </w:r>
      </w:hyperlink>
      <w:r>
        <w:rPr>
          <w:rStyle w:val="Hyperlink"/>
        </w:rPr>
        <w:t>&gt;.</w:t>
      </w:r>
      <w:r>
        <w:t xml:space="preserve">   </w:t>
      </w:r>
      <w:r w:rsidRPr="009E7E91">
        <w:rPr>
          <w:rStyle w:val="Hyperlink"/>
        </w:rPr>
        <w:t xml:space="preserve"> </w:t>
      </w:r>
    </w:p>
    <w:p w14:paraId="08DD0EEE" w14:textId="7A2B8880" w:rsidR="008B38C1" w:rsidRDefault="008B38C1" w:rsidP="008B38C1">
      <w:pPr>
        <w:pStyle w:val="References"/>
      </w:pPr>
      <w:r>
        <w:t>Ryder Scott Company Petroleum Consultants</w:t>
      </w:r>
      <w:r w:rsidR="00E92BEE">
        <w:t xml:space="preserve"> (20</w:t>
      </w:r>
      <w:r>
        <w:t>10</w:t>
      </w:r>
      <w:r w:rsidR="00DE4DB5">
        <w:t>)</w:t>
      </w:r>
      <w:r>
        <w:t xml:space="preserve"> </w:t>
      </w:r>
      <w:r w:rsidRPr="00147CAE">
        <w:t>Evaluation of the hydrocarbon resource potential pertaining to certain acreage interests in the southern Georgina Basin</w:t>
      </w:r>
      <w:r w:rsidRPr="000350BE">
        <w:t>,</w:t>
      </w:r>
      <w:r>
        <w:t xml:space="preserve"> Northern Territory, Australia. Baraka Energy and Resources Ltd, ASX Announcement 13 December 2010. </w:t>
      </w:r>
      <w:hyperlink r:id="rId350" w:tooltip="Link to Paper" w:history="1">
        <w:r w:rsidRPr="0045199C">
          <w:rPr>
            <w:rStyle w:val="Hyperlink"/>
          </w:rPr>
          <w:t>http://www.barakaenergy.com.au/pdfs/2012-10-15-004731Petroleum_Prospectivity__of_EP_127_and_128_8th_December.pdf</w:t>
        </w:r>
      </w:hyperlink>
      <w:r>
        <w:t xml:space="preserve"> </w:t>
      </w:r>
    </w:p>
    <w:p w14:paraId="6E851EC9" w14:textId="7E7C1C07" w:rsidR="00033148" w:rsidRDefault="00033148" w:rsidP="008B38C1">
      <w:pPr>
        <w:pStyle w:val="References"/>
      </w:pPr>
      <w:r>
        <w:t>SAALNRMB (South Australian Arid Lands Natural Resource Management Board)</w:t>
      </w:r>
      <w:r w:rsidR="00E92BEE">
        <w:t xml:space="preserve"> (20</w:t>
      </w:r>
      <w:r w:rsidR="00DE4DB5">
        <w:t xml:space="preserve">09) </w:t>
      </w:r>
      <w:r>
        <w:t>Explanation of the Water Allocation Plan for the Far North Prescribed Wells Area. South Australian Arid Lands Natural Resources Management Board, South Australia.</w:t>
      </w:r>
    </w:p>
    <w:p w14:paraId="223BDB71" w14:textId="77777777" w:rsidR="00B46F53" w:rsidRDefault="000578DD" w:rsidP="008B38C1">
      <w:pPr>
        <w:pStyle w:val="References"/>
      </w:pPr>
      <w:r w:rsidRPr="000578DD">
        <w:t xml:space="preserve">Scientific Inquiry into Hydraulic Fracturing in the Northern Territory (2018) Scientific Inquiry into Hydraulic Fracturing in the Northern Territory: Final Report, March 2018. Viewed 23/04/2018, &lt;https://frackinginquiry.nt.gov.au/inquiry-reports?a=494286&gt;. </w:t>
      </w:r>
    </w:p>
    <w:p w14:paraId="6DE179D0" w14:textId="2DDE3A24" w:rsidR="008B38C1" w:rsidRDefault="008B38C1" w:rsidP="008B38C1">
      <w:pPr>
        <w:pStyle w:val="References"/>
      </w:pPr>
      <w:r>
        <w:t xml:space="preserve">Smith KG </w:t>
      </w:r>
      <w:r w:rsidR="00DE4DB5">
        <w:t>(</w:t>
      </w:r>
      <w:r>
        <w:t>1972</w:t>
      </w:r>
      <w:r w:rsidR="00DE4DB5">
        <w:t>)</w:t>
      </w:r>
      <w:r>
        <w:t xml:space="preserve"> Stratigraphy of the Georgina Basin. Bureau of Mineral Resources, Geology and Geophysics, Bulletin 111. Canberra.</w:t>
      </w:r>
    </w:p>
    <w:p w14:paraId="67E1843B" w14:textId="6E77F53E" w:rsidR="00033148" w:rsidRPr="00B4546E" w:rsidRDefault="00033148">
      <w:pPr>
        <w:pStyle w:val="References"/>
      </w:pPr>
      <w:r>
        <w:t>Smith TE, Carr LK, Edwards DS, Hall L, Kelman AP, Laurie JR, le Poidevin S</w:t>
      </w:r>
      <w:r w:rsidR="00DE4DB5">
        <w:t xml:space="preserve"> and</w:t>
      </w:r>
      <w:r>
        <w:t xml:space="preserve"> Ni</w:t>
      </w:r>
      <w:r w:rsidR="0045199C">
        <w:t>c</w:t>
      </w:r>
      <w:r>
        <w:t>oll RS</w:t>
      </w:r>
      <w:r w:rsidR="00E92BEE">
        <w:t xml:space="preserve"> (20</w:t>
      </w:r>
      <w:r>
        <w:t>13</w:t>
      </w:r>
      <w:r w:rsidR="00DE4DB5">
        <w:t>)</w:t>
      </w:r>
      <w:r>
        <w:t xml:space="preserve"> Georgina Basin Biozonation and Stratigraphy, Chart 41. Geoscience Australia. Geocat 83216.</w:t>
      </w:r>
    </w:p>
    <w:p w14:paraId="7E0B12C0" w14:textId="0139AC7A" w:rsidR="008B38C1" w:rsidRDefault="008B38C1" w:rsidP="008B38C1">
      <w:pPr>
        <w:pStyle w:val="References"/>
      </w:pPr>
      <w:r>
        <w:t>Statoil</w:t>
      </w:r>
      <w:r w:rsidR="00E92BEE">
        <w:t xml:space="preserve"> (20</w:t>
      </w:r>
      <w:r w:rsidR="008B0413">
        <w:t>14</w:t>
      </w:r>
      <w:r w:rsidR="00DE4DB5">
        <w:t>)</w:t>
      </w:r>
      <w:r>
        <w:t xml:space="preserve"> </w:t>
      </w:r>
      <w:r w:rsidR="008B0413">
        <w:t>Statoil 2014 Annual Report</w:t>
      </w:r>
      <w:r>
        <w:t xml:space="preserve">. </w:t>
      </w:r>
      <w:r w:rsidR="00DE4DB5">
        <w:t>Viewed 22/01/2018, &lt;</w:t>
      </w:r>
      <w:hyperlink r:id="rId351" w:history="1">
        <w:r w:rsidR="008B0413" w:rsidRPr="002D5448">
          <w:rPr>
            <w:rStyle w:val="Hyperlink"/>
          </w:rPr>
          <w:t>https://www.statoil.com/content/dam/statoil/documents/annual-reports/2014/Statoil-20-F-2014.pdf</w:t>
        </w:r>
      </w:hyperlink>
      <w:r w:rsidR="00DE4DB5">
        <w:rPr>
          <w:rStyle w:val="Hyperlink"/>
        </w:rPr>
        <w:t>&gt;.</w:t>
      </w:r>
    </w:p>
    <w:p w14:paraId="1222FAE2" w14:textId="77777777" w:rsidR="00CB0530" w:rsidRPr="00E70BDF" w:rsidRDefault="00CB0530" w:rsidP="00CB0530">
      <w:pPr>
        <w:pStyle w:val="References"/>
        <w:rPr>
          <w:rStyle w:val="Hyperlink"/>
        </w:rPr>
      </w:pPr>
      <w:r>
        <w:t>Stewart AJ, Raymond OL, Totterdell JM, Zhang W and Gallagher R (2013) Australian Geological Provinces, 2013.01 edition, scale 1:2 500 000. Geoscience Australia, Canberra. Viewed 16/01/2018, &lt;</w:t>
      </w:r>
      <w:hyperlink r:id="rId352" w:anchor="!2680f4bb-8494-14fc-e053-10a3070a4107" w:history="1">
        <w:r w:rsidRPr="0065740D">
          <w:rPr>
            <w:rStyle w:val="Hyperlink"/>
          </w:rPr>
          <w:t>https://ecat.ga.gov.au/geonetwork/srv/eng/search#!2680f4bb-8494-14fc-e053-10a3070a4107</w:t>
        </w:r>
      </w:hyperlink>
      <w:r>
        <w:rPr>
          <w:rStyle w:val="Hyperlink"/>
        </w:rPr>
        <w:t>&gt;.</w:t>
      </w:r>
      <w:r>
        <w:t xml:space="preserve"> </w:t>
      </w:r>
    </w:p>
    <w:p w14:paraId="79D09EBF" w14:textId="77777777" w:rsidR="00DE4DB5" w:rsidRDefault="00DE4DB5" w:rsidP="00DE4DB5">
      <w:pPr>
        <w:pStyle w:val="References"/>
      </w:pPr>
      <w:r w:rsidRPr="00F60394">
        <w:t xml:space="preserve">UPR (Upstream Petroleum Resources Working Group) </w:t>
      </w:r>
      <w:r>
        <w:t>(</w:t>
      </w:r>
      <w:r w:rsidRPr="00F60394">
        <w:t>2015</w:t>
      </w:r>
      <w:r>
        <w:t>)</w:t>
      </w:r>
      <w:r w:rsidRPr="00F60394">
        <w:t xml:space="preserve"> Coal seam, shale and tight gas in Australia: resources assessment and operation overview 2015, Geoscience Australia, Canberra</w:t>
      </w:r>
      <w:r>
        <w:t>. Viewed 16/01/2018,</w:t>
      </w:r>
      <w:r w:rsidRPr="00F60394">
        <w:t xml:space="preserve"> </w:t>
      </w:r>
      <w:r>
        <w:t>&lt;</w:t>
      </w:r>
      <w:r w:rsidRPr="00106DE1">
        <w:rPr>
          <w:rStyle w:val="Hyperlink"/>
        </w:rPr>
        <w:t>http://www.coagenergycouncil.gov.au/sites/prod.energycouncil/files/publications/documents/UPR%20Unconventional%20Resources%20Report%202015%20-%20Final_0.pdf</w:t>
      </w:r>
      <w:r>
        <w:t>&gt;.</w:t>
      </w:r>
    </w:p>
    <w:p w14:paraId="46CE4962" w14:textId="632BFE5E" w:rsidR="008B38C1" w:rsidRDefault="008B38C1" w:rsidP="008B38C1">
      <w:pPr>
        <w:pStyle w:val="References"/>
      </w:pPr>
      <w:r>
        <w:t xml:space="preserve">Verma MN and Jolly PB </w:t>
      </w:r>
      <w:r w:rsidR="00DE4DB5">
        <w:t>(</w:t>
      </w:r>
      <w:r>
        <w:t>1992</w:t>
      </w:r>
      <w:r w:rsidR="006749B4">
        <w:t>)</w:t>
      </w:r>
      <w:r>
        <w:t xml:space="preserve"> Hydrogeology of Helen Springs, Power and Water Authority, Darwin.</w:t>
      </w:r>
    </w:p>
    <w:p w14:paraId="77A29AD0" w14:textId="77777777" w:rsidR="00DE4DB5" w:rsidRPr="00767274" w:rsidRDefault="00DE4DB5" w:rsidP="00DE4DB5">
      <w:pPr>
        <w:pStyle w:val="References"/>
      </w:pPr>
      <w:r w:rsidRPr="00767274">
        <w:t xml:space="preserve">Vu TAT, Horsfield B </w:t>
      </w:r>
      <w:r>
        <w:t xml:space="preserve">and </w:t>
      </w:r>
      <w:r w:rsidRPr="00767274">
        <w:t xml:space="preserve">di Primio R </w:t>
      </w:r>
      <w:r>
        <w:t>(</w:t>
      </w:r>
      <w:r w:rsidRPr="00767274">
        <w:t>2011</w:t>
      </w:r>
      <w:r>
        <w:t>)</w:t>
      </w:r>
      <w:r w:rsidRPr="00767274">
        <w:t xml:space="preserve"> </w:t>
      </w:r>
      <w:r w:rsidRPr="00C30F1D">
        <w:t xml:space="preserve">Gas shale potential of the Amadeus and Georgina basins, Australia: preliminary insights. </w:t>
      </w:r>
      <w:r w:rsidRPr="00116B50">
        <w:t>Geoscience Australia Record</w:t>
      </w:r>
      <w:r w:rsidRPr="00767274">
        <w:t>, 2011/10, 39 pp.</w:t>
      </w:r>
      <w:r>
        <w:t xml:space="preserve"> Viewed 16/01/2018, &lt;</w:t>
      </w:r>
      <w:hyperlink r:id="rId353" w:anchor="!a05f7893-007c-7506-e044-00144fdd4fa6" w:history="1">
        <w:r w:rsidRPr="00C03A7D">
          <w:rPr>
            <w:rStyle w:val="Hyperlink"/>
          </w:rPr>
          <w:t>https://ecat.ga.gov.au/geonetwork/srv/eng/search#!a05f7893-007c-7506-e044-00144fdd4fa6</w:t>
        </w:r>
      </w:hyperlink>
      <w:r>
        <w:rPr>
          <w:rStyle w:val="Hyperlink"/>
        </w:rPr>
        <w:t>&gt;.</w:t>
      </w:r>
    </w:p>
    <w:p w14:paraId="638AAB27" w14:textId="3765C82F" w:rsidR="008B38C1" w:rsidRPr="0045199C" w:rsidRDefault="008B38C1" w:rsidP="0045199C">
      <w:pPr>
        <w:pStyle w:val="References"/>
      </w:pPr>
      <w:r w:rsidRPr="0045199C">
        <w:lastRenderedPageBreak/>
        <w:t xml:space="preserve">Walter MR, Veevers JJ, Calver CR and Grey K </w:t>
      </w:r>
      <w:r w:rsidR="00DE4DB5">
        <w:t>(</w:t>
      </w:r>
      <w:r w:rsidRPr="0045199C">
        <w:t>1995</w:t>
      </w:r>
      <w:r w:rsidR="00DE4DB5">
        <w:t>)</w:t>
      </w:r>
      <w:r w:rsidRPr="0045199C">
        <w:t xml:space="preserve"> </w:t>
      </w:r>
      <w:r w:rsidRPr="00147CAE">
        <w:t>Neoproterozoic stratigraphy of the Centralian Superbasin, Australia</w:t>
      </w:r>
      <w:r w:rsidRPr="0045199C">
        <w:t>. Precambrian Research 73, 173–195.</w:t>
      </w:r>
    </w:p>
    <w:p w14:paraId="59E94BC5" w14:textId="2D3E523B" w:rsidR="00C27ADE" w:rsidRDefault="008B38C1" w:rsidP="007225BD">
      <w:pPr>
        <w:pStyle w:val="References"/>
      </w:pPr>
      <w:r w:rsidRPr="0045199C">
        <w:t>Willink R and Allison M</w:t>
      </w:r>
      <w:r w:rsidR="00E92BEE">
        <w:t xml:space="preserve"> (20</w:t>
      </w:r>
      <w:r w:rsidRPr="0045199C">
        <w:t>15</w:t>
      </w:r>
      <w:r w:rsidR="00DE4DB5">
        <w:t>)</w:t>
      </w:r>
      <w:r w:rsidRPr="0045199C">
        <w:t xml:space="preserve"> </w:t>
      </w:r>
      <w:r w:rsidRPr="00147CAE">
        <w:t xml:space="preserve">Exploring unconventional plays in the Georgina Basin, central Australia: will the real Arthur Creek Formation hot shale please stand up! The </w:t>
      </w:r>
      <w:r w:rsidRPr="0045199C">
        <w:t xml:space="preserve">APPEA Journal and Conference Proceedings, DVD 55, extended abstract, 8 pp. </w:t>
      </w:r>
    </w:p>
    <w:p w14:paraId="573ABAFE" w14:textId="77777777" w:rsidR="00672502" w:rsidRDefault="00672502">
      <w:pPr>
        <w:spacing w:after="180"/>
      </w:pPr>
    </w:p>
    <w:p w14:paraId="2C243A67" w14:textId="77777777" w:rsidR="00672502" w:rsidRDefault="00672502">
      <w:pPr>
        <w:spacing w:after="180"/>
      </w:pPr>
      <w:r>
        <w:br w:type="page"/>
      </w:r>
    </w:p>
    <w:p w14:paraId="3048A2DA" w14:textId="03248C3A" w:rsidR="00C27ADE" w:rsidRDefault="00C27ADE">
      <w:pPr>
        <w:spacing w:after="180"/>
      </w:pPr>
      <w:r>
        <w:lastRenderedPageBreak/>
        <w:br w:type="page"/>
      </w:r>
    </w:p>
    <w:p w14:paraId="660CA3A6" w14:textId="77777777" w:rsidR="00E01F8F" w:rsidRDefault="00E01F8F" w:rsidP="00C3002D">
      <w:pPr>
        <w:pStyle w:val="AppendixHeading2"/>
        <w:keepNext/>
      </w:pPr>
      <w:bookmarkStart w:id="236" w:name="_Toc517161175"/>
      <w:r>
        <w:lastRenderedPageBreak/>
        <w:t>Gippsland Basin (Onshore)</w:t>
      </w:r>
      <w:bookmarkEnd w:id="236"/>
    </w:p>
    <w:p w14:paraId="0DEF0467" w14:textId="77777777" w:rsidR="00E01F8F" w:rsidRDefault="00761B60" w:rsidP="009F3E8F">
      <w:pPr>
        <w:pStyle w:val="Caption"/>
      </w:pPr>
      <w:bookmarkStart w:id="237" w:name="_Toc508972189"/>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40</w:t>
      </w:r>
      <w:r w:rsidR="008079F1">
        <w:rPr>
          <w:noProof/>
        </w:rPr>
        <w:fldChar w:fldCharType="end"/>
      </w:r>
      <w:r>
        <w:t xml:space="preserve"> </w:t>
      </w:r>
      <w:r w:rsidR="00E01F8F">
        <w:t>Geology and petroleum prospectivity summary.</w:t>
      </w:r>
      <w:bookmarkEnd w:id="237"/>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28" w:type="dxa"/>
          <w:right w:w="57" w:type="dxa"/>
        </w:tblCellMar>
        <w:tblLook w:val="04A0" w:firstRow="1" w:lastRow="0" w:firstColumn="1" w:lastColumn="0" w:noHBand="0" w:noVBand="1"/>
      </w:tblPr>
      <w:tblGrid>
        <w:gridCol w:w="4101"/>
        <w:gridCol w:w="5376"/>
      </w:tblGrid>
      <w:tr w:rsidR="00C3002D" w14:paraId="7FEB2648" w14:textId="77777777" w:rsidTr="00EB4DD3">
        <w:tc>
          <w:tcPr>
            <w:tcW w:w="9477" w:type="dxa"/>
            <w:gridSpan w:val="2"/>
            <w:shd w:val="clear" w:color="auto" w:fill="146692"/>
          </w:tcPr>
          <w:p w14:paraId="5397C19A" w14:textId="05C926AD" w:rsidR="00C3002D" w:rsidRDefault="00C3002D" w:rsidP="00C3002D">
            <w:pPr>
              <w:pStyle w:val="BodyText"/>
              <w:spacing w:before="20" w:after="20" w:line="120" w:lineRule="atLeast"/>
            </w:pPr>
            <w:r w:rsidRPr="00C3002D">
              <w:rPr>
                <w:b/>
                <w:color w:val="FFFFFF" w:themeColor="background1"/>
              </w:rPr>
              <w:t>GENERAL</w:t>
            </w:r>
          </w:p>
        </w:tc>
      </w:tr>
      <w:tr w:rsidR="00C3002D" w14:paraId="004653E4" w14:textId="77777777" w:rsidTr="00EB4DD3">
        <w:tc>
          <w:tcPr>
            <w:tcW w:w="4101" w:type="dxa"/>
            <w:shd w:val="clear" w:color="auto" w:fill="146692"/>
          </w:tcPr>
          <w:p w14:paraId="7B28833A" w14:textId="73894CC1"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Jurisdiction</w:t>
            </w:r>
          </w:p>
        </w:tc>
        <w:tc>
          <w:tcPr>
            <w:tcW w:w="5376" w:type="dxa"/>
            <w:shd w:val="clear" w:color="auto" w:fill="E1F2FB"/>
          </w:tcPr>
          <w:p w14:paraId="5C3F37A3" w14:textId="75527415" w:rsidR="00C3002D" w:rsidRDefault="00C3002D" w:rsidP="00C3002D">
            <w:pPr>
              <w:pStyle w:val="BodyText"/>
              <w:spacing w:before="20" w:after="20" w:line="120" w:lineRule="atLeast"/>
            </w:pPr>
            <w:r w:rsidRPr="005A372F">
              <w:t>Victoria</w:t>
            </w:r>
          </w:p>
        </w:tc>
      </w:tr>
      <w:tr w:rsidR="00C3002D" w14:paraId="65A41484" w14:textId="77777777" w:rsidTr="00EB4DD3">
        <w:tc>
          <w:tcPr>
            <w:tcW w:w="4101" w:type="dxa"/>
            <w:shd w:val="clear" w:color="auto" w:fill="146692"/>
          </w:tcPr>
          <w:p w14:paraId="250D05FB" w14:textId="773C4016"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Area</w:t>
            </w:r>
          </w:p>
        </w:tc>
        <w:tc>
          <w:tcPr>
            <w:tcW w:w="5376" w:type="dxa"/>
            <w:shd w:val="clear" w:color="auto" w:fill="E1F2FB"/>
          </w:tcPr>
          <w:p w14:paraId="7FAB31D7" w14:textId="5D7392F0" w:rsidR="00C3002D" w:rsidRDefault="00C3002D" w:rsidP="00C3002D">
            <w:pPr>
              <w:pStyle w:val="BodyText"/>
              <w:spacing w:before="20" w:after="20" w:line="120" w:lineRule="atLeast"/>
            </w:pPr>
            <w:r w:rsidRPr="005A372F">
              <w:t>~15,000 km2</w:t>
            </w:r>
          </w:p>
        </w:tc>
      </w:tr>
      <w:tr w:rsidR="00C3002D" w14:paraId="04B47B17" w14:textId="77777777" w:rsidTr="00EB4DD3">
        <w:tc>
          <w:tcPr>
            <w:tcW w:w="4101" w:type="dxa"/>
            <w:shd w:val="clear" w:color="auto" w:fill="146692"/>
          </w:tcPr>
          <w:p w14:paraId="62B3FF44" w14:textId="08EAFDFC"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Max.</w:t>
            </w:r>
            <w:r>
              <w:rPr>
                <w:b/>
                <w:color w:val="FFFFFF" w:themeColor="background1"/>
              </w:rPr>
              <w:t xml:space="preserve"> </w:t>
            </w:r>
            <w:r w:rsidRPr="00C3002D">
              <w:rPr>
                <w:b/>
                <w:color w:val="FFFFFF" w:themeColor="background1"/>
              </w:rPr>
              <w:t>basin depth/ sediment thickness</w:t>
            </w:r>
          </w:p>
        </w:tc>
        <w:tc>
          <w:tcPr>
            <w:tcW w:w="5376" w:type="dxa"/>
            <w:shd w:val="clear" w:color="auto" w:fill="E1F2FB"/>
          </w:tcPr>
          <w:p w14:paraId="2E54C273" w14:textId="5C20A429" w:rsidR="00C3002D" w:rsidRDefault="00C3002D" w:rsidP="00C3002D">
            <w:pPr>
              <w:pStyle w:val="BodyText"/>
              <w:spacing w:before="20" w:after="20" w:line="120" w:lineRule="atLeast"/>
            </w:pPr>
            <w:r w:rsidRPr="005A372F">
              <w:t>~ 4,000 m</w:t>
            </w:r>
          </w:p>
        </w:tc>
      </w:tr>
      <w:tr w:rsidR="00C3002D" w14:paraId="3D73A221" w14:textId="77777777" w:rsidTr="00EB4DD3">
        <w:tc>
          <w:tcPr>
            <w:tcW w:w="4101" w:type="dxa"/>
            <w:shd w:val="clear" w:color="auto" w:fill="146692"/>
          </w:tcPr>
          <w:p w14:paraId="1AE2D582" w14:textId="6B46A4B7"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Age range</w:t>
            </w:r>
          </w:p>
        </w:tc>
        <w:tc>
          <w:tcPr>
            <w:tcW w:w="5376" w:type="dxa"/>
            <w:shd w:val="clear" w:color="auto" w:fill="E1F2FB"/>
          </w:tcPr>
          <w:p w14:paraId="0B259FE4" w14:textId="1029E8EF" w:rsidR="00C3002D" w:rsidRDefault="00C3002D" w:rsidP="00C3002D">
            <w:pPr>
              <w:pStyle w:val="BodyText"/>
              <w:spacing w:before="20" w:after="20" w:line="120" w:lineRule="atLeast"/>
            </w:pPr>
            <w:r w:rsidRPr="005A372F">
              <w:t>Cretaceous–Cenozoic</w:t>
            </w:r>
          </w:p>
        </w:tc>
      </w:tr>
      <w:tr w:rsidR="00C3002D" w14:paraId="1F05C45B" w14:textId="77777777" w:rsidTr="00EB4DD3">
        <w:tc>
          <w:tcPr>
            <w:tcW w:w="4101" w:type="dxa"/>
            <w:shd w:val="clear" w:color="auto" w:fill="146692"/>
          </w:tcPr>
          <w:p w14:paraId="181F9D97" w14:textId="32D9D465"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Depositional setting</w:t>
            </w:r>
          </w:p>
        </w:tc>
        <w:tc>
          <w:tcPr>
            <w:tcW w:w="5376" w:type="dxa"/>
            <w:shd w:val="clear" w:color="auto" w:fill="E1F2FB"/>
          </w:tcPr>
          <w:p w14:paraId="0FED55EB" w14:textId="69B5E9AD" w:rsidR="00C3002D" w:rsidRDefault="00C3002D" w:rsidP="00C3002D">
            <w:pPr>
              <w:pStyle w:val="BodyText"/>
              <w:spacing w:before="20" w:after="20" w:line="120" w:lineRule="atLeast"/>
            </w:pPr>
            <w:r w:rsidRPr="005A372F">
              <w:t>Fluvial overlain by deltaic and marine sediments</w:t>
            </w:r>
          </w:p>
        </w:tc>
      </w:tr>
      <w:tr w:rsidR="00C3002D" w14:paraId="5E976A8F" w14:textId="77777777" w:rsidTr="00EB4DD3">
        <w:tc>
          <w:tcPr>
            <w:tcW w:w="4101" w:type="dxa"/>
            <w:shd w:val="clear" w:color="auto" w:fill="146692"/>
          </w:tcPr>
          <w:p w14:paraId="3B4AA270" w14:textId="02D27A87"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Regional structure</w:t>
            </w:r>
          </w:p>
        </w:tc>
        <w:tc>
          <w:tcPr>
            <w:tcW w:w="5376" w:type="dxa"/>
            <w:shd w:val="clear" w:color="auto" w:fill="E1F2FB"/>
          </w:tcPr>
          <w:p w14:paraId="39467230" w14:textId="5FB33700" w:rsidR="00C3002D" w:rsidRDefault="00C3002D" w:rsidP="00C3002D">
            <w:pPr>
              <w:pStyle w:val="BodyText"/>
              <w:spacing w:before="20" w:after="20" w:line="120" w:lineRule="atLeast"/>
            </w:pPr>
            <w:r w:rsidRPr="005A372F">
              <w:t>Extensional basin with two phases of post-rift compression</w:t>
            </w:r>
          </w:p>
        </w:tc>
      </w:tr>
      <w:tr w:rsidR="00C3002D" w14:paraId="28A63125" w14:textId="77777777" w:rsidTr="00EB4DD3">
        <w:tc>
          <w:tcPr>
            <w:tcW w:w="9477" w:type="dxa"/>
            <w:gridSpan w:val="2"/>
            <w:shd w:val="clear" w:color="auto" w:fill="146692"/>
          </w:tcPr>
          <w:p w14:paraId="35F8E642" w14:textId="7DE5A052" w:rsidR="00C3002D" w:rsidRDefault="00C3002D" w:rsidP="00C3002D">
            <w:pPr>
              <w:pStyle w:val="BodyText"/>
              <w:spacing w:before="20" w:after="20" w:line="120" w:lineRule="atLeast"/>
            </w:pPr>
            <w:r w:rsidRPr="00C3002D">
              <w:rPr>
                <w:b/>
                <w:color w:val="FFFFFF" w:themeColor="background1"/>
              </w:rPr>
              <w:t>EXPLORATION STATUS</w:t>
            </w:r>
          </w:p>
        </w:tc>
      </w:tr>
      <w:tr w:rsidR="00C3002D" w14:paraId="3FCB767F" w14:textId="77777777" w:rsidTr="00EB4DD3">
        <w:tc>
          <w:tcPr>
            <w:tcW w:w="4101" w:type="dxa"/>
            <w:shd w:val="clear" w:color="auto" w:fill="146692"/>
          </w:tcPr>
          <w:p w14:paraId="0AB810A4" w14:textId="5780F530"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Seismic lines</w:t>
            </w:r>
          </w:p>
        </w:tc>
        <w:tc>
          <w:tcPr>
            <w:tcW w:w="5376" w:type="dxa"/>
            <w:shd w:val="clear" w:color="auto" w:fill="E1F2FB"/>
          </w:tcPr>
          <w:p w14:paraId="52631FE5" w14:textId="094B14D2" w:rsidR="00C3002D" w:rsidRDefault="00C3002D" w:rsidP="00C3002D">
            <w:pPr>
              <w:pStyle w:val="BodyText"/>
              <w:spacing w:before="20" w:after="20" w:line="120" w:lineRule="atLeast"/>
            </w:pPr>
            <w:r w:rsidRPr="005A372F">
              <w:t>3,620 km 2D seismic</w:t>
            </w:r>
          </w:p>
        </w:tc>
      </w:tr>
      <w:tr w:rsidR="00C3002D" w14:paraId="086408D3" w14:textId="77777777" w:rsidTr="00EB4DD3">
        <w:tc>
          <w:tcPr>
            <w:tcW w:w="4101" w:type="dxa"/>
            <w:shd w:val="clear" w:color="auto" w:fill="146692"/>
          </w:tcPr>
          <w:p w14:paraId="7B8DCBF6" w14:textId="206A82B9"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Number of wells</w:t>
            </w:r>
          </w:p>
        </w:tc>
        <w:tc>
          <w:tcPr>
            <w:tcW w:w="5376" w:type="dxa"/>
            <w:shd w:val="clear" w:color="auto" w:fill="E1F2FB"/>
          </w:tcPr>
          <w:p w14:paraId="09D696CE" w14:textId="3125C328" w:rsidR="00C3002D" w:rsidRDefault="00C3002D" w:rsidP="00C3002D">
            <w:pPr>
              <w:pStyle w:val="BodyText"/>
              <w:spacing w:before="20" w:after="20" w:line="120" w:lineRule="atLeast"/>
            </w:pPr>
            <w:r w:rsidRPr="005A372F">
              <w:t>198</w:t>
            </w:r>
          </w:p>
        </w:tc>
      </w:tr>
      <w:tr w:rsidR="00C3002D" w14:paraId="1500B8E4" w14:textId="77777777" w:rsidTr="00EB4DD3">
        <w:tc>
          <w:tcPr>
            <w:tcW w:w="4101" w:type="dxa"/>
            <w:shd w:val="clear" w:color="auto" w:fill="146692"/>
          </w:tcPr>
          <w:p w14:paraId="00B32BAC" w14:textId="10BCA81B"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Exploration status - conventional</w:t>
            </w:r>
          </w:p>
        </w:tc>
        <w:tc>
          <w:tcPr>
            <w:tcW w:w="5376" w:type="dxa"/>
            <w:shd w:val="clear" w:color="auto" w:fill="E1F2FB"/>
          </w:tcPr>
          <w:p w14:paraId="749F0E9E" w14:textId="3089CDBB" w:rsidR="00C3002D" w:rsidRDefault="00C3002D" w:rsidP="00C3002D">
            <w:pPr>
              <w:pStyle w:val="BodyText"/>
              <w:spacing w:before="20" w:after="20" w:line="120" w:lineRule="atLeast"/>
            </w:pPr>
            <w:r w:rsidRPr="005A372F">
              <w:t>Mature</w:t>
            </w:r>
          </w:p>
        </w:tc>
      </w:tr>
      <w:tr w:rsidR="00C3002D" w14:paraId="46AA43C6" w14:textId="77777777" w:rsidTr="00EB4DD3">
        <w:tc>
          <w:tcPr>
            <w:tcW w:w="4101" w:type="dxa"/>
            <w:shd w:val="clear" w:color="auto" w:fill="146692"/>
          </w:tcPr>
          <w:p w14:paraId="57C1BAA6" w14:textId="31A64212"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Exploration status – shale/ tight gas</w:t>
            </w:r>
          </w:p>
        </w:tc>
        <w:tc>
          <w:tcPr>
            <w:tcW w:w="5376" w:type="dxa"/>
            <w:shd w:val="clear" w:color="auto" w:fill="E1F2FB"/>
          </w:tcPr>
          <w:p w14:paraId="3E225882" w14:textId="52417CC9" w:rsidR="00C3002D" w:rsidRDefault="00C3002D" w:rsidP="00C3002D">
            <w:pPr>
              <w:pStyle w:val="BodyText"/>
              <w:spacing w:before="20" w:after="20" w:line="120" w:lineRule="atLeast"/>
            </w:pPr>
            <w:r w:rsidRPr="005A372F">
              <w:t>Preliminary exploration</w:t>
            </w:r>
          </w:p>
        </w:tc>
      </w:tr>
      <w:tr w:rsidR="00C3002D" w14:paraId="7BC22BC9" w14:textId="77777777" w:rsidTr="00EB4DD3">
        <w:tc>
          <w:tcPr>
            <w:tcW w:w="9477" w:type="dxa"/>
            <w:gridSpan w:val="2"/>
            <w:shd w:val="clear" w:color="auto" w:fill="146692"/>
          </w:tcPr>
          <w:p w14:paraId="770451C7" w14:textId="23CE60EA" w:rsidR="00C3002D" w:rsidRDefault="00C3002D" w:rsidP="00C3002D">
            <w:pPr>
              <w:pStyle w:val="BodyText"/>
              <w:spacing w:before="20" w:after="20" w:line="120" w:lineRule="atLeast"/>
            </w:pPr>
            <w:r w:rsidRPr="00C3002D">
              <w:rPr>
                <w:b/>
                <w:color w:val="FFFFFF" w:themeColor="background1"/>
              </w:rPr>
              <w:t>PETROLEUM PROSPECTIVITY -  GENERAL</w:t>
            </w:r>
          </w:p>
        </w:tc>
      </w:tr>
      <w:tr w:rsidR="00C3002D" w14:paraId="68DD2B9F" w14:textId="77777777" w:rsidTr="00EB4DD3">
        <w:tc>
          <w:tcPr>
            <w:tcW w:w="4101" w:type="dxa"/>
            <w:shd w:val="clear" w:color="auto" w:fill="146692"/>
          </w:tcPr>
          <w:p w14:paraId="6316BED2" w14:textId="4FA6BA07"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Petroleum systems</w:t>
            </w:r>
          </w:p>
        </w:tc>
        <w:tc>
          <w:tcPr>
            <w:tcW w:w="5376" w:type="dxa"/>
            <w:shd w:val="clear" w:color="auto" w:fill="E1F2FB"/>
          </w:tcPr>
          <w:p w14:paraId="7AA3616A" w14:textId="4A3B898A" w:rsidR="00C3002D" w:rsidRDefault="00C3002D" w:rsidP="00C3002D">
            <w:pPr>
              <w:pStyle w:val="BodyText"/>
              <w:spacing w:before="20" w:after="20" w:line="120" w:lineRule="atLeast"/>
            </w:pPr>
            <w:r w:rsidRPr="005A372F">
              <w:t>Proven (Austral 2 and 3)</w:t>
            </w:r>
          </w:p>
        </w:tc>
      </w:tr>
      <w:tr w:rsidR="00C3002D" w14:paraId="3739AE2D" w14:textId="77777777" w:rsidTr="00EB4DD3">
        <w:tc>
          <w:tcPr>
            <w:tcW w:w="4101" w:type="dxa"/>
            <w:shd w:val="clear" w:color="auto" w:fill="146692"/>
          </w:tcPr>
          <w:p w14:paraId="07DF6661" w14:textId="69185BA8"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Prospectivity</w:t>
            </w:r>
          </w:p>
        </w:tc>
        <w:tc>
          <w:tcPr>
            <w:tcW w:w="5376" w:type="dxa"/>
            <w:shd w:val="clear" w:color="auto" w:fill="E1F2FB"/>
          </w:tcPr>
          <w:p w14:paraId="20675522" w14:textId="668124C7" w:rsidR="00C3002D" w:rsidRDefault="00C3002D" w:rsidP="00C3002D">
            <w:pPr>
              <w:pStyle w:val="BodyText"/>
              <w:spacing w:before="20" w:after="20" w:line="120" w:lineRule="atLeast"/>
            </w:pPr>
            <w:r w:rsidRPr="005A372F">
              <w:t>Moderate</w:t>
            </w:r>
          </w:p>
        </w:tc>
      </w:tr>
      <w:tr w:rsidR="00C3002D" w14:paraId="176CDF65" w14:textId="77777777" w:rsidTr="00EB4DD3">
        <w:tc>
          <w:tcPr>
            <w:tcW w:w="4101" w:type="dxa"/>
            <w:shd w:val="clear" w:color="auto" w:fill="146692"/>
          </w:tcPr>
          <w:p w14:paraId="3ADBD05C" w14:textId="036CE3F4" w:rsidR="00C3002D" w:rsidRPr="00C3002D" w:rsidRDefault="00C3002D" w:rsidP="00C3002D">
            <w:pPr>
              <w:pStyle w:val="BodyText"/>
              <w:spacing w:before="20" w:after="20" w:line="120" w:lineRule="atLeast"/>
              <w:rPr>
                <w:b/>
                <w:color w:val="FFFFFF" w:themeColor="background1"/>
              </w:rPr>
            </w:pPr>
            <w:r w:rsidRPr="00C3002D">
              <w:rPr>
                <w:rFonts w:asciiTheme="minorHAnsi" w:hAnsiTheme="minorHAnsi"/>
                <w:b/>
                <w:color w:val="FFFFFF" w:themeColor="background1"/>
              </w:rPr>
              <w:t>Conventional</w:t>
            </w:r>
            <w:r w:rsidRPr="00C3002D">
              <w:rPr>
                <w:b/>
                <w:color w:val="FFFFFF" w:themeColor="background1"/>
              </w:rPr>
              <w:t xml:space="preserve"> discoveries </w:t>
            </w:r>
          </w:p>
        </w:tc>
        <w:tc>
          <w:tcPr>
            <w:tcW w:w="5376" w:type="dxa"/>
            <w:shd w:val="clear" w:color="auto" w:fill="E1F2FB"/>
          </w:tcPr>
          <w:p w14:paraId="1DD5355C" w14:textId="0371AC36" w:rsidR="00C3002D" w:rsidRDefault="00C3002D" w:rsidP="00C3002D">
            <w:pPr>
              <w:pStyle w:val="BodyText"/>
              <w:spacing w:before="20" w:after="20" w:line="120" w:lineRule="atLeast"/>
            </w:pPr>
            <w:r w:rsidRPr="005A372F">
              <w:t>Lakes Entrance oil</w:t>
            </w:r>
          </w:p>
        </w:tc>
      </w:tr>
      <w:tr w:rsidR="00C3002D" w14:paraId="4E7AABBA" w14:textId="77777777" w:rsidTr="00EB4DD3">
        <w:tc>
          <w:tcPr>
            <w:tcW w:w="4101" w:type="dxa"/>
            <w:shd w:val="clear" w:color="auto" w:fill="146692"/>
          </w:tcPr>
          <w:p w14:paraId="46C2D86B" w14:textId="3AE8394F"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Hydrocarbon production – total to date</w:t>
            </w:r>
          </w:p>
        </w:tc>
        <w:tc>
          <w:tcPr>
            <w:tcW w:w="5376" w:type="dxa"/>
            <w:shd w:val="clear" w:color="auto" w:fill="E1F2FB"/>
          </w:tcPr>
          <w:p w14:paraId="3BF55996" w14:textId="79EB4D2F" w:rsidR="00C3002D" w:rsidRDefault="00C3002D" w:rsidP="00C3002D">
            <w:pPr>
              <w:pStyle w:val="BodyText"/>
              <w:spacing w:before="20" w:after="20" w:line="120" w:lineRule="atLeast"/>
            </w:pPr>
            <w:r w:rsidRPr="005A372F">
              <w:t>7.8 Tcf cumulative conventional gas production offshore;  no production onshore (current to 2014; AERA, 2018)</w:t>
            </w:r>
          </w:p>
        </w:tc>
      </w:tr>
      <w:tr w:rsidR="00C3002D" w14:paraId="2975F8C0" w14:textId="77777777" w:rsidTr="00EB4DD3">
        <w:tc>
          <w:tcPr>
            <w:tcW w:w="4101" w:type="dxa"/>
            <w:shd w:val="clear" w:color="auto" w:fill="146692"/>
          </w:tcPr>
          <w:p w14:paraId="531AEF69" w14:textId="52FCFAD6"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 xml:space="preserve">2P Reserves </w:t>
            </w:r>
          </w:p>
        </w:tc>
        <w:tc>
          <w:tcPr>
            <w:tcW w:w="5376" w:type="dxa"/>
            <w:shd w:val="clear" w:color="auto" w:fill="E1F2FB"/>
          </w:tcPr>
          <w:p w14:paraId="4B5F7E1D" w14:textId="4E2FB9D6" w:rsidR="00C3002D" w:rsidRDefault="00C3002D" w:rsidP="00C3002D">
            <w:pPr>
              <w:pStyle w:val="BodyText"/>
              <w:spacing w:before="20" w:after="20" w:line="120" w:lineRule="atLeast"/>
            </w:pPr>
            <w:r w:rsidRPr="005A372F">
              <w:t>4.44 Tcf conventional reserves offshore;  no reserves onshore (current to 2014; AERA, 2018)</w:t>
            </w:r>
          </w:p>
        </w:tc>
      </w:tr>
      <w:tr w:rsidR="00C3002D" w14:paraId="1723A67E" w14:textId="77777777" w:rsidTr="00EB4DD3">
        <w:tc>
          <w:tcPr>
            <w:tcW w:w="4101" w:type="dxa"/>
            <w:shd w:val="clear" w:color="auto" w:fill="146692"/>
          </w:tcPr>
          <w:p w14:paraId="2DD4ABE7" w14:textId="17F91545"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Remaining resources (reserves + contingent resources)</w:t>
            </w:r>
          </w:p>
        </w:tc>
        <w:tc>
          <w:tcPr>
            <w:tcW w:w="5376" w:type="dxa"/>
            <w:shd w:val="clear" w:color="auto" w:fill="E1F2FB"/>
          </w:tcPr>
          <w:p w14:paraId="52D381B4" w14:textId="49B1B954" w:rsidR="00C3002D" w:rsidRDefault="00C3002D" w:rsidP="00C3002D">
            <w:pPr>
              <w:pStyle w:val="BodyText"/>
              <w:spacing w:before="20" w:after="20" w:line="120" w:lineRule="atLeast"/>
            </w:pPr>
            <w:r w:rsidRPr="005A372F">
              <w:t>7.8 Tcf conventional reserves offshore;  no reserves onshore; see below for shale/ tight gas (current to 2014; AERA, 2018)</w:t>
            </w:r>
          </w:p>
        </w:tc>
      </w:tr>
      <w:tr w:rsidR="00C3002D" w14:paraId="036E0A66" w14:textId="77777777" w:rsidTr="00EB4DD3">
        <w:tc>
          <w:tcPr>
            <w:tcW w:w="4101" w:type="dxa"/>
            <w:shd w:val="clear" w:color="auto" w:fill="146692"/>
          </w:tcPr>
          <w:p w14:paraId="4DB6E9EB" w14:textId="421FAD5F"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 xml:space="preserve">Undiscovered resource estimates </w:t>
            </w:r>
          </w:p>
        </w:tc>
        <w:tc>
          <w:tcPr>
            <w:tcW w:w="5376" w:type="dxa"/>
            <w:shd w:val="clear" w:color="auto" w:fill="E1F2FB"/>
          </w:tcPr>
          <w:p w14:paraId="7D38B469" w14:textId="544AF7E4" w:rsidR="00C3002D" w:rsidRDefault="00C3002D" w:rsidP="00C3002D">
            <w:pPr>
              <w:pStyle w:val="BodyText"/>
              <w:spacing w:before="20" w:after="20" w:line="120" w:lineRule="atLeast"/>
            </w:pPr>
            <w:r w:rsidRPr="005A372F">
              <w:t>7,910 PJ (Core, 2014) offshore resources; no prospective conventional resources onshore; see below for prospective shale/ tight gas resources</w:t>
            </w:r>
          </w:p>
        </w:tc>
      </w:tr>
      <w:tr w:rsidR="00C3002D" w14:paraId="5C296DB5" w14:textId="77777777" w:rsidTr="00EB4DD3">
        <w:tc>
          <w:tcPr>
            <w:tcW w:w="9477" w:type="dxa"/>
            <w:gridSpan w:val="2"/>
            <w:shd w:val="clear" w:color="auto" w:fill="146692"/>
          </w:tcPr>
          <w:p w14:paraId="7E033587" w14:textId="03449CD6" w:rsidR="00C3002D" w:rsidRDefault="00C3002D" w:rsidP="00C3002D">
            <w:pPr>
              <w:pStyle w:val="BodyText"/>
              <w:spacing w:before="20" w:after="20" w:line="120" w:lineRule="atLeast"/>
            </w:pPr>
            <w:r w:rsidRPr="00C3002D">
              <w:rPr>
                <w:b/>
                <w:color w:val="FFFFFF" w:themeColor="background1"/>
              </w:rPr>
              <w:t>PETROLEUM PROSPECTIVITY – SHALE/ TIGHT GAS</w:t>
            </w:r>
          </w:p>
        </w:tc>
      </w:tr>
      <w:tr w:rsidR="00C3002D" w14:paraId="566C8362" w14:textId="77777777" w:rsidTr="00EB4DD3">
        <w:tc>
          <w:tcPr>
            <w:tcW w:w="4101" w:type="dxa"/>
            <w:shd w:val="clear" w:color="auto" w:fill="146692"/>
          </w:tcPr>
          <w:p w14:paraId="3C62A7B9" w14:textId="48E11413"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Unconventional play types</w:t>
            </w:r>
          </w:p>
        </w:tc>
        <w:tc>
          <w:tcPr>
            <w:tcW w:w="5376" w:type="dxa"/>
            <w:shd w:val="clear" w:color="auto" w:fill="E1F2FB"/>
          </w:tcPr>
          <w:p w14:paraId="2FC93E6C" w14:textId="7DCBEF78" w:rsidR="00C3002D" w:rsidRDefault="00C3002D" w:rsidP="00C3002D">
            <w:pPr>
              <w:pStyle w:val="BodyText"/>
              <w:spacing w:before="20" w:after="20" w:line="120" w:lineRule="atLeast"/>
            </w:pPr>
            <w:r w:rsidRPr="005A372F">
              <w:t>Tight gas; ?shale gas</w:t>
            </w:r>
          </w:p>
        </w:tc>
      </w:tr>
      <w:tr w:rsidR="00C3002D" w14:paraId="243AFF57" w14:textId="77777777" w:rsidTr="00EB4DD3">
        <w:tc>
          <w:tcPr>
            <w:tcW w:w="4101" w:type="dxa"/>
            <w:shd w:val="clear" w:color="auto" w:fill="146692"/>
          </w:tcPr>
          <w:p w14:paraId="1BF931C0" w14:textId="13AED53E"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No. of wells targeting shale/tight gas plays</w:t>
            </w:r>
          </w:p>
        </w:tc>
        <w:tc>
          <w:tcPr>
            <w:tcW w:w="5376" w:type="dxa"/>
            <w:shd w:val="clear" w:color="auto" w:fill="E1F2FB"/>
          </w:tcPr>
          <w:p w14:paraId="41F662D9" w14:textId="35376EBC" w:rsidR="00C3002D" w:rsidRDefault="00C3002D" w:rsidP="00C3002D">
            <w:pPr>
              <w:pStyle w:val="BodyText"/>
              <w:spacing w:before="20" w:after="20" w:line="120" w:lineRule="atLeast"/>
            </w:pPr>
            <w:r w:rsidRPr="005A372F">
              <w:t>6</w:t>
            </w:r>
          </w:p>
        </w:tc>
      </w:tr>
      <w:tr w:rsidR="00C3002D" w14:paraId="48E65901" w14:textId="77777777" w:rsidTr="00EB4DD3">
        <w:tc>
          <w:tcPr>
            <w:tcW w:w="4101" w:type="dxa"/>
            <w:shd w:val="clear" w:color="auto" w:fill="146692"/>
          </w:tcPr>
          <w:p w14:paraId="066284A6" w14:textId="2A9FF984"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Production – shale/ tight gas</w:t>
            </w:r>
          </w:p>
        </w:tc>
        <w:tc>
          <w:tcPr>
            <w:tcW w:w="5376" w:type="dxa"/>
            <w:shd w:val="clear" w:color="auto" w:fill="E1F2FB"/>
          </w:tcPr>
          <w:p w14:paraId="0C879831" w14:textId="563400E9" w:rsidR="00C3002D" w:rsidRDefault="00C3002D" w:rsidP="00C3002D">
            <w:pPr>
              <w:pStyle w:val="BodyText"/>
              <w:spacing w:before="20" w:after="20" w:line="120" w:lineRule="atLeast"/>
            </w:pPr>
            <w:r w:rsidRPr="005A372F">
              <w:t xml:space="preserve">Wombat, Trifon-Gangell fields </w:t>
            </w:r>
          </w:p>
        </w:tc>
      </w:tr>
      <w:tr w:rsidR="00C3002D" w14:paraId="2B33DECA" w14:textId="77777777" w:rsidTr="00EB4DD3">
        <w:tc>
          <w:tcPr>
            <w:tcW w:w="4101" w:type="dxa"/>
            <w:shd w:val="clear" w:color="auto" w:fill="146692"/>
          </w:tcPr>
          <w:p w14:paraId="47F166F6" w14:textId="2413E12F"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2P Reserves – shale/ tight gas</w:t>
            </w:r>
          </w:p>
        </w:tc>
        <w:tc>
          <w:tcPr>
            <w:tcW w:w="5376" w:type="dxa"/>
            <w:shd w:val="clear" w:color="auto" w:fill="E1F2FB"/>
          </w:tcPr>
          <w:p w14:paraId="1307BEEA" w14:textId="29B28930" w:rsidR="00C3002D" w:rsidRDefault="00C3002D" w:rsidP="00C3002D">
            <w:pPr>
              <w:pStyle w:val="BodyText"/>
              <w:spacing w:before="20" w:after="20" w:line="120" w:lineRule="atLeast"/>
            </w:pPr>
            <w:r w:rsidRPr="005A372F">
              <w:t>No reserves booked (AERA, 2018)</w:t>
            </w:r>
          </w:p>
        </w:tc>
      </w:tr>
      <w:tr w:rsidR="00C3002D" w14:paraId="565DF6F8" w14:textId="77777777" w:rsidTr="00EB4DD3">
        <w:tc>
          <w:tcPr>
            <w:tcW w:w="4101" w:type="dxa"/>
            <w:shd w:val="clear" w:color="auto" w:fill="146692"/>
          </w:tcPr>
          <w:p w14:paraId="7FF6C5AB" w14:textId="4145CA5C"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Remaining resources (reserves + contingent resources) – shale/ tight gas</w:t>
            </w:r>
          </w:p>
        </w:tc>
        <w:tc>
          <w:tcPr>
            <w:tcW w:w="5376" w:type="dxa"/>
            <w:shd w:val="clear" w:color="auto" w:fill="E1F2FB"/>
          </w:tcPr>
          <w:p w14:paraId="390A2C9B" w14:textId="2D70EFAF" w:rsidR="00C3002D" w:rsidRDefault="00C3002D" w:rsidP="00C3002D">
            <w:pPr>
              <w:pStyle w:val="BodyText"/>
              <w:spacing w:before="20" w:after="20" w:line="120" w:lineRule="atLeast"/>
            </w:pPr>
            <w:r w:rsidRPr="005A372F">
              <w:t xml:space="preserve">0.72 Tcf (Table A.3; Lakes Oil, 2017; AERA, 2018) </w:t>
            </w:r>
          </w:p>
        </w:tc>
      </w:tr>
      <w:tr w:rsidR="00C3002D" w14:paraId="45C9F84A" w14:textId="77777777" w:rsidTr="00EB4DD3">
        <w:tc>
          <w:tcPr>
            <w:tcW w:w="4101" w:type="dxa"/>
            <w:shd w:val="clear" w:color="auto" w:fill="146692"/>
          </w:tcPr>
          <w:p w14:paraId="6DD87EED" w14:textId="60A7D242"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t>Undiscovered resource estimates – shale/ tight gas</w:t>
            </w:r>
          </w:p>
        </w:tc>
        <w:tc>
          <w:tcPr>
            <w:tcW w:w="5376" w:type="dxa"/>
            <w:shd w:val="clear" w:color="auto" w:fill="E1F2FB"/>
          </w:tcPr>
          <w:p w14:paraId="258A4D73" w14:textId="213A04F8" w:rsidR="00C3002D" w:rsidRDefault="00C3002D" w:rsidP="00C3002D">
            <w:pPr>
              <w:pStyle w:val="BodyText"/>
              <w:spacing w:before="20" w:after="20" w:line="120" w:lineRule="atLeast"/>
            </w:pPr>
            <w:r w:rsidRPr="005A372F">
              <w:t>Total potentially recoverable resources in the Strzelecki Group of 13.6 Tcf of tight gas (assessment area 4,191 km2) and 5.6 Tcf of shale gas (assessment area 2,179 km2) (assuming 5% recovery factor at P50; GA, 2017; AERA, 2018).</w:t>
            </w:r>
          </w:p>
        </w:tc>
      </w:tr>
      <w:tr w:rsidR="00C3002D" w14:paraId="2BEF9857" w14:textId="77777777" w:rsidTr="00EB4DD3">
        <w:tc>
          <w:tcPr>
            <w:tcW w:w="4101" w:type="dxa"/>
            <w:shd w:val="clear" w:color="auto" w:fill="146692"/>
          </w:tcPr>
          <w:p w14:paraId="7046FB9B" w14:textId="49DD7383" w:rsidR="00C3002D" w:rsidRPr="00C3002D" w:rsidRDefault="00C3002D" w:rsidP="00C3002D">
            <w:pPr>
              <w:pStyle w:val="BodyText"/>
              <w:spacing w:before="20" w:after="20" w:line="120" w:lineRule="atLeast"/>
              <w:rPr>
                <w:b/>
                <w:color w:val="FFFFFF" w:themeColor="background1"/>
              </w:rPr>
            </w:pPr>
            <w:r w:rsidRPr="00C3002D">
              <w:rPr>
                <w:b/>
                <w:color w:val="FFFFFF" w:themeColor="background1"/>
              </w:rPr>
              <w:lastRenderedPageBreak/>
              <w:t>Hydrocarbon shows, tests – shale/ tight gas</w:t>
            </w:r>
          </w:p>
        </w:tc>
        <w:tc>
          <w:tcPr>
            <w:tcW w:w="5376" w:type="dxa"/>
            <w:shd w:val="clear" w:color="auto" w:fill="E1F2FB"/>
          </w:tcPr>
          <w:p w14:paraId="6E2F6982" w14:textId="4FA54520" w:rsidR="00C3002D" w:rsidRDefault="00C3002D" w:rsidP="00C3002D">
            <w:pPr>
              <w:pStyle w:val="BodyText"/>
              <w:spacing w:before="20" w:after="20" w:line="120" w:lineRule="atLeast"/>
            </w:pPr>
            <w:r w:rsidRPr="005A372F">
              <w:t>Several drill stem tests (DST), Fracture stimulation Wombat 2 &amp; Wombat 3 and an extended production test Wombat 3</w:t>
            </w:r>
          </w:p>
        </w:tc>
      </w:tr>
    </w:tbl>
    <w:p w14:paraId="19290EC7" w14:textId="77777777" w:rsidR="00E01F8F" w:rsidRPr="000350BE" w:rsidRDefault="00E01F8F" w:rsidP="00E01F8F">
      <w:pPr>
        <w:pStyle w:val="AppendixHeading3"/>
        <w:rPr>
          <w:rFonts w:eastAsia="Times"/>
        </w:rPr>
      </w:pPr>
      <w:bookmarkStart w:id="238" w:name="_Toc517161176"/>
      <w:r>
        <w:t>Basin Geology</w:t>
      </w:r>
      <w:bookmarkEnd w:id="238"/>
    </w:p>
    <w:p w14:paraId="5728A821" w14:textId="4B578784" w:rsidR="00E01F8F" w:rsidRPr="00E43B52" w:rsidRDefault="00E01F8F" w:rsidP="00E43B52">
      <w:pPr>
        <w:pStyle w:val="BodyText"/>
      </w:pPr>
      <w:r w:rsidRPr="00E43B52">
        <w:t>The Gippsland Basin is a Cretaceous–Cenozoic extensional basin in southeastern Victoria (</w:t>
      </w:r>
      <w:r w:rsidR="00611607">
        <w:t>Figure C</w:t>
      </w:r>
      <w:r w:rsidR="000B580F">
        <w:t>.45</w:t>
      </w:r>
      <w:r w:rsidRPr="00E43B52">
        <w:t>). The basin covers an area of about 49,000</w:t>
      </w:r>
      <w:r w:rsidR="008232C9">
        <w:t> km</w:t>
      </w:r>
      <w:r w:rsidRPr="000350BE">
        <w:rPr>
          <w:rStyle w:val="Superscript"/>
        </w:rPr>
        <w:t>2</w:t>
      </w:r>
      <w:r w:rsidRPr="00E43B52">
        <w:t>, two-thirds of which is located offshore. The Gippsland Basin formed as a result of the breakup of eastern Gondwana in the Late Jurassic–Early Cretaceous. The basin fill is characterised by dominantly siliciclastic sedimentary sequences from the Upper Cretaceous to Eocene and by carbonate sequences from the lower Oligocene to Holocene. The Early Cretaceous Strzelecki Group is the basal sedimentary unit deposited during the initial rift phase (Duddy, 2003) and is dominated by volcanoclastic sediments (</w:t>
      </w:r>
      <w:r w:rsidR="00611607">
        <w:t>Figure C</w:t>
      </w:r>
      <w:r w:rsidR="000B580F">
        <w:t>.46</w:t>
      </w:r>
      <w:r w:rsidRPr="00E43B52">
        <w:t xml:space="preserve">). With the opening of the Tasman Sea, the Upper Cretaceous to Paleogene Latrobe Group was deposited in fluvial-lacustrine to marginal marine depositional environments as rifting continued in the basin (Bernecker and Partridge, 2005). </w:t>
      </w:r>
    </w:p>
    <w:p w14:paraId="4DC6F0E6" w14:textId="77777777" w:rsidR="00E01F8F" w:rsidRPr="00E43B52" w:rsidRDefault="00E01F8F" w:rsidP="00E43B52">
      <w:pPr>
        <w:pStyle w:val="BodyText"/>
      </w:pPr>
      <w:r w:rsidRPr="00E43B52">
        <w:t>Post-rift sedimentary processes dominated the Gippsland Basin from the early Oligocene, with the deposition of the basal unit of the carbonate–dominated Seaspray Group, the Lakes Entrance Formation and equivalent sequences onshore. These onlapping, marly sediments provide the principal regional seal across the basin. Subsequently, deposition of the thick Gippsland Limestone, also part of the Seaspray Group, provided the critical loading for the source rocks of the deeper Latrobe and Strzelecki groups, with the majority of hydrocarbon generation occurring in the Neogene.</w:t>
      </w:r>
    </w:p>
    <w:p w14:paraId="64148B82" w14:textId="7A960B1D" w:rsidR="00E01F8F" w:rsidRPr="000350BE" w:rsidRDefault="00E01F8F" w:rsidP="000350BE">
      <w:pPr>
        <w:pStyle w:val="BodyText"/>
      </w:pPr>
      <w:r w:rsidRPr="000350BE">
        <w:t xml:space="preserve">In the offshore part of the basin, several giant oil and gas fields were discovered in the late 1960s (Rahmanian et al., 1990; Woollands and Wong, 2001). The basin developed into Australia’s premier hydrocarbon province, maintaining that status until large-scale hydrocarbon production on the North West Shelf was established in the 1990s. Most of the hydrocarbon accumulations in the </w:t>
      </w:r>
      <w:r w:rsidR="00E90300">
        <w:t xml:space="preserve">offshore </w:t>
      </w:r>
      <w:r w:rsidRPr="000350BE">
        <w:t xml:space="preserve">Gippsland Basin are hosted by the Latrobe Group. The </w:t>
      </w:r>
      <w:r w:rsidR="008C1BF0">
        <w:t>syn-</w:t>
      </w:r>
      <w:r w:rsidRPr="000350BE">
        <w:t xml:space="preserve">rift successions of the Strzelecki Group are the focus for unconventional tight gas </w:t>
      </w:r>
      <w:r w:rsidRPr="00960B30">
        <w:t>exploration</w:t>
      </w:r>
      <w:r w:rsidRPr="000350BE">
        <w:t>.</w:t>
      </w:r>
    </w:p>
    <w:p w14:paraId="0338DFE9" w14:textId="03776032" w:rsidR="00E01F8F" w:rsidRPr="005450A3" w:rsidRDefault="009F3E8F" w:rsidP="009F3E8F">
      <w:pPr>
        <w:pStyle w:val="FiguresImagesCentred"/>
      </w:pPr>
      <w:r w:rsidRPr="009F3E8F">
        <w:rPr>
          <w:noProof/>
        </w:rPr>
        <w:lastRenderedPageBreak/>
        <w:drawing>
          <wp:inline distT="0" distB="0" distL="0" distR="0" wp14:anchorId="684E1C7B" wp14:editId="5127EB36">
            <wp:extent cx="5756910" cy="5645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4" cstate="screen">
                      <a:extLst>
                        <a:ext uri="{28A0092B-C50C-407E-A947-70E740481C1C}">
                          <a14:useLocalDpi xmlns:a14="http://schemas.microsoft.com/office/drawing/2010/main"/>
                        </a:ext>
                      </a:extLst>
                    </a:blip>
                    <a:srcRect/>
                    <a:stretch>
                      <a:fillRect/>
                    </a:stretch>
                  </pic:blipFill>
                  <pic:spPr bwMode="auto">
                    <a:xfrm>
                      <a:off x="0" y="0"/>
                      <a:ext cx="5756910" cy="5645150"/>
                    </a:xfrm>
                    <a:prstGeom prst="rect">
                      <a:avLst/>
                    </a:prstGeom>
                    <a:noFill/>
                    <a:ln>
                      <a:noFill/>
                    </a:ln>
                  </pic:spPr>
                </pic:pic>
              </a:graphicData>
            </a:graphic>
          </wp:inline>
        </w:drawing>
      </w:r>
    </w:p>
    <w:p w14:paraId="37F28D6A" w14:textId="17004739" w:rsidR="00E01F8F" w:rsidRPr="009F3E8F" w:rsidRDefault="00FD6771" w:rsidP="009F3E8F">
      <w:pPr>
        <w:pStyle w:val="Caption"/>
      </w:pPr>
      <w:bookmarkStart w:id="239" w:name="_Toc508972116"/>
      <w:r>
        <w:t xml:space="preserve">Figure </w:t>
      </w:r>
      <w:r w:rsidR="008079F1">
        <w:fldChar w:fldCharType="begin"/>
      </w:r>
      <w:r w:rsidR="008079F1">
        <w:instrText xml:space="preserve"> ST</w:instrText>
      </w:r>
      <w:r w:rsidR="008079F1">
        <w:instrText xml:space="preserve">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45</w:t>
      </w:r>
      <w:r w:rsidR="008079F1">
        <w:rPr>
          <w:noProof/>
        </w:rPr>
        <w:fldChar w:fldCharType="end"/>
      </w:r>
      <w:r>
        <w:rPr>
          <w:noProof/>
        </w:rPr>
        <w:t xml:space="preserve"> </w:t>
      </w:r>
      <w:r w:rsidR="000A7A58" w:rsidRPr="009F3E8F">
        <w:t>Geology of the onshore Gippsland Basin including faults and structural elements (Yates et al., 2015)</w:t>
      </w:r>
      <w:r w:rsidR="008501CA">
        <w:t>.</w:t>
      </w:r>
      <w:bookmarkEnd w:id="239"/>
      <w:r w:rsidR="000A7A58" w:rsidRPr="009F3E8F">
        <w:t xml:space="preserve"> </w:t>
      </w:r>
    </w:p>
    <w:p w14:paraId="2C8FE09D" w14:textId="4A4DF170" w:rsidR="009140E8" w:rsidRDefault="008501CA" w:rsidP="009140E8">
      <w:pPr>
        <w:pStyle w:val="FiguresImagesCentred"/>
      </w:pPr>
      <w:r w:rsidRPr="008501CA">
        <w:rPr>
          <w:noProof/>
        </w:rPr>
        <w:lastRenderedPageBreak/>
        <w:drawing>
          <wp:inline distT="0" distB="0" distL="0" distR="0" wp14:anchorId="2BFD2E1C" wp14:editId="2ADEC17D">
            <wp:extent cx="5512435" cy="8229600"/>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
                    <pic:cNvPicPr>
                      <a:picLocks noChangeAspect="1" noChangeArrowheads="1"/>
                    </pic:cNvPicPr>
                  </pic:nvPicPr>
                  <pic:blipFill>
                    <a:blip r:embed="rId355" cstate="screen">
                      <a:extLst>
                        <a:ext uri="{28A0092B-C50C-407E-A947-70E740481C1C}">
                          <a14:useLocalDpi xmlns:a14="http://schemas.microsoft.com/office/drawing/2010/main"/>
                        </a:ext>
                      </a:extLst>
                    </a:blip>
                    <a:srcRect/>
                    <a:stretch>
                      <a:fillRect/>
                    </a:stretch>
                  </pic:blipFill>
                  <pic:spPr bwMode="auto">
                    <a:xfrm>
                      <a:off x="0" y="0"/>
                      <a:ext cx="5512435" cy="8229600"/>
                    </a:xfrm>
                    <a:prstGeom prst="rect">
                      <a:avLst/>
                    </a:prstGeom>
                    <a:noFill/>
                    <a:extLst/>
                  </pic:spPr>
                </pic:pic>
              </a:graphicData>
            </a:graphic>
          </wp:inline>
        </w:drawing>
      </w:r>
      <w:r w:rsidRPr="008501CA" w:rsidDel="008501CA">
        <w:t xml:space="preserve"> </w:t>
      </w:r>
    </w:p>
    <w:p w14:paraId="411B5B1D" w14:textId="1194253F" w:rsidR="00C865FE" w:rsidRPr="00C865FE" w:rsidRDefault="00FD6771" w:rsidP="00F27BC3">
      <w:pPr>
        <w:pStyle w:val="Caption"/>
      </w:pPr>
      <w:bookmarkStart w:id="240" w:name="_Toc508972117"/>
      <w:r w:rsidRPr="009140E8">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9140E8">
        <w:t>.</w:t>
      </w:r>
      <w:r w:rsidR="008079F1">
        <w:fldChar w:fldCharType="begin"/>
      </w:r>
      <w:r w:rsidR="008079F1">
        <w:instrText xml:space="preserve"> SEQ Apx_Figure \* ARABIC \s 9 </w:instrText>
      </w:r>
      <w:r w:rsidR="008079F1">
        <w:fldChar w:fldCharType="separate"/>
      </w:r>
      <w:r w:rsidR="00640CCB">
        <w:rPr>
          <w:noProof/>
        </w:rPr>
        <w:t>46</w:t>
      </w:r>
      <w:r w:rsidR="008079F1">
        <w:rPr>
          <w:noProof/>
        </w:rPr>
        <w:fldChar w:fldCharType="end"/>
      </w:r>
      <w:r w:rsidRPr="009140E8">
        <w:t xml:space="preserve"> </w:t>
      </w:r>
      <w:r w:rsidR="00E01F8F" w:rsidRPr="009140E8">
        <w:t>Stratigraphy of the onshore Gippsland Basin (Yates et al., 2015)</w:t>
      </w:r>
      <w:r w:rsidR="001014CC">
        <w:t>, refer to Figure C.45 for the location of the structural elements</w:t>
      </w:r>
      <w:r w:rsidR="00E01F8F" w:rsidRPr="009140E8">
        <w:t>.</w:t>
      </w:r>
      <w:bookmarkEnd w:id="240"/>
    </w:p>
    <w:p w14:paraId="5C63AC40" w14:textId="77777777" w:rsidR="00E01F8F" w:rsidRPr="000350BE" w:rsidRDefault="00E01F8F" w:rsidP="00E01F8F">
      <w:pPr>
        <w:pStyle w:val="AppendixHeading3"/>
      </w:pPr>
      <w:bookmarkStart w:id="241" w:name="_Toc517161177"/>
      <w:r>
        <w:lastRenderedPageBreak/>
        <w:t>Petroleum data coverage</w:t>
      </w:r>
      <w:bookmarkEnd w:id="241"/>
    </w:p>
    <w:p w14:paraId="76D3EC56" w14:textId="7E4B7A74" w:rsidR="00E01F8F" w:rsidRPr="003739CA" w:rsidRDefault="00E01F8F" w:rsidP="003739CA">
      <w:pPr>
        <w:pStyle w:val="BodyText"/>
      </w:pPr>
      <w:r w:rsidRPr="003739CA">
        <w:t>The onshore basin has a long history of petroleum exploration with 197 wells drilled since 1886, the majority of which have targeted petroleum accumulations in the Latrobe Group (GSV, 2017a). Approximately 3620 line</w:t>
      </w:r>
      <w:r w:rsidR="008232C9">
        <w:t> km</w:t>
      </w:r>
      <w:r w:rsidRPr="003739CA">
        <w:t xml:space="preserve"> of 2D seismic data has been acquired in the onshore basin, mainly concentrated in the eastern part of the basin (GSV, 2009; GSV, 2017b; </w:t>
      </w:r>
      <w:r w:rsidR="00611607">
        <w:t>Figure C</w:t>
      </w:r>
      <w:r w:rsidR="000B580F">
        <w:t>.47</w:t>
      </w:r>
      <w:r w:rsidRPr="003739CA">
        <w:t>). Although numerous oil and gas shows have been recorded, no conventional discoveries were made except for relatively small volumes of oil at Lakes Entrance that were produced in the 1920s and 1930s. The two Petroleum Exploration Permits (PEPs) and two Petroleum Retention Leases (PRLs) in the onshore part of the basin</w:t>
      </w:r>
      <w:r w:rsidR="00DC50F6">
        <w:t xml:space="preserve"> are currently </w:t>
      </w:r>
      <w:r w:rsidR="00C865FE">
        <w:t>suspended.</w:t>
      </w:r>
      <w:r w:rsidRPr="003739CA">
        <w:t xml:space="preserve"> There is also complete coverage of gravity and airborne magnetics data across the basin of varying quality and resolution.</w:t>
      </w:r>
    </w:p>
    <w:p w14:paraId="3B1E9E52" w14:textId="77777777" w:rsidR="00E01F8F" w:rsidRPr="005450A3" w:rsidRDefault="00E01F8F" w:rsidP="00E01F8F">
      <w:pPr>
        <w:pStyle w:val="FiguresImagesCentred"/>
      </w:pPr>
      <w:r>
        <w:rPr>
          <w:noProof/>
        </w:rPr>
        <w:drawing>
          <wp:inline distT="0" distB="0" distL="0" distR="0" wp14:anchorId="704F72F3" wp14:editId="23912062">
            <wp:extent cx="5760000" cy="5536800"/>
            <wp:effectExtent l="0" t="0" r="0" b="698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356" cstate="screen">
                      <a:extLst>
                        <a:ext uri="{28A0092B-C50C-407E-A947-70E740481C1C}">
                          <a14:useLocalDpi xmlns:a14="http://schemas.microsoft.com/office/drawing/2010/main"/>
                        </a:ext>
                      </a:extLst>
                    </a:blip>
                    <a:srcRect/>
                    <a:stretch/>
                  </pic:blipFill>
                  <pic:spPr bwMode="auto">
                    <a:xfrm>
                      <a:off x="0" y="0"/>
                      <a:ext cx="5760000" cy="5536800"/>
                    </a:xfrm>
                    <a:prstGeom prst="rect">
                      <a:avLst/>
                    </a:prstGeom>
                    <a:noFill/>
                    <a:ln>
                      <a:noFill/>
                    </a:ln>
                    <a:extLst>
                      <a:ext uri="{53640926-AAD7-44D8-BBD7-CCE9431645EC}">
                        <a14:shadowObscured xmlns:a14="http://schemas.microsoft.com/office/drawing/2010/main"/>
                      </a:ext>
                    </a:extLst>
                  </pic:spPr>
                </pic:pic>
              </a:graphicData>
            </a:graphic>
          </wp:inline>
        </w:drawing>
      </w:r>
    </w:p>
    <w:p w14:paraId="20AC8C07" w14:textId="22D39DC4" w:rsidR="00E01F8F" w:rsidRDefault="00FD6771" w:rsidP="009F3E8F">
      <w:pPr>
        <w:pStyle w:val="Caption"/>
      </w:pPr>
      <w:bookmarkStart w:id="242" w:name="_Toc508972118"/>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47</w:t>
      </w:r>
      <w:r w:rsidR="008079F1">
        <w:rPr>
          <w:noProof/>
        </w:rPr>
        <w:fldChar w:fldCharType="end"/>
      </w:r>
      <w:r>
        <w:rPr>
          <w:noProof/>
        </w:rPr>
        <w:t xml:space="preserve"> </w:t>
      </w:r>
      <w:r w:rsidR="00E01F8F">
        <w:t xml:space="preserve">Gippsland Basin petroleum exploration wells and seismic data coverage. </w:t>
      </w:r>
      <w:r w:rsidR="005F1D49">
        <w:t>Gippsland B</w:t>
      </w:r>
      <w:r w:rsidR="00E01F8F">
        <w:t>asin outline from Stewart et al. (2013). Petroleum well data from GSV (2017</w:t>
      </w:r>
      <w:r w:rsidR="003E7937">
        <w:t>a</w:t>
      </w:r>
      <w:r w:rsidR="00E01F8F">
        <w:t>). Seismic data coverage from GSV (2009) and GSV (2017b).</w:t>
      </w:r>
      <w:bookmarkEnd w:id="242"/>
    </w:p>
    <w:p w14:paraId="1684B306" w14:textId="77777777" w:rsidR="00E01F8F" w:rsidRDefault="00E01F8F" w:rsidP="000520F9">
      <w:pPr>
        <w:pStyle w:val="BodyText"/>
      </w:pPr>
      <w:r>
        <w:br w:type="page"/>
      </w:r>
    </w:p>
    <w:p w14:paraId="7BD4B5C8" w14:textId="77777777" w:rsidR="00E01F8F" w:rsidRPr="000350BE" w:rsidRDefault="00E01F8F" w:rsidP="00E01F8F">
      <w:pPr>
        <w:pStyle w:val="AppendixHeading3"/>
        <w:rPr>
          <w:rFonts w:eastAsia="Times"/>
        </w:rPr>
      </w:pPr>
      <w:bookmarkStart w:id="243" w:name="_Toc517161178"/>
      <w:r>
        <w:lastRenderedPageBreak/>
        <w:t>Shale and tight gas prospectivity</w:t>
      </w:r>
      <w:bookmarkEnd w:id="243"/>
    </w:p>
    <w:p w14:paraId="2A4EBA3C" w14:textId="77777777" w:rsidR="00E01F8F" w:rsidRPr="003739CA" w:rsidRDefault="00E01F8F" w:rsidP="003739CA">
      <w:pPr>
        <w:pStyle w:val="BodyText"/>
      </w:pPr>
      <w:r w:rsidRPr="003739CA">
        <w:t xml:space="preserve">The hydrocarbon prospectivity of the Gippsland Basin is summarised in </w:t>
      </w:r>
      <w:r w:rsidR="00611607">
        <w:t>Table C</w:t>
      </w:r>
      <w:r w:rsidR="00761B60">
        <w:t>.</w:t>
      </w:r>
      <w:r w:rsidR="00A24684">
        <w:t>40.</w:t>
      </w:r>
    </w:p>
    <w:p w14:paraId="294B5DF3" w14:textId="0481C0E5" w:rsidR="00E01F8F" w:rsidRPr="003739CA" w:rsidRDefault="00E01F8F" w:rsidP="003739CA">
      <w:pPr>
        <w:pStyle w:val="BodyText"/>
      </w:pPr>
      <w:r w:rsidRPr="003739CA">
        <w:t>Although the offshore Gippsland Basin has a significant production history of conventional petroleum, only relatively minor unconventional exploration has been conducted onshore. Lakes Oil N.L. has drilled tight gas reservoirs in Strzelecki Group in the Seaspray Depression (</w:t>
      </w:r>
      <w:r w:rsidR="00611607">
        <w:t>Figure C</w:t>
      </w:r>
      <w:r w:rsidR="000B580F">
        <w:t>.48</w:t>
      </w:r>
      <w:r w:rsidRPr="003739CA">
        <w:t>), and has conducted fracture stimulation and an extended production test. They report independently estimated 2C recoverable gas of 0.329 Tcf for the Wombat accumulation and 0.39</w:t>
      </w:r>
      <w:r w:rsidR="00760876">
        <w:t> </w:t>
      </w:r>
      <w:r w:rsidRPr="003739CA">
        <w:t>Tcf for the Trifon-Gangell accumulation, which represents the only relatively well-constrained estimate of tight gas potential in the basin (Lakes Oil, 2017</w:t>
      </w:r>
      <w:r w:rsidR="00760876">
        <w:t>; see also AERA, 2018</w:t>
      </w:r>
      <w:r w:rsidRPr="003739CA">
        <w:t xml:space="preserve">). There are no estimates or reserves for shale gas in the Gippsland </w:t>
      </w:r>
      <w:r w:rsidR="00760876">
        <w:t>Basin</w:t>
      </w:r>
      <w:r w:rsidRPr="003739CA">
        <w:t xml:space="preserve">, and no petroleum exploration permit holder has indicated that they were searching for shale gas </w:t>
      </w:r>
      <w:r w:rsidR="00760876">
        <w:t xml:space="preserve">in the region </w:t>
      </w:r>
      <w:r w:rsidRPr="003739CA">
        <w:t>(Goldie Divko, 2015).</w:t>
      </w:r>
    </w:p>
    <w:p w14:paraId="4B5FF810" w14:textId="256519F9" w:rsidR="00E01F8F" w:rsidRDefault="00E01F8F" w:rsidP="003739CA">
      <w:pPr>
        <w:pStyle w:val="BodyText"/>
      </w:pPr>
      <w:r w:rsidRPr="003739CA">
        <w:t xml:space="preserve">A recent volumetric </w:t>
      </w:r>
      <w:r w:rsidRPr="0045199C">
        <w:t>study by Geoscience Australia based on publicly available data estimates total potential</w:t>
      </w:r>
      <w:r w:rsidR="00AB7CF8">
        <w:t>ly</w:t>
      </w:r>
      <w:r w:rsidRPr="0045199C">
        <w:t xml:space="preserve"> </w:t>
      </w:r>
      <w:r w:rsidR="00AB7CF8">
        <w:t xml:space="preserve">recoverable </w:t>
      </w:r>
      <w:r w:rsidR="002C69F4" w:rsidRPr="0045199C">
        <w:t>resources</w:t>
      </w:r>
      <w:r w:rsidRPr="0045199C">
        <w:t xml:space="preserve"> in the Strzelecki Group </w:t>
      </w:r>
      <w:r w:rsidR="009266CD">
        <w:t>of</w:t>
      </w:r>
      <w:r w:rsidRPr="0045199C">
        <w:t xml:space="preserve"> 13.6 Tcf </w:t>
      </w:r>
      <w:r w:rsidR="009266CD">
        <w:t>of tight gas (assessment area 4,191 km</w:t>
      </w:r>
      <w:r w:rsidR="009266CD" w:rsidRPr="009266CD">
        <w:rPr>
          <w:vertAlign w:val="superscript"/>
        </w:rPr>
        <w:t>2</w:t>
      </w:r>
      <w:r w:rsidR="009266CD">
        <w:t xml:space="preserve">) </w:t>
      </w:r>
      <w:r w:rsidRPr="0045199C">
        <w:t xml:space="preserve">and 5.6 Tcf </w:t>
      </w:r>
      <w:r w:rsidR="009266CD">
        <w:t>of shale gas (assessment area 2,179 km</w:t>
      </w:r>
      <w:r w:rsidR="009266CD" w:rsidRPr="009266CD">
        <w:rPr>
          <w:vertAlign w:val="superscript"/>
        </w:rPr>
        <w:t>2</w:t>
      </w:r>
      <w:r w:rsidR="009266CD">
        <w:t>)</w:t>
      </w:r>
      <w:r w:rsidRPr="0045199C">
        <w:t xml:space="preserve"> (</w:t>
      </w:r>
      <w:r w:rsidR="00AB7CF8">
        <w:t xml:space="preserve">assuming 5% recovery factor at P50; </w:t>
      </w:r>
      <w:r w:rsidR="0045199C">
        <w:t>GA</w:t>
      </w:r>
      <w:r w:rsidRPr="0045199C">
        <w:t>, 2017</w:t>
      </w:r>
      <w:r w:rsidR="00AB7CF8">
        <w:t>; AERA, 2018</w:t>
      </w:r>
      <w:r w:rsidRPr="0045199C">
        <w:t>).</w:t>
      </w:r>
      <w:r w:rsidRPr="003739CA">
        <w:t xml:space="preserve"> It should be noted that publically available data specifically relevant to Gippsland Basin shale and tight resource plays is very limited, necessitating the use of analogues and geologically reasonable assumptions. Significant improvements could be made to the reliability of this assessment if more data were available).</w:t>
      </w:r>
      <w:r w:rsidR="001036E4">
        <w:t xml:space="preserve"> I</w:t>
      </w:r>
      <w:r w:rsidR="001036E4" w:rsidRPr="001036E4">
        <w:t>n the medium term (10</w:t>
      </w:r>
      <w:r w:rsidR="001036E4">
        <w:t xml:space="preserve"> to</w:t>
      </w:r>
      <w:r w:rsidR="001036E4" w:rsidRPr="001036E4">
        <w:t xml:space="preserve"> 15 years) only a small amount of the gas-in-place could be extracted because of the </w:t>
      </w:r>
      <w:r w:rsidR="001036E4">
        <w:t>very early</w:t>
      </w:r>
      <w:r w:rsidR="001036E4" w:rsidRPr="001036E4">
        <w:t xml:space="preserve"> stage of exploration and the time needed to better define resources prior to production</w:t>
      </w:r>
      <w:r w:rsidR="001036E4">
        <w:t xml:space="preserve"> (AERA, 2018)</w:t>
      </w:r>
      <w:r w:rsidR="001036E4" w:rsidRPr="001036E4">
        <w:t>.</w:t>
      </w:r>
    </w:p>
    <w:p w14:paraId="32BD7C8E" w14:textId="642D4F87" w:rsidR="0030660D" w:rsidRDefault="00B465EC" w:rsidP="00C44E9E">
      <w:pPr>
        <w:pStyle w:val="BodyText"/>
      </w:pPr>
      <w:r>
        <w:t xml:space="preserve">Goldie Divko (2015) present 3 scenarios for tight/ shale gas development. The regional scenario includes all </w:t>
      </w:r>
      <w:r w:rsidR="00D35EE5">
        <w:t>tight/shale sub-crop areas</w:t>
      </w:r>
      <w:r w:rsidR="00760876">
        <w:t xml:space="preserve"> and has an</w:t>
      </w:r>
      <w:r w:rsidR="00D35EE5">
        <w:t xml:space="preserve"> area of 5,375 km</w:t>
      </w:r>
      <w:r w:rsidR="00D35EE5" w:rsidRPr="00D35EE5">
        <w:rPr>
          <w:vertAlign w:val="superscript"/>
        </w:rPr>
        <w:t>2</w:t>
      </w:r>
      <w:r w:rsidR="00D35EE5">
        <w:t xml:space="preserve">. </w:t>
      </w:r>
      <w:r w:rsidR="00AF747E">
        <w:t>The second development scenario is at a sub-regional scale. This</w:t>
      </w:r>
      <w:r w:rsidR="00D35EE5">
        <w:t xml:space="preserve"> covers an area of 438 km</w:t>
      </w:r>
      <w:r w:rsidR="00D35EE5" w:rsidRPr="00D35EE5">
        <w:rPr>
          <w:vertAlign w:val="superscript"/>
        </w:rPr>
        <w:t>2</w:t>
      </w:r>
      <w:r w:rsidR="00D35EE5">
        <w:t xml:space="preserve"> and</w:t>
      </w:r>
      <w:r w:rsidR="00AF747E">
        <w:t xml:space="preserve"> </w:t>
      </w:r>
      <w:r w:rsidR="00AF747E" w:rsidRPr="00AF747E">
        <w:t xml:space="preserve">encompasses </w:t>
      </w:r>
      <w:r w:rsidR="00D35EE5">
        <w:t xml:space="preserve">the </w:t>
      </w:r>
      <w:r w:rsidR="00C44E9E">
        <w:t>identified</w:t>
      </w:r>
      <w:r w:rsidR="00AF747E" w:rsidRPr="00AF747E">
        <w:t xml:space="preserve"> prospects, fields and all areas in between</w:t>
      </w:r>
      <w:r w:rsidR="00C44E9E">
        <w:t xml:space="preserve"> (Figure C.48).</w:t>
      </w:r>
      <w:r w:rsidR="00AF747E">
        <w:t xml:space="preserve"> The third scenario is at a prospect/ field scale</w:t>
      </w:r>
      <w:r w:rsidR="00D35EE5">
        <w:t xml:space="preserve"> and </w:t>
      </w:r>
      <w:r w:rsidR="00AF747E">
        <w:t>is focused on gas shows observed within structural traps at top Strzelecki Group level</w:t>
      </w:r>
      <w:r w:rsidR="00D35EE5">
        <w:t xml:space="preserve"> (area of 8.4 km</w:t>
      </w:r>
      <w:r w:rsidR="00D35EE5" w:rsidRPr="00D35EE5">
        <w:rPr>
          <w:vertAlign w:val="superscript"/>
        </w:rPr>
        <w:t>2</w:t>
      </w:r>
      <w:r w:rsidR="00D35EE5">
        <w:t>)</w:t>
      </w:r>
      <w:r w:rsidR="00AF747E">
        <w:t xml:space="preserve">. </w:t>
      </w:r>
    </w:p>
    <w:p w14:paraId="31B5FEBD" w14:textId="75F5EBA0" w:rsidR="00B465EC" w:rsidRPr="003739CA" w:rsidRDefault="00AF747E" w:rsidP="00C44E9E">
      <w:pPr>
        <w:pStyle w:val="BodyText"/>
      </w:pPr>
      <w:r>
        <w:t xml:space="preserve">The sub-regional development scenario </w:t>
      </w:r>
      <w:r w:rsidR="00B465EC">
        <w:t xml:space="preserve">is </w:t>
      </w:r>
      <w:r>
        <w:t xml:space="preserve">here </w:t>
      </w:r>
      <w:r w:rsidR="00B465EC">
        <w:t xml:space="preserve">considered to </w:t>
      </w:r>
      <w:r>
        <w:t xml:space="preserve">best </w:t>
      </w:r>
      <w:r w:rsidR="00B465EC">
        <w:t>represent the area with the potential to be developed</w:t>
      </w:r>
      <w:r w:rsidR="00C44E9E">
        <w:t xml:space="preserve"> for tight gas</w:t>
      </w:r>
      <w:r w:rsidR="00B465EC">
        <w:t xml:space="preserve"> in a ten year timeframe</w:t>
      </w:r>
      <w:r>
        <w:t xml:space="preserve">, if there were no other impediment to development </w:t>
      </w:r>
      <w:r w:rsidR="00C44E9E">
        <w:t>(e.g.</w:t>
      </w:r>
      <w:r>
        <w:t xml:space="preserve"> regulatory restrictions</w:t>
      </w:r>
      <w:r w:rsidR="00C44E9E">
        <w:t>)</w:t>
      </w:r>
      <w:r w:rsidR="00B465EC">
        <w:t>.</w:t>
      </w:r>
      <w:r w:rsidR="00C44E9E">
        <w:t xml:space="preserve"> However, too little is understood about the shale gas potential </w:t>
      </w:r>
      <w:r w:rsidR="0030660D">
        <w:t>for</w:t>
      </w:r>
      <w:r w:rsidR="00C44E9E">
        <w:t xml:space="preserve"> development of any shale gas play in the basin within a 10 year timeframe.</w:t>
      </w:r>
    </w:p>
    <w:p w14:paraId="3BBC4DE9" w14:textId="77777777" w:rsidR="00E01F8F" w:rsidRPr="003739CA" w:rsidRDefault="00E01F8F" w:rsidP="003739CA">
      <w:pPr>
        <w:pStyle w:val="BodyText"/>
      </w:pPr>
      <w:r w:rsidRPr="003739CA">
        <w:t xml:space="preserve">Data for the key unconventional hydrocarbon targets are summarised in </w:t>
      </w:r>
      <w:r w:rsidR="00611607">
        <w:t>Table C</w:t>
      </w:r>
      <w:r w:rsidR="00761B60">
        <w:t>.</w:t>
      </w:r>
      <w:r w:rsidR="00A24684">
        <w:t>41</w:t>
      </w:r>
      <w:r w:rsidR="00761B60">
        <w:t>.</w:t>
      </w:r>
    </w:p>
    <w:p w14:paraId="4205C427" w14:textId="77777777" w:rsidR="00E01F8F" w:rsidRPr="005450A3" w:rsidRDefault="00E01F8F" w:rsidP="005450A3">
      <w:pPr>
        <w:pStyle w:val="FiguresImagesCentred"/>
      </w:pPr>
      <w:r w:rsidRPr="005450A3">
        <w:rPr>
          <w:noProof/>
        </w:rPr>
        <w:lastRenderedPageBreak/>
        <w:drawing>
          <wp:inline distT="0" distB="0" distL="0" distR="0" wp14:anchorId="33BE36DA" wp14:editId="234B0A16">
            <wp:extent cx="5756275" cy="5786120"/>
            <wp:effectExtent l="0" t="0" r="0" b="508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7" cstate="screen">
                      <a:extLst>
                        <a:ext uri="{28A0092B-C50C-407E-A947-70E740481C1C}">
                          <a14:useLocalDpi xmlns:a14="http://schemas.microsoft.com/office/drawing/2010/main"/>
                        </a:ext>
                      </a:extLst>
                    </a:blip>
                    <a:srcRect/>
                    <a:stretch>
                      <a:fillRect/>
                    </a:stretch>
                  </pic:blipFill>
                  <pic:spPr bwMode="auto">
                    <a:xfrm>
                      <a:off x="0" y="0"/>
                      <a:ext cx="5756275" cy="5786120"/>
                    </a:xfrm>
                    <a:prstGeom prst="rect">
                      <a:avLst/>
                    </a:prstGeom>
                    <a:noFill/>
                    <a:ln>
                      <a:noFill/>
                    </a:ln>
                  </pic:spPr>
                </pic:pic>
              </a:graphicData>
            </a:graphic>
          </wp:inline>
        </w:drawing>
      </w:r>
    </w:p>
    <w:p w14:paraId="7242E435" w14:textId="0ED7F6E1" w:rsidR="00E01F8F" w:rsidRDefault="00FD6771" w:rsidP="009F3E8F">
      <w:pPr>
        <w:pStyle w:val="Caption"/>
      </w:pPr>
      <w:bookmarkStart w:id="244" w:name="_Toc508972119"/>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48</w:t>
      </w:r>
      <w:r w:rsidR="008079F1">
        <w:rPr>
          <w:noProof/>
        </w:rPr>
        <w:fldChar w:fldCharType="end"/>
      </w:r>
      <w:r>
        <w:rPr>
          <w:noProof/>
        </w:rPr>
        <w:t xml:space="preserve"> </w:t>
      </w:r>
      <w:r w:rsidR="00E01F8F">
        <w:t>Wells targeting shale or tight gas plays and approximate play extents modified from Geoscience Australia (2017). Strzelecki Group play extent based on the sub-regional scale tight/shale development scenario from Goldie Divko (2015).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244"/>
    </w:p>
    <w:p w14:paraId="0B39AF81" w14:textId="77777777" w:rsidR="00E01F8F" w:rsidRDefault="00E01F8F" w:rsidP="009F3E8F">
      <w:pPr>
        <w:pStyle w:val="Caption"/>
        <w:sectPr w:rsidR="00E01F8F" w:rsidSect="005E271C">
          <w:headerReference w:type="default" r:id="rId358"/>
          <w:pgSz w:w="11907" w:h="16840"/>
          <w:pgMar w:top="1418" w:right="1134" w:bottom="1418" w:left="1134" w:header="510" w:footer="624" w:gutter="0"/>
          <w:cols w:space="720"/>
          <w:docGrid w:linePitch="326"/>
        </w:sectPr>
      </w:pPr>
    </w:p>
    <w:p w14:paraId="3F0EB138" w14:textId="0B4B7C75" w:rsidR="00E01F8F" w:rsidRDefault="00761B60" w:rsidP="009F3E8F">
      <w:pPr>
        <w:pStyle w:val="Caption"/>
      </w:pPr>
      <w:bookmarkStart w:id="245" w:name="_Toc508972190"/>
      <w:r>
        <w:lastRenderedPageBreak/>
        <w:t xml:space="preserve">Table </w:t>
      </w:r>
      <w:r w:rsidR="008079F1">
        <w:fldChar w:fldCharType="begin"/>
      </w:r>
      <w:r w:rsidR="008079F1">
        <w:instrText xml:space="preserve"> STYLEREF 9 </w:instrText>
      </w:r>
      <w:r w:rsidR="008079F1">
        <w:instrText xml:space="preserve">\s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41</w:t>
      </w:r>
      <w:r w:rsidR="008079F1">
        <w:rPr>
          <w:noProof/>
        </w:rPr>
        <w:fldChar w:fldCharType="end"/>
      </w:r>
      <w:r>
        <w:t xml:space="preserve"> </w:t>
      </w:r>
      <w:r w:rsidR="00E01F8F">
        <w:t xml:space="preserve">Summary of shale and tight gas plays </w:t>
      </w:r>
      <w:r w:rsidR="0022303B">
        <w:t>with the potential to supply gas to market in a 5 to 10 year timeframe. C</w:t>
      </w:r>
      <w:r w:rsidR="00E01F8F">
        <w:t xml:space="preserve">ompiled from Goldie Divko (2015) and </w:t>
      </w:r>
      <w:r w:rsidR="0022303B">
        <w:t>GA</w:t>
      </w:r>
      <w:r w:rsidR="00E01F8F">
        <w:t xml:space="preserve"> (2017).</w:t>
      </w:r>
      <w:r w:rsidR="0030660D">
        <w:t xml:space="preserve"> Note t</w:t>
      </w:r>
      <w:r w:rsidR="0030660D" w:rsidRPr="0030660D">
        <w:t>oo little is understood</w:t>
      </w:r>
      <w:r w:rsidR="0030660D">
        <w:t xml:space="preserve"> about the shale gas potential for</w:t>
      </w:r>
      <w:r w:rsidR="0030660D" w:rsidRPr="0030660D">
        <w:t xml:space="preserve"> development of any shale gas play in the basin within a 10 year timeframe</w:t>
      </w:r>
      <w:r w:rsidR="0030660D">
        <w:t>, so this play is not included here</w:t>
      </w:r>
      <w:r w:rsidR="0030660D" w:rsidRPr="0030660D">
        <w:t>.</w:t>
      </w:r>
      <w:bookmarkEnd w:id="245"/>
    </w:p>
    <w:tbl>
      <w:tblPr>
        <w:tblStyle w:val="TableBAHeaderRow"/>
        <w:tblW w:w="5000" w:type="pct"/>
        <w:tblLook w:val="04A0" w:firstRow="1" w:lastRow="0" w:firstColumn="1" w:lastColumn="0" w:noHBand="0" w:noVBand="1"/>
      </w:tblPr>
      <w:tblGrid>
        <w:gridCol w:w="1463"/>
        <w:gridCol w:w="1126"/>
        <w:gridCol w:w="1266"/>
        <w:gridCol w:w="700"/>
        <w:gridCol w:w="1126"/>
        <w:gridCol w:w="1840"/>
        <w:gridCol w:w="1120"/>
        <w:gridCol w:w="983"/>
        <w:gridCol w:w="1683"/>
        <w:gridCol w:w="2697"/>
      </w:tblGrid>
      <w:tr w:rsidR="00E01F8F" w14:paraId="5FE1FDCF" w14:textId="77777777" w:rsidTr="00DC345C">
        <w:trPr>
          <w:cnfStyle w:val="100000000000" w:firstRow="1" w:lastRow="0" w:firstColumn="0" w:lastColumn="0" w:oddVBand="0" w:evenVBand="0" w:oddHBand="0" w:evenHBand="0" w:firstRowFirstColumn="0" w:firstRowLastColumn="0" w:lastRowFirstColumn="0" w:lastRowLastColumn="0"/>
        </w:trPr>
        <w:tc>
          <w:tcPr>
            <w:tcW w:w="522" w:type="pct"/>
            <w:hideMark/>
          </w:tcPr>
          <w:p w14:paraId="31B18484" w14:textId="77777777" w:rsidR="00E01F8F" w:rsidRDefault="00E01F8F">
            <w:pPr>
              <w:pStyle w:val="TableTextLeft"/>
            </w:pPr>
            <w:r>
              <w:t>Formation</w:t>
            </w:r>
          </w:p>
        </w:tc>
        <w:tc>
          <w:tcPr>
            <w:tcW w:w="402" w:type="pct"/>
            <w:hideMark/>
          </w:tcPr>
          <w:p w14:paraId="02358743" w14:textId="77777777" w:rsidR="00E01F8F" w:rsidRDefault="00E01F8F">
            <w:pPr>
              <w:pStyle w:val="TableTextLeft"/>
            </w:pPr>
            <w:r>
              <w:t>Age</w:t>
            </w:r>
          </w:p>
        </w:tc>
        <w:tc>
          <w:tcPr>
            <w:tcW w:w="452" w:type="pct"/>
            <w:hideMark/>
          </w:tcPr>
          <w:p w14:paraId="5A92B781" w14:textId="77777777" w:rsidR="00E01F8F" w:rsidRDefault="00E01F8F">
            <w:pPr>
              <w:pStyle w:val="TableTextLeft"/>
            </w:pPr>
            <w:r>
              <w:t>Environment</w:t>
            </w:r>
          </w:p>
        </w:tc>
        <w:tc>
          <w:tcPr>
            <w:tcW w:w="250" w:type="pct"/>
            <w:hideMark/>
          </w:tcPr>
          <w:p w14:paraId="4996C979" w14:textId="77777777" w:rsidR="00E01F8F" w:rsidRDefault="00E01F8F">
            <w:pPr>
              <w:pStyle w:val="TableTextLeft"/>
            </w:pPr>
            <w:r>
              <w:t>Top depth</w:t>
            </w:r>
          </w:p>
          <w:p w14:paraId="38BC103B" w14:textId="77777777" w:rsidR="00E01F8F" w:rsidRDefault="00E01F8F">
            <w:pPr>
              <w:pStyle w:val="TableTextLeft"/>
            </w:pPr>
            <w:r>
              <w:t>(m)</w:t>
            </w:r>
          </w:p>
        </w:tc>
        <w:tc>
          <w:tcPr>
            <w:tcW w:w="402" w:type="pct"/>
            <w:hideMark/>
          </w:tcPr>
          <w:p w14:paraId="21C78924" w14:textId="77777777" w:rsidR="00E01F8F" w:rsidRDefault="00E01F8F">
            <w:pPr>
              <w:pStyle w:val="TableTextLeft"/>
            </w:pPr>
            <w:r>
              <w:t>Thickness (m)</w:t>
            </w:r>
          </w:p>
        </w:tc>
        <w:tc>
          <w:tcPr>
            <w:tcW w:w="657" w:type="pct"/>
            <w:hideMark/>
          </w:tcPr>
          <w:p w14:paraId="7EE4FE85" w14:textId="77777777" w:rsidR="00E01F8F" w:rsidRDefault="00E01F8F">
            <w:pPr>
              <w:pStyle w:val="TableTextLeft"/>
            </w:pPr>
            <w:r>
              <w:t>Source rocks(s)</w:t>
            </w:r>
          </w:p>
        </w:tc>
        <w:tc>
          <w:tcPr>
            <w:tcW w:w="400" w:type="pct"/>
            <w:hideMark/>
          </w:tcPr>
          <w:p w14:paraId="3205295B" w14:textId="77777777" w:rsidR="00E01F8F" w:rsidRDefault="00E01F8F">
            <w:pPr>
              <w:pStyle w:val="TableTextLeft"/>
            </w:pPr>
            <w:r>
              <w:t>Source rock TOC (%)</w:t>
            </w:r>
          </w:p>
        </w:tc>
        <w:tc>
          <w:tcPr>
            <w:tcW w:w="351" w:type="pct"/>
            <w:hideMark/>
          </w:tcPr>
          <w:p w14:paraId="0B105769" w14:textId="77777777" w:rsidR="00E01F8F" w:rsidRDefault="00E01F8F">
            <w:pPr>
              <w:pStyle w:val="TableTextLeft"/>
            </w:pPr>
            <w:r>
              <w:t>Source rock maturity</w:t>
            </w:r>
          </w:p>
          <w:p w14:paraId="0CF61856" w14:textId="77777777" w:rsidR="00E01F8F" w:rsidRDefault="00E01F8F">
            <w:pPr>
              <w:pStyle w:val="TableTextLeft"/>
            </w:pPr>
            <w:r>
              <w:t>Ro(%)</w:t>
            </w:r>
          </w:p>
        </w:tc>
        <w:tc>
          <w:tcPr>
            <w:tcW w:w="601" w:type="pct"/>
            <w:hideMark/>
          </w:tcPr>
          <w:p w14:paraId="58104FC4" w14:textId="77777777" w:rsidR="00E01F8F" w:rsidRDefault="00E01F8F">
            <w:pPr>
              <w:pStyle w:val="TableTextLeft"/>
            </w:pPr>
            <w:r>
              <w:t>Play type</w:t>
            </w:r>
          </w:p>
        </w:tc>
        <w:tc>
          <w:tcPr>
            <w:tcW w:w="963" w:type="pct"/>
            <w:hideMark/>
          </w:tcPr>
          <w:p w14:paraId="04D0F8B5" w14:textId="77777777" w:rsidR="00E01F8F" w:rsidRDefault="00E01F8F">
            <w:pPr>
              <w:pStyle w:val="TableTextLeft"/>
            </w:pPr>
            <w:r>
              <w:t>Exploration status</w:t>
            </w:r>
          </w:p>
        </w:tc>
      </w:tr>
      <w:tr w:rsidR="00E01F8F" w14:paraId="0A778F90" w14:textId="77777777" w:rsidTr="00DC345C">
        <w:trPr>
          <w:cnfStyle w:val="000000100000" w:firstRow="0" w:lastRow="0" w:firstColumn="0" w:lastColumn="0" w:oddVBand="0" w:evenVBand="0" w:oddHBand="1" w:evenHBand="0" w:firstRowFirstColumn="0" w:firstRowLastColumn="0" w:lastRowFirstColumn="0" w:lastRowLastColumn="0"/>
        </w:trPr>
        <w:tc>
          <w:tcPr>
            <w:tcW w:w="522" w:type="pct"/>
            <w:hideMark/>
          </w:tcPr>
          <w:p w14:paraId="7BD2E807" w14:textId="77777777" w:rsidR="00E01F8F" w:rsidRDefault="00E01F8F">
            <w:pPr>
              <w:pStyle w:val="TableTextLeft"/>
            </w:pPr>
            <w:r>
              <w:t xml:space="preserve">Strzelecki </w:t>
            </w:r>
          </w:p>
          <w:p w14:paraId="651C6215" w14:textId="77777777" w:rsidR="00E01F8F" w:rsidRDefault="00E01F8F">
            <w:pPr>
              <w:pStyle w:val="TableTextLeft"/>
            </w:pPr>
            <w:r>
              <w:t>Group</w:t>
            </w:r>
          </w:p>
        </w:tc>
        <w:tc>
          <w:tcPr>
            <w:tcW w:w="402" w:type="pct"/>
            <w:hideMark/>
          </w:tcPr>
          <w:p w14:paraId="0CEB9E1E" w14:textId="77777777" w:rsidR="00E01F8F" w:rsidRDefault="00E01F8F">
            <w:pPr>
              <w:pStyle w:val="TableTextLeft"/>
            </w:pPr>
            <w:r>
              <w:t>Early Cretaceous</w:t>
            </w:r>
          </w:p>
        </w:tc>
        <w:tc>
          <w:tcPr>
            <w:tcW w:w="452" w:type="pct"/>
            <w:hideMark/>
          </w:tcPr>
          <w:p w14:paraId="461D9A3F" w14:textId="77777777" w:rsidR="00E01F8F" w:rsidRDefault="00E01F8F">
            <w:pPr>
              <w:pStyle w:val="TableTextLeft"/>
            </w:pPr>
            <w:r>
              <w:t>Fluvial</w:t>
            </w:r>
          </w:p>
        </w:tc>
        <w:tc>
          <w:tcPr>
            <w:tcW w:w="250" w:type="pct"/>
            <w:hideMark/>
          </w:tcPr>
          <w:p w14:paraId="78B34950" w14:textId="77777777" w:rsidR="00E01F8F" w:rsidRDefault="00E01F8F">
            <w:pPr>
              <w:pStyle w:val="TableTextLeft"/>
            </w:pPr>
            <w:r>
              <w:t>1400</w:t>
            </w:r>
          </w:p>
        </w:tc>
        <w:tc>
          <w:tcPr>
            <w:tcW w:w="402" w:type="pct"/>
            <w:hideMark/>
          </w:tcPr>
          <w:p w14:paraId="11106785" w14:textId="77777777" w:rsidR="00E01F8F" w:rsidRPr="000350BE" w:rsidRDefault="00E01F8F" w:rsidP="000350BE">
            <w:pPr>
              <w:pStyle w:val="TableTextLeft"/>
            </w:pPr>
            <w:r w:rsidRPr="000350BE">
              <w:t>up to 3000</w:t>
            </w:r>
          </w:p>
        </w:tc>
        <w:tc>
          <w:tcPr>
            <w:tcW w:w="657" w:type="pct"/>
            <w:hideMark/>
          </w:tcPr>
          <w:p w14:paraId="3D600AB2" w14:textId="77777777" w:rsidR="00E01F8F" w:rsidRDefault="00E01F8F">
            <w:pPr>
              <w:pStyle w:val="TableTextLeft"/>
            </w:pPr>
            <w:r>
              <w:rPr>
                <w:szCs w:val="18"/>
              </w:rPr>
              <w:t>Type II/III to Type III; coal, DOM</w:t>
            </w:r>
          </w:p>
        </w:tc>
        <w:tc>
          <w:tcPr>
            <w:tcW w:w="400" w:type="pct"/>
            <w:hideMark/>
          </w:tcPr>
          <w:p w14:paraId="28871D0A" w14:textId="77777777" w:rsidR="00E01F8F" w:rsidRDefault="00E01F8F">
            <w:pPr>
              <w:pStyle w:val="TableTextLeft"/>
            </w:pPr>
            <w:r>
              <w:t>0.4–20</w:t>
            </w:r>
          </w:p>
        </w:tc>
        <w:tc>
          <w:tcPr>
            <w:tcW w:w="351" w:type="pct"/>
            <w:hideMark/>
          </w:tcPr>
          <w:p w14:paraId="6271E252" w14:textId="77777777" w:rsidR="00E01F8F" w:rsidRDefault="00E01F8F">
            <w:pPr>
              <w:pStyle w:val="TableTextLeft"/>
            </w:pPr>
            <w:r>
              <w:t>0.5–1.3</w:t>
            </w:r>
          </w:p>
        </w:tc>
        <w:tc>
          <w:tcPr>
            <w:tcW w:w="601" w:type="pct"/>
            <w:hideMark/>
          </w:tcPr>
          <w:p w14:paraId="46044DE3" w14:textId="77777777" w:rsidR="00E01F8F" w:rsidRDefault="00E01F8F">
            <w:pPr>
              <w:pStyle w:val="TableTextLeft"/>
            </w:pPr>
            <w:r>
              <w:t>Tight gas</w:t>
            </w:r>
          </w:p>
        </w:tc>
        <w:tc>
          <w:tcPr>
            <w:tcW w:w="963" w:type="pct"/>
            <w:hideMark/>
          </w:tcPr>
          <w:p w14:paraId="2E2CDF19" w14:textId="77777777" w:rsidR="00E01F8F" w:rsidRDefault="00E01F8F">
            <w:pPr>
              <w:pStyle w:val="TableTextLeft"/>
            </w:pPr>
            <w:r>
              <w:t>Preliminary exploration</w:t>
            </w:r>
          </w:p>
        </w:tc>
      </w:tr>
    </w:tbl>
    <w:p w14:paraId="27CB33BF" w14:textId="77777777" w:rsidR="00E01F8F" w:rsidRDefault="00E01F8F" w:rsidP="000520F9">
      <w:pPr>
        <w:pStyle w:val="BodyText"/>
      </w:pPr>
    </w:p>
    <w:p w14:paraId="398CF536" w14:textId="77777777" w:rsidR="00E01F8F" w:rsidRDefault="00E01F8F" w:rsidP="000350BE">
      <w:pPr>
        <w:pStyle w:val="BodyText"/>
        <w:sectPr w:rsidR="00E01F8F" w:rsidSect="005E271C">
          <w:headerReference w:type="default" r:id="rId359"/>
          <w:pgSz w:w="16840" w:h="11907" w:orient="landscape"/>
          <w:pgMar w:top="1418" w:right="1418" w:bottom="1418" w:left="1418" w:header="510" w:footer="624" w:gutter="0"/>
          <w:cols w:space="720"/>
          <w:docGrid w:linePitch="326"/>
        </w:sectPr>
      </w:pPr>
    </w:p>
    <w:p w14:paraId="6FA7F5C0" w14:textId="77777777" w:rsidR="00E01F8F" w:rsidRPr="000350BE" w:rsidRDefault="00E01F8F" w:rsidP="00E01F8F">
      <w:pPr>
        <w:pStyle w:val="AppendixHeading3"/>
        <w:rPr>
          <w:rFonts w:eastAsia="Times"/>
        </w:rPr>
      </w:pPr>
      <w:bookmarkStart w:id="246" w:name="_Toc517161179"/>
      <w:r>
        <w:lastRenderedPageBreak/>
        <w:t>Gas market access and infrastructure</w:t>
      </w:r>
      <w:bookmarkEnd w:id="246"/>
    </w:p>
    <w:p w14:paraId="198BBE7D" w14:textId="77777777" w:rsidR="00E01F8F" w:rsidRDefault="00E01F8F" w:rsidP="00E43B52">
      <w:pPr>
        <w:pStyle w:val="BodyText"/>
      </w:pPr>
      <w:r>
        <w:t>The Gippsland Basin region is serviced by an extensive road system. Exxon Mobil’s Barry Beach terminal provides port access to the Gippsland Basin (</w:t>
      </w:r>
      <w:r w:rsidR="00611607">
        <w:t>Figure C</w:t>
      </w:r>
      <w:r w:rsidR="000B580F">
        <w:t>.49</w:t>
      </w:r>
      <w:r>
        <w:t xml:space="preserve">). </w:t>
      </w:r>
    </w:p>
    <w:p w14:paraId="21177F14" w14:textId="519CB39C" w:rsidR="00E01F8F" w:rsidRDefault="00E01F8F" w:rsidP="00E43B52">
      <w:pPr>
        <w:pStyle w:val="BodyText"/>
      </w:pPr>
      <w:r>
        <w:t xml:space="preserve">Petroleum infrastructure is well developed, with a network of pipelines transporting hydrocarbons produced offshore to onshore petroleum processing facilities at Longford and Orbost. The majority of Victoria’s oil and gas is processed at Exxon Mobil’s Longford </w:t>
      </w:r>
      <w:r w:rsidR="0057612E">
        <w:t>Crude Stabilisation Plant</w:t>
      </w:r>
      <w:r>
        <w:t>. Crude oil and gas are transported via pipeline from offshore facilities in the Gippsland Basin to the Longford Crude Stabilisation Plant where they are separated into wet gas, LPG and stabilised crude oil. The stabilised crude oil is piped to Long Island Point on Westernport Bay where it is either shipped, or piped to the refineries in Altona or Geelong. Gas is fed into the Eastern Gas Pipeline which delivers gas to New South Wales, the Longford-Tasmania gas pipeline or into the local Victorian gas supply network. Santos’s Patricia Baleen Gas Processing Plant near Orbost in eastern Victoria feeds gas into the Eastern Gas Pipeline when operat</w:t>
      </w:r>
      <w:r w:rsidR="008E3B13">
        <w:t>ional</w:t>
      </w:r>
      <w:r>
        <w:t xml:space="preserve"> (Department of Economic Development, Jobs, Transport and Resources, 2017). Initially built to process gas from the Patricia and Baleen fields, and later the Longtom field, the plant is currently not operational. The plant is expected to be upgraded to process up to 74 TJ of gas per day from the Sole field when it is developed, and to be fully operational again by 2019 (Santos, 2015; Cooper Energy, 2017). Further details are summarised in </w:t>
      </w:r>
      <w:r w:rsidR="00611607">
        <w:t>Table C</w:t>
      </w:r>
      <w:r w:rsidR="00A24684">
        <w:t>.42</w:t>
      </w:r>
      <w:r w:rsidR="00761B60">
        <w:t>.</w:t>
      </w:r>
    </w:p>
    <w:p w14:paraId="1D72E88D" w14:textId="0F356D75" w:rsidR="005450A3" w:rsidRDefault="005450A3" w:rsidP="009F3E8F">
      <w:pPr>
        <w:pStyle w:val="Caption"/>
      </w:pPr>
      <w:bookmarkStart w:id="247" w:name="_Toc508972191"/>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w:instrText>
      </w:r>
      <w:r w:rsidR="008079F1">
        <w:instrText xml:space="preserve">IC \s 9 </w:instrText>
      </w:r>
      <w:r w:rsidR="008079F1">
        <w:fldChar w:fldCharType="separate"/>
      </w:r>
      <w:r w:rsidR="00640CCB">
        <w:rPr>
          <w:noProof/>
        </w:rPr>
        <w:t>42</w:t>
      </w:r>
      <w:r w:rsidR="008079F1">
        <w:rPr>
          <w:noProof/>
        </w:rPr>
        <w:fldChar w:fldCharType="end"/>
      </w:r>
      <w:r>
        <w:t xml:space="preserve"> Summary of market access and infrastructure. Pipeline information from AER (2017).</w:t>
      </w:r>
      <w:r w:rsidR="009825ED">
        <w:t xml:space="preserve"> Processing facilities from GA (2015b)</w:t>
      </w:r>
      <w:r w:rsidR="009825ED" w:rsidRPr="00495D8B">
        <w:t>.</w:t>
      </w:r>
      <w:bookmarkEnd w:id="247"/>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466"/>
        <w:gridCol w:w="6173"/>
      </w:tblGrid>
      <w:tr w:rsidR="005450A3" w14:paraId="0A97779D"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5C502B3C" w14:textId="77777777" w:rsidR="005450A3" w:rsidRDefault="005450A3" w:rsidP="00293197">
            <w:pPr>
              <w:pStyle w:val="TableTextLeft"/>
            </w:pPr>
            <w:r>
              <w:t>INFRASTRUCTURE</w:t>
            </w:r>
          </w:p>
        </w:tc>
      </w:tr>
      <w:tr w:rsidR="005450A3" w14:paraId="770AF791"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6FD47B34" w14:textId="77777777" w:rsidR="005450A3" w:rsidRDefault="005450A3" w:rsidP="00293197">
            <w:pPr>
              <w:pStyle w:val="TableTextLeft"/>
            </w:pPr>
            <w:r>
              <w:t>Gas market</w:t>
            </w:r>
          </w:p>
        </w:tc>
        <w:tc>
          <w:tcPr>
            <w:tcW w:w="3202" w:type="pct"/>
            <w:hideMark/>
          </w:tcPr>
          <w:p w14:paraId="45876A6F" w14:textId="4CD87BEE" w:rsidR="005450A3" w:rsidRDefault="005450A3" w:rsidP="00F72E01">
            <w:pPr>
              <w:pStyle w:val="TableTextLeft"/>
              <w:cnfStyle w:val="100000000000" w:firstRow="1" w:lastRow="0" w:firstColumn="0" w:lastColumn="0" w:oddVBand="0" w:evenVBand="0" w:oddHBand="0" w:evenHBand="0" w:firstRowFirstColumn="0" w:firstRowLastColumn="0" w:lastRowFirstColumn="0" w:lastRowLastColumn="0"/>
            </w:pPr>
            <w:r>
              <w:t xml:space="preserve">Currently supplies to the </w:t>
            </w:r>
            <w:r w:rsidR="006A6AF0">
              <w:t>East Coast Gas Market</w:t>
            </w:r>
          </w:p>
        </w:tc>
      </w:tr>
      <w:tr w:rsidR="005450A3" w14:paraId="1E9C3901"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7AC86E4F" w14:textId="77777777" w:rsidR="005450A3" w:rsidRDefault="005450A3" w:rsidP="00293197">
            <w:pPr>
              <w:pStyle w:val="TableTextLeft"/>
            </w:pPr>
            <w:r>
              <w:t>Gas pipelines</w:t>
            </w:r>
          </w:p>
        </w:tc>
        <w:tc>
          <w:tcPr>
            <w:tcW w:w="3202" w:type="pct"/>
            <w:hideMark/>
          </w:tcPr>
          <w:p w14:paraId="763CB79E" w14:textId="77777777" w:rsidR="005450A3" w:rsidRDefault="005450A3" w:rsidP="0029319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Victorian Transmission System (GasNet) - capacity 1030 TJ/ Day</w:t>
            </w:r>
          </w:p>
          <w:p w14:paraId="125D3065" w14:textId="77777777" w:rsidR="005450A3" w:rsidRDefault="005450A3" w:rsidP="0029319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South Gippsland ; Tasmania Gas  - capacity 250 TJ/ Day</w:t>
            </w:r>
          </w:p>
          <w:p w14:paraId="1C16603F" w14:textId="77777777" w:rsidR="005450A3" w:rsidRDefault="005450A3" w:rsidP="0029319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Vic–NSW Interconnect  - capacity 153 TJ/ Day (196 reverse)</w:t>
            </w:r>
          </w:p>
          <w:p w14:paraId="2177044A" w14:textId="77777777" w:rsidR="005450A3" w:rsidRDefault="005450A3" w:rsidP="0029319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 xml:space="preserve">Eastern Gas Pipeline (Longford to Sydney) – capacity 351 TJ/ Day </w:t>
            </w:r>
          </w:p>
          <w:p w14:paraId="6DEC5595" w14:textId="77777777" w:rsidR="005450A3" w:rsidRDefault="005450A3" w:rsidP="0029319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 xml:space="preserve">Tasmanian Gas Pipeline (Longford to Hobart) - capacity 129 TJ/ Day </w:t>
            </w:r>
          </w:p>
        </w:tc>
      </w:tr>
      <w:tr w:rsidR="005450A3" w14:paraId="0B8F0833"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6A43A936" w14:textId="77777777" w:rsidR="005450A3" w:rsidRDefault="005450A3" w:rsidP="00293197">
            <w:pPr>
              <w:pStyle w:val="TableTextLeft"/>
            </w:pPr>
            <w:r>
              <w:t>Gas processing facilities</w:t>
            </w:r>
          </w:p>
        </w:tc>
        <w:tc>
          <w:tcPr>
            <w:tcW w:w="3202" w:type="pct"/>
            <w:hideMark/>
          </w:tcPr>
          <w:p w14:paraId="40BF7241" w14:textId="77777777" w:rsidR="005450A3" w:rsidRDefault="005450A3" w:rsidP="00293197">
            <w:pPr>
              <w:pStyle w:val="TableTextLeft"/>
              <w:cnfStyle w:val="100000000000" w:firstRow="1" w:lastRow="0" w:firstColumn="0" w:lastColumn="0" w:oddVBand="0" w:evenVBand="0" w:oddHBand="0" w:evenHBand="0" w:firstRowFirstColumn="0" w:firstRowLastColumn="0" w:lastRowFirstColumn="0" w:lastRowLastColumn="0"/>
            </w:pPr>
            <w:r>
              <w:t>Longford; Long Island; Patricia/Baleen</w:t>
            </w:r>
          </w:p>
        </w:tc>
      </w:tr>
      <w:tr w:rsidR="005450A3" w14:paraId="148B151E"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093A452D" w14:textId="77777777" w:rsidR="005450A3" w:rsidRDefault="005450A3" w:rsidP="00293197">
            <w:pPr>
              <w:pStyle w:val="TableTextLeft"/>
            </w:pPr>
            <w:r>
              <w:t>Approx. distance from existing pipelines to area prospective for shale and/or tight gas</w:t>
            </w:r>
          </w:p>
        </w:tc>
        <w:tc>
          <w:tcPr>
            <w:tcW w:w="3202" w:type="pct"/>
            <w:hideMark/>
          </w:tcPr>
          <w:p w14:paraId="1B7C8F1D" w14:textId="77777777" w:rsidR="005450A3" w:rsidRDefault="005450A3" w:rsidP="00293197">
            <w:pPr>
              <w:pStyle w:val="TableTextLeft"/>
              <w:cnfStyle w:val="100000000000" w:firstRow="1" w:lastRow="0" w:firstColumn="0" w:lastColumn="0" w:oddVBand="0" w:evenVBand="0" w:oddHBand="0" w:evenHBand="0" w:firstRowFirstColumn="0" w:firstRowLastColumn="0" w:lastRowFirstColumn="0" w:lastRowLastColumn="0"/>
            </w:pPr>
            <w:r>
              <w:t>&lt;100</w:t>
            </w:r>
            <w:r w:rsidR="008232C9">
              <w:t> km</w:t>
            </w:r>
          </w:p>
        </w:tc>
      </w:tr>
      <w:tr w:rsidR="005450A3" w14:paraId="7487FA79"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36B5E19D" w14:textId="77777777" w:rsidR="005450A3" w:rsidRDefault="005450A3" w:rsidP="00293197">
            <w:pPr>
              <w:pStyle w:val="TableTextLeft"/>
            </w:pPr>
            <w:r>
              <w:t>Road and rail access</w:t>
            </w:r>
          </w:p>
        </w:tc>
        <w:tc>
          <w:tcPr>
            <w:tcW w:w="3202" w:type="pct"/>
            <w:hideMark/>
          </w:tcPr>
          <w:p w14:paraId="7A9D02F9" w14:textId="77777777" w:rsidR="005450A3" w:rsidRDefault="005450A3" w:rsidP="00293197">
            <w:pPr>
              <w:pStyle w:val="TableTextLeft"/>
              <w:cnfStyle w:val="100000000000" w:firstRow="1" w:lastRow="0" w:firstColumn="0" w:lastColumn="0" w:oddVBand="0" w:evenVBand="0" w:oddHBand="0" w:evenHBand="0" w:firstRowFirstColumn="0" w:firstRowLastColumn="0" w:lastRowFirstColumn="0" w:lastRowLastColumn="0"/>
            </w:pPr>
            <w:r>
              <w:t>Very well serviced</w:t>
            </w:r>
          </w:p>
        </w:tc>
      </w:tr>
      <w:tr w:rsidR="005450A3" w14:paraId="405A16DD"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1FA0E314" w14:textId="77777777" w:rsidR="005450A3" w:rsidRDefault="005450A3" w:rsidP="00293197">
            <w:pPr>
              <w:pStyle w:val="TableTextLeft"/>
            </w:pPr>
            <w:r>
              <w:t>Approximate development timeframe</w:t>
            </w:r>
          </w:p>
        </w:tc>
        <w:tc>
          <w:tcPr>
            <w:tcW w:w="3202" w:type="pct"/>
            <w:hideMark/>
          </w:tcPr>
          <w:p w14:paraId="7A343820" w14:textId="77777777" w:rsidR="005450A3" w:rsidRDefault="005450A3" w:rsidP="00293197">
            <w:pPr>
              <w:pStyle w:val="TableTextLeft"/>
              <w:cnfStyle w:val="100000000000" w:firstRow="1" w:lastRow="0" w:firstColumn="0" w:lastColumn="0" w:oddVBand="0" w:evenVBand="0" w:oddHBand="0" w:evenHBand="0" w:firstRowFirstColumn="0" w:firstRowLastColumn="0" w:lastRowFirstColumn="0" w:lastRowLastColumn="0"/>
            </w:pPr>
            <w:r>
              <w:t>5–10 years</w:t>
            </w:r>
          </w:p>
        </w:tc>
      </w:tr>
    </w:tbl>
    <w:p w14:paraId="5B2C0436" w14:textId="77777777" w:rsidR="005450A3" w:rsidRDefault="005450A3" w:rsidP="00E43B52">
      <w:pPr>
        <w:pStyle w:val="BodyText"/>
      </w:pPr>
    </w:p>
    <w:p w14:paraId="42AA62FC" w14:textId="77777777" w:rsidR="00E01F8F" w:rsidRPr="005450A3" w:rsidRDefault="00E01F8F" w:rsidP="00E01F8F">
      <w:pPr>
        <w:pStyle w:val="FiguresImagesCentred"/>
      </w:pPr>
      <w:r>
        <w:rPr>
          <w:noProof/>
        </w:rPr>
        <w:lastRenderedPageBreak/>
        <w:drawing>
          <wp:inline distT="0" distB="0" distL="0" distR="0" wp14:anchorId="10CEAD03" wp14:editId="78023223">
            <wp:extent cx="5796000" cy="64800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0" cstate="screen">
                      <a:extLst>
                        <a:ext uri="{28A0092B-C50C-407E-A947-70E740481C1C}">
                          <a14:useLocalDpi xmlns:a14="http://schemas.microsoft.com/office/drawing/2010/main"/>
                        </a:ext>
                      </a:extLst>
                    </a:blip>
                    <a:stretch>
                      <a:fillRect/>
                    </a:stretch>
                  </pic:blipFill>
                  <pic:spPr bwMode="auto">
                    <a:xfrm>
                      <a:off x="0" y="0"/>
                      <a:ext cx="5796000" cy="6480000"/>
                    </a:xfrm>
                    <a:prstGeom prst="rect">
                      <a:avLst/>
                    </a:prstGeom>
                    <a:noFill/>
                    <a:ln>
                      <a:noFill/>
                    </a:ln>
                  </pic:spPr>
                </pic:pic>
              </a:graphicData>
            </a:graphic>
          </wp:inline>
        </w:drawing>
      </w:r>
    </w:p>
    <w:p w14:paraId="1DA42F72" w14:textId="0C23BCA6" w:rsidR="00E01F8F" w:rsidRDefault="00FD6771" w:rsidP="009F3E8F">
      <w:pPr>
        <w:pStyle w:val="Caption"/>
      </w:pPr>
      <w:bookmarkStart w:id="248" w:name="_Toc508972120"/>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49</w:t>
      </w:r>
      <w:r w:rsidR="008079F1">
        <w:rPr>
          <w:noProof/>
        </w:rPr>
        <w:fldChar w:fldCharType="end"/>
      </w:r>
      <w:r>
        <w:rPr>
          <w:noProof/>
        </w:rPr>
        <w:t xml:space="preserve"> </w:t>
      </w:r>
      <w:r w:rsidR="00E01F8F">
        <w:t xml:space="preserve">Gippsland Basin petroleum fields, pipelines and production facilities. </w:t>
      </w:r>
      <w:r w:rsidR="00AF7FF4">
        <w:t xml:space="preserve">Oil and gas infrastructure from GA (2015a). Processing facilities from GA (2015b). </w:t>
      </w:r>
      <w:r w:rsidR="00E01F8F">
        <w:t>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248"/>
    </w:p>
    <w:p w14:paraId="317D3135" w14:textId="77777777" w:rsidR="00E01E44" w:rsidRPr="00E01E44" w:rsidRDefault="00E01E44" w:rsidP="00E01E44">
      <w:pPr>
        <w:pStyle w:val="BodyText"/>
      </w:pPr>
    </w:p>
    <w:p w14:paraId="3EBCF058" w14:textId="77777777" w:rsidR="00E01F8F" w:rsidRPr="000350BE" w:rsidRDefault="00E01F8F" w:rsidP="00E01F8F">
      <w:pPr>
        <w:pStyle w:val="AppendixHeading3"/>
      </w:pPr>
      <w:bookmarkStart w:id="249" w:name="_Toc517161180"/>
      <w:r>
        <w:t>Regulatory environment impacting shale and tight gas exploration</w:t>
      </w:r>
      <w:bookmarkEnd w:id="249"/>
    </w:p>
    <w:p w14:paraId="22A7730B" w14:textId="44C91765" w:rsidR="00E01F8F" w:rsidRPr="003739CA" w:rsidRDefault="00E01F8F" w:rsidP="003739CA">
      <w:pPr>
        <w:pStyle w:val="BodyText"/>
      </w:pPr>
      <w:r w:rsidRPr="003739CA">
        <w:t xml:space="preserve">All Australian states and territories have regulatory frameworks in place to manage impacts of petroleum exploration and production. In all Australian jurisdictions, companies intending to carry </w:t>
      </w:r>
      <w:r w:rsidRPr="003739CA">
        <w:lastRenderedPageBreak/>
        <w:t xml:space="preserve">out drilling and stimulation operations must submit several applications to the relevant departments, including a drilling application, an environment plan and a safety management plan (APPEA, 2017). </w:t>
      </w:r>
    </w:p>
    <w:p w14:paraId="3507FB51" w14:textId="5ADD5491" w:rsidR="00E01F8F" w:rsidRDefault="00E01F8F" w:rsidP="00E43B52">
      <w:pPr>
        <w:pStyle w:val="BodyText"/>
      </w:pPr>
      <w:r w:rsidRPr="003739CA">
        <w:t>Regulation is overseen by different government departments across Australia. In March 2017, the Resources Legislation Amendment (Fracking Ban) Bill 2016 passed the Victoria</w:t>
      </w:r>
      <w:r w:rsidR="00363539">
        <w:t>n</w:t>
      </w:r>
      <w:r w:rsidRPr="003739CA">
        <w:t xml:space="preserve"> Parliament (Victorian Government, 2017). This bill permanently bans all onshore unconventional gas exploration and development, including hydraulic fracturing and coal seam gas and extends the moratorium on conventional onshore gas exploration and development to 30 June 2020. </w:t>
      </w:r>
    </w:p>
    <w:p w14:paraId="0E412453" w14:textId="77777777" w:rsidR="00E01F8F" w:rsidRPr="000350BE" w:rsidRDefault="00E01F8F" w:rsidP="00E01F8F">
      <w:pPr>
        <w:pStyle w:val="AppendixHeading3"/>
        <w:rPr>
          <w:rFonts w:eastAsia="Times"/>
        </w:rPr>
      </w:pPr>
      <w:bookmarkStart w:id="250" w:name="_Toc517161181"/>
      <w:r>
        <w:t>Hydrogeology and groundwater</w:t>
      </w:r>
      <w:bookmarkEnd w:id="250"/>
      <w:r>
        <w:t xml:space="preserve"> </w:t>
      </w:r>
    </w:p>
    <w:p w14:paraId="741B4C15" w14:textId="77777777" w:rsidR="00E01F8F" w:rsidRDefault="00E01F8F" w:rsidP="005450A3">
      <w:pPr>
        <w:pStyle w:val="AppendixHeading4"/>
      </w:pPr>
      <w:r>
        <w:t>Groundwater systems</w:t>
      </w:r>
    </w:p>
    <w:p w14:paraId="5EE86328" w14:textId="03A33620" w:rsidR="00BD0302" w:rsidRPr="003739CA" w:rsidRDefault="00BD0302" w:rsidP="003739CA">
      <w:pPr>
        <w:pStyle w:val="BodyText"/>
      </w:pPr>
      <w:r w:rsidRPr="003739CA">
        <w:t xml:space="preserve">Extensive aquifer and aquitard mapping of the Gippsland Basin has been undertaken (GHD, 2012; Sinclair Knight Merz, 2009). Recent studies (Yates et al., 2015; DELWP and GSV, 2015) have provided an overview of the hydrogeology of the Gippsland Basin. A brief summary of the aquifer systems in the onshore Gippsland Basin is provided in the following sections. The classification of aquifers is taken from the Victorian Aquifer Framework (GHD, 2012). Although the term ‘Tertiary’ is now obsolete and replaced with the use of ‘Paleogene’ and ‘Neogene’, this report retains the term ‘Tertiary’ as per its use in the reviewed literature and its use in the Victorian Aquifer Framework. </w:t>
      </w:r>
    </w:p>
    <w:p w14:paraId="1430F07E" w14:textId="77777777" w:rsidR="00BD0302" w:rsidRPr="003739CA" w:rsidRDefault="00BD0302" w:rsidP="003739CA">
      <w:pPr>
        <w:pStyle w:val="BodyText"/>
      </w:pPr>
      <w:r w:rsidRPr="003739CA">
        <w:t>There are four main aquifer systems identified within the onshore Gippsland Basin (</w:t>
      </w:r>
      <w:r>
        <w:t>Figure C.50</w:t>
      </w:r>
      <w:r w:rsidRPr="003739CA">
        <w:t>): upper, middle and lower aquifer systems made up of Cenozoic strata, underlain by a Cretaceous and Palaeozoic bedrock system.</w:t>
      </w:r>
    </w:p>
    <w:p w14:paraId="3486C806" w14:textId="77777777" w:rsidR="00BD0302" w:rsidRPr="000520F9" w:rsidRDefault="00BD0302" w:rsidP="00D15FEC">
      <w:pPr>
        <w:pStyle w:val="AppendixHeading5"/>
      </w:pPr>
      <w:r w:rsidRPr="000520F9">
        <w:rPr>
          <w:rFonts w:eastAsia="Calibri"/>
        </w:rPr>
        <w:t xml:space="preserve">Upper aquifer system (Miocene to </w:t>
      </w:r>
      <w:r w:rsidRPr="000520F9">
        <w:t>Quaternary): Sale Group sediments</w:t>
      </w:r>
    </w:p>
    <w:p w14:paraId="31B45523" w14:textId="0A6D36B8" w:rsidR="00BD0302" w:rsidRDefault="00BD0302" w:rsidP="00E43B52">
      <w:pPr>
        <w:pStyle w:val="BodyText"/>
      </w:pPr>
      <w:r>
        <w:t xml:space="preserve">The upper aquifer system includes the lower permeability unit of the Boisdale Formation (the Nuntin Clay Member), and the gravelly Haunted Hills Formation, Eagle Point Sand Member and various undifferentiated Quaternary deposits. Both of these aquifers </w:t>
      </w:r>
      <w:r w:rsidRPr="004B1F62">
        <w:t>occur over much of the Gippsland Basin</w:t>
      </w:r>
      <w:r>
        <w:t>, they are clay-dominated and low-yielding, however in some areas well-developed sand and gravel layers can produce significant quantities of groundwater. The Haunted Hills Formation can range in thickness between 5 and 100 m (Hofmann, 2011). The aquifers of the Haunted Hills Formation and Quaternary deposits are generally within 30 m of the land surface and are unconfined to semi-confined (Walker and Mollica, 1990).</w:t>
      </w:r>
    </w:p>
    <w:p w14:paraId="6E32FA13" w14:textId="77777777" w:rsidR="00BD0302" w:rsidRPr="005450A3" w:rsidRDefault="00BD0302" w:rsidP="00D15FEC">
      <w:pPr>
        <w:pStyle w:val="AppendixHeading5"/>
      </w:pPr>
      <w:r w:rsidRPr="005450A3">
        <w:t>Middle aquifer system (Oligocene to Miocene): Latrobe Valley Group and Seaspray Group sediments</w:t>
      </w:r>
    </w:p>
    <w:p w14:paraId="34B0AD5B" w14:textId="7BF77730" w:rsidR="00BD0302" w:rsidRPr="00E43B52" w:rsidRDefault="00BD0302" w:rsidP="003739CA">
      <w:pPr>
        <w:pStyle w:val="BodyText"/>
        <w:rPr>
          <w:rStyle w:val="BodyTextChar"/>
        </w:rPr>
      </w:pPr>
      <w:r w:rsidRPr="00E43B52">
        <w:rPr>
          <w:rStyle w:val="BodyTextChar"/>
        </w:rPr>
        <w:t>The middle aquifer system consists of a number of aquifers (the Upper Tertiary Aquifer, the Upper Mid-Tertiary Aquifer and the Lower Mid-Tertiary Aquifer) and aquitards (the Upper Tertiary Aquitard and the Upper Mid-Tertiary Aquitard). It</w:t>
      </w:r>
      <w:r>
        <w:rPr>
          <w:rStyle w:val="BodyTextChar"/>
        </w:rPr>
        <w:t xml:space="preserve"> is found in </w:t>
      </w:r>
      <w:r w:rsidRPr="00E43B52">
        <w:rPr>
          <w:rStyle w:val="BodyTextChar"/>
        </w:rPr>
        <w:t>three regions in the onshore portion of the Gippsland Basin</w:t>
      </w:r>
      <w:r>
        <w:rPr>
          <w:rStyle w:val="BodyTextChar"/>
        </w:rPr>
        <w:t>, with each region having</w:t>
      </w:r>
      <w:r w:rsidRPr="00E43B52">
        <w:rPr>
          <w:rStyle w:val="BodyTextChar"/>
        </w:rPr>
        <w:t xml:space="preserve"> relatively distinct hydrogeological properties. In the east (near Orbost) and the south, the system is dominated by marine rocks, limestones and marls of the Seaspray Group. Heading west and north, the sandstone of the Balook Formation </w:t>
      </w:r>
      <w:r w:rsidRPr="00E43B52">
        <w:rPr>
          <w:rStyle w:val="BodyTextChar"/>
        </w:rPr>
        <w:lastRenderedPageBreak/>
        <w:t>(deposited as barrier sands with interbedded clays) dominates the system. Heading further west and north into the Latrobe Valley Depression, alluvial and fluvial sediments, sandstones, coal, siltstones and shales of the Latrobe Valley Group dominate.</w:t>
      </w:r>
    </w:p>
    <w:p w14:paraId="78F738AC" w14:textId="77777777" w:rsidR="00BD0302" w:rsidRDefault="00BD0302" w:rsidP="00D15FEC">
      <w:pPr>
        <w:pStyle w:val="AppendixHeading5"/>
      </w:pPr>
      <w:r>
        <w:t>Lower aquifer system (Eocene to Oligocene): Latrobe Group sediments and volcanics</w:t>
      </w:r>
    </w:p>
    <w:p w14:paraId="3F461CAA" w14:textId="083838B7" w:rsidR="00BD0302" w:rsidRDefault="00BD0302" w:rsidP="003739CA">
      <w:pPr>
        <w:pStyle w:val="BodyText"/>
      </w:pPr>
      <w:r w:rsidRPr="003739CA">
        <w:t>The lower aquifer system extends over most of the onshore Gippsland Basin as well as offshore. Included in this group are the Latrobe Group sediments and the Thorpdale and Currajung volcanics. The Latrobe Group consists of two aquitards and two aquifers: the T1 coal</w:t>
      </w:r>
      <w:r>
        <w:t xml:space="preserve"> seam aquitard, which </w:t>
      </w:r>
      <w:r w:rsidRPr="003739CA">
        <w:t>overli</w:t>
      </w:r>
      <w:r>
        <w:t>es</w:t>
      </w:r>
      <w:r w:rsidRPr="003739CA">
        <w:t xml:space="preserve"> and confin</w:t>
      </w:r>
      <w:r>
        <w:t>es</w:t>
      </w:r>
      <w:r w:rsidRPr="003739CA">
        <w:t xml:space="preserve"> the T1 aquifer; and the T2 coal</w:t>
      </w:r>
      <w:r>
        <w:t xml:space="preserve"> seam aquitard</w:t>
      </w:r>
      <w:r w:rsidRPr="003739CA">
        <w:t>,</w:t>
      </w:r>
      <w:r>
        <w:t xml:space="preserve"> which </w:t>
      </w:r>
      <w:r w:rsidRPr="003739CA">
        <w:t>overli</w:t>
      </w:r>
      <w:r>
        <w:t>es</w:t>
      </w:r>
      <w:r w:rsidRPr="003739CA">
        <w:t xml:space="preserve"> and confin</w:t>
      </w:r>
      <w:r>
        <w:t>es</w:t>
      </w:r>
      <w:r w:rsidRPr="003739CA">
        <w:t xml:space="preserve"> the T2 aquifer (Schaeffer, 2008)</w:t>
      </w:r>
      <w:r>
        <w:t xml:space="preserve"> </w:t>
      </w:r>
      <w:r w:rsidRPr="003739CA">
        <w:t>(</w:t>
      </w:r>
      <w:r>
        <w:t>Figure C.50</w:t>
      </w:r>
      <w:r w:rsidRPr="003739CA">
        <w:t>). These aquifers are generally high yielding (up to 100 L/s) and of good quality, forming the most reliable groundwater source in the onshore part of the Gippsland Basin (Hatton et al., 2004). The T1 aquifer is regionally extensive</w:t>
      </w:r>
      <w:r>
        <w:t>; t</w:t>
      </w:r>
      <w:r w:rsidRPr="003739CA">
        <w:t xml:space="preserve">he T2 aquifer is more prominent </w:t>
      </w:r>
      <w:r>
        <w:t>in the southern portion of the Gippsland Basin</w:t>
      </w:r>
      <w:r w:rsidRPr="003739CA">
        <w:t xml:space="preserve"> (Schaeffer, 2008).</w:t>
      </w:r>
    </w:p>
    <w:p w14:paraId="7FC67B19" w14:textId="77777777" w:rsidR="00BD0302" w:rsidRDefault="00BD0302" w:rsidP="003739CA">
      <w:pPr>
        <w:pStyle w:val="BodyText"/>
      </w:pPr>
    </w:p>
    <w:p w14:paraId="7C6D6A03" w14:textId="77777777" w:rsidR="00BD0302" w:rsidRDefault="00BD0302" w:rsidP="00D15FEC">
      <w:pPr>
        <w:pStyle w:val="AppendixHeading5"/>
      </w:pPr>
      <w:r>
        <w:t>Bedrock aquifer system (Cretaceous, and Ordovician to Carboniferous): Strzelecki Group and Paleozoic basement sediments and intrusives</w:t>
      </w:r>
    </w:p>
    <w:p w14:paraId="0C88DF91" w14:textId="77777777" w:rsidR="00BD0302" w:rsidRDefault="00BD0302" w:rsidP="005450A3">
      <w:pPr>
        <w:pStyle w:val="BodyText"/>
      </w:pPr>
      <w:r>
        <w:t>The Early Cretaceous Strzelecki Group and the underlying Paleozoic rocks are often referred to as groundwater basement due to their low matrix permeability. While not transmitting large quantities of groundwater in the Gippsland Basin, these aquifers are known to maintain baseflow in many of the streams and rivers in the Gippsland Basin (Nicol, 2010).</w:t>
      </w:r>
    </w:p>
    <w:p w14:paraId="79F5757F" w14:textId="77777777" w:rsidR="00BD0302" w:rsidRDefault="00BD0302"/>
    <w:p w14:paraId="192684B6" w14:textId="77777777" w:rsidR="005450A3" w:rsidRPr="003739CA" w:rsidRDefault="005450A3" w:rsidP="003739CA">
      <w:pPr>
        <w:pStyle w:val="BodyText"/>
      </w:pPr>
    </w:p>
    <w:p w14:paraId="75BE099D" w14:textId="77777777" w:rsidR="00E01F8F" w:rsidRDefault="00E01F8F" w:rsidP="00E43B52">
      <w:pPr>
        <w:pStyle w:val="FiguresImagesCentred"/>
      </w:pPr>
      <w:r>
        <w:rPr>
          <w:noProof/>
        </w:rPr>
        <w:lastRenderedPageBreak/>
        <w:drawing>
          <wp:inline distT="0" distB="0" distL="0" distR="0" wp14:anchorId="3C2A9F41" wp14:editId="4A2C622B">
            <wp:extent cx="5410200" cy="7770305"/>
            <wp:effectExtent l="0" t="0" r="0" b="254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1" cstate="screen">
                      <a:extLst>
                        <a:ext uri="{28A0092B-C50C-407E-A947-70E740481C1C}">
                          <a14:useLocalDpi xmlns:a14="http://schemas.microsoft.com/office/drawing/2010/main"/>
                        </a:ext>
                      </a:extLst>
                    </a:blip>
                    <a:srcRect/>
                    <a:stretch>
                      <a:fillRect/>
                    </a:stretch>
                  </pic:blipFill>
                  <pic:spPr bwMode="auto">
                    <a:xfrm>
                      <a:off x="0" y="0"/>
                      <a:ext cx="5407763" cy="7766805"/>
                    </a:xfrm>
                    <a:prstGeom prst="rect">
                      <a:avLst/>
                    </a:prstGeom>
                    <a:noFill/>
                    <a:ln>
                      <a:noFill/>
                    </a:ln>
                  </pic:spPr>
                </pic:pic>
              </a:graphicData>
            </a:graphic>
          </wp:inline>
        </w:drawing>
      </w:r>
    </w:p>
    <w:p w14:paraId="3B4C3B8A" w14:textId="2A734855" w:rsidR="00BD0302" w:rsidRDefault="00BD0302" w:rsidP="00E43B52">
      <w:pPr>
        <w:pStyle w:val="Caption"/>
        <w:rPr>
          <w:noProof/>
        </w:rPr>
      </w:pPr>
      <w:bookmarkStart w:id="251" w:name="_Toc499547610"/>
      <w:bookmarkStart w:id="252" w:name="_Toc508972121"/>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50</w:t>
      </w:r>
      <w:r w:rsidR="008079F1">
        <w:rPr>
          <w:noProof/>
        </w:rPr>
        <w:fldChar w:fldCharType="end"/>
      </w:r>
      <w:r>
        <w:rPr>
          <w:noProof/>
        </w:rPr>
        <w:t xml:space="preserve"> Hydrostratigraphy of the onshore Gippsland Basin (Source: Yates et al., 2015).</w:t>
      </w:r>
      <w:bookmarkEnd w:id="251"/>
      <w:bookmarkEnd w:id="252"/>
    </w:p>
    <w:p w14:paraId="7694EBF4" w14:textId="77777777" w:rsidR="00BD0302" w:rsidRDefault="00BD0302"/>
    <w:p w14:paraId="57A40453" w14:textId="77777777" w:rsidR="00FD6771" w:rsidRPr="00FD6771" w:rsidRDefault="00FD6771" w:rsidP="00FD6771">
      <w:pPr>
        <w:pStyle w:val="BodyText"/>
      </w:pPr>
    </w:p>
    <w:p w14:paraId="4A46CB67" w14:textId="77777777" w:rsidR="00E01F8F" w:rsidRPr="000350BE" w:rsidRDefault="00E01F8F" w:rsidP="00E01F8F">
      <w:pPr>
        <w:pStyle w:val="AppendixHeading4"/>
      </w:pPr>
      <w:r>
        <w:lastRenderedPageBreak/>
        <w:t>Groundwater quality</w:t>
      </w:r>
    </w:p>
    <w:p w14:paraId="443A14A1" w14:textId="77777777" w:rsidR="00BD0302" w:rsidRDefault="00BD0302" w:rsidP="00E43B52">
      <w:pPr>
        <w:pStyle w:val="BodyText"/>
      </w:pPr>
      <w:r>
        <w:t xml:space="preserve">A number of aquifers in the Gippsland Basin are high yielding and contain good quality groundwater. Groundwater quality varies with depth as well as across the basin, within and between the different aquifers. </w:t>
      </w:r>
    </w:p>
    <w:p w14:paraId="0336333E" w14:textId="77777777" w:rsidR="00BD0302" w:rsidRDefault="00BD0302" w:rsidP="00E43B52">
      <w:pPr>
        <w:pStyle w:val="BodyText"/>
      </w:pPr>
      <w:r>
        <w:t>Low salinity groundwater, with total dissolved solids (TDS) values below 1000 mg/L, is found in the upper aquifer system in the Lake Wellington catchment and Mitchell River valley, as well as around the regions of Moe and Orbost, the South Gippsland Coast and in the upper valleys of the Macalister Mitchell, Tambo and Snowy rivers (Southern Rural Water, 2012). Groundwater within the surficial aquifers across the reminder of the basin is generally of poorer quality (TDS&gt;1000 mg/L).</w:t>
      </w:r>
    </w:p>
    <w:p w14:paraId="51588154" w14:textId="77777777" w:rsidR="00BD0302" w:rsidRDefault="00BD0302" w:rsidP="00E43B52">
      <w:pPr>
        <w:pStyle w:val="BodyText"/>
      </w:pPr>
      <w:r>
        <w:t>The uppermost part of the middle aquifer system, the Boisdale Formation (Wurruk Sand Member) is an important aquifer within the Gippsland Basin due to its high pumping yields and generally low salinity. The groundwater salinity is generally less than 500 mg/L TDS, however higher salinity groundwater (500–3500 mg/L TDS) is evident in the region between Rosedale and Maffra in the north; in the eastern part of the aquifer, towards Lakes Entrance; and in the southwest and south along the coast. Groundwater salinity in the lower aquifer system is generally below 3500 mg/L TDS. Salinity generally increases towards the east. In general, areas of higher salinity groundwater (3500–13,000 mg/L TDS) are evident in the bedrock aquifer, particularly in the region of Heyfield, Metung–Lakes Entrance, Orbost and Marlo regions.</w:t>
      </w:r>
    </w:p>
    <w:p w14:paraId="4B664903" w14:textId="77777777" w:rsidR="00BD0302" w:rsidRPr="000350BE" w:rsidRDefault="00BD0302" w:rsidP="00D15FEC">
      <w:pPr>
        <w:pStyle w:val="AppendixHeading4"/>
      </w:pPr>
      <w:r>
        <w:t>Groundwater flow</w:t>
      </w:r>
    </w:p>
    <w:p w14:paraId="2E0BCC3C" w14:textId="77777777" w:rsidR="00BD0302" w:rsidRDefault="00BD0302" w:rsidP="00E43B52">
      <w:pPr>
        <w:pStyle w:val="BodyText"/>
      </w:pPr>
      <w:r>
        <w:t>The groundwater flow systems in the Gippsland Basin are complex as a result of variability in lithostratigraphy and hydraulic properties as well as tectonic movements experienced after deposition. Some aquifers extend over large areas, and partly into the offshore parts of the basin, through complex geological structures, while other aquifers are only of local extent (Schaeffer, 2008). The lithologies of the regional aquifer systems are relatively consistent in a north–south direction across the onshore portion of the basin. However, from west to east, the lithologies vary from being predominantly coal rich, to a sandy sequence and then predominantly limestone and marl (Schaeffer, 2008). In general, groundwater flow generally mimics topography and flow is towards the coast or local and regional discharge features in the basin.</w:t>
      </w:r>
    </w:p>
    <w:p w14:paraId="15A6F2F7" w14:textId="77777777" w:rsidR="00BD0302" w:rsidRPr="004B50DB" w:rsidRDefault="00BD0302" w:rsidP="00D15FEC">
      <w:pPr>
        <w:pStyle w:val="AppendixHeading4"/>
      </w:pPr>
      <w:r w:rsidRPr="004B50DB">
        <w:t>Groundwater planning and use</w:t>
      </w:r>
    </w:p>
    <w:p w14:paraId="40C3A70D" w14:textId="79F7C99C" w:rsidR="00BD0302" w:rsidRDefault="00BD0302" w:rsidP="00E43B52">
      <w:pPr>
        <w:pStyle w:val="BodyText"/>
      </w:pPr>
      <w:r>
        <w:t>Groundwater management in the Gippsland Basin is organised into several groundwater catchment areas. Within these groundwater catchment areas, where there is more intensive groundwater use, groundwater is managed within groundwater management units (GMUs) called either water supply protection areas (WSPAs) or groundwater management areas (GMAs). Groundwater is managed in these GMUs under conditions set out by local management plans for each GMU.</w:t>
      </w:r>
    </w:p>
    <w:p w14:paraId="2CEC75D7" w14:textId="4ADC8535" w:rsidR="00BD0302" w:rsidRDefault="00BD0302" w:rsidP="00E43B52">
      <w:pPr>
        <w:pStyle w:val="BodyText"/>
      </w:pPr>
      <w:r>
        <w:t>Groundwater is used for irrigation, urban water supply, stock and domestic, industrial and power station cooling</w:t>
      </w:r>
      <w:r w:rsidR="00282CDD">
        <w:t xml:space="preserve"> purposes</w:t>
      </w:r>
      <w:r>
        <w:t xml:space="preserve">. It is also an important water source for many ecosystems across the </w:t>
      </w:r>
      <w:r>
        <w:lastRenderedPageBreak/>
        <w:t>Gippsland Basin. Groundwater from shallow and deep aquifers either supplies or supplements the water supply to a number of towns across Gippsland, including: Sale, Boisdale, Briagolong, Wurruk and Yarragon. Sale’s town water supply has been solely sourced from groundwater since 1970 (Schaeffer, 2008). Groundwater has also become increasingly investigated as a contingency water supply for other towns throughout the Gippsland Basin (e.g. Thorpdale) (Gippsland Water, 2012).</w:t>
      </w:r>
    </w:p>
    <w:p w14:paraId="067183F6" w14:textId="77777777" w:rsidR="00BD0302" w:rsidRDefault="00BD0302" w:rsidP="00E43B52">
      <w:pPr>
        <w:pStyle w:val="BodyText"/>
      </w:pPr>
      <w:r>
        <w:t xml:space="preserve">There are about 164 GL of licensed groundwater entitlements in the Gippsland Basin. In any managed groundwater area, the licensed entitlement is capped at the permissible consumptive volume. </w:t>
      </w:r>
    </w:p>
    <w:p w14:paraId="4BE03973" w14:textId="7875891A" w:rsidR="00BD0302" w:rsidRDefault="00BD0302" w:rsidP="00E43B52">
      <w:pPr>
        <w:pStyle w:val="BodyText"/>
      </w:pPr>
      <w:r>
        <w:t xml:space="preserve">Table C.43 below presents information from the NGIS (BoM, 2016) and shows summary information of registered bores in the basin. </w:t>
      </w:r>
    </w:p>
    <w:p w14:paraId="7408DCBF" w14:textId="77777777" w:rsidR="00BD0302" w:rsidRDefault="00BD0302" w:rsidP="00E43B52">
      <w:pPr>
        <w:pStyle w:val="Caption"/>
        <w:rPr>
          <w:rFonts w:eastAsia="Times New Roman"/>
        </w:rPr>
      </w:pPr>
      <w:bookmarkStart w:id="253" w:name="_Toc499547513"/>
      <w:bookmarkStart w:id="254" w:name="_Toc508972192"/>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43</w:t>
      </w:r>
      <w:r w:rsidR="008079F1">
        <w:rPr>
          <w:noProof/>
        </w:rPr>
        <w:fldChar w:fldCharType="end"/>
      </w:r>
      <w:r>
        <w:t xml:space="preserve"> Summary of groundwater bores and water use in the Gippsland Basin</w:t>
      </w:r>
      <w:bookmarkEnd w:id="253"/>
      <w:bookmarkEnd w:id="254"/>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BD0302" w14:paraId="6EC46277"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130981C7" w14:textId="50199957" w:rsidR="00BD0302" w:rsidRDefault="00BD0302">
            <w:pPr>
              <w:pStyle w:val="TableTextLeft"/>
            </w:pPr>
            <w:r>
              <w:t>GROUNDWATER BORES AND WATER USE</w:t>
            </w:r>
          </w:p>
        </w:tc>
      </w:tr>
      <w:tr w:rsidR="00BD0302" w14:paraId="045AD0B7"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7F0271C1" w14:textId="77777777" w:rsidR="00BD0302" w:rsidRDefault="00BD0302">
            <w:pPr>
              <w:pStyle w:val="TableTextLeft"/>
            </w:pPr>
            <w:r>
              <w:t>Number of bores (Density of Registered Bores - bores/km</w:t>
            </w:r>
            <w:r>
              <w:rPr>
                <w:vertAlign w:val="superscript"/>
              </w:rPr>
              <w:t>2</w:t>
            </w:r>
            <w:r>
              <w:t>)</w:t>
            </w:r>
          </w:p>
        </w:tc>
        <w:tc>
          <w:tcPr>
            <w:tcW w:w="2421" w:type="pct"/>
            <w:hideMark/>
          </w:tcPr>
          <w:p w14:paraId="1BD2E2FD" w14:textId="77777777" w:rsidR="00BD0302" w:rsidRDefault="00BD0302">
            <w:pPr>
              <w:pStyle w:val="TableTextLeft"/>
              <w:cnfStyle w:val="100000000000" w:firstRow="1" w:lastRow="0" w:firstColumn="0" w:lastColumn="0" w:oddVBand="0" w:evenVBand="0" w:oddHBand="0" w:evenHBand="0" w:firstRowFirstColumn="0" w:firstRowLastColumn="0" w:lastRowFirstColumn="0" w:lastRowLastColumn="0"/>
            </w:pPr>
            <w:r>
              <w:t>32,564 (2.82)</w:t>
            </w:r>
          </w:p>
        </w:tc>
      </w:tr>
      <w:tr w:rsidR="00BD0302" w14:paraId="6EC2E51E"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2B05B6ED" w14:textId="77777777" w:rsidR="00BD0302" w:rsidRDefault="00BD0302">
            <w:pPr>
              <w:pStyle w:val="TableTextLeft"/>
            </w:pPr>
            <w:r>
              <w:t>Purposes of registered bores</w:t>
            </w:r>
          </w:p>
          <w:p w14:paraId="15476FA7" w14:textId="77777777" w:rsidR="00BD0302" w:rsidRDefault="00BD0302">
            <w:pPr>
              <w:pStyle w:val="TableTextLeft"/>
            </w:pPr>
            <w:r>
              <w:t xml:space="preserve">(Top 5, number) </w:t>
            </w:r>
          </w:p>
          <w:p w14:paraId="70930D11" w14:textId="77777777" w:rsidR="00BD0302" w:rsidRDefault="00BD0302">
            <w:pPr>
              <w:pStyle w:val="TableTextLeft"/>
            </w:pPr>
          </w:p>
        </w:tc>
        <w:tc>
          <w:tcPr>
            <w:tcW w:w="2421" w:type="pct"/>
            <w:hideMark/>
          </w:tcPr>
          <w:tbl>
            <w:tblPr>
              <w:tblW w:w="4200" w:type="dxa"/>
              <w:tblLook w:val="04A0" w:firstRow="1" w:lastRow="0" w:firstColumn="1" w:lastColumn="0" w:noHBand="0" w:noVBand="1"/>
            </w:tblPr>
            <w:tblGrid>
              <w:gridCol w:w="2122"/>
              <w:gridCol w:w="2078"/>
            </w:tblGrid>
            <w:tr w:rsidR="00BD0302" w14:paraId="7986F4FD" w14:textId="77777777" w:rsidTr="00E01E44">
              <w:trPr>
                <w:trHeight w:val="300"/>
              </w:trPr>
              <w:tc>
                <w:tcPr>
                  <w:tcW w:w="2120" w:type="dxa"/>
                  <w:noWrap/>
                  <w:vAlign w:val="bottom"/>
                  <w:hideMark/>
                </w:tcPr>
                <w:p w14:paraId="5469363E" w14:textId="77777777" w:rsidR="00BD0302" w:rsidRDefault="00BD0302">
                  <w:pPr>
                    <w:pStyle w:val="TableTextLeft"/>
                  </w:pPr>
                  <w:r>
                    <w:t>Exploration</w:t>
                  </w:r>
                </w:p>
              </w:tc>
              <w:tc>
                <w:tcPr>
                  <w:tcW w:w="2076" w:type="dxa"/>
                  <w:noWrap/>
                  <w:vAlign w:val="bottom"/>
                  <w:hideMark/>
                </w:tcPr>
                <w:p w14:paraId="6352C61B" w14:textId="77777777" w:rsidR="00BD0302" w:rsidRDefault="00BD0302" w:rsidP="000350BE">
                  <w:pPr>
                    <w:pStyle w:val="TableTextRight0"/>
                  </w:pPr>
                  <w:r>
                    <w:t>19,424</w:t>
                  </w:r>
                </w:p>
              </w:tc>
            </w:tr>
            <w:tr w:rsidR="00BD0302" w14:paraId="00A557F3" w14:textId="77777777" w:rsidTr="00E01E44">
              <w:trPr>
                <w:trHeight w:val="300"/>
              </w:trPr>
              <w:tc>
                <w:tcPr>
                  <w:tcW w:w="2120" w:type="dxa"/>
                  <w:noWrap/>
                  <w:vAlign w:val="bottom"/>
                  <w:hideMark/>
                </w:tcPr>
                <w:p w14:paraId="49717F6D" w14:textId="77777777" w:rsidR="00BD0302" w:rsidRDefault="00BD0302">
                  <w:pPr>
                    <w:pStyle w:val="TableTextLeft"/>
                  </w:pPr>
                  <w:r>
                    <w:t>Stock</w:t>
                  </w:r>
                </w:p>
              </w:tc>
              <w:tc>
                <w:tcPr>
                  <w:tcW w:w="2076" w:type="dxa"/>
                  <w:noWrap/>
                  <w:vAlign w:val="bottom"/>
                  <w:hideMark/>
                </w:tcPr>
                <w:p w14:paraId="223259A2" w14:textId="77777777" w:rsidR="00BD0302" w:rsidRDefault="00BD0302" w:rsidP="000350BE">
                  <w:pPr>
                    <w:pStyle w:val="TableTextRight0"/>
                  </w:pPr>
                  <w:r>
                    <w:t>4356</w:t>
                  </w:r>
                </w:p>
              </w:tc>
            </w:tr>
            <w:tr w:rsidR="00BD0302" w14:paraId="4CE57B06" w14:textId="77777777" w:rsidTr="00E01E44">
              <w:trPr>
                <w:trHeight w:val="300"/>
              </w:trPr>
              <w:tc>
                <w:tcPr>
                  <w:tcW w:w="2120" w:type="dxa"/>
                  <w:noWrap/>
                  <w:vAlign w:val="bottom"/>
                  <w:hideMark/>
                </w:tcPr>
                <w:p w14:paraId="622BAC50" w14:textId="77777777" w:rsidR="00BD0302" w:rsidRDefault="00BD0302">
                  <w:pPr>
                    <w:pStyle w:val="TableTextLeft"/>
                  </w:pPr>
                  <w:r>
                    <w:t>Unknown</w:t>
                  </w:r>
                </w:p>
              </w:tc>
              <w:tc>
                <w:tcPr>
                  <w:tcW w:w="2076" w:type="dxa"/>
                  <w:noWrap/>
                  <w:vAlign w:val="bottom"/>
                  <w:hideMark/>
                </w:tcPr>
                <w:p w14:paraId="407E6B41" w14:textId="77777777" w:rsidR="00BD0302" w:rsidRDefault="00BD0302" w:rsidP="000350BE">
                  <w:pPr>
                    <w:pStyle w:val="TableTextRight0"/>
                  </w:pPr>
                  <w:r>
                    <w:t>3502</w:t>
                  </w:r>
                </w:p>
              </w:tc>
            </w:tr>
            <w:tr w:rsidR="00BD0302" w14:paraId="75FE483B" w14:textId="77777777" w:rsidTr="00E01E44">
              <w:trPr>
                <w:trHeight w:val="300"/>
              </w:trPr>
              <w:tc>
                <w:tcPr>
                  <w:tcW w:w="2120" w:type="dxa"/>
                  <w:noWrap/>
                  <w:vAlign w:val="bottom"/>
                  <w:hideMark/>
                </w:tcPr>
                <w:p w14:paraId="1AAD69ED" w14:textId="77777777" w:rsidR="00BD0302" w:rsidRDefault="00BD0302">
                  <w:pPr>
                    <w:pStyle w:val="TableTextLeft"/>
                  </w:pPr>
                  <w:r>
                    <w:t>Domestic Household</w:t>
                  </w:r>
                </w:p>
              </w:tc>
              <w:tc>
                <w:tcPr>
                  <w:tcW w:w="2076" w:type="dxa"/>
                  <w:noWrap/>
                  <w:vAlign w:val="bottom"/>
                  <w:hideMark/>
                </w:tcPr>
                <w:p w14:paraId="09C56D49" w14:textId="77777777" w:rsidR="00BD0302" w:rsidRDefault="00BD0302" w:rsidP="000350BE">
                  <w:pPr>
                    <w:pStyle w:val="TableTextRight0"/>
                  </w:pPr>
                  <w:r>
                    <w:t>1470</w:t>
                  </w:r>
                </w:p>
              </w:tc>
            </w:tr>
            <w:tr w:rsidR="00BD0302" w14:paraId="6CAFA2FE" w14:textId="77777777" w:rsidTr="00E01E44">
              <w:trPr>
                <w:trHeight w:val="300"/>
              </w:trPr>
              <w:tc>
                <w:tcPr>
                  <w:tcW w:w="2120" w:type="dxa"/>
                  <w:noWrap/>
                  <w:vAlign w:val="bottom"/>
                  <w:hideMark/>
                </w:tcPr>
                <w:p w14:paraId="372600E9" w14:textId="77777777" w:rsidR="00BD0302" w:rsidRDefault="00BD0302">
                  <w:pPr>
                    <w:pStyle w:val="TableTextLeft"/>
                  </w:pPr>
                  <w:r>
                    <w:t>Monitoring</w:t>
                  </w:r>
                </w:p>
              </w:tc>
              <w:tc>
                <w:tcPr>
                  <w:tcW w:w="2076" w:type="dxa"/>
                  <w:noWrap/>
                  <w:vAlign w:val="bottom"/>
                  <w:hideMark/>
                </w:tcPr>
                <w:p w14:paraId="47FDBFB0" w14:textId="77777777" w:rsidR="00BD0302" w:rsidRDefault="00BD0302" w:rsidP="000350BE">
                  <w:pPr>
                    <w:pStyle w:val="TableTextRight0"/>
                  </w:pPr>
                  <w:r>
                    <w:t>1177</w:t>
                  </w:r>
                </w:p>
              </w:tc>
            </w:tr>
          </w:tbl>
          <w:p w14:paraId="290CE53C" w14:textId="77777777" w:rsidR="00BD0302" w:rsidRDefault="00BD0302">
            <w:pPr>
              <w:pStyle w:val="TableTextLeft"/>
              <w:cnfStyle w:val="100000000000" w:firstRow="1" w:lastRow="0" w:firstColumn="0" w:lastColumn="0" w:oddVBand="0" w:evenVBand="0" w:oddHBand="0" w:evenHBand="0" w:firstRowFirstColumn="0" w:firstRowLastColumn="0" w:lastRowFirstColumn="0" w:lastRowLastColumn="0"/>
            </w:pPr>
          </w:p>
        </w:tc>
      </w:tr>
      <w:tr w:rsidR="00BD0302" w14:paraId="56B4C641" w14:textId="77777777" w:rsidTr="00E01E44">
        <w:trPr>
          <w:cnfStyle w:val="100000000000" w:firstRow="1" w:lastRow="0" w:firstColumn="0" w:lastColumn="0" w:oddVBand="0" w:evenVBand="0" w:oddHBand="0" w:evenHBand="0" w:firstRowFirstColumn="0" w:firstRowLastColumn="0" w:lastRowFirstColumn="0" w:lastRowLastColumn="0"/>
          <w:trHeight w:val="56"/>
        </w:trPr>
        <w:tc>
          <w:tcPr>
            <w:cnfStyle w:val="001000000100" w:firstRow="0" w:lastRow="0" w:firstColumn="1" w:lastColumn="0" w:oddVBand="0" w:evenVBand="0" w:oddHBand="0" w:evenHBand="0" w:firstRowFirstColumn="1" w:firstRowLastColumn="0" w:lastRowFirstColumn="0" w:lastRowLastColumn="0"/>
            <w:tcW w:w="2579" w:type="pct"/>
            <w:hideMark/>
          </w:tcPr>
          <w:p w14:paraId="45DCA430" w14:textId="77777777" w:rsidR="00BD0302" w:rsidRDefault="00BD0302">
            <w:pPr>
              <w:pStyle w:val="TableTextLeft"/>
            </w:pPr>
            <w:r>
              <w:t>Depth (m) of registered bores below ground level (10</w:t>
            </w:r>
            <w:r>
              <w:rPr>
                <w:vertAlign w:val="superscript"/>
              </w:rPr>
              <w:t>th</w:t>
            </w:r>
            <w:r>
              <w:t xml:space="preserve"> and 90</w:t>
            </w:r>
            <w:r>
              <w:rPr>
                <w:vertAlign w:val="superscript"/>
              </w:rPr>
              <w:t>th</w:t>
            </w:r>
            <w:r>
              <w:t xml:space="preserve"> Percentile and median)</w:t>
            </w:r>
          </w:p>
        </w:tc>
        <w:tc>
          <w:tcPr>
            <w:tcW w:w="2421" w:type="pct"/>
            <w:hideMark/>
          </w:tcPr>
          <w:p w14:paraId="3C939BAE" w14:textId="011C71DB" w:rsidR="00BD0302" w:rsidRDefault="00BD0302">
            <w:pPr>
              <w:pStyle w:val="TableTextLeft"/>
              <w:cnfStyle w:val="100000000000" w:firstRow="1" w:lastRow="0" w:firstColumn="0" w:lastColumn="0" w:oddVBand="0" w:evenVBand="0" w:oddHBand="0" w:evenHBand="0" w:firstRowFirstColumn="0" w:firstRowLastColumn="0" w:lastRowFirstColumn="0" w:lastRowLastColumn="0"/>
            </w:pPr>
            <w:r>
              <w:t>10</w:t>
            </w:r>
            <w:r w:rsidRPr="000350BE">
              <w:rPr>
                <w:rStyle w:val="Superscript"/>
              </w:rPr>
              <w:t>th</w:t>
            </w:r>
            <w:r>
              <w:t xml:space="preserve"> Percentile</w:t>
            </w:r>
            <w:r w:rsidRPr="004059C5">
              <w:t xml:space="preserve">: </w:t>
            </w:r>
            <w:r w:rsidRPr="004059C5">
              <w:tab/>
            </w:r>
            <w:r>
              <w:t xml:space="preserve">     5.5</w:t>
            </w:r>
          </w:p>
          <w:p w14:paraId="05C83EAD" w14:textId="3B488A78" w:rsidR="00BD0302" w:rsidRDefault="00BD0302">
            <w:pPr>
              <w:pStyle w:val="TableTextLeft"/>
              <w:cnfStyle w:val="100000000000" w:firstRow="1" w:lastRow="0" w:firstColumn="0" w:lastColumn="0" w:oddVBand="0" w:evenVBand="0" w:oddHBand="0" w:evenHBand="0" w:firstRowFirstColumn="0" w:firstRowLastColumn="0" w:lastRowFirstColumn="0" w:lastRowLastColumn="0"/>
            </w:pPr>
            <w:r>
              <w:t>Median</w:t>
            </w:r>
            <w:r w:rsidRPr="004059C5">
              <w:t xml:space="preserve">: </w:t>
            </w:r>
            <w:r w:rsidRPr="004059C5">
              <w:tab/>
              <w:t xml:space="preserve"> </w:t>
            </w:r>
            <w:r w:rsidRPr="004059C5">
              <w:tab/>
            </w:r>
            <w:r>
              <w:t xml:space="preserve">   34</w:t>
            </w:r>
          </w:p>
          <w:p w14:paraId="6E192BDE" w14:textId="68F4E201" w:rsidR="00BD0302" w:rsidRDefault="00BD0302">
            <w:pPr>
              <w:pStyle w:val="TableTextLeft"/>
              <w:cnfStyle w:val="100000000000" w:firstRow="1" w:lastRow="0" w:firstColumn="0" w:lastColumn="0" w:oddVBand="0" w:evenVBand="0" w:oddHBand="0" w:evenHBand="0" w:firstRowFirstColumn="0" w:firstRowLastColumn="0" w:lastRowFirstColumn="0" w:lastRowLastColumn="0"/>
            </w:pPr>
            <w:r>
              <w:t>90</w:t>
            </w:r>
            <w:r w:rsidRPr="000350BE">
              <w:rPr>
                <w:rStyle w:val="Superscript"/>
              </w:rPr>
              <w:t>th</w:t>
            </w:r>
            <w:r>
              <w:t xml:space="preserve"> Percentile</w:t>
            </w:r>
            <w:r w:rsidRPr="004059C5">
              <w:t xml:space="preserve">: </w:t>
            </w:r>
            <w:r w:rsidRPr="004059C5">
              <w:tab/>
            </w:r>
            <w:r>
              <w:t>207.6</w:t>
            </w:r>
          </w:p>
        </w:tc>
      </w:tr>
    </w:tbl>
    <w:p w14:paraId="53C33B03" w14:textId="77777777" w:rsidR="00E01F8F" w:rsidRPr="000350BE" w:rsidRDefault="00E01F8F" w:rsidP="00E01F8F">
      <w:pPr>
        <w:pStyle w:val="AppendixHeading3"/>
        <w:rPr>
          <w:rFonts w:eastAsia="Times"/>
        </w:rPr>
      </w:pPr>
      <w:bookmarkStart w:id="255" w:name="_Toc517161182"/>
      <w:r>
        <w:t>Surface water systems and hydrology</w:t>
      </w:r>
      <w:bookmarkEnd w:id="255"/>
    </w:p>
    <w:p w14:paraId="03BBB544" w14:textId="77777777" w:rsidR="00E01F8F" w:rsidRDefault="00E01F8F" w:rsidP="00E01F8F">
      <w:pPr>
        <w:pStyle w:val="AppendixHeading4"/>
      </w:pPr>
      <w:r>
        <w:t>Surface water systems</w:t>
      </w:r>
    </w:p>
    <w:p w14:paraId="40719D7C" w14:textId="4938E1FC" w:rsidR="00BD0302" w:rsidRDefault="00BD0302" w:rsidP="00E43B52">
      <w:pPr>
        <w:pStyle w:val="BodyText"/>
      </w:pPr>
      <w:r>
        <w:t>The surface water systems in the Gippsland Basin are part of four river regions: South Gippsland, Mitchell–Thomson Rivers, Snowy River, and East Gippsland (Bureau of Meteorology, 201</w:t>
      </w:r>
      <w:r w:rsidR="004D364C">
        <w:t>4</w:t>
      </w:r>
      <w:r>
        <w:t xml:space="preserve">). These river basins are presented in Figure B.16. The majority of the basin is located in the Mitchell–Thomson rivers and South Gippsland River regions and only a small portion of the basin (&lt;10% of the area) is located in the Snowy and East Gippsland river regions. </w:t>
      </w:r>
    </w:p>
    <w:p w14:paraId="61B36501" w14:textId="7E2B4CCE" w:rsidR="00BD0302" w:rsidRDefault="00BD0302" w:rsidP="00E43B52">
      <w:pPr>
        <w:pStyle w:val="BodyText"/>
      </w:pPr>
      <w:r>
        <w:t>The southwestern part of the Gippsland Basin is part of the South Gippsland River Region (Figure B.16). The surface water systems of this river region include several rivers (e.g. Tarwin River, Albert River and Tarra River) and creeks (e.g. Merriman Creek and Bruthen Creek) as well as freshwater and saline-water wetlands. A notable feature of the system is its floodplain providing rich agricultural land as well as areas of high conservation value, such as Wilsons Promontory, Corner Inlet and the Nooramunga Marine and Coastal Park. Much of the Gippsland Basin overlaps the Mitchell–Thomson river region (Figure B.16). The surface water systems of this river region include several large rivers including the Latrobe River, Thomson River, Macalister River, Mitchell River and Tambo River as well as wetlands and saltwater pans.</w:t>
      </w:r>
    </w:p>
    <w:p w14:paraId="3A36B1BA" w14:textId="77777777" w:rsidR="00BD0302" w:rsidRDefault="00BD0302" w:rsidP="00E43B52">
      <w:pPr>
        <w:pStyle w:val="BodyText"/>
      </w:pPr>
      <w:r>
        <w:lastRenderedPageBreak/>
        <w:t>A small proportion of the Gippsland Basin is located in the Snowy River Region. The surface water system of this river region includes several large rivers and creeks as well as wetlands on the floodplain. The eastern end of the Gippsland Basin is part of the East Gippsland River Region. The surface water system of the river region includes four large rivers and several creeks as well as freshwater and saline water wetlands</w:t>
      </w:r>
    </w:p>
    <w:p w14:paraId="2C0A9E2A" w14:textId="77777777" w:rsidR="00E01F8F" w:rsidRPr="000350BE" w:rsidRDefault="00E01F8F" w:rsidP="00E01F8F">
      <w:pPr>
        <w:pStyle w:val="AppendixHeading4"/>
      </w:pPr>
      <w:r>
        <w:t>Surface water quality</w:t>
      </w:r>
    </w:p>
    <w:p w14:paraId="2E6275D2" w14:textId="10EA9AC7" w:rsidR="00E01F8F" w:rsidRDefault="00E01F8F" w:rsidP="00E43B52">
      <w:pPr>
        <w:pStyle w:val="BodyText"/>
      </w:pPr>
      <w:r>
        <w:t xml:space="preserve">Water quality as measured by electrical conductivity (EC) and turbidity varies between water courses </w:t>
      </w:r>
      <w:r w:rsidR="00282CDD">
        <w:t xml:space="preserve">across </w:t>
      </w:r>
      <w:r>
        <w:t xml:space="preserve">the basin. The EC and turbidity values </w:t>
      </w:r>
      <w:r w:rsidR="00FB13A2">
        <w:t>are</w:t>
      </w:r>
      <w:r>
        <w:t xml:space="preserve"> very high in part of the South Gippsland river region compared to other river basins in the Gippsland Basin. In general, both salinity and turbidity are within the water quality guideline values of 500 µS/cm and 10 NTU (Nephelometric Turbidity Unit), respectively.</w:t>
      </w:r>
    </w:p>
    <w:p w14:paraId="124EB47C" w14:textId="77777777" w:rsidR="00E01F8F" w:rsidRPr="000350BE" w:rsidRDefault="00E01F8F" w:rsidP="00E01F8F">
      <w:pPr>
        <w:pStyle w:val="AppendixHeading4"/>
      </w:pPr>
      <w:r>
        <w:t>Surface water flow</w:t>
      </w:r>
    </w:p>
    <w:p w14:paraId="706EBF8D" w14:textId="77777777" w:rsidR="00E01F8F" w:rsidRPr="00E43B52" w:rsidRDefault="00E01F8F" w:rsidP="0083382B">
      <w:pPr>
        <w:pStyle w:val="BodyText"/>
        <w:rPr>
          <w:rStyle w:val="BodyTextChar"/>
        </w:rPr>
      </w:pPr>
      <w:r w:rsidRPr="00E43B52">
        <w:rPr>
          <w:rStyle w:val="BodyTextChar"/>
        </w:rPr>
        <w:t>The surface water flow in the Gippsland Basin originates from four river regions (South Gippsland, Mitchell–Thomson, Snowy and East Gippsland) by its numerous headwater streams. Each of these river regions are characterised by large variations in discharge and flow duration. There are 13 streamflow monitoring stations across the Gippsland Basin which measured annual flow and runoff at different time intervals (</w:t>
      </w:r>
      <w:r w:rsidR="00611607">
        <w:rPr>
          <w:rStyle w:val="BodyTextChar"/>
        </w:rPr>
        <w:t>Table C</w:t>
      </w:r>
      <w:r w:rsidR="00761B60">
        <w:rPr>
          <w:rStyle w:val="BodyTextChar"/>
        </w:rPr>
        <w:t>.4</w:t>
      </w:r>
      <w:r w:rsidR="00A24684">
        <w:rPr>
          <w:rStyle w:val="BodyTextChar"/>
        </w:rPr>
        <w:t>4</w:t>
      </w:r>
      <w:r w:rsidRPr="00E43B52">
        <w:rPr>
          <w:rStyle w:val="BodyTextChar"/>
        </w:rPr>
        <w:t>).</w:t>
      </w:r>
    </w:p>
    <w:p w14:paraId="63B78180" w14:textId="77777777" w:rsidR="00E01F8F" w:rsidRPr="005450A3" w:rsidRDefault="00E01F8F" w:rsidP="005450A3">
      <w:pPr>
        <w:pStyle w:val="BodyText"/>
      </w:pPr>
    </w:p>
    <w:p w14:paraId="11F00051" w14:textId="77777777" w:rsidR="00E01F8F" w:rsidRDefault="00761B60" w:rsidP="009F3E8F">
      <w:pPr>
        <w:pStyle w:val="Caption"/>
        <w:rPr>
          <w:rFonts w:eastAsia="Times New Roman"/>
        </w:rPr>
      </w:pPr>
      <w:bookmarkStart w:id="256" w:name="_Toc508972193"/>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44</w:t>
      </w:r>
      <w:r w:rsidR="008079F1">
        <w:rPr>
          <w:noProof/>
        </w:rPr>
        <w:fldChar w:fldCharType="end"/>
      </w:r>
      <w:r>
        <w:t xml:space="preserve"> </w:t>
      </w:r>
      <w:r w:rsidR="00E01F8F">
        <w:t>List of thirteen stream gauges in the Gippsland Basin region, located in four river regions, as compiled by Yates et al., (2015).</w:t>
      </w:r>
      <w:bookmarkEnd w:id="256"/>
    </w:p>
    <w:p w14:paraId="3F48DDB8" w14:textId="77777777" w:rsidR="00E01F8F" w:rsidRDefault="00E01F8F" w:rsidP="000520F9">
      <w:pPr>
        <w:pStyle w:val="FiguresImagesCentred"/>
      </w:pPr>
      <w:r>
        <w:rPr>
          <w:noProof/>
        </w:rPr>
        <w:drawing>
          <wp:inline distT="0" distB="0" distL="0" distR="0" wp14:anchorId="23BEF87E" wp14:editId="1E1DFB87">
            <wp:extent cx="6243854" cy="4715436"/>
            <wp:effectExtent l="0" t="0" r="508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2">
                      <a:extLst>
                        <a:ext uri="{28A0092B-C50C-407E-A947-70E740481C1C}">
                          <a14:useLocalDpi xmlns:a14="http://schemas.microsoft.com/office/drawing/2010/main"/>
                        </a:ext>
                      </a:extLst>
                    </a:blip>
                    <a:srcRect/>
                    <a:stretch>
                      <a:fillRect/>
                    </a:stretch>
                  </pic:blipFill>
                  <pic:spPr bwMode="auto">
                    <a:xfrm>
                      <a:off x="0" y="0"/>
                      <a:ext cx="6255786" cy="4724448"/>
                    </a:xfrm>
                    <a:prstGeom prst="rect">
                      <a:avLst/>
                    </a:prstGeom>
                    <a:noFill/>
                    <a:ln>
                      <a:noFill/>
                    </a:ln>
                  </pic:spPr>
                </pic:pic>
              </a:graphicData>
            </a:graphic>
          </wp:inline>
        </w:drawing>
      </w:r>
    </w:p>
    <w:p w14:paraId="696EC1D2" w14:textId="77777777" w:rsidR="00E01F8F" w:rsidRPr="000350BE" w:rsidRDefault="00E01F8F" w:rsidP="00E01F8F">
      <w:pPr>
        <w:pStyle w:val="AppendixHeading4"/>
      </w:pPr>
      <w:r>
        <w:t>Surface water dams, planning and use</w:t>
      </w:r>
    </w:p>
    <w:p w14:paraId="0C8D2C29" w14:textId="264BB326" w:rsidR="00BD0302" w:rsidRDefault="00BD0302" w:rsidP="00E43B52">
      <w:pPr>
        <w:pStyle w:val="BodyText"/>
      </w:pPr>
      <w:r>
        <w:t xml:space="preserve">Surface water is used for irrigation, stock and domestic, urban and commercial and power generation in the Gippsland Basin. Irrigation is the highest category of surface water use in the basin, including the Macalister Irrigation District around Maffra that sources water from Lake Glenmaggie on the Macalister River (Figure </w:t>
      </w:r>
      <w:r w:rsidR="001D0060">
        <w:t>C.51</w:t>
      </w:r>
      <w:r>
        <w:t>), in the Mitchell–Thomson rivers catchment area (Figure B.16). The surface water entitlement for 2014–2015 in the Gippsland Basin was 795,791 ML and the use was 463,098 ML for the same period (DELWP, 2016). The majority of surface water entitlements and usage occur in the Mitchell–Thomson and Latrobe river regions.</w:t>
      </w:r>
    </w:p>
    <w:p w14:paraId="1EE3DBA4" w14:textId="77777777" w:rsidR="00BD0302" w:rsidRDefault="00BD0302" w:rsidP="00E43B52">
      <w:pPr>
        <w:pStyle w:val="BodyText"/>
      </w:pPr>
      <w:r>
        <w:rPr>
          <w:noProof/>
        </w:rPr>
        <w:lastRenderedPageBreak/>
        <w:drawing>
          <wp:inline distT="0" distB="0" distL="0" distR="0" wp14:anchorId="2C8EAEE1" wp14:editId="78D7C481">
            <wp:extent cx="5760000" cy="5961869"/>
            <wp:effectExtent l="0" t="0" r="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3" cstate="screen">
                      <a:extLst>
                        <a:ext uri="{28A0092B-C50C-407E-A947-70E740481C1C}">
                          <a14:useLocalDpi xmlns:a14="http://schemas.microsoft.com/office/drawing/2010/main"/>
                        </a:ext>
                      </a:extLst>
                    </a:blip>
                    <a:srcRect/>
                    <a:stretch/>
                  </pic:blipFill>
                  <pic:spPr bwMode="auto">
                    <a:xfrm>
                      <a:off x="0" y="0"/>
                      <a:ext cx="5760000" cy="5961869"/>
                    </a:xfrm>
                    <a:prstGeom prst="rect">
                      <a:avLst/>
                    </a:prstGeom>
                    <a:ln>
                      <a:noFill/>
                    </a:ln>
                    <a:extLst>
                      <a:ext uri="{53640926-AAD7-44D8-BBD7-CCE9431645EC}">
                        <a14:shadowObscured xmlns:a14="http://schemas.microsoft.com/office/drawing/2010/main"/>
                      </a:ext>
                    </a:extLst>
                  </pic:spPr>
                </pic:pic>
              </a:graphicData>
            </a:graphic>
          </wp:inline>
        </w:drawing>
      </w:r>
    </w:p>
    <w:p w14:paraId="00E1AA67" w14:textId="7F3B5DCB" w:rsidR="002B6819" w:rsidRDefault="002B6819" w:rsidP="002B6819">
      <w:pPr>
        <w:pStyle w:val="Caption"/>
        <w:rPr>
          <w:noProof/>
        </w:rPr>
      </w:pPr>
      <w:bookmarkStart w:id="257" w:name="_Toc508972122"/>
      <w:r>
        <w:t xml:space="preserve">Figure </w:t>
      </w:r>
      <w:r w:rsidR="008079F1">
        <w:fldChar w:fldCharType="begin"/>
      </w:r>
      <w:r w:rsidR="008079F1">
        <w:instrText xml:space="preserve"> ST</w:instrText>
      </w:r>
      <w:r w:rsidR="008079F1">
        <w:instrText xml:space="preserve">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51</w:t>
      </w:r>
      <w:r w:rsidR="008079F1">
        <w:rPr>
          <w:noProof/>
        </w:rPr>
        <w:fldChar w:fldCharType="end"/>
      </w:r>
      <w:r>
        <w:rPr>
          <w:noProof/>
        </w:rPr>
        <w:t xml:space="preserve"> </w:t>
      </w:r>
      <w:r>
        <w:t>Location of Lake Glenmaggie on the Macalister River (VEWH 2017)</w:t>
      </w:r>
      <w:r>
        <w:rPr>
          <w:noProof/>
        </w:rPr>
        <w:t>.</w:t>
      </w:r>
      <w:bookmarkEnd w:id="257"/>
    </w:p>
    <w:p w14:paraId="1B036891" w14:textId="77777777" w:rsidR="00E01F8F" w:rsidRPr="000350BE" w:rsidRDefault="00E01F8F" w:rsidP="00E01F8F">
      <w:pPr>
        <w:pStyle w:val="AppendixHeading3"/>
        <w:rPr>
          <w:rFonts w:eastAsia="Times"/>
        </w:rPr>
      </w:pPr>
      <w:bookmarkStart w:id="258" w:name="_Toc517161183"/>
      <w:r>
        <w:t>Groundwater – surface water interactions</w:t>
      </w:r>
      <w:bookmarkEnd w:id="258"/>
    </w:p>
    <w:p w14:paraId="6A39783E" w14:textId="79078991" w:rsidR="00BD0302" w:rsidRDefault="00BD0302" w:rsidP="00E43B52">
      <w:pPr>
        <w:pStyle w:val="BodyText"/>
      </w:pPr>
      <w:r>
        <w:t>Studies have shown that there is a strong hydraulic connection between the river and the water table along a number river reaches in the onshore Gippsland Basin (SKM 2009, GHD 2012; DELWP and GSV 2015). Groundwater-surface water interactions are shown to be dynamic spatially (from highlands to lowlands) and temporally (seasonally to decades). In general, during high flow periods the rivers in the basin are likely to be discharging to the water table and vice versa during low flow periods.</w:t>
      </w:r>
    </w:p>
    <w:p w14:paraId="39C6E174" w14:textId="77777777" w:rsidR="00BD0302" w:rsidRDefault="00BD0302"/>
    <w:p w14:paraId="65F85558" w14:textId="77777777" w:rsidR="00E01F8F" w:rsidRPr="000350BE" w:rsidRDefault="00E01F8F" w:rsidP="00E01F8F">
      <w:pPr>
        <w:pStyle w:val="AppendixHeading3"/>
        <w:rPr>
          <w:rFonts w:eastAsia="Times"/>
        </w:rPr>
      </w:pPr>
      <w:bookmarkStart w:id="259" w:name="_Toc517161184"/>
      <w:r>
        <w:lastRenderedPageBreak/>
        <w:t>Environmental assets</w:t>
      </w:r>
      <w:bookmarkEnd w:id="259"/>
      <w:r>
        <w:t xml:space="preserve"> </w:t>
      </w:r>
    </w:p>
    <w:p w14:paraId="02EF02F0" w14:textId="77777777" w:rsidR="00E01F8F" w:rsidRDefault="00E01F8F" w:rsidP="00E43B52">
      <w:pPr>
        <w:pStyle w:val="BodyText"/>
      </w:pPr>
      <w:r>
        <w:t>Within the Gippsland Basin there are 1</w:t>
      </w:r>
      <w:r w:rsidR="00D47844">
        <w:t>,</w:t>
      </w:r>
      <w:r>
        <w:t>553</w:t>
      </w:r>
      <w:r w:rsidR="008232C9">
        <w:t> km</w:t>
      </w:r>
      <w:r w:rsidRPr="005450A3">
        <w:rPr>
          <w:rStyle w:val="Superscript"/>
        </w:rPr>
        <w:t>2</w:t>
      </w:r>
      <w:r>
        <w:t xml:space="preserve"> of Listed Nationally Important Wetlands, 1</w:t>
      </w:r>
      <w:r w:rsidR="00D47844">
        <w:t>,</w:t>
      </w:r>
      <w:r>
        <w:t>800</w:t>
      </w:r>
      <w:r w:rsidR="008232C9">
        <w:t> km</w:t>
      </w:r>
      <w:r w:rsidRPr="005450A3">
        <w:rPr>
          <w:rStyle w:val="Superscript"/>
        </w:rPr>
        <w:t>2</w:t>
      </w:r>
      <w:r>
        <w:t xml:space="preserve"> of Groundwater Dependant Ecosystems (of at least moderate potential) and a number of Ramsar wetlands. A total of 1</w:t>
      </w:r>
      <w:r w:rsidR="00D47844">
        <w:t>,</w:t>
      </w:r>
      <w:r>
        <w:t>210</w:t>
      </w:r>
      <w:r w:rsidR="008232C9">
        <w:t> km</w:t>
      </w:r>
      <w:r w:rsidRPr="005450A3">
        <w:rPr>
          <w:rStyle w:val="Superscript"/>
        </w:rPr>
        <w:t>2</w:t>
      </w:r>
      <w:r>
        <w:t xml:space="preserve"> of protected areas (such as national parks) are listed (</w:t>
      </w:r>
      <w:r w:rsidR="00611607">
        <w:t>Table C</w:t>
      </w:r>
      <w:r w:rsidR="00A24684">
        <w:t>.45</w:t>
      </w:r>
      <w:r>
        <w:t>).</w:t>
      </w:r>
    </w:p>
    <w:p w14:paraId="26506F3B" w14:textId="77777777" w:rsidR="00E01F8F" w:rsidRDefault="00761B60" w:rsidP="009F3E8F">
      <w:pPr>
        <w:pStyle w:val="Caption"/>
      </w:pPr>
      <w:bookmarkStart w:id="260" w:name="_Toc508972194"/>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45</w:t>
      </w:r>
      <w:r w:rsidR="008079F1">
        <w:rPr>
          <w:noProof/>
        </w:rPr>
        <w:fldChar w:fldCharType="end"/>
      </w:r>
      <w:r>
        <w:t xml:space="preserve"> </w:t>
      </w:r>
      <w:r w:rsidR="00E01F8F">
        <w:t>Summary of environmental assets.</w:t>
      </w:r>
      <w:bookmarkEnd w:id="260"/>
    </w:p>
    <w:tbl>
      <w:tblPr>
        <w:tblStyle w:val="TableBAHeaderColumn"/>
        <w:tblW w:w="5000" w:type="pct"/>
        <w:tblInd w:w="0" w:type="dxa"/>
        <w:tblLook w:val="04A0" w:firstRow="1" w:lastRow="0" w:firstColumn="1" w:lastColumn="0" w:noHBand="0" w:noVBand="1"/>
      </w:tblPr>
      <w:tblGrid>
        <w:gridCol w:w="3832"/>
        <w:gridCol w:w="5807"/>
      </w:tblGrid>
      <w:tr w:rsidR="00E01F8F" w14:paraId="6EE381EF"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76C7ED32" w14:textId="77777777" w:rsidR="00E01F8F" w:rsidRDefault="00E01F8F">
            <w:pPr>
              <w:pStyle w:val="TableTextLeft"/>
            </w:pPr>
            <w:r>
              <w:t>Environmental Assets</w:t>
            </w:r>
          </w:p>
        </w:tc>
      </w:tr>
      <w:tr w:rsidR="00E01F8F" w14:paraId="3E873054"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8FCA7E2" w14:textId="77777777" w:rsidR="00E01F8F" w:rsidRDefault="00E01F8F">
            <w:pPr>
              <w:pStyle w:val="TableTextLeft"/>
              <w:rPr>
                <w:szCs w:val="18"/>
              </w:rPr>
            </w:pPr>
            <w:r>
              <w:rPr>
                <w:szCs w:val="18"/>
              </w:rPr>
              <w:t>Ramsar Wetlands</w:t>
            </w:r>
          </w:p>
        </w:tc>
        <w:tc>
          <w:tcPr>
            <w:tcW w:w="2421" w:type="pct"/>
            <w:hideMark/>
          </w:tcPr>
          <w:tbl>
            <w:tblPr>
              <w:tblW w:w="3855" w:type="dxa"/>
              <w:tblLook w:val="04A0" w:firstRow="1" w:lastRow="0" w:firstColumn="1" w:lastColumn="0" w:noHBand="0" w:noVBand="1"/>
            </w:tblPr>
            <w:tblGrid>
              <w:gridCol w:w="3855"/>
            </w:tblGrid>
            <w:tr w:rsidR="00E01F8F" w14:paraId="38625035" w14:textId="77777777" w:rsidTr="00E01E44">
              <w:trPr>
                <w:trHeight w:val="300"/>
              </w:trPr>
              <w:tc>
                <w:tcPr>
                  <w:tcW w:w="3860" w:type="dxa"/>
                  <w:vAlign w:val="center"/>
                  <w:hideMark/>
                </w:tcPr>
                <w:p w14:paraId="7FC15EE4" w14:textId="77777777" w:rsidR="00E01F8F" w:rsidRPr="000350BE" w:rsidRDefault="00E01F8F" w:rsidP="000350BE">
                  <w:pPr>
                    <w:pStyle w:val="TableTextLeft"/>
                  </w:pPr>
                  <w:r w:rsidRPr="000350BE">
                    <w:t>Gippsland Lakes</w:t>
                  </w:r>
                </w:p>
              </w:tc>
            </w:tr>
            <w:tr w:rsidR="00E01F8F" w14:paraId="10CA875C" w14:textId="77777777" w:rsidTr="00E01E44">
              <w:trPr>
                <w:trHeight w:val="300"/>
              </w:trPr>
              <w:tc>
                <w:tcPr>
                  <w:tcW w:w="3860" w:type="dxa"/>
                  <w:vAlign w:val="center"/>
                  <w:hideMark/>
                </w:tcPr>
                <w:p w14:paraId="2EABD301" w14:textId="77777777" w:rsidR="00E01F8F" w:rsidRPr="000350BE" w:rsidRDefault="00E01F8F" w:rsidP="000350BE">
                  <w:pPr>
                    <w:pStyle w:val="TableTextLeft"/>
                  </w:pPr>
                  <w:r w:rsidRPr="000350BE">
                    <w:t>Western Port</w:t>
                  </w:r>
                </w:p>
              </w:tc>
            </w:tr>
            <w:tr w:rsidR="00E01F8F" w14:paraId="53496D2B" w14:textId="77777777" w:rsidTr="00E01E44">
              <w:trPr>
                <w:trHeight w:val="300"/>
              </w:trPr>
              <w:tc>
                <w:tcPr>
                  <w:tcW w:w="3860" w:type="dxa"/>
                  <w:vAlign w:val="center"/>
                  <w:hideMark/>
                </w:tcPr>
                <w:p w14:paraId="44B79E87" w14:textId="77777777" w:rsidR="00E01F8F" w:rsidRPr="000350BE" w:rsidRDefault="00E01F8F" w:rsidP="000350BE">
                  <w:pPr>
                    <w:pStyle w:val="TableTextLeft"/>
                  </w:pPr>
                  <w:r w:rsidRPr="000350BE">
                    <w:t>Corner Inlet</w:t>
                  </w:r>
                </w:p>
              </w:tc>
            </w:tr>
          </w:tbl>
          <w:p w14:paraId="42EDF971" w14:textId="77777777" w:rsidR="00E01F8F" w:rsidRDefault="00E01F8F">
            <w:pPr>
              <w:pStyle w:val="TableTextLeft"/>
              <w:cnfStyle w:val="100000000000" w:firstRow="1" w:lastRow="0" w:firstColumn="0" w:lastColumn="0" w:oddVBand="0" w:evenVBand="0" w:oddHBand="0" w:evenHBand="0" w:firstRowFirstColumn="0" w:firstRowLastColumn="0" w:lastRowFirstColumn="0" w:lastRowLastColumn="0"/>
              <w:rPr>
                <w:color w:val="000000"/>
                <w:szCs w:val="18"/>
              </w:rPr>
            </w:pPr>
          </w:p>
        </w:tc>
      </w:tr>
      <w:tr w:rsidR="00E01F8F" w14:paraId="73B48504" w14:textId="77777777" w:rsidTr="00E01E44">
        <w:trPr>
          <w:cnfStyle w:val="100000000000" w:firstRow="1" w:lastRow="0" w:firstColumn="0" w:lastColumn="0" w:oddVBand="0" w:evenVBand="0" w:oddHBand="0" w:evenHBand="0" w:firstRowFirstColumn="0" w:firstRowLastColumn="0" w:lastRowFirstColumn="0" w:lastRowLastColumn="0"/>
          <w:trHeight w:val="1628"/>
        </w:trPr>
        <w:tc>
          <w:tcPr>
            <w:cnfStyle w:val="001000000100" w:firstRow="0" w:lastRow="0" w:firstColumn="1" w:lastColumn="0" w:oddVBand="0" w:evenVBand="0" w:oddHBand="0" w:evenHBand="0" w:firstRowFirstColumn="1" w:firstRowLastColumn="0" w:lastRowFirstColumn="0" w:lastRowLastColumn="0"/>
            <w:tcW w:w="2579" w:type="pct"/>
            <w:hideMark/>
          </w:tcPr>
          <w:p w14:paraId="6355DCE8" w14:textId="77777777" w:rsidR="00E01F8F" w:rsidRDefault="00E01F8F">
            <w:pPr>
              <w:pStyle w:val="TableTextLeft"/>
              <w:rPr>
                <w:szCs w:val="18"/>
              </w:rPr>
            </w:pPr>
            <w:r>
              <w:rPr>
                <w:szCs w:val="18"/>
              </w:rPr>
              <w:t>Nationally Important Wetlands</w:t>
            </w:r>
          </w:p>
          <w:p w14:paraId="70089AAD" w14:textId="77777777" w:rsidR="00E01F8F" w:rsidRDefault="00E01F8F">
            <w:pPr>
              <w:pStyle w:val="TableTextLeft"/>
              <w:rPr>
                <w:szCs w:val="18"/>
              </w:rPr>
            </w:pPr>
            <w:r>
              <w:rPr>
                <w:szCs w:val="18"/>
              </w:rPr>
              <w:t>Top 5 by area</w:t>
            </w:r>
          </w:p>
          <w:p w14:paraId="1522DC5B" w14:textId="77777777" w:rsidR="00E01F8F" w:rsidRDefault="00E01F8F">
            <w:pPr>
              <w:pStyle w:val="TableTextLeft"/>
              <w:rPr>
                <w:szCs w:val="18"/>
              </w:rPr>
            </w:pPr>
            <w:r>
              <w:rPr>
                <w:iCs/>
                <w:szCs w:val="18"/>
              </w:rPr>
              <w:t>(area</w:t>
            </w:r>
            <w:r w:rsidR="008232C9">
              <w:rPr>
                <w:iCs/>
                <w:szCs w:val="18"/>
              </w:rPr>
              <w:t> km</w:t>
            </w:r>
            <w:r>
              <w:rPr>
                <w:iCs/>
                <w:szCs w:val="18"/>
                <w:vertAlign w:val="superscript"/>
              </w:rPr>
              <w:t>2</w:t>
            </w:r>
            <w:r>
              <w:rPr>
                <w:iCs/>
                <w:szCs w:val="18"/>
              </w:rPr>
              <w:t>)</w:t>
            </w:r>
          </w:p>
        </w:tc>
        <w:tc>
          <w:tcPr>
            <w:tcW w:w="2421" w:type="pct"/>
            <w:hideMark/>
          </w:tcPr>
          <w:tbl>
            <w:tblPr>
              <w:tblW w:w="4080" w:type="dxa"/>
              <w:tblLook w:val="04A0" w:firstRow="1" w:lastRow="0" w:firstColumn="1" w:lastColumn="0" w:noHBand="0" w:noVBand="1"/>
            </w:tblPr>
            <w:tblGrid>
              <w:gridCol w:w="3000"/>
              <w:gridCol w:w="1080"/>
            </w:tblGrid>
            <w:tr w:rsidR="00E01F8F" w14:paraId="695FE198" w14:textId="77777777" w:rsidTr="00E01E44">
              <w:trPr>
                <w:trHeight w:val="300"/>
              </w:trPr>
              <w:tc>
                <w:tcPr>
                  <w:tcW w:w="3860" w:type="dxa"/>
                  <w:vAlign w:val="center"/>
                  <w:hideMark/>
                </w:tcPr>
                <w:p w14:paraId="756C4C1F" w14:textId="77777777" w:rsidR="00E01F8F" w:rsidRDefault="00E01F8F">
                  <w:pPr>
                    <w:pStyle w:val="TableTextLeft"/>
                    <w:rPr>
                      <w:szCs w:val="18"/>
                    </w:rPr>
                  </w:pPr>
                  <w:r>
                    <w:rPr>
                      <w:szCs w:val="18"/>
                    </w:rPr>
                    <w:t>Western Port</w:t>
                  </w:r>
                </w:p>
              </w:tc>
              <w:tc>
                <w:tcPr>
                  <w:tcW w:w="1080" w:type="dxa"/>
                  <w:noWrap/>
                  <w:vAlign w:val="center"/>
                  <w:hideMark/>
                </w:tcPr>
                <w:p w14:paraId="56B142E3" w14:textId="77777777" w:rsidR="00E01F8F" w:rsidRDefault="00E01F8F" w:rsidP="000350BE">
                  <w:pPr>
                    <w:pStyle w:val="TableTextRight0"/>
                  </w:pPr>
                  <w:r>
                    <w:t>892</w:t>
                  </w:r>
                </w:p>
              </w:tc>
            </w:tr>
            <w:tr w:rsidR="00E01F8F" w14:paraId="4F4A3E44" w14:textId="77777777" w:rsidTr="00E01E44">
              <w:trPr>
                <w:trHeight w:val="300"/>
              </w:trPr>
              <w:tc>
                <w:tcPr>
                  <w:tcW w:w="3860" w:type="dxa"/>
                  <w:vAlign w:val="center"/>
                  <w:hideMark/>
                </w:tcPr>
                <w:p w14:paraId="1E5E69F9" w14:textId="77777777" w:rsidR="00E01F8F" w:rsidRDefault="00E01F8F">
                  <w:pPr>
                    <w:pStyle w:val="TableTextLeft"/>
                    <w:rPr>
                      <w:szCs w:val="18"/>
                    </w:rPr>
                  </w:pPr>
                  <w:r>
                    <w:rPr>
                      <w:szCs w:val="18"/>
                    </w:rPr>
                    <w:t>Lake Wellington Wetlands</w:t>
                  </w:r>
                </w:p>
              </w:tc>
              <w:tc>
                <w:tcPr>
                  <w:tcW w:w="1080" w:type="dxa"/>
                  <w:noWrap/>
                  <w:vAlign w:val="center"/>
                  <w:hideMark/>
                </w:tcPr>
                <w:p w14:paraId="2714428F" w14:textId="77777777" w:rsidR="00E01F8F" w:rsidRDefault="00E01F8F" w:rsidP="000350BE">
                  <w:pPr>
                    <w:pStyle w:val="TableTextRight0"/>
                  </w:pPr>
                  <w:r>
                    <w:t>279</w:t>
                  </w:r>
                </w:p>
              </w:tc>
            </w:tr>
            <w:tr w:rsidR="00E01F8F" w14:paraId="7C819B29" w14:textId="77777777" w:rsidTr="00E01E44">
              <w:trPr>
                <w:trHeight w:val="300"/>
              </w:trPr>
              <w:tc>
                <w:tcPr>
                  <w:tcW w:w="3860" w:type="dxa"/>
                  <w:vAlign w:val="center"/>
                  <w:hideMark/>
                </w:tcPr>
                <w:p w14:paraId="6E439A21" w14:textId="77777777" w:rsidR="00E01F8F" w:rsidRDefault="00E01F8F">
                  <w:pPr>
                    <w:pStyle w:val="TableTextLeft"/>
                    <w:rPr>
                      <w:szCs w:val="18"/>
                    </w:rPr>
                  </w:pPr>
                  <w:r>
                    <w:rPr>
                      <w:szCs w:val="18"/>
                    </w:rPr>
                    <w:t>Corner Inlet</w:t>
                  </w:r>
                </w:p>
              </w:tc>
              <w:tc>
                <w:tcPr>
                  <w:tcW w:w="1080" w:type="dxa"/>
                  <w:noWrap/>
                  <w:vAlign w:val="center"/>
                  <w:hideMark/>
                </w:tcPr>
                <w:p w14:paraId="327CE59E" w14:textId="77777777" w:rsidR="00E01F8F" w:rsidRDefault="00E01F8F" w:rsidP="000350BE">
                  <w:pPr>
                    <w:pStyle w:val="TableTextRight0"/>
                  </w:pPr>
                  <w:r>
                    <w:t>167</w:t>
                  </w:r>
                </w:p>
              </w:tc>
            </w:tr>
            <w:tr w:rsidR="00E01F8F" w14:paraId="5348ADDC" w14:textId="77777777" w:rsidTr="00E01E44">
              <w:trPr>
                <w:trHeight w:val="300"/>
              </w:trPr>
              <w:tc>
                <w:tcPr>
                  <w:tcW w:w="3860" w:type="dxa"/>
                  <w:vAlign w:val="center"/>
                  <w:hideMark/>
                </w:tcPr>
                <w:p w14:paraId="132A8003" w14:textId="77777777" w:rsidR="00E01F8F" w:rsidRDefault="00E01F8F">
                  <w:pPr>
                    <w:pStyle w:val="TableTextLeft"/>
                    <w:rPr>
                      <w:szCs w:val="18"/>
                    </w:rPr>
                  </w:pPr>
                  <w:r>
                    <w:rPr>
                      <w:szCs w:val="18"/>
                    </w:rPr>
                    <w:t>Lake Victoria Wetlands</w:t>
                  </w:r>
                </w:p>
              </w:tc>
              <w:tc>
                <w:tcPr>
                  <w:tcW w:w="1080" w:type="dxa"/>
                  <w:noWrap/>
                  <w:vAlign w:val="center"/>
                  <w:hideMark/>
                </w:tcPr>
                <w:p w14:paraId="607DC057" w14:textId="77777777" w:rsidR="00E01F8F" w:rsidRDefault="00E01F8F" w:rsidP="000350BE">
                  <w:pPr>
                    <w:pStyle w:val="TableTextRight0"/>
                  </w:pPr>
                  <w:r>
                    <w:t>93</w:t>
                  </w:r>
                </w:p>
              </w:tc>
            </w:tr>
            <w:tr w:rsidR="00E01F8F" w14:paraId="0FAF0904" w14:textId="77777777" w:rsidTr="00E01E44">
              <w:trPr>
                <w:trHeight w:val="300"/>
              </w:trPr>
              <w:tc>
                <w:tcPr>
                  <w:tcW w:w="3860" w:type="dxa"/>
                  <w:vAlign w:val="center"/>
                  <w:hideMark/>
                </w:tcPr>
                <w:p w14:paraId="2642AC1D" w14:textId="77777777" w:rsidR="00E01F8F" w:rsidRDefault="00E01F8F">
                  <w:pPr>
                    <w:pStyle w:val="TableTextLeft"/>
                    <w:rPr>
                      <w:szCs w:val="18"/>
                    </w:rPr>
                  </w:pPr>
                  <w:r>
                    <w:rPr>
                      <w:szCs w:val="18"/>
                    </w:rPr>
                    <w:t>Lake King Wetlands</w:t>
                  </w:r>
                </w:p>
              </w:tc>
              <w:tc>
                <w:tcPr>
                  <w:tcW w:w="1080" w:type="dxa"/>
                  <w:noWrap/>
                  <w:vAlign w:val="center"/>
                  <w:hideMark/>
                </w:tcPr>
                <w:p w14:paraId="66D18A2F" w14:textId="77777777" w:rsidR="00E01F8F" w:rsidRDefault="00E01F8F" w:rsidP="000350BE">
                  <w:pPr>
                    <w:pStyle w:val="TableTextRight0"/>
                  </w:pPr>
                  <w:r>
                    <w:t>48</w:t>
                  </w:r>
                </w:p>
              </w:tc>
            </w:tr>
            <w:tr w:rsidR="00E01F8F" w14:paraId="6935F3D9" w14:textId="77777777" w:rsidTr="00E01E44">
              <w:trPr>
                <w:trHeight w:val="300"/>
              </w:trPr>
              <w:tc>
                <w:tcPr>
                  <w:tcW w:w="3860" w:type="dxa"/>
                  <w:vAlign w:val="center"/>
                  <w:hideMark/>
                </w:tcPr>
                <w:p w14:paraId="48F98D0F" w14:textId="77777777" w:rsidR="00E01F8F" w:rsidRDefault="00E01F8F">
                  <w:pPr>
                    <w:pStyle w:val="TableTextLeft"/>
                    <w:rPr>
                      <w:szCs w:val="18"/>
                    </w:rPr>
                  </w:pPr>
                  <w:r>
                    <w:rPr>
                      <w:szCs w:val="18"/>
                    </w:rPr>
                    <w:t xml:space="preserve">TOTAL WETLAND AREA </w:t>
                  </w:r>
                </w:p>
              </w:tc>
              <w:tc>
                <w:tcPr>
                  <w:tcW w:w="1080" w:type="dxa"/>
                  <w:noWrap/>
                  <w:vAlign w:val="center"/>
                  <w:hideMark/>
                </w:tcPr>
                <w:p w14:paraId="28A5518A" w14:textId="77777777" w:rsidR="00E01F8F" w:rsidRDefault="00E01F8F" w:rsidP="000350BE">
                  <w:pPr>
                    <w:pStyle w:val="TableTextRight0"/>
                  </w:pPr>
                  <w:r>
                    <w:t>1</w:t>
                  </w:r>
                  <w:r w:rsidR="00D47844">
                    <w:t>,</w:t>
                  </w:r>
                  <w:r>
                    <w:t>553</w:t>
                  </w:r>
                </w:p>
              </w:tc>
            </w:tr>
          </w:tbl>
          <w:p w14:paraId="55D8A811" w14:textId="77777777" w:rsidR="00E01F8F" w:rsidRDefault="00E01F8F">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E01F8F" w14:paraId="5267062B"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6F5FD96B" w14:textId="77777777" w:rsidR="00E01F8F" w:rsidRDefault="00E01F8F">
            <w:pPr>
              <w:pStyle w:val="TableTextLeft"/>
              <w:rPr>
                <w:szCs w:val="18"/>
              </w:rPr>
            </w:pPr>
            <w:r>
              <w:rPr>
                <w:szCs w:val="18"/>
              </w:rPr>
              <w:t>Protected areas (CAPAD 2016)</w:t>
            </w:r>
          </w:p>
          <w:p w14:paraId="4B24DE86" w14:textId="77777777" w:rsidR="00E01F8F" w:rsidRDefault="00E01F8F">
            <w:pPr>
              <w:pStyle w:val="TableTextLeft"/>
              <w:rPr>
                <w:szCs w:val="18"/>
              </w:rPr>
            </w:pPr>
            <w:r>
              <w:rPr>
                <w:szCs w:val="18"/>
              </w:rPr>
              <w:t xml:space="preserve">Top 5 by area </w:t>
            </w:r>
            <w:r>
              <w:rPr>
                <w:iCs/>
                <w:szCs w:val="18"/>
              </w:rPr>
              <w:t>(area</w:t>
            </w:r>
            <w:r w:rsidR="008232C9">
              <w:rPr>
                <w:iCs/>
                <w:szCs w:val="18"/>
              </w:rPr>
              <w:t> km</w:t>
            </w:r>
            <w:r>
              <w:rPr>
                <w:iCs/>
                <w:szCs w:val="18"/>
                <w:vertAlign w:val="superscript"/>
              </w:rPr>
              <w:t>2</w:t>
            </w:r>
            <w:r>
              <w:rPr>
                <w:iCs/>
                <w:szCs w:val="18"/>
              </w:rPr>
              <w:t>)</w:t>
            </w:r>
          </w:p>
        </w:tc>
        <w:tc>
          <w:tcPr>
            <w:tcW w:w="2421" w:type="pct"/>
            <w:hideMark/>
          </w:tcPr>
          <w:tbl>
            <w:tblPr>
              <w:tblW w:w="4080" w:type="dxa"/>
              <w:tblLook w:val="04A0" w:firstRow="1" w:lastRow="0" w:firstColumn="1" w:lastColumn="0" w:noHBand="0" w:noVBand="1"/>
            </w:tblPr>
            <w:tblGrid>
              <w:gridCol w:w="3629"/>
              <w:gridCol w:w="2064"/>
            </w:tblGrid>
            <w:tr w:rsidR="00E01F8F" w14:paraId="0B1DB515" w14:textId="77777777" w:rsidTr="00E01E44">
              <w:trPr>
                <w:trHeight w:val="300"/>
              </w:trPr>
              <w:tc>
                <w:tcPr>
                  <w:tcW w:w="3629" w:type="dxa"/>
                  <w:noWrap/>
                  <w:vAlign w:val="bottom"/>
                  <w:hideMark/>
                </w:tcPr>
                <w:p w14:paraId="60798FDF" w14:textId="77777777" w:rsidR="00E01F8F" w:rsidRDefault="00E01F8F">
                  <w:pPr>
                    <w:pStyle w:val="TableTextLeft"/>
                    <w:rPr>
                      <w:szCs w:val="18"/>
                    </w:rPr>
                  </w:pPr>
                  <w:r>
                    <w:rPr>
                      <w:szCs w:val="18"/>
                    </w:rPr>
                    <w:t>Natural Features Reserve</w:t>
                  </w:r>
                </w:p>
              </w:tc>
              <w:tc>
                <w:tcPr>
                  <w:tcW w:w="2064" w:type="dxa"/>
                  <w:noWrap/>
                  <w:vAlign w:val="bottom"/>
                  <w:hideMark/>
                </w:tcPr>
                <w:p w14:paraId="32914C02" w14:textId="77777777" w:rsidR="00E01F8F" w:rsidRDefault="00E01F8F" w:rsidP="000350BE">
                  <w:pPr>
                    <w:pStyle w:val="TableTextRight0"/>
                  </w:pPr>
                  <w:r>
                    <w:t>259</w:t>
                  </w:r>
                </w:p>
              </w:tc>
            </w:tr>
            <w:tr w:rsidR="00E01F8F" w14:paraId="259DEBF0" w14:textId="77777777" w:rsidTr="00E01E44">
              <w:trPr>
                <w:trHeight w:val="300"/>
              </w:trPr>
              <w:tc>
                <w:tcPr>
                  <w:tcW w:w="3629" w:type="dxa"/>
                  <w:noWrap/>
                  <w:vAlign w:val="bottom"/>
                  <w:hideMark/>
                </w:tcPr>
                <w:p w14:paraId="0DB89DA1" w14:textId="77777777" w:rsidR="00E01F8F" w:rsidRDefault="00E01F8F">
                  <w:pPr>
                    <w:pStyle w:val="TableTextLeft"/>
                    <w:rPr>
                      <w:szCs w:val="18"/>
                    </w:rPr>
                  </w:pPr>
                  <w:r>
                    <w:rPr>
                      <w:szCs w:val="18"/>
                    </w:rPr>
                    <w:t>National Parks Act Schedule 4 park or reserve</w:t>
                  </w:r>
                </w:p>
              </w:tc>
              <w:tc>
                <w:tcPr>
                  <w:tcW w:w="2064" w:type="dxa"/>
                  <w:noWrap/>
                  <w:vAlign w:val="bottom"/>
                  <w:hideMark/>
                </w:tcPr>
                <w:p w14:paraId="7E83E966" w14:textId="77777777" w:rsidR="00E01F8F" w:rsidRDefault="00E01F8F" w:rsidP="000350BE">
                  <w:pPr>
                    <w:pStyle w:val="TableTextRight0"/>
                  </w:pPr>
                  <w:r>
                    <w:t>211</w:t>
                  </w:r>
                </w:p>
              </w:tc>
            </w:tr>
            <w:tr w:rsidR="00E01F8F" w14:paraId="068EBC9B" w14:textId="77777777" w:rsidTr="00E01E44">
              <w:trPr>
                <w:trHeight w:val="300"/>
              </w:trPr>
              <w:tc>
                <w:tcPr>
                  <w:tcW w:w="3629" w:type="dxa"/>
                  <w:noWrap/>
                  <w:vAlign w:val="bottom"/>
                  <w:hideMark/>
                </w:tcPr>
                <w:p w14:paraId="36710FA9" w14:textId="77777777" w:rsidR="00E01F8F" w:rsidRDefault="00E01F8F">
                  <w:pPr>
                    <w:pStyle w:val="TableTextLeft"/>
                    <w:rPr>
                      <w:szCs w:val="18"/>
                    </w:rPr>
                  </w:pPr>
                  <w:r>
                    <w:rPr>
                      <w:szCs w:val="18"/>
                    </w:rPr>
                    <w:t>Conservation Park</w:t>
                  </w:r>
                </w:p>
              </w:tc>
              <w:tc>
                <w:tcPr>
                  <w:tcW w:w="2064" w:type="dxa"/>
                  <w:noWrap/>
                  <w:vAlign w:val="bottom"/>
                  <w:hideMark/>
                </w:tcPr>
                <w:p w14:paraId="2A728616" w14:textId="77777777" w:rsidR="00E01F8F" w:rsidRDefault="00E01F8F" w:rsidP="000350BE">
                  <w:pPr>
                    <w:pStyle w:val="TableTextRight0"/>
                  </w:pPr>
                  <w:r>
                    <w:t>199</w:t>
                  </w:r>
                </w:p>
              </w:tc>
            </w:tr>
            <w:tr w:rsidR="00E01F8F" w14:paraId="229BA7E8" w14:textId="77777777" w:rsidTr="00E01E44">
              <w:trPr>
                <w:trHeight w:val="300"/>
              </w:trPr>
              <w:tc>
                <w:tcPr>
                  <w:tcW w:w="3629" w:type="dxa"/>
                  <w:noWrap/>
                  <w:vAlign w:val="bottom"/>
                  <w:hideMark/>
                </w:tcPr>
                <w:p w14:paraId="2CE64C25" w14:textId="77777777" w:rsidR="00E01F8F" w:rsidRDefault="00E01F8F">
                  <w:pPr>
                    <w:pStyle w:val="TableTextLeft"/>
                    <w:rPr>
                      <w:szCs w:val="18"/>
                    </w:rPr>
                  </w:pPr>
                  <w:r>
                    <w:rPr>
                      <w:szCs w:val="18"/>
                    </w:rPr>
                    <w:t>State Park</w:t>
                  </w:r>
                </w:p>
              </w:tc>
              <w:tc>
                <w:tcPr>
                  <w:tcW w:w="2064" w:type="dxa"/>
                  <w:noWrap/>
                  <w:vAlign w:val="bottom"/>
                  <w:hideMark/>
                </w:tcPr>
                <w:p w14:paraId="1A03E602" w14:textId="77777777" w:rsidR="00E01F8F" w:rsidRDefault="00E01F8F" w:rsidP="000350BE">
                  <w:pPr>
                    <w:pStyle w:val="TableTextRight0"/>
                  </w:pPr>
                  <w:r>
                    <w:t>199</w:t>
                  </w:r>
                </w:p>
              </w:tc>
            </w:tr>
            <w:tr w:rsidR="00E01F8F" w14:paraId="1A6B182B" w14:textId="77777777" w:rsidTr="00E01E44">
              <w:trPr>
                <w:trHeight w:val="300"/>
              </w:trPr>
              <w:tc>
                <w:tcPr>
                  <w:tcW w:w="3629" w:type="dxa"/>
                  <w:noWrap/>
                  <w:vAlign w:val="bottom"/>
                  <w:hideMark/>
                </w:tcPr>
                <w:p w14:paraId="48852634" w14:textId="77777777" w:rsidR="00E01F8F" w:rsidRDefault="00E01F8F">
                  <w:pPr>
                    <w:pStyle w:val="TableTextLeft"/>
                    <w:rPr>
                      <w:szCs w:val="18"/>
                    </w:rPr>
                  </w:pPr>
                  <w:r>
                    <w:rPr>
                      <w:szCs w:val="18"/>
                    </w:rPr>
                    <w:t>National Park</w:t>
                  </w:r>
                </w:p>
              </w:tc>
              <w:tc>
                <w:tcPr>
                  <w:tcW w:w="2064" w:type="dxa"/>
                  <w:noWrap/>
                  <w:vAlign w:val="bottom"/>
                  <w:hideMark/>
                </w:tcPr>
                <w:p w14:paraId="37177833" w14:textId="77777777" w:rsidR="00E01F8F" w:rsidRDefault="00E01F8F" w:rsidP="000350BE">
                  <w:pPr>
                    <w:pStyle w:val="TableTextRight0"/>
                  </w:pPr>
                  <w:r>
                    <w:t>163</w:t>
                  </w:r>
                </w:p>
              </w:tc>
            </w:tr>
            <w:tr w:rsidR="00E01F8F" w14:paraId="2A5FA04E" w14:textId="77777777" w:rsidTr="00E01E44">
              <w:trPr>
                <w:trHeight w:val="300"/>
              </w:trPr>
              <w:tc>
                <w:tcPr>
                  <w:tcW w:w="3629" w:type="dxa"/>
                  <w:noWrap/>
                  <w:vAlign w:val="bottom"/>
                  <w:hideMark/>
                </w:tcPr>
                <w:p w14:paraId="198AE2B8" w14:textId="77777777" w:rsidR="00E01F8F" w:rsidRDefault="00E01F8F">
                  <w:pPr>
                    <w:pStyle w:val="TableTextLeft"/>
                    <w:rPr>
                      <w:szCs w:val="18"/>
                    </w:rPr>
                  </w:pPr>
                  <w:r>
                    <w:rPr>
                      <w:szCs w:val="18"/>
                    </w:rPr>
                    <w:t xml:space="preserve">TOTAL PROTECTED AREA </w:t>
                  </w:r>
                </w:p>
              </w:tc>
              <w:tc>
                <w:tcPr>
                  <w:tcW w:w="2064" w:type="dxa"/>
                  <w:noWrap/>
                  <w:vAlign w:val="bottom"/>
                  <w:hideMark/>
                </w:tcPr>
                <w:p w14:paraId="0028700F" w14:textId="77777777" w:rsidR="00E01F8F" w:rsidRDefault="00E01F8F" w:rsidP="000350BE">
                  <w:pPr>
                    <w:pStyle w:val="TableTextRight0"/>
                  </w:pPr>
                  <w:r>
                    <w:t>1</w:t>
                  </w:r>
                  <w:r w:rsidR="00D47844">
                    <w:t>,</w:t>
                  </w:r>
                  <w:r>
                    <w:t>210</w:t>
                  </w:r>
                </w:p>
              </w:tc>
            </w:tr>
          </w:tbl>
          <w:p w14:paraId="3195944C" w14:textId="77777777" w:rsidR="00E01F8F" w:rsidRDefault="00E01F8F">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E01F8F" w14:paraId="2976C2D5"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5564824D" w14:textId="77777777" w:rsidR="00E01F8F" w:rsidRDefault="00E01F8F">
            <w:pPr>
              <w:pStyle w:val="TableTextLeft"/>
              <w:rPr>
                <w:szCs w:val="18"/>
              </w:rPr>
            </w:pPr>
            <w:r>
              <w:rPr>
                <w:szCs w:val="18"/>
              </w:rPr>
              <w:t xml:space="preserve">Aquatic and Terrestrial Groundwater Dependant Ecosystems, of known, high potential and moderate potential </w:t>
            </w:r>
            <w:r>
              <w:rPr>
                <w:i/>
                <w:iCs/>
                <w:szCs w:val="18"/>
              </w:rPr>
              <w:t>(area</w:t>
            </w:r>
            <w:r w:rsidR="008232C9">
              <w:rPr>
                <w:i/>
                <w:iCs/>
                <w:szCs w:val="18"/>
              </w:rPr>
              <w:t> km</w:t>
            </w:r>
            <w:r>
              <w:rPr>
                <w:i/>
                <w:iCs/>
                <w:szCs w:val="18"/>
                <w:vertAlign w:val="superscript"/>
              </w:rPr>
              <w:t>2</w:t>
            </w:r>
            <w:r>
              <w:rPr>
                <w:i/>
                <w:iCs/>
                <w:szCs w:val="18"/>
              </w:rPr>
              <w:t>).</w:t>
            </w:r>
          </w:p>
        </w:tc>
        <w:tc>
          <w:tcPr>
            <w:tcW w:w="2421" w:type="pct"/>
          </w:tcPr>
          <w:p w14:paraId="0BE7A648" w14:textId="77777777" w:rsidR="00E01F8F" w:rsidRPr="000350BE" w:rsidRDefault="00E01F8F" w:rsidP="000350BE">
            <w:pPr>
              <w:pStyle w:val="TableTextLeft"/>
              <w:cnfStyle w:val="100000000000" w:firstRow="1" w:lastRow="0" w:firstColumn="0" w:lastColumn="0" w:oddVBand="0" w:evenVBand="0" w:oddHBand="0" w:evenHBand="0" w:firstRowFirstColumn="0" w:firstRowLastColumn="0" w:lastRowFirstColumn="0" w:lastRowLastColumn="0"/>
            </w:pPr>
            <w:r w:rsidRPr="000350BE">
              <w:t>1800</w:t>
            </w:r>
          </w:p>
          <w:p w14:paraId="50E2D79F" w14:textId="77777777" w:rsidR="00E01F8F" w:rsidRDefault="00E01F8F">
            <w:pPr>
              <w:pStyle w:val="TableTextLeft"/>
              <w:cnfStyle w:val="100000000000" w:firstRow="1" w:lastRow="0" w:firstColumn="0" w:lastColumn="0" w:oddVBand="0" w:evenVBand="0" w:oddHBand="0" w:evenHBand="0" w:firstRowFirstColumn="0" w:firstRowLastColumn="0" w:lastRowFirstColumn="0" w:lastRowLastColumn="0"/>
              <w:rPr>
                <w:szCs w:val="18"/>
              </w:rPr>
            </w:pPr>
          </w:p>
        </w:tc>
      </w:tr>
    </w:tbl>
    <w:p w14:paraId="4C1D3793" w14:textId="77777777" w:rsidR="00E01F8F" w:rsidRPr="000350BE" w:rsidRDefault="00E01F8F" w:rsidP="00E01F8F">
      <w:pPr>
        <w:pStyle w:val="AppendixHeading3"/>
        <w:rPr>
          <w:rFonts w:eastAsia="Times"/>
        </w:rPr>
      </w:pPr>
      <w:bookmarkStart w:id="261" w:name="_Toc517161185"/>
      <w:r>
        <w:t>Social considerations</w:t>
      </w:r>
      <w:bookmarkEnd w:id="261"/>
    </w:p>
    <w:p w14:paraId="17E9E636" w14:textId="77777777" w:rsidR="00E01F8F" w:rsidRDefault="00E01F8F" w:rsidP="00E43B52">
      <w:pPr>
        <w:pStyle w:val="BodyText"/>
      </w:pPr>
      <w:r>
        <w:t xml:space="preserve">Information on population, land use type and areas listed as either Indigenous Protected Areas (CAPAD, 2016) or where Native Title exists is presented in the </w:t>
      </w:r>
      <w:r w:rsidR="00611607">
        <w:t>Table C</w:t>
      </w:r>
      <w:r w:rsidR="00E21FDD">
        <w:t>.4</w:t>
      </w:r>
      <w:r w:rsidR="00A24684">
        <w:t>6</w:t>
      </w:r>
      <w:r w:rsidR="00E21FDD">
        <w:t>.</w:t>
      </w:r>
    </w:p>
    <w:p w14:paraId="03315700" w14:textId="77777777" w:rsidR="00E01F8F" w:rsidRDefault="00E21FDD" w:rsidP="009F3E8F">
      <w:pPr>
        <w:pStyle w:val="Caption"/>
        <w:rPr>
          <w:szCs w:val="24"/>
        </w:rPr>
      </w:pPr>
      <w:bookmarkStart w:id="262" w:name="_Toc508972195"/>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46</w:t>
      </w:r>
      <w:r w:rsidR="008079F1">
        <w:rPr>
          <w:noProof/>
        </w:rPr>
        <w:fldChar w:fldCharType="end"/>
      </w:r>
      <w:r>
        <w:t xml:space="preserve"> </w:t>
      </w:r>
      <w:r w:rsidR="00E01F8F">
        <w:t>Summary of population, land use and aboriginal protected area.</w:t>
      </w:r>
      <w:bookmarkEnd w:id="262"/>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E01F8F" w14:paraId="278EA3C8"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16E34304" w14:textId="77777777" w:rsidR="00E01F8F" w:rsidRDefault="00E01F8F">
            <w:pPr>
              <w:pStyle w:val="TableTextLeft"/>
            </w:pPr>
            <w:r>
              <w:t>GENERAL CHARACTERISTICS</w:t>
            </w:r>
          </w:p>
        </w:tc>
      </w:tr>
      <w:tr w:rsidR="00E01F8F" w14:paraId="090ABB48"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62E0A65" w14:textId="77777777" w:rsidR="00E01F8F" w:rsidRDefault="00E01F8F">
            <w:pPr>
              <w:pStyle w:val="TableTextLeft"/>
              <w:rPr>
                <w:szCs w:val="18"/>
              </w:rPr>
            </w:pPr>
            <w:r>
              <w:rPr>
                <w:szCs w:val="18"/>
              </w:rPr>
              <w:t>Population</w:t>
            </w:r>
          </w:p>
        </w:tc>
        <w:tc>
          <w:tcPr>
            <w:tcW w:w="2421" w:type="pct"/>
            <w:hideMark/>
          </w:tcPr>
          <w:p w14:paraId="4F519D42" w14:textId="77777777" w:rsidR="00E01F8F" w:rsidRDefault="00E01F8F">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396,194</w:t>
            </w:r>
          </w:p>
        </w:tc>
      </w:tr>
      <w:tr w:rsidR="00E01F8F" w14:paraId="1D112689"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7BBF6583" w14:textId="77777777" w:rsidR="00E01F8F" w:rsidRDefault="00E01F8F">
            <w:pPr>
              <w:pStyle w:val="TableTextLeft"/>
              <w:rPr>
                <w:szCs w:val="18"/>
              </w:rPr>
            </w:pPr>
            <w:r>
              <w:rPr>
                <w:szCs w:val="18"/>
              </w:rPr>
              <w:t>Major population centres (Top two)</w:t>
            </w:r>
          </w:p>
        </w:tc>
        <w:tc>
          <w:tcPr>
            <w:tcW w:w="2421" w:type="pct"/>
            <w:hideMark/>
          </w:tcPr>
          <w:p w14:paraId="78A640CE" w14:textId="77777777" w:rsidR="00E01F8F" w:rsidRDefault="00E01F8F">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Mornington Peninsula, Latrobe Valley</w:t>
            </w:r>
          </w:p>
        </w:tc>
      </w:tr>
      <w:tr w:rsidR="00E01F8F" w14:paraId="12519AD1"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36000773" w14:textId="77777777" w:rsidR="00E01F8F" w:rsidRDefault="00E01F8F">
            <w:pPr>
              <w:pStyle w:val="TableTextLeft"/>
              <w:rPr>
                <w:szCs w:val="18"/>
              </w:rPr>
            </w:pPr>
            <w:r>
              <w:rPr>
                <w:szCs w:val="18"/>
              </w:rPr>
              <w:t>Land use types</w:t>
            </w:r>
          </w:p>
          <w:p w14:paraId="3A2A8AAA" w14:textId="77777777" w:rsidR="00E01F8F" w:rsidRDefault="00E01F8F">
            <w:pPr>
              <w:pStyle w:val="TableTextLeft"/>
              <w:rPr>
                <w:szCs w:val="18"/>
              </w:rPr>
            </w:pPr>
            <w:r>
              <w:rPr>
                <w:szCs w:val="18"/>
              </w:rPr>
              <w:t>Top 5 by area</w:t>
            </w:r>
          </w:p>
          <w:p w14:paraId="0D1664F7" w14:textId="77777777" w:rsidR="00E01F8F" w:rsidRDefault="00E01F8F">
            <w:pPr>
              <w:pStyle w:val="TableTextLeft"/>
              <w:rPr>
                <w:szCs w:val="18"/>
              </w:rPr>
            </w:pPr>
            <w:r>
              <w:rPr>
                <w:iCs/>
                <w:szCs w:val="18"/>
              </w:rPr>
              <w:t>(area</w:t>
            </w:r>
            <w:r w:rsidR="008232C9">
              <w:rPr>
                <w:iCs/>
                <w:szCs w:val="18"/>
              </w:rPr>
              <w:t> km</w:t>
            </w:r>
            <w:r>
              <w:rPr>
                <w:iCs/>
                <w:szCs w:val="18"/>
                <w:vertAlign w:val="superscript"/>
              </w:rPr>
              <w:t>2</w:t>
            </w:r>
            <w:r>
              <w:rPr>
                <w:iCs/>
                <w:szCs w:val="18"/>
              </w:rPr>
              <w:t>)</w:t>
            </w:r>
          </w:p>
        </w:tc>
        <w:tc>
          <w:tcPr>
            <w:tcW w:w="2421" w:type="pct"/>
            <w:hideMark/>
          </w:tcPr>
          <w:tbl>
            <w:tblPr>
              <w:tblW w:w="4200" w:type="dxa"/>
              <w:tblLook w:val="04A0" w:firstRow="1" w:lastRow="0" w:firstColumn="1" w:lastColumn="0" w:noHBand="0" w:noVBand="1"/>
            </w:tblPr>
            <w:tblGrid>
              <w:gridCol w:w="3490"/>
              <w:gridCol w:w="710"/>
            </w:tblGrid>
            <w:tr w:rsidR="00E01F8F" w14:paraId="606A8293" w14:textId="77777777" w:rsidTr="00E01E44">
              <w:trPr>
                <w:trHeight w:val="300"/>
              </w:trPr>
              <w:tc>
                <w:tcPr>
                  <w:tcW w:w="3487" w:type="dxa"/>
                  <w:noWrap/>
                  <w:vAlign w:val="center"/>
                  <w:hideMark/>
                </w:tcPr>
                <w:p w14:paraId="2F2C1CF7" w14:textId="77777777" w:rsidR="00E01F8F" w:rsidRPr="000350BE" w:rsidRDefault="00E01F8F" w:rsidP="000350BE">
                  <w:pPr>
                    <w:pStyle w:val="TableTextLeft"/>
                  </w:pPr>
                  <w:r w:rsidRPr="000350BE">
                    <w:t>Grazing modified pastures</w:t>
                  </w:r>
                </w:p>
              </w:tc>
              <w:tc>
                <w:tcPr>
                  <w:tcW w:w="709" w:type="dxa"/>
                  <w:noWrap/>
                  <w:vAlign w:val="center"/>
                  <w:hideMark/>
                </w:tcPr>
                <w:p w14:paraId="4A600346" w14:textId="77777777" w:rsidR="00E01F8F" w:rsidRDefault="00E01F8F" w:rsidP="000350BE">
                  <w:pPr>
                    <w:pStyle w:val="TableTextRight0"/>
                  </w:pPr>
                  <w:r>
                    <w:t>4</w:t>
                  </w:r>
                  <w:r w:rsidR="00D47844">
                    <w:t>,</w:t>
                  </w:r>
                  <w:r>
                    <w:t>557</w:t>
                  </w:r>
                </w:p>
              </w:tc>
            </w:tr>
            <w:tr w:rsidR="00E01F8F" w14:paraId="7B0F31E5" w14:textId="77777777" w:rsidTr="00E01E44">
              <w:trPr>
                <w:trHeight w:val="300"/>
              </w:trPr>
              <w:tc>
                <w:tcPr>
                  <w:tcW w:w="3487" w:type="dxa"/>
                  <w:noWrap/>
                  <w:vAlign w:val="center"/>
                  <w:hideMark/>
                </w:tcPr>
                <w:p w14:paraId="71201BB0" w14:textId="77777777" w:rsidR="00E01F8F" w:rsidRPr="000350BE" w:rsidRDefault="00E01F8F" w:rsidP="000350BE">
                  <w:pPr>
                    <w:pStyle w:val="TableTextLeft"/>
                  </w:pPr>
                  <w:r w:rsidRPr="000350BE">
                    <w:t>Plantation forestry</w:t>
                  </w:r>
                </w:p>
              </w:tc>
              <w:tc>
                <w:tcPr>
                  <w:tcW w:w="709" w:type="dxa"/>
                  <w:noWrap/>
                  <w:vAlign w:val="center"/>
                  <w:hideMark/>
                </w:tcPr>
                <w:p w14:paraId="77D32A6B" w14:textId="77777777" w:rsidR="00E01F8F" w:rsidRDefault="00E01F8F" w:rsidP="000350BE">
                  <w:pPr>
                    <w:pStyle w:val="TableTextRight0"/>
                  </w:pPr>
                  <w:r>
                    <w:t>2</w:t>
                  </w:r>
                  <w:r w:rsidR="00D47844">
                    <w:t>,</w:t>
                  </w:r>
                  <w:r>
                    <w:t>528</w:t>
                  </w:r>
                </w:p>
              </w:tc>
            </w:tr>
            <w:tr w:rsidR="00E01F8F" w14:paraId="0EE9909B" w14:textId="77777777" w:rsidTr="00E01E44">
              <w:trPr>
                <w:trHeight w:val="300"/>
              </w:trPr>
              <w:tc>
                <w:tcPr>
                  <w:tcW w:w="3487" w:type="dxa"/>
                  <w:noWrap/>
                  <w:vAlign w:val="center"/>
                  <w:hideMark/>
                </w:tcPr>
                <w:p w14:paraId="10FA151B" w14:textId="77777777" w:rsidR="00E01F8F" w:rsidRPr="000350BE" w:rsidRDefault="00E01F8F" w:rsidP="000350BE">
                  <w:pPr>
                    <w:pStyle w:val="TableTextLeft"/>
                  </w:pPr>
                  <w:r w:rsidRPr="000350BE">
                    <w:t>Nature Conservation</w:t>
                  </w:r>
                </w:p>
              </w:tc>
              <w:tc>
                <w:tcPr>
                  <w:tcW w:w="709" w:type="dxa"/>
                  <w:noWrap/>
                  <w:vAlign w:val="center"/>
                  <w:hideMark/>
                </w:tcPr>
                <w:p w14:paraId="65086A79" w14:textId="77777777" w:rsidR="00E01F8F" w:rsidRDefault="00E01F8F" w:rsidP="000350BE">
                  <w:pPr>
                    <w:pStyle w:val="TableTextRight0"/>
                  </w:pPr>
                  <w:r>
                    <w:t>1</w:t>
                  </w:r>
                  <w:r w:rsidR="00D47844">
                    <w:t>,</w:t>
                  </w:r>
                  <w:r>
                    <w:t>302</w:t>
                  </w:r>
                </w:p>
              </w:tc>
            </w:tr>
            <w:tr w:rsidR="00E01F8F" w14:paraId="05FAB37C" w14:textId="77777777" w:rsidTr="00E01E44">
              <w:trPr>
                <w:trHeight w:val="300"/>
              </w:trPr>
              <w:tc>
                <w:tcPr>
                  <w:tcW w:w="3487" w:type="dxa"/>
                  <w:noWrap/>
                  <w:vAlign w:val="center"/>
                  <w:hideMark/>
                </w:tcPr>
                <w:p w14:paraId="315D4C52" w14:textId="77777777" w:rsidR="00E01F8F" w:rsidRPr="000350BE" w:rsidRDefault="00E01F8F" w:rsidP="000350BE">
                  <w:pPr>
                    <w:pStyle w:val="TableTextLeft"/>
                  </w:pPr>
                  <w:r w:rsidRPr="000350BE">
                    <w:t>Urban intensive uses</w:t>
                  </w:r>
                </w:p>
              </w:tc>
              <w:tc>
                <w:tcPr>
                  <w:tcW w:w="709" w:type="dxa"/>
                  <w:noWrap/>
                  <w:vAlign w:val="center"/>
                  <w:hideMark/>
                </w:tcPr>
                <w:p w14:paraId="6345C09A" w14:textId="77777777" w:rsidR="00E01F8F" w:rsidRDefault="00E01F8F" w:rsidP="000350BE">
                  <w:pPr>
                    <w:pStyle w:val="TableTextRight0"/>
                  </w:pPr>
                  <w:r>
                    <w:t>908</w:t>
                  </w:r>
                </w:p>
              </w:tc>
            </w:tr>
            <w:tr w:rsidR="00E01F8F" w14:paraId="6F2A7802" w14:textId="77777777" w:rsidTr="00E01E44">
              <w:trPr>
                <w:trHeight w:val="300"/>
              </w:trPr>
              <w:tc>
                <w:tcPr>
                  <w:tcW w:w="3487" w:type="dxa"/>
                  <w:noWrap/>
                  <w:vAlign w:val="center"/>
                  <w:hideMark/>
                </w:tcPr>
                <w:p w14:paraId="7DC43FDC" w14:textId="77777777" w:rsidR="00E01F8F" w:rsidRPr="000350BE" w:rsidRDefault="00E01F8F" w:rsidP="000350BE">
                  <w:pPr>
                    <w:pStyle w:val="TableTextLeft"/>
                  </w:pPr>
                  <w:r w:rsidRPr="000350BE">
                    <w:t>Rural residential and farm infrastructure</w:t>
                  </w:r>
                </w:p>
              </w:tc>
              <w:tc>
                <w:tcPr>
                  <w:tcW w:w="709" w:type="dxa"/>
                  <w:noWrap/>
                  <w:vAlign w:val="center"/>
                  <w:hideMark/>
                </w:tcPr>
                <w:p w14:paraId="6CD2D461" w14:textId="77777777" w:rsidR="00E01F8F" w:rsidRDefault="00E01F8F" w:rsidP="000350BE">
                  <w:pPr>
                    <w:pStyle w:val="TableTextRight0"/>
                  </w:pPr>
                  <w:r>
                    <w:t>817</w:t>
                  </w:r>
                </w:p>
              </w:tc>
            </w:tr>
          </w:tbl>
          <w:p w14:paraId="4B4ADEC9" w14:textId="77777777" w:rsidR="00E01F8F" w:rsidRDefault="00E01F8F">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E01F8F" w14:paraId="031C4AF4"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5FACF693" w14:textId="77777777" w:rsidR="00E01F8F" w:rsidRDefault="00E01F8F">
            <w:pPr>
              <w:pStyle w:val="TableTextLeft"/>
              <w:rPr>
                <w:szCs w:val="18"/>
              </w:rPr>
            </w:pPr>
            <w:r>
              <w:rPr>
                <w:szCs w:val="18"/>
              </w:rPr>
              <w:t xml:space="preserve">Aboriginal Protected Area (CAPAD 2016) and Native title </w:t>
            </w:r>
            <w:r>
              <w:rPr>
                <w:iCs/>
                <w:szCs w:val="18"/>
              </w:rPr>
              <w:t>(area</w:t>
            </w:r>
            <w:r w:rsidR="008232C9">
              <w:rPr>
                <w:iCs/>
                <w:szCs w:val="18"/>
              </w:rPr>
              <w:t> km</w:t>
            </w:r>
            <w:r>
              <w:rPr>
                <w:iCs/>
                <w:szCs w:val="18"/>
                <w:vertAlign w:val="superscript"/>
              </w:rPr>
              <w:t>2</w:t>
            </w:r>
            <w:r>
              <w:rPr>
                <w:iCs/>
                <w:szCs w:val="18"/>
              </w:rPr>
              <w:t>)</w:t>
            </w:r>
          </w:p>
        </w:tc>
        <w:tc>
          <w:tcPr>
            <w:tcW w:w="2421" w:type="pct"/>
            <w:hideMark/>
          </w:tcPr>
          <w:p w14:paraId="097C5D84" w14:textId="77777777" w:rsidR="00E01F8F" w:rsidRDefault="00E01F8F">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2051</w:t>
            </w:r>
          </w:p>
        </w:tc>
      </w:tr>
    </w:tbl>
    <w:p w14:paraId="538B79BB" w14:textId="77777777" w:rsidR="00E01F8F" w:rsidRPr="000350BE" w:rsidRDefault="00E01F8F" w:rsidP="000350BE">
      <w:pPr>
        <w:pStyle w:val="Heading3notnumbered"/>
        <w:rPr>
          <w:rFonts w:eastAsia="Times"/>
        </w:rPr>
      </w:pPr>
      <w:bookmarkStart w:id="263" w:name="_Toc517161186"/>
      <w:r w:rsidRPr="000350BE">
        <w:lastRenderedPageBreak/>
        <w:t>Key references</w:t>
      </w:r>
      <w:bookmarkEnd w:id="263"/>
    </w:p>
    <w:p w14:paraId="5C42CDDA" w14:textId="77777777" w:rsidR="00727542" w:rsidRDefault="00727542" w:rsidP="00727542">
      <w:pPr>
        <w:pStyle w:val="References"/>
      </w:pPr>
      <w:r>
        <w:t>AER (Australian Energy Regulator) (2017) State of the energy market, May 2017. Viewed 16/01/2018, &lt;</w:t>
      </w:r>
      <w:hyperlink r:id="rId364" w:history="1">
        <w:r w:rsidRPr="00165029">
          <w:rPr>
            <w:rStyle w:val="Hyperlink"/>
          </w:rPr>
          <w:t>https://www.aer.gov.au/publications/state-of-the-energy-market-reports/state-of-the-energy-market-may-2017</w:t>
        </w:r>
      </w:hyperlink>
      <w:r>
        <w:t>&gt;.</w:t>
      </w:r>
    </w:p>
    <w:p w14:paraId="4D3F70C7" w14:textId="77777777" w:rsidR="00727542" w:rsidRDefault="00727542" w:rsidP="00727542">
      <w:pPr>
        <w:pStyle w:val="References"/>
      </w:pPr>
      <w:r>
        <w:t>APPEA (2017) Shale g</w:t>
      </w:r>
      <w:r w:rsidRPr="00985702">
        <w:t>as in Australia</w:t>
      </w:r>
      <w:r>
        <w:t>. Viewed 15/01/2018,</w:t>
      </w:r>
      <w:r w:rsidRPr="00985702">
        <w:t xml:space="preserve"> </w:t>
      </w:r>
      <w:r>
        <w:t>&lt;</w:t>
      </w:r>
      <w:hyperlink r:id="rId365" w:history="1">
        <w:r w:rsidRPr="000E4EFC">
          <w:rPr>
            <w:rStyle w:val="Hyperlink"/>
          </w:rPr>
          <w:t>https://www.shale-gas.com.au/environment/regulation-and-licensing/</w:t>
        </w:r>
      </w:hyperlink>
      <w:r>
        <w:t>&gt;.</w:t>
      </w:r>
    </w:p>
    <w:p w14:paraId="06053D16" w14:textId="1026D5EE" w:rsidR="00BD0302" w:rsidRDefault="00BD0302" w:rsidP="00E01F8F">
      <w:pPr>
        <w:pStyle w:val="References"/>
        <w:rPr>
          <w:szCs w:val="20"/>
        </w:rPr>
      </w:pPr>
      <w:r>
        <w:t xml:space="preserve">Bernecker T and Partridge AD </w:t>
      </w:r>
      <w:r w:rsidR="003D7401">
        <w:t>(</w:t>
      </w:r>
      <w:r>
        <w:t>2005</w:t>
      </w:r>
      <w:r w:rsidR="003D7401">
        <w:t>)</w:t>
      </w:r>
      <w:r>
        <w:t xml:space="preserve"> Approaches to palaeogeographic reconstructions of the Latrobe Group, Gippsland Basin, SE Australia. APPEA Journal 45, 581–600.</w:t>
      </w:r>
    </w:p>
    <w:p w14:paraId="6D015DDC" w14:textId="77777777" w:rsidR="003D7401" w:rsidRDefault="003D7401" w:rsidP="003D7401">
      <w:pPr>
        <w:pStyle w:val="References"/>
      </w:pPr>
      <w:r>
        <w:t>BoM (Bureau of Meteorology) (2014) Australian Hydrological Geospatial Fabric (“Geofabric”), version 2.1.1. Viewed 02/08/2017, &lt;</w:t>
      </w:r>
      <w:hyperlink r:id="rId366" w:history="1">
        <w:r w:rsidRPr="00DA1EAB">
          <w:rPr>
            <w:rStyle w:val="Hyperlink"/>
          </w:rPr>
          <w:t>http://www.bom.gov.au/water/geofabric/download.shtml</w:t>
        </w:r>
      </w:hyperlink>
      <w:r>
        <w:t>&gt;.</w:t>
      </w:r>
    </w:p>
    <w:p w14:paraId="162344C0" w14:textId="1A6DC3CD" w:rsidR="00B221F1" w:rsidRDefault="00B221F1" w:rsidP="00B221F1">
      <w:pPr>
        <w:pStyle w:val="References"/>
      </w:pPr>
      <w:r>
        <w:t>BoM (Bureau of Meteorology) (2016) National Groundwater Information System, v.1.3. Viewed 07/07/2017, &lt;</w:t>
      </w:r>
      <w:hyperlink r:id="rId367" w:history="1">
        <w:r w:rsidRPr="00DA1EAB">
          <w:rPr>
            <w:rStyle w:val="Hyperlink"/>
          </w:rPr>
          <w:t>http://www.bom.gov.au/water/groundwater/ngis/</w:t>
        </w:r>
      </w:hyperlink>
      <w:r>
        <w:t>&gt;.</w:t>
      </w:r>
    </w:p>
    <w:p w14:paraId="12795FB4" w14:textId="77777777" w:rsidR="00923F1B" w:rsidRPr="00356E9E" w:rsidRDefault="00923F1B" w:rsidP="00923F1B">
      <w:pPr>
        <w:pStyle w:val="References"/>
      </w:pPr>
      <w:r>
        <w:t xml:space="preserve">CAPAD (2016) </w:t>
      </w:r>
      <w:r w:rsidRPr="00356E9E">
        <w:t>Collaborative Australia</w:t>
      </w:r>
      <w:r>
        <w:t>n Protected Area Database, 2016 S</w:t>
      </w:r>
      <w:r w:rsidRPr="00356E9E">
        <w:t>patial dataset provided from the Departmen</w:t>
      </w:r>
      <w:r>
        <w:t>t of the Environment and Energy.</w:t>
      </w:r>
      <w:r w:rsidRPr="00356E9E">
        <w:t xml:space="preserve"> </w:t>
      </w:r>
      <w:r>
        <w:t>Viewed 18/07/2017, &lt;</w:t>
      </w:r>
      <w:hyperlink r:id="rId368" w:history="1">
        <w:r w:rsidRPr="00456161">
          <w:rPr>
            <w:rStyle w:val="Hyperlink"/>
          </w:rPr>
          <w:t>https://www.environment.gov.au/land/nrs/science/capad/2016</w:t>
        </w:r>
      </w:hyperlink>
      <w:r>
        <w:t>&gt;.</w:t>
      </w:r>
      <w:r w:rsidRPr="00356E9E">
        <w:t xml:space="preserve"> </w:t>
      </w:r>
    </w:p>
    <w:p w14:paraId="0088A269" w14:textId="4CEC4CA9" w:rsidR="00BD0302" w:rsidRDefault="00BD0302" w:rsidP="00E01F8F">
      <w:pPr>
        <w:pStyle w:val="References"/>
      </w:pPr>
      <w:r>
        <w:t xml:space="preserve">Cooper Energy </w:t>
      </w:r>
      <w:r w:rsidR="00263072">
        <w:t>(</w:t>
      </w:r>
      <w:r>
        <w:t>2017</w:t>
      </w:r>
      <w:r w:rsidR="00263072">
        <w:t>)</w:t>
      </w:r>
      <w:r>
        <w:t xml:space="preserve"> Sole gas project ASX announcement 27 February 2017. </w:t>
      </w:r>
      <w:r w:rsidR="00263072">
        <w:t>Viewed 15/03/2017, &lt;</w:t>
      </w:r>
      <w:hyperlink r:id="rId369" w:history="1">
        <w:r w:rsidRPr="0022303B">
          <w:rPr>
            <w:rStyle w:val="Hyperlink"/>
          </w:rPr>
          <w:t>http://www.cooperenergy.com.au/Upload/Documents/AnnouncementsItem/2017.02.27-ASX-Sole-Gas-Project.pdf</w:t>
        </w:r>
      </w:hyperlink>
      <w:r w:rsidR="00263072">
        <w:t>&gt;.</w:t>
      </w:r>
    </w:p>
    <w:p w14:paraId="6567ACF4" w14:textId="3014F6AB" w:rsidR="00923F1B" w:rsidRDefault="00923F1B" w:rsidP="00923F1B">
      <w:pPr>
        <w:pStyle w:val="References"/>
      </w:pPr>
      <w:r>
        <w:t>Core (2014) Gas reserves and resources, eastern and southeastern Australia. Core Energy Group report to the Australian Energy Marke</w:t>
      </w:r>
      <w:r w:rsidR="00263072">
        <w:t xml:space="preserve">t Operator. Viewed 09/08/2017, </w:t>
      </w:r>
      <w:r>
        <w:t>&lt;</w:t>
      </w:r>
      <w:hyperlink r:id="rId370" w:history="1">
        <w:r w:rsidRPr="003E47FE">
          <w:rPr>
            <w:rStyle w:val="Hyperlink"/>
          </w:rPr>
          <w:t>https://www.aemo.com.au/-/media/Files/Gas/National_Planning_and_Forecasting/GSOO/2015/Core--Gas-Reserves-and-Resources.pdf</w:t>
        </w:r>
      </w:hyperlink>
      <w:r>
        <w:rPr>
          <w:rStyle w:val="Hyperlink"/>
        </w:rPr>
        <w:t>&gt;.</w:t>
      </w:r>
    </w:p>
    <w:p w14:paraId="14CB4833" w14:textId="1C698283" w:rsidR="00BD0302" w:rsidRDefault="00BD0302" w:rsidP="00E01F8F">
      <w:pPr>
        <w:pStyle w:val="References"/>
      </w:pPr>
      <w:r>
        <w:t xml:space="preserve">Department of Economic Development, Jobs, Transport and Resources </w:t>
      </w:r>
      <w:r w:rsidR="00263072">
        <w:t>(</w:t>
      </w:r>
      <w:r>
        <w:t>2017</w:t>
      </w:r>
      <w:r w:rsidR="00263072">
        <w:t>) Viewed 15/03/2017, &lt;</w:t>
      </w:r>
      <w:r>
        <w:t xml:space="preserve"> </w:t>
      </w:r>
      <w:hyperlink r:id="rId371" w:history="1">
        <w:r w:rsidRPr="0022303B">
          <w:rPr>
            <w:rStyle w:val="Hyperlink"/>
          </w:rPr>
          <w:t>http://earthresources.vic.gov.au/earth-resources/victorias-earth-resources/petroleum/petroleum-processing-plants,-refineries-and-infrastructure</w:t>
        </w:r>
      </w:hyperlink>
      <w:r w:rsidR="00263072">
        <w:t>&gt;.</w:t>
      </w:r>
    </w:p>
    <w:p w14:paraId="559D8CE4" w14:textId="380B1676" w:rsidR="00BD0302" w:rsidRDefault="00263072" w:rsidP="00E01F8F">
      <w:pPr>
        <w:pStyle w:val="References"/>
      </w:pPr>
      <w:r>
        <w:t>DELWP (Department of Environment, Land, Water and Planning)</w:t>
      </w:r>
      <w:r w:rsidR="00BD0302">
        <w:t xml:space="preserve"> </w:t>
      </w:r>
      <w:r>
        <w:t>(</w:t>
      </w:r>
      <w:r w:rsidR="00BD0302">
        <w:t>2016</w:t>
      </w:r>
      <w:r>
        <w:t>)</w:t>
      </w:r>
      <w:r w:rsidR="00BD0302">
        <w:t xml:space="preserve"> Victorian Water Accounts 2014-2015 – A statement of Victorian water resources. Department of Environment, Land, Water and Planning, Victoria. October 2016.</w:t>
      </w:r>
    </w:p>
    <w:p w14:paraId="26E14666" w14:textId="32B0F67C" w:rsidR="00B221F1" w:rsidRDefault="00B221F1" w:rsidP="00B221F1">
      <w:pPr>
        <w:pStyle w:val="References"/>
      </w:pPr>
      <w:r>
        <w:rPr>
          <w:rFonts w:eastAsiaTheme="minorHAnsi"/>
          <w:lang w:eastAsia="en-US"/>
        </w:rPr>
        <w:t xml:space="preserve">DELWP (Department of Environment, Land, Water and Planning) and (GSV) Geological Survey of Victoria (2015) </w:t>
      </w:r>
      <w:r>
        <w:t>Onshore natural gas water science studies — Gippsland region assessment of potential impacts on water resources. Department of Environment, Land, Water and Planning, Melbourne, June 2015.</w:t>
      </w:r>
    </w:p>
    <w:p w14:paraId="74C62C09" w14:textId="2289C093" w:rsidR="00BD0302" w:rsidRDefault="00BD0302" w:rsidP="00E01F8F">
      <w:pPr>
        <w:pStyle w:val="References"/>
      </w:pPr>
      <w:r>
        <w:lastRenderedPageBreak/>
        <w:t xml:space="preserve">Duddy IR </w:t>
      </w:r>
      <w:r w:rsidR="00263072">
        <w:t>(</w:t>
      </w:r>
      <w:r>
        <w:t>2003</w:t>
      </w:r>
      <w:r w:rsidR="00263072">
        <w:t>)</w:t>
      </w:r>
      <w:r>
        <w:t xml:space="preserve"> Mesozoic, a time of change in tectonic regime. </w:t>
      </w:r>
      <w:r>
        <w:rPr>
          <w:iCs/>
        </w:rPr>
        <w:t xml:space="preserve">In: </w:t>
      </w:r>
      <w:r>
        <w:t>Birch</w:t>
      </w:r>
      <w:r w:rsidR="00263072">
        <w:t xml:space="preserve"> WD</w:t>
      </w:r>
      <w:r>
        <w:t xml:space="preserve"> (Ed.) Geology of Victoria, </w:t>
      </w:r>
      <w:r>
        <w:rPr>
          <w:iCs/>
        </w:rPr>
        <w:t xml:space="preserve">Geological Society of Australia Special Publication </w:t>
      </w:r>
      <w:r>
        <w:rPr>
          <w:bCs/>
        </w:rPr>
        <w:t>23</w:t>
      </w:r>
      <w:r w:rsidR="00A5155B">
        <w:t>,</w:t>
      </w:r>
      <w:r>
        <w:t xml:space="preserve"> Geological Society o</w:t>
      </w:r>
      <w:r w:rsidR="00A5155B">
        <w:t>f Australia (Victoria Division),</w:t>
      </w:r>
      <w:r>
        <w:t xml:space="preserve"> 239–286.</w:t>
      </w:r>
    </w:p>
    <w:p w14:paraId="3A1E8DBB" w14:textId="4EB1A0D1" w:rsidR="00FE4817" w:rsidRDefault="00FE4817" w:rsidP="00FE4817">
      <w:pPr>
        <w:pStyle w:val="References"/>
      </w:pPr>
      <w:r>
        <w:t xml:space="preserve">GA (Geoscience Australia) (2015a) </w:t>
      </w:r>
      <w:r w:rsidRPr="00093164">
        <w:t>Oil and Gas Infrastructure</w:t>
      </w:r>
      <w:r>
        <w:t>. Viewed 16/01/2018, &lt;</w:t>
      </w:r>
      <w:hyperlink r:id="rId372" w:history="1">
        <w:r w:rsidRPr="0065740D">
          <w:rPr>
            <w:rStyle w:val="Hyperlink"/>
          </w:rPr>
          <w:t>http://services.ga.gov.au/site_9/rest/services/Oil_Gas_Infrastructure/MapServer</w:t>
        </w:r>
      </w:hyperlink>
      <w:r>
        <w:rPr>
          <w:rStyle w:val="Hyperlink"/>
        </w:rPr>
        <w:t>&gt;.</w:t>
      </w:r>
    </w:p>
    <w:p w14:paraId="4130090A" w14:textId="77777777" w:rsidR="00FE4817" w:rsidRDefault="00FE4817" w:rsidP="00FE4817">
      <w:pPr>
        <w:pStyle w:val="References"/>
      </w:pPr>
      <w:r>
        <w:t xml:space="preserve">GA (Geoscience Australia) (2015b) </w:t>
      </w:r>
      <w:r w:rsidRPr="00093164">
        <w:t xml:space="preserve">Oil and Gas </w:t>
      </w:r>
      <w:r>
        <w:t xml:space="preserve">platforms. </w:t>
      </w:r>
      <w:r w:rsidRPr="000C32BC">
        <w:t>Viewed 16/01/2018</w:t>
      </w:r>
      <w:r>
        <w:t>, &lt;</w:t>
      </w:r>
      <w:hyperlink r:id="rId373" w:anchor="!0a4a79dc-978a-0e89-e054-00144fdd4fa6" w:history="1">
        <w:r w:rsidRPr="00743C84">
          <w:rPr>
            <w:rStyle w:val="Hyperlink"/>
          </w:rPr>
          <w:t>https://ecat.ga.gov.au/geonetwork/srv/eng/search#!0a4a79dc-978a-0e89-e054-00144fdd4fa6</w:t>
        </w:r>
      </w:hyperlink>
      <w:r>
        <w:rPr>
          <w:rStyle w:val="Hyperlink"/>
        </w:rPr>
        <w:t>&gt;.</w:t>
      </w:r>
      <w:r>
        <w:t xml:space="preserve"> </w:t>
      </w:r>
    </w:p>
    <w:p w14:paraId="777AF534" w14:textId="6B5E8A0C" w:rsidR="00983C9B" w:rsidRPr="009B2A2E" w:rsidRDefault="00983C9B" w:rsidP="00983C9B">
      <w:pPr>
        <w:pStyle w:val="References"/>
      </w:pPr>
      <w:r w:rsidRPr="009B2A2E">
        <w:t>GA (</w:t>
      </w:r>
      <w:r>
        <w:t>Geoscience Australia) (2017)</w:t>
      </w:r>
      <w:r w:rsidRPr="009B2A2E">
        <w:t xml:space="preserve"> </w:t>
      </w:r>
      <w:r>
        <w:t xml:space="preserve">Interim </w:t>
      </w:r>
      <w:r w:rsidRPr="009B2A2E">
        <w:t>Gippsland</w:t>
      </w:r>
      <w:r>
        <w:t xml:space="preserve"> Basin</w:t>
      </w:r>
      <w:r w:rsidRPr="009B2A2E">
        <w:t xml:space="preserve"> </w:t>
      </w:r>
      <w:r>
        <w:t>unconventional</w:t>
      </w:r>
      <w:r w:rsidRPr="009B2A2E">
        <w:t xml:space="preserve"> resource assessment</w:t>
      </w:r>
      <w:r>
        <w:t>. Viewed</w:t>
      </w:r>
      <w:r w:rsidRPr="00CD20C0">
        <w:t xml:space="preserve"> </w:t>
      </w:r>
      <w:r>
        <w:t>16/01/2018, &lt;</w:t>
      </w:r>
      <w:hyperlink r:id="rId374" w:history="1">
        <w:r w:rsidRPr="00C03A7D">
          <w:rPr>
            <w:rStyle w:val="Hyperlink"/>
          </w:rPr>
          <w:t>http://www.ga.gov.au/metadata-gateway/metadata/record/104422</w:t>
        </w:r>
      </w:hyperlink>
      <w:r>
        <w:t>&gt;.</w:t>
      </w:r>
    </w:p>
    <w:p w14:paraId="6BA67127" w14:textId="1BC683E9" w:rsidR="00BD0302" w:rsidRDefault="00BD0302" w:rsidP="00E01F8F">
      <w:pPr>
        <w:pStyle w:val="References"/>
      </w:pPr>
      <w:r>
        <w:t>GHD</w:t>
      </w:r>
      <w:r w:rsidR="00263072">
        <w:t xml:space="preserve"> (2012)</w:t>
      </w:r>
      <w:r>
        <w:t xml:space="preserve"> Victorian Aquifer Framework: updates for seamless mapping of aquifer surfaces. Report prepared for Department of Sustainability and Environment, May 2012. </w:t>
      </w:r>
      <w:r w:rsidR="00263072">
        <w:t>Viewed</w:t>
      </w:r>
      <w:r w:rsidR="00263072" w:rsidRPr="00CD20C0">
        <w:t xml:space="preserve"> </w:t>
      </w:r>
      <w:r w:rsidR="00263072">
        <w:t>16/01/2018</w:t>
      </w:r>
      <w:r>
        <w:t xml:space="preserve">, </w:t>
      </w:r>
      <w:r w:rsidR="00263072">
        <w:t>&lt;</w:t>
      </w:r>
      <w:hyperlink r:id="rId375" w:history="1">
        <w:r w:rsidR="00FB13A2" w:rsidRPr="009935AF">
          <w:rPr>
            <w:rStyle w:val="Hyperlink"/>
          </w:rPr>
          <w:t>http://www.vvg.org.au/cb_pages/files/207086.pdf</w:t>
        </w:r>
      </w:hyperlink>
      <w:r w:rsidR="00263072">
        <w:rPr>
          <w:rStyle w:val="Hyperlink"/>
        </w:rPr>
        <w:t>&gt;</w:t>
      </w:r>
      <w:r>
        <w:t>.</w:t>
      </w:r>
    </w:p>
    <w:p w14:paraId="6B4FDC9A" w14:textId="6A3F7270" w:rsidR="00BD0302" w:rsidRDefault="00BD0302" w:rsidP="00E01F8F">
      <w:pPr>
        <w:pStyle w:val="References"/>
      </w:pPr>
      <w:r>
        <w:t xml:space="preserve">Gippsland Water </w:t>
      </w:r>
      <w:r w:rsidR="00263072">
        <w:t>(</w:t>
      </w:r>
      <w:r>
        <w:t>2012</w:t>
      </w:r>
      <w:r w:rsidR="00263072">
        <w:t>)</w:t>
      </w:r>
      <w:r>
        <w:t xml:space="preserve"> Gippsland Water 2012 water supply demand strategy. </w:t>
      </w:r>
      <w:r w:rsidR="00263072">
        <w:t>Viewed</w:t>
      </w:r>
      <w:r w:rsidR="00263072" w:rsidRPr="00CD20C0">
        <w:t xml:space="preserve"> </w:t>
      </w:r>
      <w:r w:rsidR="00263072">
        <w:t>16/01/2018</w:t>
      </w:r>
      <w:r>
        <w:t xml:space="preserve">, </w:t>
      </w:r>
      <w:r w:rsidR="00263072">
        <w:t>&lt;</w:t>
      </w:r>
      <w:r w:rsidR="00263072" w:rsidRPr="00263072">
        <w:rPr>
          <w:rStyle w:val="Hyperlink"/>
        </w:rPr>
        <w:t>https://www.gippswater.com.au/application/files/3514/4902/4938/Water_Security_Outlook_-_December_2015.pdf</w:t>
      </w:r>
      <w:r w:rsidR="00263072">
        <w:rPr>
          <w:rStyle w:val="Hyperlink"/>
        </w:rPr>
        <w:t>&gt;</w:t>
      </w:r>
      <w:r w:rsidRPr="0022303B">
        <w:rPr>
          <w:rStyle w:val="Hyperlink"/>
        </w:rPr>
        <w:t>.</w:t>
      </w:r>
    </w:p>
    <w:p w14:paraId="426F21FF" w14:textId="21C3D0C0" w:rsidR="00263072" w:rsidRDefault="00DC0970" w:rsidP="00263072">
      <w:pPr>
        <w:pStyle w:val="References"/>
      </w:pPr>
      <w:r>
        <w:t>Goldie Divko</w:t>
      </w:r>
      <w:r w:rsidR="00263072">
        <w:t xml:space="preserve"> LM (2015) A review of gas prospectivity: Gippsland region. Department of Economic Development, Jobs, Transport and Resources. Melbourne, Victoria.</w:t>
      </w:r>
    </w:p>
    <w:p w14:paraId="453047CE" w14:textId="77777777" w:rsidR="00263072" w:rsidRDefault="00263072" w:rsidP="00263072">
      <w:pPr>
        <w:pStyle w:val="References"/>
      </w:pPr>
      <w:r>
        <w:t xml:space="preserve">GSV (Geological Survey Victoria) (2009) The polygons depict the outline of 3D surveys. These outlines illustrate the survey outlines but are not consistently defined. Viewed 11/08/2017, </w:t>
      </w:r>
      <w:hyperlink r:id="rId376" w:history="1">
        <w:r>
          <w:rPr>
            <w:rStyle w:val="Hyperlink"/>
          </w:rPr>
          <w:t>http://services.land.vic.gov.au/SpatialDatamart/viewMetadata.html?anzlicId=ANZVI0803002766&amp;extractionProviderId=1</w:t>
        </w:r>
      </w:hyperlink>
      <w:r>
        <w:rPr>
          <w:rStyle w:val="Hyperlink"/>
        </w:rPr>
        <w:t>&gt;.</w:t>
      </w:r>
    </w:p>
    <w:p w14:paraId="683F773C" w14:textId="77777777" w:rsidR="00263072" w:rsidRDefault="00263072" w:rsidP="00263072">
      <w:pPr>
        <w:pStyle w:val="References"/>
      </w:pPr>
      <w:r>
        <w:t>GSV (Geological Survey Victoria) (2017a) Seismic Survey Lines - for Petroleum Industry Exploration. Viewed 1/08/2017, &lt;</w:t>
      </w:r>
      <w:r>
        <w:rPr>
          <w:rStyle w:val="Hyperlink"/>
        </w:rPr>
        <w:t>https://www.data.vic.gov.au/data/dataset/seismic-survey-lines-for-petroleum-industry-exploration&gt;</w:t>
      </w:r>
      <w:r>
        <w:t>.</w:t>
      </w:r>
    </w:p>
    <w:p w14:paraId="65CE2AFC" w14:textId="77777777" w:rsidR="00263072" w:rsidRDefault="00263072" w:rsidP="00263072">
      <w:pPr>
        <w:pStyle w:val="References"/>
      </w:pPr>
      <w:r>
        <w:t>GSV (Geological Survey Victoria) (2017b) Petroleum Wells (from Minerals and Petroleum's DbMap database) Viewed 11/08/2017, &lt;</w:t>
      </w:r>
      <w:hyperlink r:id="rId377" w:history="1">
        <w:r>
          <w:rPr>
            <w:rStyle w:val="Hyperlink"/>
          </w:rPr>
          <w:t>http://services.land.vic.gov.au/SpatialDatamart/viewMetadata.html?anzlicId=ANZVI0803002954&amp;extractionProviderId=1</w:t>
        </w:r>
      </w:hyperlink>
      <w:r>
        <w:rPr>
          <w:rStyle w:val="Hyperlink"/>
        </w:rPr>
        <w:t>&gt;.</w:t>
      </w:r>
    </w:p>
    <w:p w14:paraId="38C9F406" w14:textId="6E345B2D" w:rsidR="00BD0302" w:rsidRPr="000350BE" w:rsidRDefault="00BD0302" w:rsidP="00263072">
      <w:pPr>
        <w:pStyle w:val="References"/>
      </w:pPr>
      <w:r>
        <w:t xml:space="preserve">Hatton T, Otto C and Underschultz J </w:t>
      </w:r>
      <w:r w:rsidR="00263072">
        <w:t>(</w:t>
      </w:r>
      <w:r>
        <w:t>2004</w:t>
      </w:r>
      <w:r w:rsidR="00263072">
        <w:t>)</w:t>
      </w:r>
      <w:r>
        <w:t xml:space="preserve"> Falling water levels in the Latrobe aquifer, Gippsland Basin: determination of cause and recommendations for future work. CSIRO Wealth from Oceans Flagship, Australia.</w:t>
      </w:r>
    </w:p>
    <w:p w14:paraId="36A36179" w14:textId="448A12B4" w:rsidR="00BD0302" w:rsidRDefault="00BD0302" w:rsidP="00E01F8F">
      <w:pPr>
        <w:pStyle w:val="References"/>
      </w:pPr>
      <w:r>
        <w:t xml:space="preserve">Hofmann H </w:t>
      </w:r>
      <w:r w:rsidR="00263072">
        <w:t>(</w:t>
      </w:r>
      <w:r>
        <w:t>2011</w:t>
      </w:r>
      <w:r w:rsidR="00263072">
        <w:t>)</w:t>
      </w:r>
      <w:r>
        <w:t xml:space="preserve"> Understanding connectivity within groundwater systems and between groundwater and rivers. PhD Thesis, Monash University. Viewed 01 September 2014, </w:t>
      </w:r>
      <w:hyperlink r:id="rId378" w:history="1">
        <w:r w:rsidRPr="0022303B">
          <w:rPr>
            <w:rStyle w:val="Hyperlink"/>
          </w:rPr>
          <w:t>http://www.groundwater.com.au/media/W1siZiIsIjIwMTMvMDcvMDkvMTdfNDJfNDBfMTEyX0hhcmFsZF9Ib2ZtYW5uX1BoRF9zbWFsbC5wZGYiXV0/Harald_Hofmann_PhD_small.pdf</w:t>
        </w:r>
      </w:hyperlink>
      <w:r w:rsidRPr="0022303B">
        <w:rPr>
          <w:rStyle w:val="Hyperlink"/>
        </w:rPr>
        <w:t>.</w:t>
      </w:r>
    </w:p>
    <w:p w14:paraId="70C24231" w14:textId="77777777" w:rsidR="00263072" w:rsidRDefault="00263072" w:rsidP="00263072">
      <w:pPr>
        <w:pStyle w:val="References"/>
      </w:pPr>
      <w:r>
        <w:lastRenderedPageBreak/>
        <w:t>Lakes Oil (2017) Onshore Gippsland Basin Permits. Viewed 26/07/2017, &lt;</w:t>
      </w:r>
      <w:hyperlink r:id="rId379" w:history="1">
        <w:r>
          <w:rPr>
            <w:rStyle w:val="Hyperlink"/>
          </w:rPr>
          <w:t>http://www.lakesoil.com.au/index.php/permits/onshore-gippsland-basin-vic</w:t>
        </w:r>
      </w:hyperlink>
      <w:r>
        <w:t>&gt;.</w:t>
      </w:r>
    </w:p>
    <w:p w14:paraId="497E70CE" w14:textId="1142BFC8" w:rsidR="00BD0302" w:rsidRPr="000350BE" w:rsidRDefault="00263072" w:rsidP="00263072">
      <w:pPr>
        <w:pStyle w:val="References"/>
      </w:pPr>
      <w:r>
        <w:t>Nico C (</w:t>
      </w:r>
      <w:r w:rsidR="00BD0302">
        <w:t>2010</w:t>
      </w:r>
      <w:r>
        <w:t>)</w:t>
      </w:r>
      <w:r w:rsidR="00BD0302">
        <w:t xml:space="preserve"> Report on transient groundwater flow modelling: West Gippsland CMA. Report for 'ecoMarkets' groundwater models, June 2010, prepared for Department of Sustainability and Environment.</w:t>
      </w:r>
    </w:p>
    <w:p w14:paraId="12E456D1" w14:textId="0BEAC2E9" w:rsidR="00BD0302" w:rsidRDefault="00BD0302" w:rsidP="00E01F8F">
      <w:pPr>
        <w:pStyle w:val="References"/>
      </w:pPr>
      <w:r>
        <w:t xml:space="preserve">Rahmanian VD, Moore PS, Mudge WJ and Spring DE </w:t>
      </w:r>
      <w:r w:rsidR="00A5155B">
        <w:t>(</w:t>
      </w:r>
      <w:r>
        <w:t>1990</w:t>
      </w:r>
      <w:r w:rsidR="00A5155B">
        <w:t>)</w:t>
      </w:r>
      <w:r>
        <w:t xml:space="preserve"> Sequence stratigraphy and the habitat of hydrocarbons, Gippsland Basin. In: Brooks J (</w:t>
      </w:r>
      <w:r w:rsidR="00A5155B">
        <w:t>e</w:t>
      </w:r>
      <w:r>
        <w:t>d.), Classic Petroleum Provinces. Geological Society, London, Special Publications 50, 525–541.</w:t>
      </w:r>
    </w:p>
    <w:p w14:paraId="219AFD58" w14:textId="77777777" w:rsidR="00CB0530" w:rsidRDefault="00CB0530" w:rsidP="00CB0530">
      <w:pPr>
        <w:pStyle w:val="References"/>
      </w:pPr>
      <w:r>
        <w:t>Raymond OL, Gallagher R and Highet LM (2012) Surface geology of Australia, 1:2 500 00 scale, 2012 edition. Geoscience Australia, Canberra. Viewed 16/01/2018, &lt;</w:t>
      </w:r>
      <w:hyperlink r:id="rId380" w:anchor="!b4088aa1-f875-2444-e044-00144fdd4fa6" w:history="1">
        <w:r w:rsidRPr="00A576A0">
          <w:rPr>
            <w:rStyle w:val="Hyperlink"/>
          </w:rPr>
          <w:t>https://ecat.ga.gov.au/geonetwork/srv/eng/search#!b4088aa1-f875-2444-e044-00144fdd4fa6</w:t>
        </w:r>
      </w:hyperlink>
      <w:r>
        <w:rPr>
          <w:rStyle w:val="Hyperlink"/>
        </w:rPr>
        <w:t>&gt;.</w:t>
      </w:r>
      <w:r>
        <w:t xml:space="preserve">   </w:t>
      </w:r>
    </w:p>
    <w:p w14:paraId="189FF56F" w14:textId="2F77D22F" w:rsidR="00BD0302" w:rsidRDefault="00BD0302" w:rsidP="00E01F8F">
      <w:pPr>
        <w:pStyle w:val="References"/>
      </w:pPr>
      <w:r>
        <w:t xml:space="preserve">Santos </w:t>
      </w:r>
      <w:r w:rsidR="00A5155B">
        <w:t>(</w:t>
      </w:r>
      <w:r>
        <w:t>2015</w:t>
      </w:r>
      <w:r w:rsidR="00A5155B">
        <w:t>)</w:t>
      </w:r>
      <w:r>
        <w:t xml:space="preserve"> Information sheet: Orbost (Patricia Baleen) gas plant. </w:t>
      </w:r>
      <w:r w:rsidR="00A5155B">
        <w:t>Viewed 15/03/2017, &lt;</w:t>
      </w:r>
      <w:hyperlink r:id="rId381" w:history="1">
        <w:r w:rsidRPr="0022303B">
          <w:rPr>
            <w:rStyle w:val="Hyperlink"/>
          </w:rPr>
          <w:t>https://www.santos.com/media/3012/orbost-gas-plant-factsheet.pdf</w:t>
        </w:r>
      </w:hyperlink>
      <w:r w:rsidR="00A5155B">
        <w:t>&gt;.</w:t>
      </w:r>
    </w:p>
    <w:p w14:paraId="4B975E71" w14:textId="1BDA683A" w:rsidR="00BD0302" w:rsidRDefault="00BD0302" w:rsidP="00E01F8F">
      <w:pPr>
        <w:pStyle w:val="References"/>
      </w:pPr>
      <w:r>
        <w:t xml:space="preserve">Schaeffer J </w:t>
      </w:r>
      <w:r w:rsidR="00A5155B">
        <w:t>(</w:t>
      </w:r>
      <w:r>
        <w:t>2008</w:t>
      </w:r>
      <w:r w:rsidR="00A5155B">
        <w:t>)</w:t>
      </w:r>
      <w:r>
        <w:t xml:space="preserve"> Scaling point based aquifer data for developing regional groundwater models: application to the Gippsland groundwater system. University of Melbourne.</w:t>
      </w:r>
    </w:p>
    <w:p w14:paraId="090EFAF5" w14:textId="718D6E42" w:rsidR="00BD0302" w:rsidRDefault="00BD0302" w:rsidP="00E01F8F">
      <w:pPr>
        <w:pStyle w:val="References"/>
      </w:pPr>
      <w:r>
        <w:t xml:space="preserve">Sinclair Knight Merz </w:t>
      </w:r>
      <w:r w:rsidR="00A5155B">
        <w:t>(</w:t>
      </w:r>
      <w:r>
        <w:t>2009</w:t>
      </w:r>
      <w:r w:rsidR="00A5155B">
        <w:t>)</w:t>
      </w:r>
      <w:r>
        <w:t xml:space="preserve"> Hydrogeological mapping of southern Victoria. Report for Southern Rural Water. SKM, Melbourne.</w:t>
      </w:r>
    </w:p>
    <w:p w14:paraId="1EBE3DAE" w14:textId="0C575222" w:rsidR="00BD0302" w:rsidRDefault="00BD0302" w:rsidP="00E01F8F">
      <w:pPr>
        <w:pStyle w:val="References"/>
      </w:pPr>
      <w:r>
        <w:t xml:space="preserve">Southern Rural Water </w:t>
      </w:r>
      <w:r w:rsidR="00A5155B">
        <w:t>(</w:t>
      </w:r>
      <w:r>
        <w:t>2012</w:t>
      </w:r>
      <w:r w:rsidR="00A5155B">
        <w:t>)</w:t>
      </w:r>
      <w:r>
        <w:t xml:space="preserve"> Gippsland groundwater atlas. SRW, Victoria.</w:t>
      </w:r>
    </w:p>
    <w:p w14:paraId="62FF7CAD" w14:textId="77777777" w:rsidR="00CB0530" w:rsidRPr="00E70BDF" w:rsidRDefault="00CB0530" w:rsidP="00CB0530">
      <w:pPr>
        <w:pStyle w:val="References"/>
        <w:rPr>
          <w:rStyle w:val="Hyperlink"/>
        </w:rPr>
      </w:pPr>
      <w:r>
        <w:t>Stewart AJ, Raymond OL, Totterdell JM, Zhang W and Gallagher R (2013) Australian Geological Provinces, 2013.01 edition, scale 1:2 500 000. Geoscience Australia, Canberra. Viewed 16/01/2018, &lt;</w:t>
      </w:r>
      <w:hyperlink r:id="rId382" w:anchor="!2680f4bb-8494-14fc-e053-10a3070a4107" w:history="1">
        <w:r w:rsidRPr="0065740D">
          <w:rPr>
            <w:rStyle w:val="Hyperlink"/>
          </w:rPr>
          <w:t>https://ecat.ga.gov.au/geonetwork/srv/eng/search#!2680f4bb-8494-14fc-e053-10a3070a4107</w:t>
        </w:r>
      </w:hyperlink>
      <w:r>
        <w:rPr>
          <w:rStyle w:val="Hyperlink"/>
        </w:rPr>
        <w:t>&gt;.</w:t>
      </w:r>
      <w:r>
        <w:t xml:space="preserve"> </w:t>
      </w:r>
    </w:p>
    <w:p w14:paraId="454D7423" w14:textId="77777777" w:rsidR="00A5155B" w:rsidRDefault="00A5155B" w:rsidP="00A5155B">
      <w:pPr>
        <w:pStyle w:val="References"/>
      </w:pPr>
      <w:r>
        <w:t>Victorian Government (2017) Media release March 2017. Viewed 16/01/2018, &lt;</w:t>
      </w:r>
      <w:hyperlink r:id="rId383" w:history="1">
        <w:r>
          <w:rPr>
            <w:rStyle w:val="Hyperlink"/>
          </w:rPr>
          <w:t>http://www.premier.vic.gov.au/fracking-banned-in-victoria-giving-certainty-to-farmers/</w:t>
        </w:r>
      </w:hyperlink>
      <w:r>
        <w:rPr>
          <w:rStyle w:val="Hyperlink"/>
        </w:rPr>
        <w:t>&gt;</w:t>
      </w:r>
      <w:r>
        <w:t xml:space="preserve">.   </w:t>
      </w:r>
    </w:p>
    <w:p w14:paraId="6854EDAC" w14:textId="7A83CCD3" w:rsidR="00BD0302" w:rsidRPr="001E24F0" w:rsidRDefault="00BD0302" w:rsidP="00A5155B">
      <w:pPr>
        <w:pStyle w:val="References"/>
      </w:pPr>
      <w:r>
        <w:t>VEWH (</w:t>
      </w:r>
      <w:r w:rsidRPr="0022303B">
        <w:t>Victorian Environmental Water Holder</w:t>
      </w:r>
      <w:r>
        <w:t>)</w:t>
      </w:r>
      <w:r w:rsidRPr="0022303B">
        <w:t xml:space="preserve"> </w:t>
      </w:r>
      <w:r w:rsidR="00A5155B">
        <w:t>(</w:t>
      </w:r>
      <w:r w:rsidRPr="0022303B">
        <w:t>201</w:t>
      </w:r>
      <w:r>
        <w:t>7</w:t>
      </w:r>
      <w:r w:rsidR="00A5155B">
        <w:t>)</w:t>
      </w:r>
      <w:r w:rsidRPr="0022303B">
        <w:t xml:space="preserve"> Seasonal Watering Plan 201</w:t>
      </w:r>
      <w:r>
        <w:t>7</w:t>
      </w:r>
      <w:r w:rsidRPr="0022303B">
        <w:t>-1</w:t>
      </w:r>
      <w:r>
        <w:t>8</w:t>
      </w:r>
      <w:r w:rsidRPr="0022303B">
        <w:t xml:space="preserve">. </w:t>
      </w:r>
      <w:r>
        <w:t xml:space="preserve">Section 2: Gippsland Region. </w:t>
      </w:r>
      <w:r w:rsidRPr="0022303B">
        <w:t>Victorian Government. Melbourne, Australia.</w:t>
      </w:r>
      <w:r>
        <w:t xml:space="preserve"> </w:t>
      </w:r>
      <w:r w:rsidR="00A5155B">
        <w:t>Viewed 16/01/2018, &lt;</w:t>
      </w:r>
      <w:hyperlink r:id="rId384" w:history="1">
        <w:r w:rsidRPr="005F3760">
          <w:rPr>
            <w:rStyle w:val="Hyperlink"/>
          </w:rPr>
          <w:t>http://www.vewh.vic.gov.au/watering-program/seasonal-watering-plan</w:t>
        </w:r>
      </w:hyperlink>
      <w:r w:rsidR="00A5155B">
        <w:rPr>
          <w:rStyle w:val="Hyperlink"/>
        </w:rPr>
        <w:t>&gt;.</w:t>
      </w:r>
    </w:p>
    <w:p w14:paraId="1D2EDF2B" w14:textId="22814B07" w:rsidR="00BD0302" w:rsidRDefault="00BD0302" w:rsidP="00E01F8F">
      <w:pPr>
        <w:pStyle w:val="References"/>
      </w:pPr>
      <w:r>
        <w:t>Woollands MA and Wong D (</w:t>
      </w:r>
      <w:r w:rsidR="00A5155B">
        <w:t>e</w:t>
      </w:r>
      <w:r>
        <w:t xml:space="preserve">ds.) </w:t>
      </w:r>
      <w:r w:rsidR="00A5155B">
        <w:t>(</w:t>
      </w:r>
      <w:r>
        <w:t>2001</w:t>
      </w:r>
      <w:r w:rsidR="00A5155B">
        <w:t>)</w:t>
      </w:r>
      <w:r>
        <w:t xml:space="preserve"> Petroleum Atlas of Victoria, Australia. Department of Natural Resources and Environment, Victoria.</w:t>
      </w:r>
    </w:p>
    <w:p w14:paraId="2A342C85" w14:textId="2C1363CC" w:rsidR="00BD0302" w:rsidRDefault="00BD0302" w:rsidP="00E01F8F">
      <w:pPr>
        <w:pStyle w:val="References"/>
      </w:pPr>
      <w:r>
        <w:t xml:space="preserve">Yates G, Doody T, Pritchard J, Walker K, Karim F, Carey H, Wallace L, Galinec V and Sundaram B </w:t>
      </w:r>
      <w:r w:rsidR="00A5155B">
        <w:t>(</w:t>
      </w:r>
      <w:r>
        <w:t>2015</w:t>
      </w:r>
      <w:r w:rsidR="00A5155B">
        <w:t>)</w:t>
      </w:r>
      <w:r>
        <w:t xml:space="preserve"> Context statement for the Gippsland Basin bioregion. Product 1.1 from the Gippsland Basin Bioregional Assessment. Department of the Environment, Bureau of Meteorology, CSIRO and Geoscience Australia, Australia.</w:t>
      </w:r>
    </w:p>
    <w:p w14:paraId="2E9CB120" w14:textId="4513520D" w:rsidR="00BD0302" w:rsidRDefault="00BD0302" w:rsidP="00E01F8F">
      <w:pPr>
        <w:pStyle w:val="References"/>
      </w:pPr>
      <w:r>
        <w:t xml:space="preserve">Walker G and Mollica F </w:t>
      </w:r>
      <w:r w:rsidR="00A5155B">
        <w:t>(</w:t>
      </w:r>
      <w:r>
        <w:t>1990</w:t>
      </w:r>
      <w:r w:rsidR="00A5155B">
        <w:t>)</w:t>
      </w:r>
      <w:r>
        <w:t xml:space="preserve"> Review of the groundwater resources in the South East Region. Report No. 54 Water Resource Management Report Series, Melbourne, Victoria</w:t>
      </w:r>
      <w:r w:rsidR="004B50DB">
        <w:t>.</w:t>
      </w:r>
    </w:p>
    <w:p w14:paraId="73532E98" w14:textId="77777777" w:rsidR="008B38C1" w:rsidRDefault="008B38C1" w:rsidP="00035C4A">
      <w:pPr>
        <w:pStyle w:val="AppendixHeading2"/>
      </w:pPr>
      <w:bookmarkStart w:id="264" w:name="_Toc517161187"/>
      <w:r>
        <w:lastRenderedPageBreak/>
        <w:t>Isa Superbasin</w:t>
      </w:r>
      <w:bookmarkEnd w:id="264"/>
    </w:p>
    <w:p w14:paraId="592F6BF6" w14:textId="77777777" w:rsidR="008B38C1" w:rsidRPr="000350BE" w:rsidRDefault="006971A5" w:rsidP="009F3E8F">
      <w:pPr>
        <w:pStyle w:val="Caption"/>
      </w:pPr>
      <w:bookmarkStart w:id="265" w:name="_Toc508972196"/>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47</w:t>
      </w:r>
      <w:r w:rsidR="008079F1">
        <w:rPr>
          <w:noProof/>
        </w:rPr>
        <w:fldChar w:fldCharType="end"/>
      </w:r>
      <w:r>
        <w:t xml:space="preserve"> </w:t>
      </w:r>
      <w:r w:rsidR="008B38C1">
        <w:t>Geology and petroleum prospectivity summary.</w:t>
      </w:r>
      <w:bookmarkEnd w:id="265"/>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066"/>
        <w:gridCol w:w="5573"/>
      </w:tblGrid>
      <w:tr w:rsidR="00A24BC9" w14:paraId="3D3A21E3"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0B4DA831" w14:textId="77777777" w:rsidR="00A24BC9" w:rsidRDefault="00A24BC9" w:rsidP="005962FF">
            <w:pPr>
              <w:pStyle w:val="TableText"/>
            </w:pPr>
            <w:r>
              <w:t>GENERAL</w:t>
            </w:r>
          </w:p>
        </w:tc>
      </w:tr>
      <w:tr w:rsidR="00A24BC9" w14:paraId="22052B87"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7A32E33E" w14:textId="77777777" w:rsidR="00A24BC9" w:rsidRDefault="00A24BC9" w:rsidP="005962FF">
            <w:pPr>
              <w:pStyle w:val="TableText"/>
            </w:pPr>
            <w:r>
              <w:t>Jurisdiction</w:t>
            </w:r>
          </w:p>
        </w:tc>
        <w:tc>
          <w:tcPr>
            <w:tcW w:w="2891" w:type="pct"/>
            <w:hideMark/>
          </w:tcPr>
          <w:p w14:paraId="0D44C34D" w14:textId="77777777"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t>Queensland, Northern Territory</w:t>
            </w:r>
          </w:p>
        </w:tc>
      </w:tr>
      <w:tr w:rsidR="00A24BC9" w14:paraId="2ED9F84D"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3B63A99E" w14:textId="77777777" w:rsidR="00A24BC9" w:rsidRDefault="00A24BC9" w:rsidP="005962FF">
            <w:pPr>
              <w:pStyle w:val="TableText"/>
            </w:pPr>
            <w:r>
              <w:t>Area</w:t>
            </w:r>
          </w:p>
        </w:tc>
        <w:tc>
          <w:tcPr>
            <w:tcW w:w="2891" w:type="pct"/>
            <w:hideMark/>
          </w:tcPr>
          <w:p w14:paraId="796EE87D" w14:textId="77777777"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t>~56,150</w:t>
            </w:r>
            <w:r w:rsidR="008232C9">
              <w:t> km</w:t>
            </w:r>
            <w:r w:rsidRPr="000350BE">
              <w:rPr>
                <w:rStyle w:val="Superscript"/>
              </w:rPr>
              <w:t>2</w:t>
            </w:r>
          </w:p>
        </w:tc>
      </w:tr>
      <w:tr w:rsidR="00A24BC9" w14:paraId="77A5A732"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7B17633B" w14:textId="08809BCC" w:rsidR="00A24BC9" w:rsidRDefault="00A24BC9" w:rsidP="00960B30">
            <w:pPr>
              <w:pStyle w:val="TableText"/>
            </w:pPr>
            <w:r>
              <w:t>Max</w:t>
            </w:r>
            <w:r w:rsidR="00960B30">
              <w:t>.</w:t>
            </w:r>
            <w:r>
              <w:t xml:space="preserve"> basin depth/sediment thickness</w:t>
            </w:r>
          </w:p>
        </w:tc>
        <w:tc>
          <w:tcPr>
            <w:tcW w:w="2891" w:type="pct"/>
            <w:hideMark/>
          </w:tcPr>
          <w:p w14:paraId="4B46D6A7" w14:textId="77777777"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t>~15,00</w:t>
            </w:r>
            <w:r w:rsidR="004C01AB">
              <w:t>0 m</w:t>
            </w:r>
          </w:p>
        </w:tc>
      </w:tr>
      <w:tr w:rsidR="00A24BC9" w14:paraId="4BFEFB67"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290C23E6" w14:textId="77777777" w:rsidR="00A24BC9" w:rsidRDefault="00A24BC9" w:rsidP="005962FF">
            <w:pPr>
              <w:pStyle w:val="TableText"/>
            </w:pPr>
            <w:r>
              <w:t>Age range</w:t>
            </w:r>
          </w:p>
        </w:tc>
        <w:tc>
          <w:tcPr>
            <w:tcW w:w="2891" w:type="pct"/>
            <w:hideMark/>
          </w:tcPr>
          <w:p w14:paraId="51C9F669" w14:textId="77777777" w:rsidR="00A24BC9" w:rsidRPr="00D47844" w:rsidRDefault="00A24BC9" w:rsidP="005962FF">
            <w:pPr>
              <w:pStyle w:val="TableText"/>
              <w:cnfStyle w:val="100000000000" w:firstRow="1" w:lastRow="0" w:firstColumn="0" w:lastColumn="0" w:oddVBand="0" w:evenVBand="0" w:oddHBand="0" w:evenHBand="0" w:firstRowFirstColumn="0" w:firstRowLastColumn="0" w:lastRowFirstColumn="0" w:lastRowLastColumn="0"/>
            </w:pPr>
            <w:r w:rsidRPr="00D47844">
              <w:t>Paleoproterozoic–Mesoproterozoic</w:t>
            </w:r>
          </w:p>
        </w:tc>
      </w:tr>
      <w:tr w:rsidR="00A24BC9" w14:paraId="2FFBE399"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0FFF6F6B" w14:textId="77777777" w:rsidR="00A24BC9" w:rsidRDefault="00A24BC9" w:rsidP="005962FF">
            <w:pPr>
              <w:pStyle w:val="TableText"/>
            </w:pPr>
            <w:r>
              <w:t>Depositional setting</w:t>
            </w:r>
          </w:p>
        </w:tc>
        <w:tc>
          <w:tcPr>
            <w:tcW w:w="2891" w:type="pct"/>
            <w:hideMark/>
          </w:tcPr>
          <w:p w14:paraId="55621CE8" w14:textId="77777777" w:rsidR="00A24BC9" w:rsidRPr="00D47844" w:rsidRDefault="00A24BC9" w:rsidP="005962FF">
            <w:pPr>
              <w:pStyle w:val="TableText"/>
              <w:cnfStyle w:val="100000000000" w:firstRow="1" w:lastRow="0" w:firstColumn="0" w:lastColumn="0" w:oddVBand="0" w:evenVBand="0" w:oddHBand="0" w:evenHBand="0" w:firstRowFirstColumn="0" w:firstRowLastColumn="0" w:lastRowFirstColumn="0" w:lastRowLastColumn="0"/>
            </w:pPr>
            <w:r w:rsidRPr="00D47844">
              <w:t>Shallow to deep marine</w:t>
            </w:r>
          </w:p>
        </w:tc>
      </w:tr>
      <w:tr w:rsidR="00A24BC9" w14:paraId="68E7EB38"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6D572CF6" w14:textId="77777777" w:rsidR="00A24BC9" w:rsidRDefault="00A24BC9" w:rsidP="005962FF">
            <w:pPr>
              <w:pStyle w:val="TableText"/>
            </w:pPr>
            <w:r>
              <w:t>Regional structure</w:t>
            </w:r>
          </w:p>
        </w:tc>
        <w:tc>
          <w:tcPr>
            <w:tcW w:w="2891" w:type="pct"/>
            <w:hideMark/>
          </w:tcPr>
          <w:p w14:paraId="4464C50A" w14:textId="77777777" w:rsidR="00A24BC9" w:rsidRPr="00D47844" w:rsidRDefault="00A24BC9" w:rsidP="005962FF">
            <w:pPr>
              <w:pStyle w:val="TableText"/>
              <w:cnfStyle w:val="100000000000" w:firstRow="1" w:lastRow="0" w:firstColumn="0" w:lastColumn="0" w:oddVBand="0" w:evenVBand="0" w:oddHBand="0" w:evenHBand="0" w:firstRowFirstColumn="0" w:firstRowLastColumn="0" w:lastRowFirstColumn="0" w:lastRowLastColumn="0"/>
            </w:pPr>
            <w:r w:rsidRPr="00D47844">
              <w:t>Rift and post-rift sag sequences, N to NE trending faults</w:t>
            </w:r>
          </w:p>
        </w:tc>
      </w:tr>
      <w:tr w:rsidR="00A24BC9" w14:paraId="209979FE"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2437B456" w14:textId="77777777" w:rsidR="00A24BC9" w:rsidRDefault="00A24BC9" w:rsidP="005962FF">
            <w:pPr>
              <w:pStyle w:val="TableText"/>
            </w:pPr>
            <w:r>
              <w:t>Overlying basins</w:t>
            </w:r>
          </w:p>
        </w:tc>
        <w:tc>
          <w:tcPr>
            <w:tcW w:w="2891" w:type="pct"/>
            <w:hideMark/>
          </w:tcPr>
          <w:p w14:paraId="080E1DCA" w14:textId="77777777" w:rsidR="00A24BC9" w:rsidRPr="00D47844" w:rsidRDefault="00A24BC9" w:rsidP="005962FF">
            <w:pPr>
              <w:pStyle w:val="TableText"/>
              <w:cnfStyle w:val="100000000000" w:firstRow="1" w:lastRow="0" w:firstColumn="0" w:lastColumn="0" w:oddVBand="0" w:evenVBand="0" w:oddHBand="0" w:evenHBand="0" w:firstRowFirstColumn="0" w:firstRowLastColumn="0" w:lastRowFirstColumn="0" w:lastRowLastColumn="0"/>
            </w:pPr>
            <w:r w:rsidRPr="00D47844">
              <w:t>South Nicholson, Georgina and Carpentaria basins</w:t>
            </w:r>
          </w:p>
        </w:tc>
      </w:tr>
      <w:tr w:rsidR="00A24BC9" w14:paraId="377D8017"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3AE9D42C" w14:textId="77777777" w:rsidR="00A24BC9" w:rsidRDefault="00A24BC9" w:rsidP="005962FF">
            <w:pPr>
              <w:pStyle w:val="TableText"/>
            </w:pPr>
            <w:r>
              <w:t>EXPLORATION STATUS</w:t>
            </w:r>
          </w:p>
        </w:tc>
      </w:tr>
      <w:tr w:rsidR="00A24BC9" w14:paraId="346D4C80"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64A7BF9B" w14:textId="77777777" w:rsidR="00A24BC9" w:rsidRDefault="00A24BC9" w:rsidP="005962FF">
            <w:pPr>
              <w:pStyle w:val="TableText"/>
            </w:pPr>
            <w:r>
              <w:t>Seismic lines</w:t>
            </w:r>
          </w:p>
        </w:tc>
        <w:tc>
          <w:tcPr>
            <w:tcW w:w="2891" w:type="pct"/>
            <w:hideMark/>
          </w:tcPr>
          <w:p w14:paraId="126E8191" w14:textId="280E1073"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rPr>
                <w:rFonts w:eastAsia="Times"/>
              </w:rPr>
              <w:t>6</w:t>
            </w:r>
            <w:r w:rsidR="00A131F4">
              <w:rPr>
                <w:rFonts w:eastAsia="Times"/>
              </w:rPr>
              <w:t>,</w:t>
            </w:r>
            <w:r>
              <w:rPr>
                <w:rFonts w:eastAsia="Times"/>
              </w:rPr>
              <w:t>869</w:t>
            </w:r>
            <w:r w:rsidR="008232C9">
              <w:rPr>
                <w:rFonts w:eastAsia="Times"/>
              </w:rPr>
              <w:t> km</w:t>
            </w:r>
            <w:r>
              <w:rPr>
                <w:rFonts w:eastAsia="Times"/>
              </w:rPr>
              <w:t xml:space="preserve"> 2D seismic</w:t>
            </w:r>
          </w:p>
        </w:tc>
      </w:tr>
      <w:tr w:rsidR="00A24BC9" w14:paraId="3F88CF03"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601CA683" w14:textId="77777777" w:rsidR="00A24BC9" w:rsidRDefault="00A24BC9" w:rsidP="005962FF">
            <w:pPr>
              <w:pStyle w:val="TableText"/>
            </w:pPr>
            <w:r>
              <w:t>Number of wells</w:t>
            </w:r>
          </w:p>
        </w:tc>
        <w:tc>
          <w:tcPr>
            <w:tcW w:w="2891" w:type="pct"/>
            <w:hideMark/>
          </w:tcPr>
          <w:p w14:paraId="462CCB87" w14:textId="77777777"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rPr>
                <w:rFonts w:eastAsia="Times"/>
              </w:rPr>
              <w:t xml:space="preserve">~13 </w:t>
            </w:r>
          </w:p>
        </w:tc>
      </w:tr>
      <w:tr w:rsidR="00A24BC9" w14:paraId="5E4791D5"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7E7A7F2D" w14:textId="77777777" w:rsidR="00A24BC9" w:rsidRDefault="00A24BC9" w:rsidP="005962FF">
            <w:pPr>
              <w:pStyle w:val="TableText"/>
            </w:pPr>
            <w:r>
              <w:t>Exploration status - conventional</w:t>
            </w:r>
          </w:p>
        </w:tc>
        <w:tc>
          <w:tcPr>
            <w:tcW w:w="2891" w:type="pct"/>
            <w:hideMark/>
          </w:tcPr>
          <w:p w14:paraId="3C6DE06D" w14:textId="77777777"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t>Preliminary</w:t>
            </w:r>
          </w:p>
        </w:tc>
      </w:tr>
      <w:tr w:rsidR="00A24BC9" w14:paraId="787C8F59"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7AB28938" w14:textId="77777777" w:rsidR="00A24BC9" w:rsidRDefault="00A24BC9" w:rsidP="005962FF">
            <w:pPr>
              <w:pStyle w:val="TableText"/>
            </w:pPr>
            <w:r>
              <w:t>Exploration status – shale/ tight gas</w:t>
            </w:r>
          </w:p>
        </w:tc>
        <w:tc>
          <w:tcPr>
            <w:tcW w:w="2891" w:type="pct"/>
            <w:hideMark/>
          </w:tcPr>
          <w:p w14:paraId="2E471850" w14:textId="77777777"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t>Early appraisal</w:t>
            </w:r>
          </w:p>
        </w:tc>
      </w:tr>
      <w:tr w:rsidR="00A24BC9" w14:paraId="1C20C697"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5D9444D0" w14:textId="77777777" w:rsidR="00A24BC9" w:rsidRDefault="00A24BC9" w:rsidP="005962FF">
            <w:pPr>
              <w:pStyle w:val="TableText"/>
            </w:pPr>
            <w:r>
              <w:t>PETROLEUM PROSPECTIVITY -  GENERAL</w:t>
            </w:r>
          </w:p>
        </w:tc>
      </w:tr>
      <w:tr w:rsidR="005D14A0" w14:paraId="5C05764C"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306F5F54" w14:textId="2B7B6C38" w:rsidR="005D14A0" w:rsidRDefault="005D14A0" w:rsidP="005962FF">
            <w:pPr>
              <w:pStyle w:val="TableText"/>
            </w:pPr>
            <w:r>
              <w:t>Petroleum systems</w:t>
            </w:r>
          </w:p>
        </w:tc>
        <w:tc>
          <w:tcPr>
            <w:tcW w:w="2891" w:type="pct"/>
            <w:hideMark/>
          </w:tcPr>
          <w:p w14:paraId="3BA8F681" w14:textId="77777777" w:rsidR="005D14A0" w:rsidRPr="00D47844" w:rsidRDefault="005D14A0" w:rsidP="005962FF">
            <w:pPr>
              <w:pStyle w:val="TableText"/>
              <w:cnfStyle w:val="100000000000" w:firstRow="1" w:lastRow="0" w:firstColumn="0" w:lastColumn="0" w:oddVBand="0" w:evenVBand="0" w:oddHBand="0" w:evenHBand="0" w:firstRowFirstColumn="0" w:firstRowLastColumn="0" w:lastRowFirstColumn="0" w:lastRowLastColumn="0"/>
            </w:pPr>
            <w:r w:rsidRPr="00D47844">
              <w:t>Undefined Proterozoic</w:t>
            </w:r>
          </w:p>
        </w:tc>
      </w:tr>
      <w:tr w:rsidR="005D14A0" w14:paraId="066FEE7E"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58982DBB" w14:textId="6C5EB461" w:rsidR="005D14A0" w:rsidRDefault="005D14A0" w:rsidP="005962FF">
            <w:pPr>
              <w:pStyle w:val="TableText"/>
            </w:pPr>
            <w:r>
              <w:t>Prospectivity</w:t>
            </w:r>
          </w:p>
        </w:tc>
        <w:tc>
          <w:tcPr>
            <w:tcW w:w="2891" w:type="pct"/>
            <w:hideMark/>
          </w:tcPr>
          <w:p w14:paraId="611F3CE4" w14:textId="77777777" w:rsidR="005D14A0" w:rsidRPr="00D47844" w:rsidRDefault="005D14A0" w:rsidP="005962FF">
            <w:pPr>
              <w:pStyle w:val="TableText"/>
              <w:cnfStyle w:val="100000000000" w:firstRow="1" w:lastRow="0" w:firstColumn="0" w:lastColumn="0" w:oddVBand="0" w:evenVBand="0" w:oddHBand="0" w:evenHBand="0" w:firstRowFirstColumn="0" w:firstRowLastColumn="0" w:lastRowFirstColumn="0" w:lastRowLastColumn="0"/>
            </w:pPr>
            <w:r w:rsidRPr="00D47844">
              <w:t>Moderate–high</w:t>
            </w:r>
          </w:p>
        </w:tc>
      </w:tr>
      <w:tr w:rsidR="005D14A0" w14:paraId="72F797A3"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0F1D0E53" w14:textId="53612B83" w:rsidR="005D14A0" w:rsidRDefault="005D14A0" w:rsidP="005962FF">
            <w:pPr>
              <w:pStyle w:val="TableText"/>
            </w:pPr>
            <w:r>
              <w:t xml:space="preserve">Conventional discoveries </w:t>
            </w:r>
          </w:p>
        </w:tc>
        <w:tc>
          <w:tcPr>
            <w:tcW w:w="2891" w:type="pct"/>
            <w:hideMark/>
          </w:tcPr>
          <w:p w14:paraId="68BB429E" w14:textId="77777777" w:rsidR="005D14A0" w:rsidRPr="00D47844" w:rsidRDefault="005D14A0" w:rsidP="005962FF">
            <w:pPr>
              <w:pStyle w:val="TableText"/>
              <w:cnfStyle w:val="100000000000" w:firstRow="1" w:lastRow="0" w:firstColumn="0" w:lastColumn="0" w:oddVBand="0" w:evenVBand="0" w:oddHBand="0" w:evenHBand="0" w:firstRowFirstColumn="0" w:firstRowLastColumn="0" w:lastRowFirstColumn="0" w:lastRowLastColumn="0"/>
            </w:pPr>
            <w:r w:rsidRPr="00D47844">
              <w:t>No commercial accumulations discovered to date</w:t>
            </w:r>
          </w:p>
        </w:tc>
      </w:tr>
      <w:tr w:rsidR="005D14A0" w14:paraId="2D65F64A"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1F814C2A" w14:textId="133288BF" w:rsidR="005D14A0" w:rsidRDefault="005D14A0" w:rsidP="005962FF">
            <w:pPr>
              <w:pStyle w:val="TableText"/>
            </w:pPr>
            <w:r>
              <w:t>Hydrocarbon production – total to date</w:t>
            </w:r>
          </w:p>
        </w:tc>
        <w:tc>
          <w:tcPr>
            <w:tcW w:w="2891" w:type="pct"/>
            <w:hideMark/>
          </w:tcPr>
          <w:p w14:paraId="3E53BC27" w14:textId="15014E35" w:rsidR="005D14A0" w:rsidRPr="00D47844" w:rsidRDefault="005D14A0" w:rsidP="005962FF">
            <w:pPr>
              <w:pStyle w:val="TableText"/>
              <w:cnfStyle w:val="100000000000" w:firstRow="1" w:lastRow="0" w:firstColumn="0" w:lastColumn="0" w:oddVBand="0" w:evenVBand="0" w:oddHBand="0" w:evenHBand="0" w:firstRowFirstColumn="0" w:firstRowLastColumn="0" w:lastRowFirstColumn="0" w:lastRowLastColumn="0"/>
            </w:pPr>
            <w:r w:rsidRPr="00D47844">
              <w:t>None to date</w:t>
            </w:r>
            <w:r>
              <w:t xml:space="preserve"> (AERA, 2018)</w:t>
            </w:r>
          </w:p>
        </w:tc>
      </w:tr>
      <w:tr w:rsidR="005D14A0" w14:paraId="078E7CC2" w14:textId="77777777" w:rsidTr="00DC7BA9">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109" w:type="pct"/>
            <w:hideMark/>
          </w:tcPr>
          <w:p w14:paraId="3BA651B8" w14:textId="744C23A3" w:rsidR="005D14A0" w:rsidRDefault="005D14A0" w:rsidP="005962FF">
            <w:pPr>
              <w:pStyle w:val="TableText"/>
            </w:pPr>
            <w:r>
              <w:t xml:space="preserve">2P Reserves </w:t>
            </w:r>
          </w:p>
        </w:tc>
        <w:tc>
          <w:tcPr>
            <w:tcW w:w="2891" w:type="pct"/>
            <w:hideMark/>
          </w:tcPr>
          <w:p w14:paraId="7699DBB4" w14:textId="4CC33E07" w:rsidR="005D14A0" w:rsidRPr="00D47844" w:rsidRDefault="005D14A0" w:rsidP="00B95009">
            <w:pPr>
              <w:pStyle w:val="TableText"/>
              <w:cnfStyle w:val="100000000000" w:firstRow="1" w:lastRow="0" w:firstColumn="0" w:lastColumn="0" w:oddVBand="0" w:evenVBand="0" w:oddHBand="0" w:evenHBand="0" w:firstRowFirstColumn="0" w:firstRowLastColumn="0" w:lastRowFirstColumn="0" w:lastRowLastColumn="0"/>
            </w:pPr>
            <w:r>
              <w:t>No reserves reported (AERA, 2018)</w:t>
            </w:r>
          </w:p>
        </w:tc>
      </w:tr>
      <w:tr w:rsidR="005D14A0" w14:paraId="7121906C"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0054D567" w14:textId="24F87748" w:rsidR="005D14A0" w:rsidRDefault="005D14A0" w:rsidP="005962FF">
            <w:pPr>
              <w:pStyle w:val="TableText"/>
            </w:pPr>
            <w:r>
              <w:t>Remaining resources (</w:t>
            </w:r>
            <w:r w:rsidRPr="00EA001B">
              <w:t>reserves + contingent resources</w:t>
            </w:r>
            <w:r>
              <w:t>)</w:t>
            </w:r>
          </w:p>
        </w:tc>
        <w:tc>
          <w:tcPr>
            <w:tcW w:w="2891" w:type="pct"/>
          </w:tcPr>
          <w:p w14:paraId="518B895D" w14:textId="26FEC836" w:rsidR="005D14A0" w:rsidRPr="00474F8A" w:rsidRDefault="005D14A0" w:rsidP="005E6DA7">
            <w:pPr>
              <w:pStyle w:val="TableText"/>
              <w:cnfStyle w:val="100000000000" w:firstRow="1" w:lastRow="0" w:firstColumn="0" w:lastColumn="0" w:oddVBand="0" w:evenVBand="0" w:oddHBand="0" w:evenHBand="0" w:firstRowFirstColumn="0" w:firstRowLastColumn="0" w:lastRowFirstColumn="0" w:lastRowLastColumn="0"/>
            </w:pPr>
            <w:r>
              <w:t>No remaining conventional resources reported; see shale/ tight gas resources 2C resources below (AERA, 2018)</w:t>
            </w:r>
          </w:p>
        </w:tc>
      </w:tr>
      <w:tr w:rsidR="005D14A0" w14:paraId="551EB457"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2FAE6D15" w14:textId="33EBD9D2" w:rsidR="005D14A0" w:rsidRDefault="005D14A0" w:rsidP="005962FF">
            <w:pPr>
              <w:pStyle w:val="TableText"/>
            </w:pPr>
            <w:r>
              <w:t xml:space="preserve">Undiscovered resource estimates </w:t>
            </w:r>
          </w:p>
        </w:tc>
        <w:tc>
          <w:tcPr>
            <w:tcW w:w="2891" w:type="pct"/>
          </w:tcPr>
          <w:p w14:paraId="519B7D31" w14:textId="5BECC0D1" w:rsidR="005D14A0" w:rsidRDefault="005D14A0" w:rsidP="005962FF">
            <w:pPr>
              <w:pStyle w:val="TableText"/>
              <w:cnfStyle w:val="100000000000" w:firstRow="1" w:lastRow="0" w:firstColumn="0" w:lastColumn="0" w:oddVBand="0" w:evenVBand="0" w:oddHBand="0" w:evenHBand="0" w:firstRowFirstColumn="0" w:firstRowLastColumn="0" w:lastRowFirstColumn="0" w:lastRowLastColumn="0"/>
            </w:pPr>
            <w:r>
              <w:t>No conventional prospective resources; see prospective shale/ tight gas resources below</w:t>
            </w:r>
          </w:p>
        </w:tc>
      </w:tr>
      <w:tr w:rsidR="00A24BC9" w14:paraId="17BAEC24"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15F94AE5" w14:textId="77777777" w:rsidR="00A24BC9" w:rsidRDefault="00A24BC9" w:rsidP="005962FF">
            <w:pPr>
              <w:pStyle w:val="TableText"/>
            </w:pPr>
            <w:r>
              <w:t>PETROLEUM PROSPECTIVITY – SHALE/ TIGHT GAS</w:t>
            </w:r>
          </w:p>
        </w:tc>
      </w:tr>
      <w:tr w:rsidR="00A24BC9" w14:paraId="64BD33E4"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7901D659" w14:textId="77777777" w:rsidR="00A24BC9" w:rsidRDefault="00A24BC9" w:rsidP="005962FF">
            <w:pPr>
              <w:pStyle w:val="TableText"/>
            </w:pPr>
            <w:r>
              <w:t>Unconventional play types</w:t>
            </w:r>
          </w:p>
        </w:tc>
        <w:tc>
          <w:tcPr>
            <w:tcW w:w="2891" w:type="pct"/>
            <w:hideMark/>
          </w:tcPr>
          <w:p w14:paraId="56891A27" w14:textId="45A06F02"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t>Shale gas</w:t>
            </w:r>
          </w:p>
        </w:tc>
      </w:tr>
      <w:tr w:rsidR="00A24BC9" w14:paraId="12D8EAA1"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497C96FB" w14:textId="77777777" w:rsidR="00A24BC9" w:rsidRDefault="00A24BC9" w:rsidP="005962FF">
            <w:pPr>
              <w:pStyle w:val="TableText"/>
            </w:pPr>
            <w:r>
              <w:t>No. of wells targeting shale/tight gas plays</w:t>
            </w:r>
          </w:p>
        </w:tc>
        <w:tc>
          <w:tcPr>
            <w:tcW w:w="2891" w:type="pct"/>
            <w:hideMark/>
          </w:tcPr>
          <w:p w14:paraId="4BB8FD44" w14:textId="77777777"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t>3</w:t>
            </w:r>
          </w:p>
        </w:tc>
      </w:tr>
      <w:tr w:rsidR="00A24BC9" w14:paraId="69C64D2F"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26ADDC8F" w14:textId="77777777" w:rsidR="00A24BC9" w:rsidRDefault="00A24BC9" w:rsidP="005962FF">
            <w:pPr>
              <w:pStyle w:val="TableText"/>
            </w:pPr>
            <w:r>
              <w:t>Production – shale/ tight gas</w:t>
            </w:r>
          </w:p>
        </w:tc>
        <w:tc>
          <w:tcPr>
            <w:tcW w:w="2891" w:type="pct"/>
            <w:hideMark/>
          </w:tcPr>
          <w:p w14:paraId="76F32B05" w14:textId="77777777" w:rsidR="00A24BC9" w:rsidRDefault="00A24BC9" w:rsidP="005962FF">
            <w:pPr>
              <w:pStyle w:val="TableText"/>
              <w:cnfStyle w:val="100000000000" w:firstRow="1" w:lastRow="0" w:firstColumn="0" w:lastColumn="0" w:oddVBand="0" w:evenVBand="0" w:oddHBand="0" w:evenHBand="0" w:firstRowFirstColumn="0" w:firstRowLastColumn="0" w:lastRowFirstColumn="0" w:lastRowLastColumn="0"/>
            </w:pPr>
            <w:r>
              <w:t>None</w:t>
            </w:r>
          </w:p>
        </w:tc>
      </w:tr>
      <w:tr w:rsidR="00A24BC9" w14:paraId="4BBBD854"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778BF357" w14:textId="77777777" w:rsidR="00A24BC9" w:rsidRDefault="00A24BC9" w:rsidP="005962FF">
            <w:pPr>
              <w:pStyle w:val="TableText"/>
            </w:pPr>
            <w:r>
              <w:t>2P Reserves – shale/ tight gas</w:t>
            </w:r>
          </w:p>
        </w:tc>
        <w:tc>
          <w:tcPr>
            <w:tcW w:w="2891" w:type="pct"/>
            <w:hideMark/>
          </w:tcPr>
          <w:p w14:paraId="4F0346B1" w14:textId="0F2A24F2" w:rsidR="00A24BC9" w:rsidRDefault="00BC5BD3" w:rsidP="005962FF">
            <w:pPr>
              <w:pStyle w:val="TableText"/>
              <w:cnfStyle w:val="100000000000" w:firstRow="1" w:lastRow="0" w:firstColumn="0" w:lastColumn="0" w:oddVBand="0" w:evenVBand="0" w:oddHBand="0" w:evenHBand="0" w:firstRowFirstColumn="0" w:firstRowLastColumn="0" w:lastRowFirstColumn="0" w:lastRowLastColumn="0"/>
            </w:pPr>
            <w:r>
              <w:t>None reported</w:t>
            </w:r>
          </w:p>
        </w:tc>
      </w:tr>
      <w:tr w:rsidR="00A24BC9" w14:paraId="621AFDE1"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0066FB2A" w14:textId="3476AD26" w:rsidR="00A24BC9" w:rsidRDefault="005E6DA7" w:rsidP="005962FF">
            <w:pPr>
              <w:pStyle w:val="TableText"/>
            </w:pPr>
            <w:r>
              <w:t>Remaining resources (</w:t>
            </w:r>
            <w:r w:rsidRPr="00EA001B">
              <w:t>reserves + contingent resources</w:t>
            </w:r>
            <w:r>
              <w:t xml:space="preserve">) </w:t>
            </w:r>
            <w:r w:rsidR="00A24BC9">
              <w:t>– shale/ tight gas</w:t>
            </w:r>
          </w:p>
        </w:tc>
        <w:tc>
          <w:tcPr>
            <w:tcW w:w="2891" w:type="pct"/>
            <w:hideMark/>
          </w:tcPr>
          <w:p w14:paraId="09BE3C46" w14:textId="10E91F0B" w:rsidR="00A24BC9" w:rsidRDefault="005E6DA7" w:rsidP="005962FF">
            <w:pPr>
              <w:pStyle w:val="TableText"/>
              <w:cnfStyle w:val="100000000000" w:firstRow="1" w:lastRow="0" w:firstColumn="0" w:lastColumn="0" w:oddVBand="0" w:evenVBand="0" w:oddHBand="0" w:evenHBand="0" w:firstRowFirstColumn="0" w:firstRowLastColumn="0" w:lastRowFirstColumn="0" w:lastRowLastColumn="0"/>
            </w:pPr>
            <w:r>
              <w:t>0.15 Tcf shale gas</w:t>
            </w:r>
            <w:r w:rsidR="00A24BC9">
              <w:t xml:space="preserve"> (</w:t>
            </w:r>
            <w:r w:rsidR="00747C0C">
              <w:t xml:space="preserve">Table A.3; </w:t>
            </w:r>
            <w:r w:rsidR="00A24BC9">
              <w:t xml:space="preserve">Armour Energy, </w:t>
            </w:r>
            <w:r w:rsidR="00983C9B">
              <w:t xml:space="preserve">2014c; </w:t>
            </w:r>
            <w:r w:rsidR="00A24BC9">
              <w:t>2017</w:t>
            </w:r>
            <w:r>
              <w:t>; AERA, 2018</w:t>
            </w:r>
            <w:r w:rsidR="00A24BC9">
              <w:t>)</w:t>
            </w:r>
          </w:p>
        </w:tc>
      </w:tr>
      <w:tr w:rsidR="005F2FEE" w14:paraId="7B670895"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408A8EA6" w14:textId="37115A60" w:rsidR="005F2FEE" w:rsidRDefault="005D14A0" w:rsidP="005962FF">
            <w:pPr>
              <w:pStyle w:val="TableText"/>
            </w:pPr>
            <w:r>
              <w:t xml:space="preserve">Undiscovered resource estimates </w:t>
            </w:r>
            <w:r w:rsidR="005F2FEE">
              <w:t>– shale/ tight gas</w:t>
            </w:r>
          </w:p>
        </w:tc>
        <w:tc>
          <w:tcPr>
            <w:tcW w:w="2891" w:type="pct"/>
            <w:hideMark/>
          </w:tcPr>
          <w:p w14:paraId="1E8F52C5" w14:textId="68022A43" w:rsidR="005F2FEE" w:rsidRDefault="005F2FEE" w:rsidP="0029605A">
            <w:pPr>
              <w:pStyle w:val="TableText"/>
              <w:cnfStyle w:val="100000000000" w:firstRow="1" w:lastRow="0" w:firstColumn="0" w:lastColumn="0" w:oddVBand="0" w:evenVBand="0" w:oddHBand="0" w:evenHBand="0" w:firstRowFirstColumn="0" w:firstRowLastColumn="0" w:lastRowFirstColumn="0" w:lastRowLastColumn="0"/>
            </w:pPr>
            <w:r>
              <w:t xml:space="preserve">Best prospective shale resources of 22.1 Tcf in the </w:t>
            </w:r>
            <w:r w:rsidRPr="0029605A">
              <w:t>Lawn Hill and Riversleigh Shale in</w:t>
            </w:r>
            <w:r>
              <w:t xml:space="preserve"> permit</w:t>
            </w:r>
            <w:r w:rsidRPr="0029605A">
              <w:t xml:space="preserve"> ATP1087</w:t>
            </w:r>
            <w:r>
              <w:t xml:space="preserve"> (Table A.3; Armour Energy, 2017; see also AERA, 2018)</w:t>
            </w:r>
          </w:p>
        </w:tc>
      </w:tr>
      <w:tr w:rsidR="005F2FEE" w14:paraId="33B111D2" w14:textId="77777777" w:rsidTr="00E01E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9" w:type="pct"/>
            <w:hideMark/>
          </w:tcPr>
          <w:p w14:paraId="3AC14519" w14:textId="7825F213" w:rsidR="005F2FEE" w:rsidRDefault="005F2FEE" w:rsidP="005962FF">
            <w:pPr>
              <w:pStyle w:val="TableText"/>
            </w:pPr>
            <w:r>
              <w:t>Hydrocarbon shows, tests – shale/ tight gas</w:t>
            </w:r>
          </w:p>
        </w:tc>
        <w:tc>
          <w:tcPr>
            <w:tcW w:w="2891" w:type="pct"/>
            <w:hideMark/>
          </w:tcPr>
          <w:p w14:paraId="2384AB6C" w14:textId="77777777" w:rsidR="005F2FEE" w:rsidRDefault="005F2FEE" w:rsidP="005962FF">
            <w:pPr>
              <w:pStyle w:val="TableText"/>
              <w:cnfStyle w:val="100000000000" w:firstRow="1" w:lastRow="0" w:firstColumn="0" w:lastColumn="0" w:oddVBand="0" w:evenVBand="0" w:oddHBand="0" w:evenHBand="0" w:firstRowFirstColumn="0" w:firstRowLastColumn="0" w:lastRowFirstColumn="0" w:lastRowLastColumn="0"/>
            </w:pPr>
            <w:r>
              <w:rPr>
                <w:szCs w:val="24"/>
              </w:rPr>
              <w:t>Continuous gas flows occurred from the Lawn Hill Formation.</w:t>
            </w:r>
          </w:p>
        </w:tc>
      </w:tr>
    </w:tbl>
    <w:p w14:paraId="2B0578FC" w14:textId="77777777" w:rsidR="008B38C1" w:rsidRDefault="008B38C1" w:rsidP="000520F9">
      <w:pPr>
        <w:pStyle w:val="BodyText"/>
      </w:pPr>
    </w:p>
    <w:p w14:paraId="0BFF3145" w14:textId="77777777" w:rsidR="008B38C1" w:rsidRDefault="008B38C1" w:rsidP="00E34CDE">
      <w:pPr>
        <w:pStyle w:val="AppendixHeading3"/>
      </w:pPr>
      <w:bookmarkStart w:id="266" w:name="_Toc517161188"/>
      <w:r>
        <w:lastRenderedPageBreak/>
        <w:t>Basin Geology</w:t>
      </w:r>
      <w:bookmarkEnd w:id="266"/>
    </w:p>
    <w:p w14:paraId="56E836E1" w14:textId="5946FAD6" w:rsidR="00073274" w:rsidRDefault="008B38C1" w:rsidP="00A24684">
      <w:pPr>
        <w:pStyle w:val="BodyText"/>
      </w:pPr>
      <w:r w:rsidRPr="003739CA">
        <w:t xml:space="preserve">The Isa Superbasin is </w:t>
      </w:r>
      <w:r w:rsidR="009A27F4">
        <w:t>located in the Western Fold Belt of the</w:t>
      </w:r>
      <w:r w:rsidRPr="003739CA">
        <w:t xml:space="preserve"> complex M</w:t>
      </w:r>
      <w:r w:rsidR="00EA0B2F">
        <w:t>oun</w:t>
      </w:r>
      <w:r w:rsidRPr="003739CA">
        <w:t>t Isa Province</w:t>
      </w:r>
      <w:r w:rsidR="00A93E38">
        <w:t xml:space="preserve">. The superbasin </w:t>
      </w:r>
      <w:r w:rsidRPr="003739CA">
        <w:t>extends approximately 300</w:t>
      </w:r>
      <w:r w:rsidR="008232C9">
        <w:t> km</w:t>
      </w:r>
      <w:r w:rsidRPr="003739CA">
        <w:t xml:space="preserve"> from the eastern Leichhardt River Fault Trough through to the Murphy Tectonic </w:t>
      </w:r>
      <w:r w:rsidR="00A131F4" w:rsidRPr="003739CA">
        <w:t>Ridge</w:t>
      </w:r>
      <w:r w:rsidR="00A131F4">
        <w:t>;</w:t>
      </w:r>
      <w:r w:rsidR="00A93E38">
        <w:t xml:space="preserve"> however </w:t>
      </w:r>
      <w:r w:rsidR="00733DE7">
        <w:t>its</w:t>
      </w:r>
      <w:r w:rsidR="00A93E38">
        <w:t xml:space="preserve"> boundary remains very poorly defined </w:t>
      </w:r>
      <w:r w:rsidR="00733DE7">
        <w:t xml:space="preserve">and has not yet been incorporated into Geoscience Australia’s Geological Provinces Database </w:t>
      </w:r>
      <w:r w:rsidRPr="003739CA">
        <w:t>(</w:t>
      </w:r>
      <w:r w:rsidR="00733DE7">
        <w:t xml:space="preserve">Stewart et al., 2013; </w:t>
      </w:r>
      <w:r w:rsidR="00611607">
        <w:t>Figure C</w:t>
      </w:r>
      <w:r w:rsidR="000B580F">
        <w:t>.5</w:t>
      </w:r>
      <w:r w:rsidR="00494973">
        <w:t>2</w:t>
      </w:r>
      <w:r w:rsidR="000B580F">
        <w:t xml:space="preserve">; </w:t>
      </w:r>
      <w:r w:rsidR="00611607">
        <w:t>Figure C</w:t>
      </w:r>
      <w:r w:rsidR="000B580F">
        <w:t>.5</w:t>
      </w:r>
      <w:r w:rsidR="00494973">
        <w:t>3</w:t>
      </w:r>
      <w:r w:rsidRPr="003739CA">
        <w:t xml:space="preserve">). </w:t>
      </w:r>
    </w:p>
    <w:p w14:paraId="5811CFC0" w14:textId="0355CBFC" w:rsidR="008B38C1" w:rsidRPr="003739CA" w:rsidRDefault="008B38C1" w:rsidP="00A24684">
      <w:pPr>
        <w:pStyle w:val="BodyText"/>
      </w:pPr>
      <w:r w:rsidRPr="003739CA">
        <w:t xml:space="preserve">The </w:t>
      </w:r>
      <w:r w:rsidR="00A93E38">
        <w:t>Isa S</w:t>
      </w:r>
      <w:r w:rsidRPr="003739CA">
        <w:t>uperbasin forms the youngest cover succession of the Lawn Hill Platform as defined by Blake (1987), and forms part of a network of similarly aged basins that evolved across the northern Australian craton during the Paleoproterozoic and Mesoproterozoic. The major stratigraphic units of the Isa Superbasin</w:t>
      </w:r>
      <w:r w:rsidR="00A93E38">
        <w:t xml:space="preserve"> </w:t>
      </w:r>
      <w:r w:rsidRPr="003739CA">
        <w:t>are the dominantly marine sediments of the McNamara Group (ca 1725–159</w:t>
      </w:r>
      <w:r w:rsidR="004C01AB">
        <w:t>0 m</w:t>
      </w:r>
      <w:r w:rsidRPr="003739CA">
        <w:t xml:space="preserve">a) (Betts and Lister, 2001; Southgate et al., </w:t>
      </w:r>
      <w:r w:rsidR="00F21A96" w:rsidRPr="003739CA">
        <w:t>200</w:t>
      </w:r>
      <w:r w:rsidR="00F21A96">
        <w:t>0</w:t>
      </w:r>
      <w:r w:rsidR="00073274">
        <w:t>, 2013</w:t>
      </w:r>
      <w:r w:rsidR="00A93E38">
        <w:t>) and the approximate</w:t>
      </w:r>
      <w:r w:rsidR="00A93E38" w:rsidRPr="003739CA">
        <w:t xml:space="preserve"> distribution of </w:t>
      </w:r>
      <w:r w:rsidR="00A93E38">
        <w:t>these within the broader Mount Isa Province is shown in</w:t>
      </w:r>
      <w:r w:rsidR="00A93E38" w:rsidRPr="003739CA">
        <w:t xml:space="preserve"> </w:t>
      </w:r>
      <w:r w:rsidR="00A93E38">
        <w:t>Figure C.53</w:t>
      </w:r>
      <w:r w:rsidR="00733DE7">
        <w:t>.</w:t>
      </w:r>
      <w:r w:rsidR="00A93E38" w:rsidRPr="003739CA">
        <w:t xml:space="preserve"> </w:t>
      </w:r>
      <w:r w:rsidRPr="003739CA">
        <w:t xml:space="preserve">Sequences in the upper part of the McNamara Group have been the focus for frontier conventional and unconventional gas exploration in the relatively undeformed northern part of the </w:t>
      </w:r>
      <w:r w:rsidR="00073274">
        <w:t>s</w:t>
      </w:r>
      <w:r w:rsidRPr="003739CA">
        <w:t>uperbasin.</w:t>
      </w:r>
    </w:p>
    <w:p w14:paraId="3E5BCE9E" w14:textId="62462B1D" w:rsidR="008B38C1" w:rsidRPr="003739CA" w:rsidRDefault="008B38C1" w:rsidP="003739CA">
      <w:pPr>
        <w:pStyle w:val="BodyText"/>
      </w:pPr>
      <w:r w:rsidRPr="003739CA">
        <w:t>The McNamara Group is divided into lower and upper members. The lower member of the Group has a cumulative thickness of ~300</w:t>
      </w:r>
      <w:r w:rsidR="004C01AB">
        <w:t>0 m</w:t>
      </w:r>
      <w:r w:rsidRPr="003739CA">
        <w:t xml:space="preserve">. It is dominantly composed of stromatolitic and dolomitic siltstone, sandstone and mudstone, deposited in a shallow water or shallow marine environment. The lower McNamara Group thins towards the western margin of the Mount Isa Rift, indicating the presence of an intrabasinal high along the western rift flank during the deposition of these formations. The sequences of the upper McNamara Group </w:t>
      </w:r>
      <w:r w:rsidR="00BA0502">
        <w:t>(</w:t>
      </w:r>
      <w:r w:rsidR="00611607">
        <w:t>Figure C</w:t>
      </w:r>
      <w:r w:rsidR="00BA0502">
        <w:t>.5</w:t>
      </w:r>
      <w:r w:rsidR="00494973">
        <w:t>4</w:t>
      </w:r>
      <w:r w:rsidR="00BA0502">
        <w:t xml:space="preserve">) </w:t>
      </w:r>
      <w:r w:rsidRPr="003739CA">
        <w:t>were deposited as the basin depocentre shifted to the northwest. These sequences have a cumulative thickness of ~8</w:t>
      </w:r>
      <w:r w:rsidR="008232C9">
        <w:t> km</w:t>
      </w:r>
      <w:r w:rsidRPr="003739CA">
        <w:t xml:space="preserve"> (Krassay et al., </w:t>
      </w:r>
      <w:r w:rsidR="00F21A96">
        <w:t>2000</w:t>
      </w:r>
      <w:r w:rsidRPr="003739CA">
        <w:t>).</w:t>
      </w:r>
    </w:p>
    <w:p w14:paraId="63126361" w14:textId="77777777" w:rsidR="008B38C1" w:rsidRPr="003739CA" w:rsidRDefault="008B38C1" w:rsidP="003739CA">
      <w:pPr>
        <w:pStyle w:val="BodyText"/>
      </w:pPr>
      <w:r w:rsidRPr="003739CA">
        <w:t>The upper McNamara Group comprises (youngest to oldest); the Shady Bore Quartzite, Riversleigh Siltstone, Termite Range Formation, and Lawn Hill Formation. The Lawn Hill Formation comprises black shale, siltstones, tuff and minor sandstone. The Termite Range Formation comprises medium to coarse grained turbiditic sandstone and minor siltstone while the Riversleigh Siltstone contains moderate to deep water turbiditic shale, siltstone and minor sandstone (MBA, 2012). There is abundant evidence to suggest syndepositional fault activity occurred episodically during thermal subsidence (Andrews, 1998). Tuffaceous horizons throughout the upper McNamara Group indicate episodic volcanism.</w:t>
      </w:r>
    </w:p>
    <w:p w14:paraId="537B743A" w14:textId="77777777" w:rsidR="008B38C1" w:rsidRPr="005450A3" w:rsidRDefault="008B38C1" w:rsidP="00FD6771">
      <w:pPr>
        <w:pStyle w:val="FiguresImagesCentred"/>
      </w:pPr>
      <w:bookmarkStart w:id="267" w:name="_Ref490722945"/>
      <w:r>
        <w:rPr>
          <w:noProof/>
        </w:rPr>
        <w:lastRenderedPageBreak/>
        <w:drawing>
          <wp:inline distT="0" distB="0" distL="0" distR="0" wp14:anchorId="4105E4C0" wp14:editId="67A2F935">
            <wp:extent cx="6080400" cy="5760000"/>
            <wp:effectExtent l="0" t="0" r="0" b="0"/>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5" cstate="screen">
                      <a:extLst>
                        <a:ext uri="{28A0092B-C50C-407E-A947-70E740481C1C}">
                          <a14:useLocalDpi xmlns:a14="http://schemas.microsoft.com/office/drawing/2010/main"/>
                        </a:ext>
                      </a:extLst>
                    </a:blip>
                    <a:srcRect/>
                    <a:stretch>
                      <a:fillRect/>
                    </a:stretch>
                  </pic:blipFill>
                  <pic:spPr bwMode="auto">
                    <a:xfrm>
                      <a:off x="0" y="0"/>
                      <a:ext cx="6080400" cy="5760000"/>
                    </a:xfrm>
                    <a:prstGeom prst="rect">
                      <a:avLst/>
                    </a:prstGeom>
                    <a:noFill/>
                    <a:ln>
                      <a:noFill/>
                    </a:ln>
                  </pic:spPr>
                </pic:pic>
              </a:graphicData>
            </a:graphic>
          </wp:inline>
        </w:drawing>
      </w:r>
    </w:p>
    <w:p w14:paraId="4226B5CE" w14:textId="47FEFFAB" w:rsidR="008B38C1" w:rsidRDefault="000B580F" w:rsidP="009F3E8F">
      <w:pPr>
        <w:pStyle w:val="Caption"/>
      </w:pPr>
      <w:bookmarkStart w:id="268" w:name="_Toc508972123"/>
      <w:bookmarkEnd w:id="267"/>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52</w:t>
      </w:r>
      <w:r w:rsidR="008079F1">
        <w:rPr>
          <w:noProof/>
        </w:rPr>
        <w:fldChar w:fldCharType="end"/>
      </w:r>
      <w:r>
        <w:rPr>
          <w:noProof/>
        </w:rPr>
        <w:t xml:space="preserve"> </w:t>
      </w:r>
      <w:r w:rsidR="008B38C1">
        <w:t>Location of the Isa Superbasin within the M</w:t>
      </w:r>
      <w:r w:rsidR="00EA0B2F">
        <w:t>oun</w:t>
      </w:r>
      <w:r w:rsidR="008B38C1">
        <w:t xml:space="preserve">t Isa Province on a base map of 1:2 500 000 scale surface geology (Raymond et al., 2012). Province outlines from Stewart et al. (2013).  </w:t>
      </w:r>
      <w:r w:rsidR="00EA0B2F">
        <w:t xml:space="preserve">The </w:t>
      </w:r>
      <w:r w:rsidR="008B38C1">
        <w:t>Isa Superbasin outline</w:t>
      </w:r>
      <w:r w:rsidR="00934E0B">
        <w:t xml:space="preserve"> remains poorly defined and the extent represented here is </w:t>
      </w:r>
      <w:r w:rsidR="00213EDA">
        <w:t>estimated</w:t>
      </w:r>
      <w:r w:rsidR="00934E0B">
        <w:t xml:space="preserve"> from Betts and Lister (</w:t>
      </w:r>
      <w:r w:rsidR="008B38C1">
        <w:t>2001</w:t>
      </w:r>
      <w:r w:rsidR="00934E0B">
        <w:t>)</w:t>
      </w:r>
      <w:r w:rsidR="008B38C1">
        <w:t>.</w:t>
      </w:r>
      <w:bookmarkEnd w:id="268"/>
    </w:p>
    <w:p w14:paraId="6219666B" w14:textId="77777777" w:rsidR="008B38C1" w:rsidRDefault="008B38C1" w:rsidP="000520F9">
      <w:pPr>
        <w:pStyle w:val="BodyText"/>
      </w:pPr>
    </w:p>
    <w:p w14:paraId="037AF4C3" w14:textId="77777777" w:rsidR="008B38C1" w:rsidRPr="005450A3" w:rsidRDefault="008B38C1" w:rsidP="008B38C1">
      <w:pPr>
        <w:pStyle w:val="FiguresImagesCentred"/>
      </w:pPr>
      <w:r>
        <w:rPr>
          <w:noProof/>
        </w:rPr>
        <w:lastRenderedPageBreak/>
        <w:drawing>
          <wp:inline distT="0" distB="0" distL="0" distR="0" wp14:anchorId="2AD8ADA2" wp14:editId="5589D75F">
            <wp:extent cx="5529580" cy="7637780"/>
            <wp:effectExtent l="0" t="0" r="0" b="1270"/>
            <wp:docPr id="7227" name="Picture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6">
                      <a:extLst>
                        <a:ext uri="{28A0092B-C50C-407E-A947-70E740481C1C}">
                          <a14:useLocalDpi xmlns:a14="http://schemas.microsoft.com/office/drawing/2010/main"/>
                        </a:ext>
                      </a:extLst>
                    </a:blip>
                    <a:srcRect/>
                    <a:stretch>
                      <a:fillRect/>
                    </a:stretch>
                  </pic:blipFill>
                  <pic:spPr bwMode="auto">
                    <a:xfrm>
                      <a:off x="0" y="0"/>
                      <a:ext cx="5529580" cy="7637780"/>
                    </a:xfrm>
                    <a:prstGeom prst="rect">
                      <a:avLst/>
                    </a:prstGeom>
                    <a:noFill/>
                    <a:ln>
                      <a:noFill/>
                    </a:ln>
                  </pic:spPr>
                </pic:pic>
              </a:graphicData>
            </a:graphic>
          </wp:inline>
        </w:drawing>
      </w:r>
    </w:p>
    <w:p w14:paraId="1F0C80CF" w14:textId="77777777" w:rsidR="008B38C1" w:rsidRDefault="000B580F" w:rsidP="009F3E8F">
      <w:pPr>
        <w:pStyle w:val="Caption"/>
      </w:pPr>
      <w:bookmarkStart w:id="269" w:name="_Toc508972124"/>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53</w:t>
      </w:r>
      <w:r w:rsidR="008079F1">
        <w:rPr>
          <w:noProof/>
        </w:rPr>
        <w:fldChar w:fldCharType="end"/>
      </w:r>
      <w:r>
        <w:rPr>
          <w:noProof/>
        </w:rPr>
        <w:t xml:space="preserve"> </w:t>
      </w:r>
      <w:r w:rsidR="008B38C1">
        <w:t>Geological map of western Mount Isa Province highlighting the distribution of major structural elements, including the preserved areas of Isa Superbasin (modified from Betts and Lister, 2001).</w:t>
      </w:r>
      <w:bookmarkEnd w:id="269"/>
    </w:p>
    <w:p w14:paraId="3DB63FDE" w14:textId="77777777" w:rsidR="008B38C1" w:rsidRDefault="008B38C1" w:rsidP="000520F9">
      <w:pPr>
        <w:pStyle w:val="BodyText"/>
      </w:pPr>
    </w:p>
    <w:p w14:paraId="13BD0A1B" w14:textId="367F0645" w:rsidR="008B38C1" w:rsidRDefault="008B38C1" w:rsidP="009A27F4">
      <w:pPr>
        <w:pStyle w:val="FiguresImagesCentred"/>
      </w:pPr>
    </w:p>
    <w:p w14:paraId="7C31F880" w14:textId="260F5D67" w:rsidR="00802E89" w:rsidRPr="00802E89" w:rsidRDefault="00802E89" w:rsidP="00802E89">
      <w:pPr>
        <w:pStyle w:val="Caption"/>
      </w:pPr>
      <w:r>
        <w:rPr>
          <w:noProof/>
        </w:rPr>
        <w:drawing>
          <wp:inline distT="0" distB="0" distL="0" distR="0" wp14:anchorId="2CE90E97" wp14:editId="11CEC026">
            <wp:extent cx="6029011" cy="4585670"/>
            <wp:effectExtent l="0" t="0" r="0" b="5715"/>
            <wp:docPr id="7733" name="Picture 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7" cstate="screen">
                      <a:extLst>
                        <a:ext uri="{28A0092B-C50C-407E-A947-70E740481C1C}">
                          <a14:useLocalDpi xmlns:a14="http://schemas.microsoft.com/office/drawing/2010/main"/>
                        </a:ext>
                      </a:extLst>
                    </a:blip>
                    <a:srcRect/>
                    <a:stretch>
                      <a:fillRect/>
                    </a:stretch>
                  </pic:blipFill>
                  <pic:spPr bwMode="auto">
                    <a:xfrm>
                      <a:off x="0" y="0"/>
                      <a:ext cx="6042574" cy="4595986"/>
                    </a:xfrm>
                    <a:prstGeom prst="rect">
                      <a:avLst/>
                    </a:prstGeom>
                    <a:noFill/>
                  </pic:spPr>
                </pic:pic>
              </a:graphicData>
            </a:graphic>
          </wp:inline>
        </w:drawing>
      </w:r>
    </w:p>
    <w:p w14:paraId="76389271" w14:textId="5238E581" w:rsidR="008B38C1" w:rsidRDefault="000B580F" w:rsidP="00073274">
      <w:pPr>
        <w:pStyle w:val="Caption"/>
      </w:pPr>
      <w:bookmarkStart w:id="270" w:name="_Toc508972125"/>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54</w:t>
      </w:r>
      <w:r w:rsidR="008079F1">
        <w:rPr>
          <w:noProof/>
        </w:rPr>
        <w:fldChar w:fldCharType="end"/>
      </w:r>
      <w:r>
        <w:rPr>
          <w:noProof/>
        </w:rPr>
        <w:t xml:space="preserve"> </w:t>
      </w:r>
      <w:r w:rsidR="008B38C1">
        <w:t xml:space="preserve">Stratigraphy of the </w:t>
      </w:r>
      <w:r w:rsidR="00073274">
        <w:t>Mount Isa Province</w:t>
      </w:r>
      <w:r w:rsidR="008B38C1">
        <w:t xml:space="preserve"> </w:t>
      </w:r>
      <w:r w:rsidR="00073274" w:rsidRPr="00073274">
        <w:t>for the interval 1800 Ma to 1575 Ma</w:t>
      </w:r>
      <w:r w:rsidR="00073274">
        <w:t xml:space="preserve"> (</w:t>
      </w:r>
      <w:r w:rsidR="009A27F4">
        <w:t xml:space="preserve">from Gibson et al., 2016 after </w:t>
      </w:r>
      <w:r w:rsidR="00073274">
        <w:t>Southgate et al., 2013).</w:t>
      </w:r>
      <w:bookmarkEnd w:id="270"/>
      <w:r w:rsidR="00073274">
        <w:t xml:space="preserve"> </w:t>
      </w:r>
    </w:p>
    <w:p w14:paraId="699C9041" w14:textId="77777777" w:rsidR="008B38C1" w:rsidRDefault="008B38C1" w:rsidP="00E34CDE">
      <w:pPr>
        <w:pStyle w:val="AppendixHeading3"/>
      </w:pPr>
      <w:bookmarkStart w:id="271" w:name="_Toc517161189"/>
      <w:r>
        <w:t>Petroleum data coverage</w:t>
      </w:r>
      <w:bookmarkEnd w:id="271"/>
    </w:p>
    <w:p w14:paraId="242074F1" w14:textId="2AB6B8F7" w:rsidR="00F27BC3" w:rsidRDefault="008B38C1" w:rsidP="00F923A4">
      <w:pPr>
        <w:pStyle w:val="BodyText"/>
      </w:pPr>
      <w:r>
        <w:t>The Isa Superbasin is poorly explored and has a sparse coverage of &lt;7</w:t>
      </w:r>
      <w:r w:rsidR="005023A3">
        <w:t>,</w:t>
      </w:r>
      <w:r>
        <w:t>000</w:t>
      </w:r>
      <w:r w:rsidR="008232C9">
        <w:t> km</w:t>
      </w:r>
      <w:r>
        <w:t xml:space="preserve"> of 2D reflection seismic data of varying vintage and quality (</w:t>
      </w:r>
      <w:r w:rsidR="00611607">
        <w:t>Figure C</w:t>
      </w:r>
      <w:r w:rsidR="00BA0502">
        <w:t>.5</w:t>
      </w:r>
      <w:r w:rsidR="00494973">
        <w:t>5</w:t>
      </w:r>
      <w:r w:rsidR="005023A3">
        <w:t xml:space="preserve">; DNRME, </w:t>
      </w:r>
      <w:r w:rsidR="005023A3" w:rsidRPr="005023A3">
        <w:t>b-d</w:t>
      </w:r>
      <w:r w:rsidR="005023A3">
        <w:t xml:space="preserve">; NTGS, </w:t>
      </w:r>
      <w:r w:rsidR="005023A3" w:rsidRPr="005023A3">
        <w:t>2017b</w:t>
      </w:r>
      <w:r>
        <w:t>). About 13 petroleum and stratigraphic wells have been drilled in the Isa Superbasin</w:t>
      </w:r>
      <w:r w:rsidR="005023A3">
        <w:t xml:space="preserve"> (DNRME, 2017a; NTGS, 2017a)</w:t>
      </w:r>
      <w:r>
        <w:t>. There is also complete coverage of gravity and airborne magnetics data across the superbasin of varying quality and data point spacing.</w:t>
      </w:r>
    </w:p>
    <w:p w14:paraId="0C3319AC" w14:textId="77777777" w:rsidR="00F27BC3" w:rsidRDefault="00F27BC3" w:rsidP="00F923A4">
      <w:pPr>
        <w:pStyle w:val="BodyText"/>
      </w:pPr>
    </w:p>
    <w:p w14:paraId="450A58FA" w14:textId="77777777" w:rsidR="008B38C1" w:rsidRPr="005450A3" w:rsidRDefault="008B38C1" w:rsidP="008B38C1">
      <w:pPr>
        <w:pStyle w:val="FiguresImagesCentred"/>
      </w:pPr>
      <w:r>
        <w:rPr>
          <w:noProof/>
        </w:rPr>
        <w:lastRenderedPageBreak/>
        <mc:AlternateContent>
          <mc:Choice Requires="wps">
            <w:drawing>
              <wp:anchor distT="0" distB="0" distL="114300" distR="114300" simplePos="0" relativeHeight="251658248" behindDoc="0" locked="0" layoutInCell="1" allowOverlap="1" wp14:anchorId="7F4CE730" wp14:editId="20ED87D3">
                <wp:simplePos x="0" y="0"/>
                <wp:positionH relativeFrom="column">
                  <wp:posOffset>2118995</wp:posOffset>
                </wp:positionH>
                <wp:positionV relativeFrom="paragraph">
                  <wp:posOffset>750570</wp:posOffset>
                </wp:positionV>
                <wp:extent cx="793750" cy="205740"/>
                <wp:effectExtent l="0" t="0" r="0" b="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05740"/>
                        </a:xfrm>
                        <a:prstGeom prst="rect">
                          <a:avLst/>
                        </a:prstGeom>
                        <a:noFill/>
                        <a:ln w="9525">
                          <a:noFill/>
                          <a:miter lim="800000"/>
                          <a:headEnd/>
                          <a:tailEnd/>
                        </a:ln>
                      </wps:spPr>
                      <wps:txbx>
                        <w:txbxContent>
                          <w:p w14:paraId="5E8B3A18" w14:textId="1138C280" w:rsidR="00640CCB" w:rsidRDefault="00640CCB" w:rsidP="008B38C1">
                            <w:pPr>
                              <w:spacing w:line="180" w:lineRule="exact"/>
                              <w:rPr>
                                <w:b/>
                                <w:sz w:val="18"/>
                                <w:szCs w:val="18"/>
                              </w:rPr>
                            </w:pPr>
                            <w:r>
                              <w:rPr>
                                <w:b/>
                                <w:sz w:val="18"/>
                                <w:szCs w:val="18"/>
                              </w:rPr>
                              <w:t>Figure C.56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4CE730" id="Text Box 307" o:spid="_x0000_s1031" type="#_x0000_t202" style="position:absolute;left:0;text-align:left;margin-left:166.85pt;margin-top:59.1pt;width:62.5pt;height:16.2pt;z-index:251658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" filled="f" stroked="f">
                <v:textbox style="mso-fit-shape-to-text:t">
                  <w:txbxContent>
                    <w:p w14:paraId="5E8B3A18" w14:textId="1138C280" w:rsidR="00640CCB" w:rsidRDefault="00640CCB" w:rsidP="008B38C1">
                      <w:pPr>
                        <w:spacing w:line="180" w:lineRule="exact"/>
                        <w:rPr>
                          <w:b/>
                          <w:sz w:val="18"/>
                          <w:szCs w:val="18"/>
                        </w:rPr>
                      </w:pPr>
                      <w:r>
                        <w:rPr>
                          <w:b/>
                          <w:sz w:val="18"/>
                          <w:szCs w:val="18"/>
                        </w:rPr>
                        <w:t>Figure C.56</w:t>
                      </w:r>
                    </w:p>
                  </w:txbxContent>
                </v:textbox>
              </v:shape>
            </w:pict>
          </mc:Fallback>
        </mc:AlternateContent>
      </w:r>
      <w:r>
        <w:rPr>
          <w:noProof/>
        </w:rPr>
        <mc:AlternateContent>
          <mc:Choice Requires="wps">
            <w:drawing>
              <wp:anchor distT="0" distB="0" distL="114300" distR="114300" simplePos="0" relativeHeight="251658247" behindDoc="0" locked="0" layoutInCell="1" allowOverlap="1" wp14:anchorId="01D066CC" wp14:editId="330453A9">
                <wp:simplePos x="0" y="0"/>
                <wp:positionH relativeFrom="column">
                  <wp:posOffset>2114550</wp:posOffset>
                </wp:positionH>
                <wp:positionV relativeFrom="paragraph">
                  <wp:posOffset>754380</wp:posOffset>
                </wp:positionV>
                <wp:extent cx="138430" cy="153035"/>
                <wp:effectExtent l="0" t="0" r="33020" b="18415"/>
                <wp:wrapNone/>
                <wp:docPr id="7229" name="Straight Connector 7229"/>
                <wp:cNvGraphicFramePr/>
                <a:graphic xmlns:a="http://schemas.openxmlformats.org/drawingml/2006/main">
                  <a:graphicData uri="http://schemas.microsoft.com/office/word/2010/wordprocessingShape">
                    <wps:wsp>
                      <wps:cNvCnPr/>
                      <wps:spPr>
                        <a:xfrm flipV="1">
                          <a:off x="0" y="0"/>
                          <a:ext cx="137795" cy="15303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230EF3" id="Straight Connector 7229" o:spid="_x0000_s1026" style="position:absolute;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5pt,59.4pt" to="177.4pt,7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" strokecolor="black [3213]" strokeweight="1.5pt"/>
            </w:pict>
          </mc:Fallback>
        </mc:AlternateContent>
      </w:r>
      <w:r>
        <w:rPr>
          <w:noProof/>
        </w:rPr>
        <w:drawing>
          <wp:inline distT="0" distB="0" distL="0" distR="0" wp14:anchorId="480A5309" wp14:editId="172CBF61">
            <wp:extent cx="5760000" cy="5263200"/>
            <wp:effectExtent l="0" t="0" r="0" b="0"/>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388" cstate="screen">
                      <a:extLst>
                        <a:ext uri="{28A0092B-C50C-407E-A947-70E740481C1C}">
                          <a14:useLocalDpi xmlns:a14="http://schemas.microsoft.com/office/drawing/2010/main"/>
                        </a:ext>
                      </a:extLst>
                    </a:blip>
                    <a:srcRect/>
                    <a:stretch/>
                  </pic:blipFill>
                  <pic:spPr bwMode="auto">
                    <a:xfrm>
                      <a:off x="0" y="0"/>
                      <a:ext cx="5760000" cy="5263200"/>
                    </a:xfrm>
                    <a:prstGeom prst="rect">
                      <a:avLst/>
                    </a:prstGeom>
                    <a:noFill/>
                    <a:ln>
                      <a:noFill/>
                    </a:ln>
                    <a:extLst>
                      <a:ext uri="{53640926-AAD7-44D8-BBD7-CCE9431645EC}">
                        <a14:shadowObscured xmlns:a14="http://schemas.microsoft.com/office/drawing/2010/main"/>
                      </a:ext>
                    </a:extLst>
                  </pic:spPr>
                </pic:pic>
              </a:graphicData>
            </a:graphic>
          </wp:inline>
        </w:drawing>
      </w:r>
    </w:p>
    <w:p w14:paraId="390447E9" w14:textId="1D3D5693" w:rsidR="008B38C1" w:rsidRDefault="000B580F" w:rsidP="009F3E8F">
      <w:pPr>
        <w:pStyle w:val="Caption"/>
      </w:pPr>
      <w:bookmarkStart w:id="272" w:name="_Toc508972126"/>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55</w:t>
      </w:r>
      <w:r w:rsidR="008079F1">
        <w:rPr>
          <w:noProof/>
        </w:rPr>
        <w:fldChar w:fldCharType="end"/>
      </w:r>
      <w:r>
        <w:rPr>
          <w:noProof/>
        </w:rPr>
        <w:t xml:space="preserve"> </w:t>
      </w:r>
      <w:r w:rsidR="008B38C1">
        <w:t xml:space="preserve">Location of 2D seismic reflection lines, petroleum exploration wells and stratigraphic </w:t>
      </w:r>
      <w:r w:rsidR="00A51CEF">
        <w:t>drill holes</w:t>
      </w:r>
      <w:r w:rsidR="008B38C1">
        <w:t xml:space="preserve"> in the Mount Isa Province. </w:t>
      </w:r>
      <w:r w:rsidR="0085437E">
        <w:t xml:space="preserve">Mount Isa Province </w:t>
      </w:r>
      <w:r w:rsidR="008B38C1">
        <w:t>outline from Stewart et al. (2013). Petroleum wells from NTGS (2017</w:t>
      </w:r>
      <w:r w:rsidR="005C209B">
        <w:t>a</w:t>
      </w:r>
      <w:r w:rsidR="008B38C1">
        <w:t>) and DNRM</w:t>
      </w:r>
      <w:r w:rsidR="00A51CEF">
        <w:t>E</w:t>
      </w:r>
      <w:r w:rsidR="008B38C1">
        <w:t xml:space="preserve"> (2017a). </w:t>
      </w:r>
      <w:r w:rsidR="00A51CEF">
        <w:t>Seismic data from DNRME (b-d) and NT</w:t>
      </w:r>
      <w:r w:rsidR="005C209B">
        <w:t>GS (2017b)</w:t>
      </w:r>
      <w:r w:rsidR="00A51CEF">
        <w:t xml:space="preserve">. </w:t>
      </w:r>
      <w:r w:rsidR="008B38C1">
        <w:t xml:space="preserve">Black line shows location of </w:t>
      </w:r>
      <w:r w:rsidR="0009409D">
        <w:t xml:space="preserve">seismic line 89BN-6 </w:t>
      </w:r>
      <w:r w:rsidR="008B38C1">
        <w:t xml:space="preserve">in </w:t>
      </w:r>
      <w:r w:rsidR="00611607">
        <w:t>Figure C</w:t>
      </w:r>
      <w:r w:rsidR="00BA0502">
        <w:t>.5</w:t>
      </w:r>
      <w:r w:rsidR="00494973">
        <w:t>6</w:t>
      </w:r>
      <w:r w:rsidR="00BA0502">
        <w:t>.</w:t>
      </w:r>
      <w:bookmarkEnd w:id="272"/>
    </w:p>
    <w:p w14:paraId="57DF4D00" w14:textId="77777777" w:rsidR="00F27BC3" w:rsidRPr="00F27BC3" w:rsidRDefault="00F27BC3" w:rsidP="00F27BC3">
      <w:pPr>
        <w:pStyle w:val="BodyText"/>
      </w:pPr>
    </w:p>
    <w:p w14:paraId="74478E5B" w14:textId="77777777" w:rsidR="008B38C1" w:rsidRDefault="008B38C1" w:rsidP="00F923A4">
      <w:pPr>
        <w:pStyle w:val="AppendixHeading3"/>
      </w:pPr>
      <w:bookmarkStart w:id="273" w:name="_Toc517161190"/>
      <w:r>
        <w:t>Shale and tight gas prospectivity</w:t>
      </w:r>
      <w:bookmarkEnd w:id="273"/>
    </w:p>
    <w:p w14:paraId="782D3BA8" w14:textId="77777777" w:rsidR="008B38C1" w:rsidRPr="00F923A4" w:rsidRDefault="008B38C1" w:rsidP="00F923A4">
      <w:pPr>
        <w:pStyle w:val="BodyText"/>
      </w:pPr>
      <w:r w:rsidRPr="00F923A4">
        <w:t xml:space="preserve">The hydrocarbon prospectivity of the Isa Superbasin is summarised in </w:t>
      </w:r>
      <w:r w:rsidR="00611607">
        <w:t>Table C</w:t>
      </w:r>
      <w:r w:rsidR="00A24684">
        <w:t>.47</w:t>
      </w:r>
      <w:r w:rsidR="006971A5">
        <w:t>.</w:t>
      </w:r>
    </w:p>
    <w:p w14:paraId="7A568CF2" w14:textId="09B140A5" w:rsidR="008B38C1" w:rsidRDefault="008B38C1" w:rsidP="003037D5">
      <w:pPr>
        <w:pStyle w:val="BodyText"/>
      </w:pPr>
      <w:r w:rsidRPr="00F923A4">
        <w:t xml:space="preserve">Shale and tight gas exploration is still at a very early stage in the Isa Superbasin in Queensland. Several formations were identified as potential shale gas targets based on </w:t>
      </w:r>
      <w:r w:rsidRPr="003037D5">
        <w:t xml:space="preserve">drilling undertaken in the 1980s and 1990s (McConachie et al., 1983). Armour Energy was granted ATP 1087 </w:t>
      </w:r>
      <w:r w:rsidR="00BD099F">
        <w:t>on</w:t>
      </w:r>
      <w:r w:rsidR="00BD099F" w:rsidRPr="003037D5">
        <w:t xml:space="preserve"> </w:t>
      </w:r>
      <w:r w:rsidRPr="003037D5">
        <w:t xml:space="preserve">the Lawn Hill Platform, and in 2013 drilled two vertical wells </w:t>
      </w:r>
      <w:r w:rsidR="00CC1FC8">
        <w:t>(Egilabria 2 and</w:t>
      </w:r>
      <w:r w:rsidR="00CC1FC8" w:rsidRPr="003037D5">
        <w:t xml:space="preserve"> Egilabira 4</w:t>
      </w:r>
      <w:r w:rsidR="00CC1FC8">
        <w:t xml:space="preserve">) </w:t>
      </w:r>
      <w:r w:rsidRPr="003037D5">
        <w:t>and one horizontal well</w:t>
      </w:r>
      <w:r w:rsidR="00CC1FC8">
        <w:t xml:space="preserve"> (</w:t>
      </w:r>
      <w:r w:rsidR="00BD099F" w:rsidRPr="003037D5">
        <w:t>Egilabria 2 DW1</w:t>
      </w:r>
      <w:r w:rsidRPr="003037D5">
        <w:t>) to evaluate the shale gas potential of the Lawn Hill Formation and Riversleigh Siltstone (Armour Energy, 2014a;</w:t>
      </w:r>
      <w:r w:rsidR="00BA0502">
        <w:t xml:space="preserve"> </w:t>
      </w:r>
      <w:r w:rsidR="00611607">
        <w:t>Figure C</w:t>
      </w:r>
      <w:r w:rsidR="00BA0502">
        <w:t>.56</w:t>
      </w:r>
      <w:r w:rsidRPr="003037D5">
        <w:t>). Egilabria 2 DW1 was the first lateral well in Australia to flow gas from a multi-stage, hydraulically stimulated shale formation (</w:t>
      </w:r>
      <w:r w:rsidR="00611607">
        <w:t>Figure C</w:t>
      </w:r>
      <w:r w:rsidR="00BA0502">
        <w:t>.5</w:t>
      </w:r>
      <w:r w:rsidR="00494973">
        <w:t>6</w:t>
      </w:r>
      <w:r w:rsidR="00BA0502">
        <w:t xml:space="preserve"> </w:t>
      </w:r>
      <w:r w:rsidR="00BA0502">
        <w:lastRenderedPageBreak/>
        <w:t xml:space="preserve">and </w:t>
      </w:r>
      <w:r w:rsidR="00611607">
        <w:t>Figure C</w:t>
      </w:r>
      <w:r w:rsidR="00BA0502">
        <w:t>.5</w:t>
      </w:r>
      <w:r w:rsidR="00494973">
        <w:t>7</w:t>
      </w:r>
      <w:r w:rsidRPr="003037D5">
        <w:t>). In 2014, Armour Energy announced they have signed gas sale MOUs to mining operations in the area (de Weijer, 2015).</w:t>
      </w:r>
    </w:p>
    <w:p w14:paraId="289E490A" w14:textId="77777777" w:rsidR="002D4BDE" w:rsidRPr="003037D5" w:rsidRDefault="002D4BDE" w:rsidP="002D4BDE">
      <w:pPr>
        <w:pStyle w:val="BodyText"/>
      </w:pPr>
      <w:r w:rsidRPr="003037D5">
        <w:t xml:space="preserve">The Lawn Hill and Riversleigh </w:t>
      </w:r>
      <w:r>
        <w:t>f</w:t>
      </w:r>
      <w:r w:rsidRPr="003037D5">
        <w:t>ormations have amongst the highest Total Organic Carbon (TOC) content of any shale play in Australia. A typical minimum TOC required for shale plays is 2%, whereas TOC values in world-class commercial shale plays, such as the Marcellus Shale in the USA, are in excess of 5%. Both the Lawn and Riversleigh shale formations show sweet spots with TOCs recorded up to 11% (Armour Energy, 2014b, 2017).</w:t>
      </w:r>
    </w:p>
    <w:p w14:paraId="1B539ACA" w14:textId="59E6AE9E" w:rsidR="002D4BDE" w:rsidRDefault="0029605A" w:rsidP="003037D5">
      <w:pPr>
        <w:pStyle w:val="BodyText"/>
      </w:pPr>
      <w:r>
        <w:t>As a result of this exploration activity, Armour Energy reported the</w:t>
      </w:r>
      <w:r w:rsidR="002D4BDE">
        <w:t xml:space="preserve"> following resource estimates (</w:t>
      </w:r>
      <w:r w:rsidR="0013599B">
        <w:t xml:space="preserve">Table C.47; </w:t>
      </w:r>
      <w:r w:rsidR="002D4BDE">
        <w:t>Armour Energy, 2017):</w:t>
      </w:r>
    </w:p>
    <w:p w14:paraId="0B7D05DD" w14:textId="103217C6" w:rsidR="002D4BDE" w:rsidRDefault="002D4BDE" w:rsidP="002D4BDE">
      <w:pPr>
        <w:pStyle w:val="ListBullet"/>
        <w:rPr>
          <w:lang w:val="en-US"/>
        </w:rPr>
      </w:pPr>
      <w:r>
        <w:rPr>
          <w:lang w:val="en-US"/>
        </w:rPr>
        <w:t>2C resources relating to the Lawn Shale Formation in Egilabria 2 of  0.154 Tcf, and;</w:t>
      </w:r>
    </w:p>
    <w:p w14:paraId="17B69536" w14:textId="29945D7C" w:rsidR="002D4BDE" w:rsidRPr="003037D5" w:rsidRDefault="0029605A" w:rsidP="002D4BDE">
      <w:pPr>
        <w:pStyle w:val="ListBullet"/>
      </w:pPr>
      <w:r>
        <w:t xml:space="preserve">best </w:t>
      </w:r>
      <w:r w:rsidR="002D4BDE">
        <w:t xml:space="preserve">prospective </w:t>
      </w:r>
      <w:r>
        <w:t xml:space="preserve">shale gas </w:t>
      </w:r>
      <w:r w:rsidR="002D4BDE">
        <w:t xml:space="preserve">resources of </w:t>
      </w:r>
      <w:r w:rsidR="002D4BDE" w:rsidRPr="002D4BDE">
        <w:t xml:space="preserve">22.1 </w:t>
      </w:r>
      <w:r w:rsidR="002D4BDE">
        <w:t>Tcf</w:t>
      </w:r>
      <w:r w:rsidR="002D4BDE" w:rsidRPr="002D4BDE">
        <w:t xml:space="preserve"> </w:t>
      </w:r>
      <w:r w:rsidR="002D4BDE">
        <w:t>for the</w:t>
      </w:r>
      <w:r w:rsidR="002D4BDE" w:rsidRPr="002D4BDE">
        <w:t xml:space="preserve"> Lawn Hill and Riversleigh Shale in </w:t>
      </w:r>
      <w:r w:rsidR="002D4BDE">
        <w:t xml:space="preserve">permit </w:t>
      </w:r>
      <w:r w:rsidR="002D4BDE" w:rsidRPr="002D4BDE">
        <w:t>ATP1087</w:t>
      </w:r>
      <w:r>
        <w:t xml:space="preserve"> (see also AERA, 2018)</w:t>
      </w:r>
      <w:r w:rsidR="002D4BDE" w:rsidRPr="002D4BDE">
        <w:t>.</w:t>
      </w:r>
    </w:p>
    <w:p w14:paraId="31D8023C" w14:textId="77777777" w:rsidR="008B38C1" w:rsidRPr="003037D5" w:rsidRDefault="008B38C1" w:rsidP="003037D5">
      <w:pPr>
        <w:pStyle w:val="BodyText"/>
      </w:pPr>
      <w:r w:rsidRPr="003037D5">
        <w:t xml:space="preserve">Data for the key unconventional hydrocarbon targets are summarised in </w:t>
      </w:r>
      <w:r w:rsidR="00611607">
        <w:t>Table C</w:t>
      </w:r>
      <w:r w:rsidR="00A24684">
        <w:t>.48</w:t>
      </w:r>
      <w:r w:rsidR="006971A5">
        <w:t>.</w:t>
      </w:r>
    </w:p>
    <w:p w14:paraId="46DA892B" w14:textId="77777777" w:rsidR="008B38C1" w:rsidRDefault="008B38C1" w:rsidP="00FD6771">
      <w:pPr>
        <w:pStyle w:val="FiguresImagesCentred"/>
      </w:pPr>
      <w:r>
        <w:rPr>
          <w:noProof/>
        </w:rPr>
        <w:drawing>
          <wp:inline distT="0" distB="0" distL="0" distR="0" wp14:anchorId="29F0D608" wp14:editId="7D997E8E">
            <wp:extent cx="5964551" cy="3227295"/>
            <wp:effectExtent l="0" t="0" r="0" b="0"/>
            <wp:docPr id="7224" name="Picture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9" cstate="screen">
                      <a:extLst>
                        <a:ext uri="{28A0092B-C50C-407E-A947-70E740481C1C}">
                          <a14:useLocalDpi xmlns:a14="http://schemas.microsoft.com/office/drawing/2010/main"/>
                        </a:ext>
                      </a:extLst>
                    </a:blip>
                    <a:srcRect t="5394"/>
                    <a:stretch>
                      <a:fillRect/>
                    </a:stretch>
                  </pic:blipFill>
                  <pic:spPr bwMode="auto">
                    <a:xfrm>
                      <a:off x="0" y="0"/>
                      <a:ext cx="5964622" cy="3227333"/>
                    </a:xfrm>
                    <a:prstGeom prst="rect">
                      <a:avLst/>
                    </a:prstGeom>
                    <a:noFill/>
                    <a:ln>
                      <a:noFill/>
                    </a:ln>
                  </pic:spPr>
                </pic:pic>
              </a:graphicData>
            </a:graphic>
          </wp:inline>
        </w:drawing>
      </w:r>
    </w:p>
    <w:p w14:paraId="48CD1A80" w14:textId="068D1BB9" w:rsidR="008B38C1" w:rsidRDefault="000B580F" w:rsidP="009F3E8F">
      <w:pPr>
        <w:pStyle w:val="Caption"/>
        <w:rPr>
          <w:rFonts w:eastAsia="Times New Roman"/>
        </w:rPr>
      </w:pPr>
      <w:bookmarkStart w:id="274" w:name="_Toc508972127"/>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56</w:t>
      </w:r>
      <w:r w:rsidR="008079F1">
        <w:rPr>
          <w:noProof/>
        </w:rPr>
        <w:fldChar w:fldCharType="end"/>
      </w:r>
      <w:r>
        <w:rPr>
          <w:noProof/>
        </w:rPr>
        <w:t xml:space="preserve"> </w:t>
      </w:r>
      <w:r w:rsidR="008B38C1">
        <w:t xml:space="preserve">Interpreted seismic section of line 89BN-6 showing the conventional and shale gas plays in the Isa Superbasin (modified from de Weijer, 2015). Location of the seismic line is shown in </w:t>
      </w:r>
      <w:r w:rsidR="00611607">
        <w:t>Figure C</w:t>
      </w:r>
      <w:r w:rsidR="00BA0502">
        <w:t>.5</w:t>
      </w:r>
      <w:r w:rsidR="00494973">
        <w:t>5</w:t>
      </w:r>
      <w:bookmarkEnd w:id="274"/>
    </w:p>
    <w:p w14:paraId="7F7E7F35" w14:textId="77777777" w:rsidR="008B38C1" w:rsidRDefault="008B38C1" w:rsidP="000520F9">
      <w:pPr>
        <w:pStyle w:val="BodyText"/>
      </w:pPr>
    </w:p>
    <w:p w14:paraId="32E304DF" w14:textId="75BF54A0" w:rsidR="008B38C1" w:rsidRDefault="00A2665B" w:rsidP="000520F9">
      <w:pPr>
        <w:pStyle w:val="BodyText"/>
      </w:pPr>
      <w:r>
        <w:rPr>
          <w:noProof/>
        </w:rPr>
        <w:lastRenderedPageBreak/>
        <w:drawing>
          <wp:inline distT="0" distB="0" distL="0" distR="0" wp14:anchorId="30D38F13" wp14:editId="0DB1B6D2">
            <wp:extent cx="5779135" cy="619379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0" cstate="screen">
                      <a:extLst>
                        <a:ext uri="{28A0092B-C50C-407E-A947-70E740481C1C}">
                          <a14:useLocalDpi xmlns:a14="http://schemas.microsoft.com/office/drawing/2010/main"/>
                        </a:ext>
                      </a:extLst>
                    </a:blip>
                    <a:srcRect/>
                    <a:stretch>
                      <a:fillRect/>
                    </a:stretch>
                  </pic:blipFill>
                  <pic:spPr bwMode="auto">
                    <a:xfrm>
                      <a:off x="0" y="0"/>
                      <a:ext cx="5779135" cy="6193790"/>
                    </a:xfrm>
                    <a:prstGeom prst="rect">
                      <a:avLst/>
                    </a:prstGeom>
                    <a:noFill/>
                    <a:ln>
                      <a:noFill/>
                    </a:ln>
                  </pic:spPr>
                </pic:pic>
              </a:graphicData>
            </a:graphic>
          </wp:inline>
        </w:drawing>
      </w:r>
    </w:p>
    <w:p w14:paraId="4A3EB926" w14:textId="31A43B87" w:rsidR="008B38C1" w:rsidRDefault="000B580F" w:rsidP="009F3E8F">
      <w:pPr>
        <w:pStyle w:val="Caption"/>
        <w:rPr>
          <w:rFonts w:eastAsia="Times New Roman"/>
        </w:rPr>
      </w:pPr>
      <w:bookmarkStart w:id="275" w:name="_Toc508972128"/>
      <w:r>
        <w:t xml:space="preserve">Figure </w:t>
      </w:r>
      <w:r w:rsidR="008079F1">
        <w:fldChar w:fldCharType="begin"/>
      </w:r>
      <w:r w:rsidR="008079F1">
        <w:instrText xml:space="preserve"> STYLEREF 9 \</w:instrText>
      </w:r>
      <w:r w:rsidR="008079F1">
        <w:instrText xml:space="preserve">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57</w:t>
      </w:r>
      <w:r w:rsidR="008079F1">
        <w:rPr>
          <w:noProof/>
        </w:rPr>
        <w:fldChar w:fldCharType="end"/>
      </w:r>
      <w:r>
        <w:rPr>
          <w:noProof/>
        </w:rPr>
        <w:t xml:space="preserve"> </w:t>
      </w:r>
      <w:r w:rsidR="008B38C1">
        <w:t>Wells targeting shale gas plays and approximate play extents in the Isa Superbasin from DNRM (2017)</w:t>
      </w:r>
      <w:r w:rsidR="00EA0B2F">
        <w:t>. The Isa Superbasin outline is derived from Betts and Lister (2001).</w:t>
      </w:r>
      <w:bookmarkEnd w:id="275"/>
    </w:p>
    <w:p w14:paraId="6351D459" w14:textId="77777777" w:rsidR="008B38C1" w:rsidRDefault="008B38C1" w:rsidP="000520F9">
      <w:pPr>
        <w:pStyle w:val="BodyText"/>
      </w:pPr>
    </w:p>
    <w:p w14:paraId="554C4999" w14:textId="77777777" w:rsidR="008B38C1" w:rsidRDefault="008B38C1" w:rsidP="000350BE">
      <w:pPr>
        <w:pStyle w:val="BodyText"/>
        <w:sectPr w:rsidR="008B38C1" w:rsidSect="005E271C">
          <w:headerReference w:type="default" r:id="rId391"/>
          <w:pgSz w:w="11907" w:h="16840"/>
          <w:pgMar w:top="1418" w:right="1134" w:bottom="1418" w:left="1134" w:header="510" w:footer="624" w:gutter="0"/>
          <w:cols w:space="720"/>
          <w:docGrid w:linePitch="326"/>
        </w:sectPr>
      </w:pPr>
    </w:p>
    <w:p w14:paraId="6AB068AB" w14:textId="3FAA83E5" w:rsidR="008B38C1" w:rsidRDefault="006971A5" w:rsidP="009F3E8F">
      <w:pPr>
        <w:pStyle w:val="Caption"/>
      </w:pPr>
      <w:bookmarkStart w:id="276" w:name="_Toc508972197"/>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48</w:t>
      </w:r>
      <w:r w:rsidR="008079F1">
        <w:rPr>
          <w:noProof/>
        </w:rPr>
        <w:fldChar w:fldCharType="end"/>
      </w:r>
      <w:r>
        <w:t xml:space="preserve"> </w:t>
      </w:r>
      <w:r w:rsidR="008B38C1">
        <w:t>Summary of shale and tight gas plays (from DNRM, 2017).</w:t>
      </w:r>
      <w:bookmarkEnd w:id="276"/>
    </w:p>
    <w:tbl>
      <w:tblPr>
        <w:tblStyle w:val="TableBAHeaderRow"/>
        <w:tblW w:w="5000" w:type="pct"/>
        <w:tblLook w:val="04A0" w:firstRow="1" w:lastRow="0" w:firstColumn="1" w:lastColumn="0" w:noHBand="0" w:noVBand="1"/>
      </w:tblPr>
      <w:tblGrid>
        <w:gridCol w:w="1182"/>
        <w:gridCol w:w="1650"/>
        <w:gridCol w:w="1445"/>
        <w:gridCol w:w="1126"/>
        <w:gridCol w:w="1266"/>
        <w:gridCol w:w="1241"/>
        <w:gridCol w:w="966"/>
        <w:gridCol w:w="1168"/>
        <w:gridCol w:w="1263"/>
        <w:gridCol w:w="2697"/>
      </w:tblGrid>
      <w:tr w:rsidR="008B38C1" w14:paraId="693E2391" w14:textId="77777777" w:rsidTr="00DC345C">
        <w:trPr>
          <w:cnfStyle w:val="100000000000" w:firstRow="1" w:lastRow="0" w:firstColumn="0" w:lastColumn="0" w:oddVBand="0" w:evenVBand="0" w:oddHBand="0" w:evenHBand="0" w:firstRowFirstColumn="0" w:firstRowLastColumn="0" w:lastRowFirstColumn="0" w:lastRowLastColumn="0"/>
        </w:trPr>
        <w:tc>
          <w:tcPr>
            <w:tcW w:w="422" w:type="pct"/>
            <w:hideMark/>
          </w:tcPr>
          <w:p w14:paraId="0CAC4C27" w14:textId="77777777" w:rsidR="008B38C1" w:rsidRDefault="008B38C1">
            <w:pPr>
              <w:pStyle w:val="TableTextLeft"/>
            </w:pPr>
            <w:r>
              <w:t>Formation</w:t>
            </w:r>
          </w:p>
        </w:tc>
        <w:tc>
          <w:tcPr>
            <w:tcW w:w="589" w:type="pct"/>
            <w:hideMark/>
          </w:tcPr>
          <w:p w14:paraId="48F23A73" w14:textId="77777777" w:rsidR="008B38C1" w:rsidRDefault="008B38C1">
            <w:pPr>
              <w:pStyle w:val="TableTextLeft"/>
            </w:pPr>
            <w:r>
              <w:t>Age</w:t>
            </w:r>
          </w:p>
        </w:tc>
        <w:tc>
          <w:tcPr>
            <w:tcW w:w="516" w:type="pct"/>
            <w:hideMark/>
          </w:tcPr>
          <w:p w14:paraId="0FB93628" w14:textId="77777777" w:rsidR="008B38C1" w:rsidRDefault="008B38C1">
            <w:pPr>
              <w:pStyle w:val="TableTextLeft"/>
            </w:pPr>
            <w:r>
              <w:t>Environment</w:t>
            </w:r>
          </w:p>
        </w:tc>
        <w:tc>
          <w:tcPr>
            <w:tcW w:w="402" w:type="pct"/>
            <w:hideMark/>
          </w:tcPr>
          <w:p w14:paraId="4F5F50FB" w14:textId="77777777" w:rsidR="008B38C1" w:rsidRDefault="008B38C1">
            <w:pPr>
              <w:pStyle w:val="TableTextLeft"/>
            </w:pPr>
            <w:r>
              <w:t>Top depth (m)</w:t>
            </w:r>
          </w:p>
        </w:tc>
        <w:tc>
          <w:tcPr>
            <w:tcW w:w="452" w:type="pct"/>
            <w:hideMark/>
          </w:tcPr>
          <w:p w14:paraId="16B28CB8" w14:textId="77777777" w:rsidR="008B38C1" w:rsidRDefault="008B38C1">
            <w:pPr>
              <w:pStyle w:val="TableTextLeft"/>
            </w:pPr>
            <w:r>
              <w:t>Thickness (m)</w:t>
            </w:r>
          </w:p>
        </w:tc>
        <w:tc>
          <w:tcPr>
            <w:tcW w:w="443" w:type="pct"/>
            <w:hideMark/>
          </w:tcPr>
          <w:p w14:paraId="5ACD3905" w14:textId="77777777" w:rsidR="008B38C1" w:rsidRDefault="008B38C1">
            <w:pPr>
              <w:pStyle w:val="TableTextLeft"/>
            </w:pPr>
            <w:r>
              <w:t>Source rock(s)</w:t>
            </w:r>
          </w:p>
        </w:tc>
        <w:tc>
          <w:tcPr>
            <w:tcW w:w="345" w:type="pct"/>
            <w:hideMark/>
          </w:tcPr>
          <w:p w14:paraId="0E116E47" w14:textId="77777777" w:rsidR="008B38C1" w:rsidRDefault="008B38C1">
            <w:pPr>
              <w:pStyle w:val="TableTextLeft"/>
            </w:pPr>
            <w:r>
              <w:t>Source rock TOC (%)</w:t>
            </w:r>
          </w:p>
        </w:tc>
        <w:tc>
          <w:tcPr>
            <w:tcW w:w="417" w:type="pct"/>
            <w:hideMark/>
          </w:tcPr>
          <w:p w14:paraId="4DC05E21" w14:textId="77777777" w:rsidR="008B38C1" w:rsidRDefault="008B38C1">
            <w:pPr>
              <w:pStyle w:val="TableTextLeft"/>
            </w:pPr>
            <w:r>
              <w:t>Source rock maturity</w:t>
            </w:r>
          </w:p>
        </w:tc>
        <w:tc>
          <w:tcPr>
            <w:tcW w:w="451" w:type="pct"/>
            <w:hideMark/>
          </w:tcPr>
          <w:p w14:paraId="67E7E4A3" w14:textId="77777777" w:rsidR="008B38C1" w:rsidRDefault="008B38C1">
            <w:pPr>
              <w:pStyle w:val="TableTextLeft"/>
            </w:pPr>
            <w:r>
              <w:t>Play type</w:t>
            </w:r>
          </w:p>
        </w:tc>
        <w:tc>
          <w:tcPr>
            <w:tcW w:w="964" w:type="pct"/>
            <w:hideMark/>
          </w:tcPr>
          <w:p w14:paraId="463B3A73" w14:textId="77777777" w:rsidR="008B38C1" w:rsidRDefault="008B38C1">
            <w:pPr>
              <w:pStyle w:val="TableTextLeft"/>
            </w:pPr>
            <w:r>
              <w:t>Exploration status</w:t>
            </w:r>
          </w:p>
        </w:tc>
      </w:tr>
      <w:tr w:rsidR="008B38C1" w14:paraId="4DEBCA5A" w14:textId="77777777" w:rsidTr="00DC345C">
        <w:trPr>
          <w:cnfStyle w:val="000000100000" w:firstRow="0" w:lastRow="0" w:firstColumn="0" w:lastColumn="0" w:oddVBand="0" w:evenVBand="0" w:oddHBand="1" w:evenHBand="0" w:firstRowFirstColumn="0" w:firstRowLastColumn="0" w:lastRowFirstColumn="0" w:lastRowLastColumn="0"/>
        </w:trPr>
        <w:tc>
          <w:tcPr>
            <w:tcW w:w="422" w:type="pct"/>
            <w:hideMark/>
          </w:tcPr>
          <w:p w14:paraId="0FE7710F" w14:textId="77777777" w:rsidR="008B38C1" w:rsidRDefault="008B38C1">
            <w:pPr>
              <w:pStyle w:val="TableTextLeft"/>
            </w:pPr>
            <w:r>
              <w:t xml:space="preserve">Lawn Hill Formation </w:t>
            </w:r>
          </w:p>
        </w:tc>
        <w:tc>
          <w:tcPr>
            <w:tcW w:w="589" w:type="pct"/>
            <w:hideMark/>
          </w:tcPr>
          <w:p w14:paraId="3CE8F7D5" w14:textId="77777777" w:rsidR="008B38C1" w:rsidRDefault="008B38C1">
            <w:pPr>
              <w:pStyle w:val="TableTextLeft"/>
            </w:pPr>
            <w:r>
              <w:t>Mesoproterozoic</w:t>
            </w:r>
          </w:p>
        </w:tc>
        <w:tc>
          <w:tcPr>
            <w:tcW w:w="516" w:type="pct"/>
            <w:hideMark/>
          </w:tcPr>
          <w:p w14:paraId="507886BC" w14:textId="77777777" w:rsidR="008B38C1" w:rsidRDefault="008B38C1">
            <w:pPr>
              <w:pStyle w:val="TableTextLeft"/>
            </w:pPr>
            <w:r>
              <w:t xml:space="preserve">Mid to outer shelf </w:t>
            </w:r>
          </w:p>
        </w:tc>
        <w:tc>
          <w:tcPr>
            <w:tcW w:w="402" w:type="pct"/>
            <w:hideMark/>
          </w:tcPr>
          <w:p w14:paraId="3AD5CAC4" w14:textId="77777777" w:rsidR="008B38C1" w:rsidRDefault="008B38C1">
            <w:pPr>
              <w:pStyle w:val="TableTextLeft"/>
            </w:pPr>
            <w:r>
              <w:t>Outcrop to 2</w:t>
            </w:r>
            <w:r w:rsidR="00D47844">
              <w:t>,</w:t>
            </w:r>
            <w:r>
              <w:t>00</w:t>
            </w:r>
            <w:r w:rsidR="004C01AB">
              <w:t>0 m</w:t>
            </w:r>
          </w:p>
        </w:tc>
        <w:tc>
          <w:tcPr>
            <w:tcW w:w="452" w:type="pct"/>
            <w:hideMark/>
          </w:tcPr>
          <w:p w14:paraId="36D08D55" w14:textId="77777777" w:rsidR="008B38C1" w:rsidRDefault="008B38C1">
            <w:pPr>
              <w:pStyle w:val="TableTextLeft"/>
            </w:pPr>
            <w:r>
              <w:t>up to 2</w:t>
            </w:r>
            <w:r w:rsidR="00D47844">
              <w:t>,</w:t>
            </w:r>
            <w:r>
              <w:t>20</w:t>
            </w:r>
            <w:r w:rsidR="004C01AB">
              <w:t>0 m</w:t>
            </w:r>
          </w:p>
        </w:tc>
        <w:tc>
          <w:tcPr>
            <w:tcW w:w="443" w:type="pct"/>
            <w:hideMark/>
          </w:tcPr>
          <w:p w14:paraId="79CABE55" w14:textId="77777777" w:rsidR="008B38C1" w:rsidRDefault="008B38C1">
            <w:pPr>
              <w:pStyle w:val="TableTextLeft"/>
            </w:pPr>
            <w:r>
              <w:t>Algal</w:t>
            </w:r>
          </w:p>
        </w:tc>
        <w:tc>
          <w:tcPr>
            <w:tcW w:w="345" w:type="pct"/>
            <w:hideMark/>
          </w:tcPr>
          <w:p w14:paraId="71F4B584" w14:textId="77777777" w:rsidR="008B38C1" w:rsidRDefault="008B38C1">
            <w:pPr>
              <w:pStyle w:val="TableTextLeft"/>
            </w:pPr>
            <w:r>
              <w:t xml:space="preserve">up to 7% </w:t>
            </w:r>
          </w:p>
        </w:tc>
        <w:tc>
          <w:tcPr>
            <w:tcW w:w="417" w:type="pct"/>
            <w:hideMark/>
          </w:tcPr>
          <w:p w14:paraId="53E485DC" w14:textId="77777777" w:rsidR="008B38C1" w:rsidRDefault="008B38C1">
            <w:pPr>
              <w:pStyle w:val="TableTextLeft"/>
            </w:pPr>
            <w:r>
              <w:t>Dry gas</w:t>
            </w:r>
          </w:p>
        </w:tc>
        <w:tc>
          <w:tcPr>
            <w:tcW w:w="451" w:type="pct"/>
            <w:hideMark/>
          </w:tcPr>
          <w:p w14:paraId="00F01AF9" w14:textId="77777777" w:rsidR="008B38C1" w:rsidRDefault="008B38C1">
            <w:pPr>
              <w:pStyle w:val="TableTextLeft"/>
            </w:pPr>
            <w:r>
              <w:t>Shale gas</w:t>
            </w:r>
          </w:p>
        </w:tc>
        <w:tc>
          <w:tcPr>
            <w:tcW w:w="964" w:type="pct"/>
            <w:hideMark/>
          </w:tcPr>
          <w:p w14:paraId="164771F7" w14:textId="77777777" w:rsidR="008B38C1" w:rsidRDefault="008B38C1">
            <w:pPr>
              <w:pStyle w:val="TableTextLeft"/>
            </w:pPr>
            <w:r>
              <w:t>Preliminary exploration</w:t>
            </w:r>
          </w:p>
        </w:tc>
      </w:tr>
      <w:tr w:rsidR="008B38C1" w14:paraId="7F09523A" w14:textId="77777777" w:rsidTr="00DC345C">
        <w:trPr>
          <w:cnfStyle w:val="000000010000" w:firstRow="0" w:lastRow="0" w:firstColumn="0" w:lastColumn="0" w:oddVBand="0" w:evenVBand="0" w:oddHBand="0" w:evenHBand="1" w:firstRowFirstColumn="0" w:firstRowLastColumn="0" w:lastRowFirstColumn="0" w:lastRowLastColumn="0"/>
        </w:trPr>
        <w:tc>
          <w:tcPr>
            <w:tcW w:w="422" w:type="pct"/>
            <w:hideMark/>
          </w:tcPr>
          <w:p w14:paraId="69BEB7D2" w14:textId="77777777" w:rsidR="008B38C1" w:rsidRDefault="008B38C1">
            <w:pPr>
              <w:pStyle w:val="TableTextLeft"/>
            </w:pPr>
            <w:r>
              <w:t xml:space="preserve">Riversleigh Siltstone </w:t>
            </w:r>
          </w:p>
        </w:tc>
        <w:tc>
          <w:tcPr>
            <w:tcW w:w="589" w:type="pct"/>
            <w:hideMark/>
          </w:tcPr>
          <w:p w14:paraId="549EE2A2" w14:textId="77777777" w:rsidR="008B38C1" w:rsidRDefault="008B38C1">
            <w:pPr>
              <w:pStyle w:val="TableTextLeft"/>
            </w:pPr>
            <w:r>
              <w:t xml:space="preserve">Paleoproterozoic- Mesoproterozoic </w:t>
            </w:r>
          </w:p>
        </w:tc>
        <w:tc>
          <w:tcPr>
            <w:tcW w:w="516" w:type="pct"/>
            <w:hideMark/>
          </w:tcPr>
          <w:p w14:paraId="6E69378B" w14:textId="77777777" w:rsidR="008B38C1" w:rsidRDefault="008B38C1">
            <w:pPr>
              <w:pStyle w:val="TableTextLeft"/>
            </w:pPr>
            <w:r>
              <w:t xml:space="preserve">Mid to outer shelf </w:t>
            </w:r>
          </w:p>
        </w:tc>
        <w:tc>
          <w:tcPr>
            <w:tcW w:w="402" w:type="pct"/>
            <w:hideMark/>
          </w:tcPr>
          <w:p w14:paraId="5584AF67" w14:textId="77777777" w:rsidR="008B38C1" w:rsidRDefault="008B38C1">
            <w:pPr>
              <w:pStyle w:val="TableTextLeft"/>
            </w:pPr>
            <w:r>
              <w:t>Outcrop to 4</w:t>
            </w:r>
            <w:r w:rsidR="00D47844">
              <w:t>,</w:t>
            </w:r>
            <w:r>
              <w:t>50</w:t>
            </w:r>
            <w:r w:rsidR="004C01AB">
              <w:t>0 m</w:t>
            </w:r>
            <w:r>
              <w:t xml:space="preserve"> </w:t>
            </w:r>
          </w:p>
        </w:tc>
        <w:tc>
          <w:tcPr>
            <w:tcW w:w="452" w:type="pct"/>
            <w:hideMark/>
          </w:tcPr>
          <w:p w14:paraId="5E49EF70" w14:textId="77777777" w:rsidR="008B38C1" w:rsidRDefault="008B38C1">
            <w:pPr>
              <w:pStyle w:val="TableTextLeft"/>
            </w:pPr>
            <w:r>
              <w:t>up to 2</w:t>
            </w:r>
            <w:r w:rsidR="00D47844">
              <w:t>,</w:t>
            </w:r>
            <w:r>
              <w:t>90</w:t>
            </w:r>
            <w:r w:rsidR="004C01AB">
              <w:t>0 m</w:t>
            </w:r>
          </w:p>
        </w:tc>
        <w:tc>
          <w:tcPr>
            <w:tcW w:w="443" w:type="pct"/>
            <w:hideMark/>
          </w:tcPr>
          <w:p w14:paraId="5573808A" w14:textId="77777777" w:rsidR="008B38C1" w:rsidRDefault="008B38C1">
            <w:pPr>
              <w:pStyle w:val="TableTextLeft"/>
            </w:pPr>
            <w:r>
              <w:t>Algal</w:t>
            </w:r>
          </w:p>
        </w:tc>
        <w:tc>
          <w:tcPr>
            <w:tcW w:w="345" w:type="pct"/>
            <w:hideMark/>
          </w:tcPr>
          <w:p w14:paraId="4B171AB4" w14:textId="77777777" w:rsidR="008B38C1" w:rsidRDefault="008B38C1">
            <w:pPr>
              <w:pStyle w:val="TableTextLeft"/>
            </w:pPr>
            <w:r>
              <w:t xml:space="preserve">up to 8% </w:t>
            </w:r>
          </w:p>
        </w:tc>
        <w:tc>
          <w:tcPr>
            <w:tcW w:w="417" w:type="pct"/>
            <w:hideMark/>
          </w:tcPr>
          <w:p w14:paraId="50684CCC" w14:textId="77777777" w:rsidR="008B38C1" w:rsidRDefault="008B38C1">
            <w:pPr>
              <w:pStyle w:val="TableTextLeft"/>
            </w:pPr>
            <w:r>
              <w:t>Dry gas</w:t>
            </w:r>
          </w:p>
        </w:tc>
        <w:tc>
          <w:tcPr>
            <w:tcW w:w="451" w:type="pct"/>
            <w:hideMark/>
          </w:tcPr>
          <w:p w14:paraId="4C570D0B" w14:textId="77777777" w:rsidR="008B38C1" w:rsidRDefault="008B38C1">
            <w:pPr>
              <w:pStyle w:val="TableTextLeft"/>
            </w:pPr>
            <w:r>
              <w:t xml:space="preserve">Shale gas </w:t>
            </w:r>
          </w:p>
        </w:tc>
        <w:tc>
          <w:tcPr>
            <w:tcW w:w="964" w:type="pct"/>
            <w:hideMark/>
          </w:tcPr>
          <w:p w14:paraId="429C3E28" w14:textId="77777777" w:rsidR="008B38C1" w:rsidRDefault="008B38C1">
            <w:pPr>
              <w:pStyle w:val="TableTextLeft"/>
            </w:pPr>
            <w:r>
              <w:t xml:space="preserve">Preliminary exploration </w:t>
            </w:r>
          </w:p>
        </w:tc>
      </w:tr>
    </w:tbl>
    <w:p w14:paraId="23A48923" w14:textId="77777777" w:rsidR="008B38C1" w:rsidRDefault="008B38C1" w:rsidP="000520F9">
      <w:pPr>
        <w:pStyle w:val="BodyText"/>
      </w:pPr>
    </w:p>
    <w:p w14:paraId="7A2DC62C" w14:textId="77777777" w:rsidR="008B38C1" w:rsidRDefault="008B38C1" w:rsidP="000350BE">
      <w:pPr>
        <w:pStyle w:val="BodyText"/>
        <w:sectPr w:rsidR="008B38C1" w:rsidSect="005E271C">
          <w:headerReference w:type="default" r:id="rId392"/>
          <w:pgSz w:w="16840" w:h="11907" w:orient="landscape"/>
          <w:pgMar w:top="1418" w:right="1418" w:bottom="1418" w:left="1418" w:header="510" w:footer="624" w:gutter="0"/>
          <w:cols w:space="720"/>
          <w:docGrid w:linePitch="326"/>
        </w:sectPr>
      </w:pPr>
    </w:p>
    <w:p w14:paraId="49188A9B" w14:textId="77777777" w:rsidR="008B38C1" w:rsidRDefault="008B38C1" w:rsidP="00E34CDE">
      <w:pPr>
        <w:pStyle w:val="AppendixHeading3"/>
      </w:pPr>
      <w:bookmarkStart w:id="277" w:name="_Toc517161191"/>
      <w:r>
        <w:lastRenderedPageBreak/>
        <w:t>Gas market access and infrastructure</w:t>
      </w:r>
      <w:bookmarkEnd w:id="277"/>
    </w:p>
    <w:p w14:paraId="4D8A49A1" w14:textId="1F45898F" w:rsidR="008B38C1" w:rsidRDefault="008B38C1" w:rsidP="003739CA">
      <w:pPr>
        <w:pStyle w:val="BodyText"/>
      </w:pPr>
      <w:r>
        <w:t xml:space="preserve">The Isa Superbasin contains pipeline infrastructure linking the basin to the </w:t>
      </w:r>
      <w:r w:rsidR="006A6AF0">
        <w:t>East Coast Gas Market</w:t>
      </w:r>
      <w:r>
        <w:t>. However, the pipeline brings gas into the region and the basin does not currently supply gas to the market (AER, 2017). The basin is poorly to moderately well serviced in terms of road and rail access, depending on location.</w:t>
      </w:r>
    </w:p>
    <w:p w14:paraId="4D377FDA" w14:textId="2410295F" w:rsidR="008B38C1" w:rsidRDefault="00611607" w:rsidP="003739CA">
      <w:pPr>
        <w:pStyle w:val="BodyText"/>
      </w:pPr>
      <w:r>
        <w:t>Figure C</w:t>
      </w:r>
      <w:r w:rsidR="00BA0502">
        <w:t>.5</w:t>
      </w:r>
      <w:r w:rsidR="00494973">
        <w:t>8</w:t>
      </w:r>
      <w:r w:rsidR="008B38C1">
        <w:t xml:space="preserve"> shows the location of major oil and gas infrastructure in the basin, including oil and gas pipelines, along with the distribution of major road and rail networks. Further details are summarised in </w:t>
      </w:r>
      <w:r>
        <w:t>Table C</w:t>
      </w:r>
      <w:r w:rsidR="00A24684">
        <w:t>.49</w:t>
      </w:r>
      <w:r w:rsidR="006971A5">
        <w:t>.</w:t>
      </w:r>
    </w:p>
    <w:p w14:paraId="50E5FB3F" w14:textId="77777777" w:rsidR="00F27BC3" w:rsidRDefault="00F27BC3" w:rsidP="003739CA">
      <w:pPr>
        <w:pStyle w:val="BodyText"/>
      </w:pPr>
    </w:p>
    <w:p w14:paraId="6530AA48" w14:textId="29B9F792" w:rsidR="005450A3" w:rsidRDefault="005450A3" w:rsidP="009F3E8F">
      <w:pPr>
        <w:pStyle w:val="Caption"/>
      </w:pPr>
      <w:bookmarkStart w:id="278" w:name="_Toc508972198"/>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w:instrText>
      </w:r>
      <w:r w:rsidR="008079F1">
        <w:instrText xml:space="preserve"> ARABIC \s 9 </w:instrText>
      </w:r>
      <w:r w:rsidR="008079F1">
        <w:fldChar w:fldCharType="separate"/>
      </w:r>
      <w:r w:rsidR="00640CCB">
        <w:rPr>
          <w:noProof/>
        </w:rPr>
        <w:t>49</w:t>
      </w:r>
      <w:r w:rsidR="008079F1">
        <w:rPr>
          <w:noProof/>
        </w:rPr>
        <w:fldChar w:fldCharType="end"/>
      </w:r>
      <w:r>
        <w:t xml:space="preserve"> Summary of market access and infrastructure. Pipeline information from AER (2017) and Jemena (2017).</w:t>
      </w:r>
      <w:r w:rsidR="009825ED">
        <w:t xml:space="preserve"> Processing facilities from GA (2015b)</w:t>
      </w:r>
      <w:r w:rsidR="009825ED" w:rsidRPr="00495D8B">
        <w:t>.</w:t>
      </w:r>
      <w:bookmarkEnd w:id="278"/>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466"/>
        <w:gridCol w:w="6173"/>
      </w:tblGrid>
      <w:tr w:rsidR="005450A3" w14:paraId="2D0E89A9"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17016F10" w14:textId="77777777" w:rsidR="005450A3" w:rsidRDefault="005450A3" w:rsidP="00293197">
            <w:pPr>
              <w:pStyle w:val="TableTextLeft"/>
            </w:pPr>
            <w:r>
              <w:t>INFRASTRUCTURE</w:t>
            </w:r>
          </w:p>
        </w:tc>
      </w:tr>
      <w:tr w:rsidR="005450A3" w14:paraId="41E7F888"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21C3F1DC" w14:textId="77777777" w:rsidR="005450A3" w:rsidRDefault="005450A3" w:rsidP="00293197">
            <w:pPr>
              <w:pStyle w:val="TableTextLeft"/>
            </w:pPr>
            <w:r>
              <w:t>Gas market</w:t>
            </w:r>
          </w:p>
        </w:tc>
        <w:tc>
          <w:tcPr>
            <w:tcW w:w="3202" w:type="pct"/>
            <w:hideMark/>
          </w:tcPr>
          <w:p w14:paraId="75225A1D" w14:textId="23012B71" w:rsidR="005450A3" w:rsidRDefault="006A6AF0" w:rsidP="00F72E01">
            <w:pPr>
              <w:pStyle w:val="TableTextLeft"/>
              <w:cnfStyle w:val="100000000000" w:firstRow="1" w:lastRow="0" w:firstColumn="0" w:lastColumn="0" w:oddVBand="0" w:evenVBand="0" w:oddHBand="0" w:evenHBand="0" w:firstRowFirstColumn="0" w:firstRowLastColumn="0" w:lastRowFirstColumn="0" w:lastRowLastColumn="0"/>
            </w:pPr>
            <w:r>
              <w:t>East Coast Gas Market</w:t>
            </w:r>
          </w:p>
        </w:tc>
      </w:tr>
      <w:tr w:rsidR="005450A3" w14:paraId="7C6FF82A"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7B3645C1" w14:textId="77777777" w:rsidR="005450A3" w:rsidRDefault="005450A3" w:rsidP="00293197">
            <w:pPr>
              <w:pStyle w:val="TableTextLeft"/>
            </w:pPr>
            <w:r>
              <w:t>Gas pipelines</w:t>
            </w:r>
          </w:p>
        </w:tc>
        <w:tc>
          <w:tcPr>
            <w:tcW w:w="3202" w:type="pct"/>
            <w:hideMark/>
          </w:tcPr>
          <w:p w14:paraId="6C1F00D6" w14:textId="77777777" w:rsidR="005450A3" w:rsidRPr="000350BE" w:rsidRDefault="005450A3" w:rsidP="00DC345C">
            <w:pPr>
              <w:pStyle w:val="TableTextLeft"/>
              <w:cnfStyle w:val="100000000000" w:firstRow="1" w:lastRow="0" w:firstColumn="0" w:lastColumn="0" w:oddVBand="0" w:evenVBand="0" w:oddHBand="0" w:evenHBand="0" w:firstRowFirstColumn="0" w:firstRowLastColumn="0" w:lastRowFirstColumn="0" w:lastRowLastColumn="0"/>
            </w:pPr>
            <w:r w:rsidRPr="000350BE">
              <w:t>Carpentaria Pipeline (Ballera to Mount Isa) – capacity 119 TJ/ Day</w:t>
            </w:r>
          </w:p>
        </w:tc>
      </w:tr>
      <w:tr w:rsidR="005450A3" w14:paraId="74962969"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6E906F25" w14:textId="77777777" w:rsidR="005450A3" w:rsidRDefault="005450A3" w:rsidP="00293197">
            <w:pPr>
              <w:pStyle w:val="TableTextLeft"/>
            </w:pPr>
            <w:r>
              <w:t>Gas processing facilities</w:t>
            </w:r>
          </w:p>
        </w:tc>
        <w:tc>
          <w:tcPr>
            <w:tcW w:w="3202" w:type="pct"/>
            <w:hideMark/>
          </w:tcPr>
          <w:p w14:paraId="3604E371" w14:textId="77777777" w:rsidR="005450A3" w:rsidRDefault="005450A3" w:rsidP="00DC345C">
            <w:pPr>
              <w:pStyle w:val="TableTextLeft"/>
              <w:cnfStyle w:val="100000000000" w:firstRow="1" w:lastRow="0" w:firstColumn="0" w:lastColumn="0" w:oddVBand="0" w:evenVBand="0" w:oddHBand="0" w:evenHBand="0" w:firstRowFirstColumn="0" w:firstRowLastColumn="0" w:lastRowFirstColumn="0" w:lastRowLastColumn="0"/>
            </w:pPr>
            <w:r>
              <w:t>None</w:t>
            </w:r>
          </w:p>
        </w:tc>
      </w:tr>
      <w:tr w:rsidR="005450A3" w14:paraId="7A8A5DF6"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3FBF864C" w14:textId="77777777" w:rsidR="005450A3" w:rsidRDefault="005450A3" w:rsidP="00293197">
            <w:pPr>
              <w:pStyle w:val="TableTextLeft"/>
            </w:pPr>
            <w:r>
              <w:t>Approx. distance from existing pipelines to area prospective for shale and/or tight gas</w:t>
            </w:r>
          </w:p>
        </w:tc>
        <w:tc>
          <w:tcPr>
            <w:tcW w:w="3202" w:type="pct"/>
            <w:hideMark/>
          </w:tcPr>
          <w:p w14:paraId="318FF3D7" w14:textId="77777777" w:rsidR="005450A3" w:rsidRDefault="005450A3" w:rsidP="00293197">
            <w:pPr>
              <w:pStyle w:val="TableTextLeft"/>
              <w:cnfStyle w:val="100000000000" w:firstRow="1" w:lastRow="0" w:firstColumn="0" w:lastColumn="0" w:oddVBand="0" w:evenVBand="0" w:oddHBand="0" w:evenHBand="0" w:firstRowFirstColumn="0" w:firstRowLastColumn="0" w:lastRowFirstColumn="0" w:lastRowLastColumn="0"/>
            </w:pPr>
            <w:r>
              <w:t>&gt;200</w:t>
            </w:r>
            <w:r w:rsidR="008232C9">
              <w:t> km</w:t>
            </w:r>
          </w:p>
        </w:tc>
      </w:tr>
      <w:tr w:rsidR="005450A3" w14:paraId="54CFE5C8"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2943A4EC" w14:textId="77777777" w:rsidR="005450A3" w:rsidRDefault="005450A3" w:rsidP="00293197">
            <w:pPr>
              <w:pStyle w:val="TableTextLeft"/>
            </w:pPr>
            <w:r>
              <w:t>Road and rail access</w:t>
            </w:r>
          </w:p>
        </w:tc>
        <w:tc>
          <w:tcPr>
            <w:tcW w:w="3202" w:type="pct"/>
            <w:hideMark/>
          </w:tcPr>
          <w:p w14:paraId="231AC3A2" w14:textId="77777777" w:rsidR="005450A3" w:rsidRPr="00473729" w:rsidRDefault="005450A3" w:rsidP="00473729">
            <w:pPr>
              <w:pStyle w:val="TableTextLeft"/>
              <w:cnfStyle w:val="100000000000" w:firstRow="1" w:lastRow="0" w:firstColumn="0" w:lastColumn="0" w:oddVBand="0" w:evenVBand="0" w:oddHBand="0" w:evenHBand="0" w:firstRowFirstColumn="0" w:firstRowLastColumn="0" w:lastRowFirstColumn="0" w:lastRowLastColumn="0"/>
            </w:pPr>
            <w:r w:rsidRPr="00473729">
              <w:t>Poorly to moderately well serviced</w:t>
            </w:r>
          </w:p>
        </w:tc>
      </w:tr>
      <w:tr w:rsidR="005450A3" w14:paraId="56637998"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46AF11E2" w14:textId="77777777" w:rsidR="005450A3" w:rsidRDefault="005450A3" w:rsidP="00293197">
            <w:pPr>
              <w:pStyle w:val="TableTextLeft"/>
            </w:pPr>
            <w:r>
              <w:t>Approximate development timeframe</w:t>
            </w:r>
          </w:p>
        </w:tc>
        <w:tc>
          <w:tcPr>
            <w:tcW w:w="3202" w:type="pct"/>
          </w:tcPr>
          <w:p w14:paraId="454DD7FA" w14:textId="77777777" w:rsidR="005450A3" w:rsidRPr="00473729" w:rsidRDefault="00473729" w:rsidP="00473729">
            <w:pPr>
              <w:pStyle w:val="TableTextLeft"/>
              <w:cnfStyle w:val="100000000000" w:firstRow="1" w:lastRow="0" w:firstColumn="0" w:lastColumn="0" w:oddVBand="0" w:evenVBand="0" w:oddHBand="0" w:evenHBand="0" w:firstRowFirstColumn="0" w:firstRowLastColumn="0" w:lastRowFirstColumn="0" w:lastRowLastColumn="0"/>
            </w:pPr>
            <w:r w:rsidRPr="00473729">
              <w:t>5–10 years</w:t>
            </w:r>
          </w:p>
        </w:tc>
      </w:tr>
    </w:tbl>
    <w:p w14:paraId="413CAC03" w14:textId="77777777" w:rsidR="005450A3" w:rsidRDefault="005450A3" w:rsidP="003739CA">
      <w:pPr>
        <w:pStyle w:val="BodyText"/>
      </w:pPr>
    </w:p>
    <w:p w14:paraId="4F9FC93A" w14:textId="77777777" w:rsidR="008B38C1" w:rsidRPr="005450A3" w:rsidRDefault="008B38C1" w:rsidP="008B38C1">
      <w:pPr>
        <w:pStyle w:val="FiguresImagesCentred"/>
      </w:pPr>
      <w:r>
        <w:rPr>
          <w:noProof/>
        </w:rPr>
        <w:lastRenderedPageBreak/>
        <w:drawing>
          <wp:inline distT="0" distB="0" distL="0" distR="0" wp14:anchorId="4DC83BE9" wp14:editId="50A4C47F">
            <wp:extent cx="5916706" cy="6317575"/>
            <wp:effectExtent l="0" t="0" r="8255" b="7620"/>
            <wp:docPr id="7222" name="Picture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3" cstate="screen">
                      <a:extLst>
                        <a:ext uri="{28A0092B-C50C-407E-A947-70E740481C1C}">
                          <a14:useLocalDpi xmlns:a14="http://schemas.microsoft.com/office/drawing/2010/main"/>
                        </a:ext>
                      </a:extLst>
                    </a:blip>
                    <a:stretch>
                      <a:fillRect/>
                    </a:stretch>
                  </pic:blipFill>
                  <pic:spPr bwMode="auto">
                    <a:xfrm>
                      <a:off x="0" y="0"/>
                      <a:ext cx="5915553" cy="6316344"/>
                    </a:xfrm>
                    <a:prstGeom prst="rect">
                      <a:avLst/>
                    </a:prstGeom>
                    <a:noFill/>
                    <a:ln>
                      <a:noFill/>
                    </a:ln>
                  </pic:spPr>
                </pic:pic>
              </a:graphicData>
            </a:graphic>
          </wp:inline>
        </w:drawing>
      </w:r>
    </w:p>
    <w:p w14:paraId="3FF7A39E" w14:textId="2DE23A7B" w:rsidR="005450A3" w:rsidRPr="005450A3" w:rsidRDefault="000B580F" w:rsidP="009F3E8F">
      <w:pPr>
        <w:pStyle w:val="Caption"/>
      </w:pPr>
      <w:bookmarkStart w:id="279" w:name="_Toc508972129"/>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58</w:t>
      </w:r>
      <w:r w:rsidR="008079F1">
        <w:rPr>
          <w:noProof/>
        </w:rPr>
        <w:fldChar w:fldCharType="end"/>
      </w:r>
      <w:r>
        <w:rPr>
          <w:noProof/>
        </w:rPr>
        <w:t xml:space="preserve"> </w:t>
      </w:r>
      <w:r w:rsidR="008B38C1">
        <w:t>Isa Superbasin infrastructure</w:t>
      </w:r>
      <w:r w:rsidR="002E6C16">
        <w:t xml:space="preserve"> and</w:t>
      </w:r>
      <w:r w:rsidR="008B38C1">
        <w:t xml:space="preserve"> pipelines. </w:t>
      </w:r>
      <w:r w:rsidR="00AF7FF4">
        <w:t>Oil and gas infrastructure from GA (2015a). Processing facilities from GA (2015b).</w:t>
      </w:r>
      <w:bookmarkEnd w:id="279"/>
    </w:p>
    <w:p w14:paraId="1A4CAD4E" w14:textId="77777777" w:rsidR="008B38C1" w:rsidRDefault="008B38C1" w:rsidP="00E34CDE">
      <w:pPr>
        <w:pStyle w:val="AppendixHeading3"/>
      </w:pPr>
      <w:bookmarkStart w:id="280" w:name="_Toc517161192"/>
      <w:r>
        <w:t>Regulatory environment impacting shale and tight gas exploration</w:t>
      </w:r>
      <w:bookmarkEnd w:id="280"/>
    </w:p>
    <w:p w14:paraId="6AE2787A" w14:textId="6A937216" w:rsidR="008B38C1" w:rsidRDefault="008B38C1" w:rsidP="003037D5">
      <w:pPr>
        <w:pStyle w:val="BodyText"/>
      </w:pPr>
      <w:r>
        <w:t xml:space="preserve">All Australian states and territories have regulatory frameworks in place to manage impacts of petroleum exploration and production. In all Australian jurisdictions, companies intending to carry out drilling and stimulation operations must submit several applications to the relevant departments, including a drilling application, an environment plan and a safety management plan (APPEA, 2017). </w:t>
      </w:r>
    </w:p>
    <w:p w14:paraId="5DD7CCC6" w14:textId="77777777" w:rsidR="0011325C" w:rsidRDefault="000578DD" w:rsidP="003037D5">
      <w:pPr>
        <w:pStyle w:val="BodyText"/>
      </w:pPr>
      <w:r w:rsidRPr="000578DD">
        <w:t xml:space="preserve">Regulation is overseen by different government departments across Australia. </w:t>
      </w:r>
    </w:p>
    <w:p w14:paraId="340D6377" w14:textId="35FB8246" w:rsidR="0011325C" w:rsidRDefault="0011325C" w:rsidP="003037D5">
      <w:pPr>
        <w:pStyle w:val="BodyText"/>
      </w:pPr>
      <w:r w:rsidRPr="0011325C">
        <w:lastRenderedPageBreak/>
        <w:t>There are no regulatory restrictions affecting the development of shale and or tight gas resources in Queensland. In 2016, the Northern Territory Government implemented a moratorium on unconventional onshore gas activities in the territory, while an inquiry was undertaken and pending the Government’s decision on the recommendations of the inquiry; the final report of the inquiry was released in March 2018 (Scientific Inquiry into Hydraulic Fracturing in the Northern Territory, 2018). Details of the moratorium and regulatory restrictions are described below.</w:t>
      </w:r>
    </w:p>
    <w:p w14:paraId="3DA80842" w14:textId="77777777" w:rsidR="008B38C1" w:rsidRDefault="008B38C1" w:rsidP="00E34CDE">
      <w:pPr>
        <w:pStyle w:val="AppendixHeading4"/>
      </w:pPr>
      <w:r>
        <w:t>Queensland</w:t>
      </w:r>
    </w:p>
    <w:p w14:paraId="2E79BDDD" w14:textId="77777777" w:rsidR="00A50501" w:rsidRDefault="00A50501" w:rsidP="00A50501">
      <w:pPr>
        <w:pStyle w:val="BodyText"/>
      </w:pPr>
      <w:r w:rsidRPr="00A50501">
        <w:t xml:space="preserve">The Queensland Government has no identified constraints to tight and shale gas resource drilling or production stimulation. All planned hydraulic fracture stimulation activities must be reported to the Queensland Department of Natural Resources and Mines (Queensland Government, 2017). </w:t>
      </w:r>
    </w:p>
    <w:p w14:paraId="4A489116" w14:textId="77777777" w:rsidR="008B38C1" w:rsidRDefault="008B38C1" w:rsidP="00E34CDE">
      <w:pPr>
        <w:pStyle w:val="AppendixHeading4"/>
      </w:pPr>
      <w:r>
        <w:t>Northern Territory</w:t>
      </w:r>
    </w:p>
    <w:p w14:paraId="511F93CE" w14:textId="3CB5F112" w:rsidR="0011325C" w:rsidRPr="00BB46C6" w:rsidRDefault="0011325C" w:rsidP="00761899">
      <w:pPr>
        <w:pStyle w:val="BodyText"/>
      </w:pPr>
      <w:r w:rsidRPr="0011325C">
        <w:t xml:space="preserve">In April 2018, the Northern Territory Government accepted all 135 recommendations of the inquiry and lifted the moratorium on hydraulic fracturing over 51% of the Territory. An implementation plan to be released in July 2018 will clearly show how the recommendations will be implemented.  </w:t>
      </w:r>
    </w:p>
    <w:p w14:paraId="6C0A75FA" w14:textId="77777777" w:rsidR="008B38C1" w:rsidRDefault="008B38C1" w:rsidP="00E34CDE">
      <w:pPr>
        <w:pStyle w:val="AppendixHeading3"/>
      </w:pPr>
      <w:bookmarkStart w:id="281" w:name="_Toc517161193"/>
      <w:r>
        <w:t>Hydrogeology and groundwater</w:t>
      </w:r>
      <w:bookmarkEnd w:id="281"/>
      <w:r>
        <w:t xml:space="preserve"> </w:t>
      </w:r>
    </w:p>
    <w:p w14:paraId="685CF0AD" w14:textId="77777777" w:rsidR="008B38C1" w:rsidRDefault="008B38C1" w:rsidP="00E34CDE">
      <w:pPr>
        <w:pStyle w:val="AppendixHeading4"/>
      </w:pPr>
      <w:r>
        <w:t>Groundwater systems</w:t>
      </w:r>
    </w:p>
    <w:p w14:paraId="21911098" w14:textId="38951B4C" w:rsidR="00096910" w:rsidRDefault="00096910" w:rsidP="003037D5">
      <w:pPr>
        <w:pStyle w:val="BodyText"/>
      </w:pPr>
      <w:r>
        <w:t>As the extent of the Isa Superbasin (Figure C.5</w:t>
      </w:r>
      <w:r w:rsidR="00494973">
        <w:t>9</w:t>
      </w:r>
      <w:r>
        <w:t xml:space="preserve">) is not well defined, the following description of groundwater conditions relate to the </w:t>
      </w:r>
      <w:r w:rsidR="00EA0B2F">
        <w:rPr>
          <w:rStyle w:val="Italic"/>
        </w:rPr>
        <w:t>Mount Isa Province</w:t>
      </w:r>
      <w:r>
        <w:t xml:space="preserve"> as a whole.</w:t>
      </w:r>
    </w:p>
    <w:p w14:paraId="55366824" w14:textId="2DB0FBB9" w:rsidR="00096910" w:rsidRDefault="00096910" w:rsidP="003037D5">
      <w:pPr>
        <w:pStyle w:val="BodyText"/>
      </w:pPr>
      <w:r>
        <w:t xml:space="preserve">The groundwater systems of the </w:t>
      </w:r>
      <w:r w:rsidR="00EA0B2F">
        <w:t>Mount Isa Province</w:t>
      </w:r>
      <w:r>
        <w:t xml:space="preserve"> occur within the Paleoproterozoic to Mesoproterozoic rocks of the province itself, and the overlying younger basin successions (Figure C.5</w:t>
      </w:r>
      <w:r w:rsidR="00494973">
        <w:t>9</w:t>
      </w:r>
      <w:r>
        <w:t xml:space="preserve">). The south eastern quadrant of the province is overlain by the Jurassic to Cretaceous sediments of the Eromanga Basin. To the northwest, the Jurassic to Cretaceous Carpentaria Basin is separated from the Eromanga Basin by the Euroka Arch; both the Eromanga and Carpentaria Basins contain major aquifers collectively known as the Great Artesian Basin (GAB). The western portion of the </w:t>
      </w:r>
      <w:r w:rsidR="00EA0B2F">
        <w:t>Mount Isa Province</w:t>
      </w:r>
      <w:r>
        <w:t xml:space="preserve"> is overlain by the Neoproterozoic–Paleozoic Georgina Basin. Extensive and highly productive aquifers of the Georgina Basin include Cambrian–Ordovician carbonate units. The South Nicholson Basin underlies the Carpentaria and Georgina basins and overlies northern parts of the </w:t>
      </w:r>
      <w:r w:rsidR="00EA0B2F">
        <w:t>Mount Isa Province</w:t>
      </w:r>
      <w:r>
        <w:t xml:space="preserve">. Between the GAB in the east and Georgina Basin in the west, a central area of the </w:t>
      </w:r>
      <w:r w:rsidR="00EA0B2F">
        <w:t>Mount Isa Province</w:t>
      </w:r>
      <w:r>
        <w:t xml:space="preserve"> has little to no overlying basins (Figure C.5</w:t>
      </w:r>
      <w:r w:rsidR="00494973">
        <w:t>9</w:t>
      </w:r>
      <w:r>
        <w:t>).</w:t>
      </w:r>
    </w:p>
    <w:p w14:paraId="497F13A3" w14:textId="43A88D51" w:rsidR="008B38C1" w:rsidRDefault="003B49DC" w:rsidP="00FD6771">
      <w:pPr>
        <w:pStyle w:val="FiguresImagesCentred"/>
      </w:pPr>
      <w:r>
        <w:rPr>
          <w:noProof/>
        </w:rPr>
        <w:lastRenderedPageBreak/>
        <w:drawing>
          <wp:inline distT="0" distB="0" distL="0" distR="0" wp14:anchorId="344247B9" wp14:editId="6DC6623D">
            <wp:extent cx="5943600" cy="603377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5943600" cy="6033770"/>
                    </a:xfrm>
                    <a:prstGeom prst="rect">
                      <a:avLst/>
                    </a:prstGeom>
                  </pic:spPr>
                </pic:pic>
              </a:graphicData>
            </a:graphic>
          </wp:inline>
        </w:drawing>
      </w:r>
    </w:p>
    <w:p w14:paraId="4F0C11F6" w14:textId="4CED9783" w:rsidR="00096910" w:rsidRDefault="00096910" w:rsidP="00F923A4">
      <w:pPr>
        <w:pStyle w:val="Caption"/>
      </w:pPr>
      <w:bookmarkStart w:id="282" w:name="_Toc499547618"/>
      <w:bookmarkStart w:id="283" w:name="_Toc508972130"/>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59</w:t>
      </w:r>
      <w:r w:rsidR="008079F1">
        <w:rPr>
          <w:noProof/>
        </w:rPr>
        <w:fldChar w:fldCharType="end"/>
      </w:r>
      <w:r>
        <w:rPr>
          <w:noProof/>
        </w:rPr>
        <w:t xml:space="preserve"> </w:t>
      </w:r>
      <w:r>
        <w:t xml:space="preserve">Location of the </w:t>
      </w:r>
      <w:r w:rsidR="00EA0B2F">
        <w:t>Mount Isa Province</w:t>
      </w:r>
      <w:r>
        <w:t xml:space="preserve"> and the overlying Eromanga, Carpentaria and Georgina Basins. Data from Geoscience Australia: Australian Geological Provinces (Stewart et al., 2013)</w:t>
      </w:r>
      <w:bookmarkEnd w:id="282"/>
      <w:r>
        <w:t>.</w:t>
      </w:r>
      <w:r w:rsidR="00EA0B2F">
        <w:t xml:space="preserve"> The Isa Superbasin outline is derived from Betts and Lister (2001).</w:t>
      </w:r>
      <w:bookmarkEnd w:id="283"/>
    </w:p>
    <w:p w14:paraId="213DB897" w14:textId="77777777" w:rsidR="00F27BC3" w:rsidRPr="00F27BC3" w:rsidRDefault="00F27BC3" w:rsidP="00F27BC3">
      <w:pPr>
        <w:pStyle w:val="BodyText"/>
      </w:pPr>
    </w:p>
    <w:p w14:paraId="6F9416FB" w14:textId="5AAE278D" w:rsidR="00096910" w:rsidRPr="005450A3" w:rsidRDefault="00096910" w:rsidP="005450A3">
      <w:pPr>
        <w:pStyle w:val="BodyText"/>
        <w:rPr>
          <w:rStyle w:val="Bold"/>
        </w:rPr>
      </w:pPr>
      <w:r w:rsidRPr="005450A3">
        <w:rPr>
          <w:rStyle w:val="Bold"/>
        </w:rPr>
        <w:t xml:space="preserve">Eromanga and Carpentaria </w:t>
      </w:r>
      <w:r>
        <w:rPr>
          <w:rStyle w:val="Bold"/>
        </w:rPr>
        <w:t>b</w:t>
      </w:r>
      <w:r w:rsidRPr="005450A3">
        <w:rPr>
          <w:rStyle w:val="Bold"/>
        </w:rPr>
        <w:t>asins</w:t>
      </w:r>
    </w:p>
    <w:p w14:paraId="1F429ED6" w14:textId="16E275BE" w:rsidR="00096910" w:rsidRDefault="00096910" w:rsidP="003037D5">
      <w:pPr>
        <w:pStyle w:val="BodyText"/>
      </w:pPr>
      <w:r>
        <w:t xml:space="preserve">The GAB within the Eromanga and Carpentaria basins consists of a complex series of aquifer and aquitard formations (See </w:t>
      </w:r>
      <w:r w:rsidR="00494973">
        <w:t xml:space="preserve">hydrostratigraphy in </w:t>
      </w:r>
      <w:r>
        <w:t xml:space="preserve">Figure </w:t>
      </w:r>
      <w:r w:rsidR="00494973">
        <w:t>C.60</w:t>
      </w:r>
      <w:r>
        <w:t xml:space="preserve">). Of note is the Lower Cretaceous Cadna-owie Formation aquifer and equivalents, which is one of the more widespread aquifers. Although the formation is generally a poor aquifer, there is commonly a thin upper sandstone member that is an excellent aquifer and is widely utilised by agriculture and industry. The structure of the GAB is such that the </w:t>
      </w:r>
      <w:r w:rsidRPr="00F339EA">
        <w:t xml:space="preserve">aquifer dips </w:t>
      </w:r>
      <w:r>
        <w:t xml:space="preserve">towards the east (the centre of the GAB). The Cadna-owie aquifer outcrops around the margins of the GAB, while the depth </w:t>
      </w:r>
      <w:r w:rsidRPr="00F339EA">
        <w:t xml:space="preserve">at the edge of the </w:t>
      </w:r>
      <w:r w:rsidR="00EA0B2F">
        <w:lastRenderedPageBreak/>
        <w:t>Mount Isa Province</w:t>
      </w:r>
      <w:r>
        <w:t xml:space="preserve"> ranges from 400–600 m. The thickness of the Cadna-owie aquifer is typically around 100 m over the </w:t>
      </w:r>
      <w:r w:rsidR="00EA0B2F">
        <w:t>Mount Isa Province</w:t>
      </w:r>
      <w:r>
        <w:t xml:space="preserve"> (Ransley et al., 2015). </w:t>
      </w:r>
    </w:p>
    <w:p w14:paraId="38756FC1" w14:textId="77777777" w:rsidR="00096910" w:rsidRDefault="00096910" w:rsidP="00F27BC3">
      <w:pPr>
        <w:pStyle w:val="FiguresImagesCentred"/>
      </w:pPr>
      <w:r>
        <w:rPr>
          <w:noProof/>
        </w:rPr>
        <w:drawing>
          <wp:inline distT="0" distB="0" distL="0" distR="0" wp14:anchorId="491B4EE0" wp14:editId="37ADD200">
            <wp:extent cx="5760085" cy="61040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5760085" cy="6104090"/>
                    </a:xfrm>
                    <a:prstGeom prst="rect">
                      <a:avLst/>
                    </a:prstGeom>
                  </pic:spPr>
                </pic:pic>
              </a:graphicData>
            </a:graphic>
          </wp:inline>
        </w:drawing>
      </w:r>
    </w:p>
    <w:p w14:paraId="3D637699" w14:textId="7ACA1459" w:rsidR="002B6819" w:rsidRDefault="002B6819" w:rsidP="002B6819">
      <w:pPr>
        <w:pStyle w:val="Caption"/>
      </w:pPr>
      <w:bookmarkStart w:id="284" w:name="_Toc508972131"/>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60</w:t>
      </w:r>
      <w:r w:rsidR="008079F1">
        <w:rPr>
          <w:noProof/>
        </w:rPr>
        <w:fldChar w:fldCharType="end"/>
      </w:r>
      <w:r>
        <w:rPr>
          <w:noProof/>
        </w:rPr>
        <w:t xml:space="preserve"> </w:t>
      </w:r>
      <w:r>
        <w:t>Hydrostratrigraphy of the Eromanga Basin (adapted from Ransley et al., 2015).</w:t>
      </w:r>
      <w:bookmarkEnd w:id="284"/>
      <w:r>
        <w:t xml:space="preserve"> </w:t>
      </w:r>
    </w:p>
    <w:p w14:paraId="5E19E130" w14:textId="77777777" w:rsidR="00F27BC3" w:rsidRPr="00F27BC3" w:rsidRDefault="00F27BC3" w:rsidP="00F27BC3">
      <w:pPr>
        <w:pStyle w:val="BodyText"/>
      </w:pPr>
    </w:p>
    <w:p w14:paraId="0C4D02B4" w14:textId="28027FFE" w:rsidR="00096910" w:rsidRDefault="00096910" w:rsidP="003037D5">
      <w:pPr>
        <w:pStyle w:val="BodyText"/>
      </w:pPr>
      <w:r>
        <w:t>At some locations, the GAB aquifers are potentially connected to aquifers within the underlying basins. In the Eromanga Basin for example, hydraulic connectivity between basins is evident over about 50% of the area where the Georgina Basin underlies the Eromanga Basin (Ransley et al., 2015; Ransley and Smerdon, 2012). In the southeastern Georgina Basin, there is evidence that groundwater from the GAB flows downwards into the Georgina Basin (Randal, 1978).</w:t>
      </w:r>
    </w:p>
    <w:p w14:paraId="016D60BA" w14:textId="77777777" w:rsidR="00096910" w:rsidRDefault="00096910" w:rsidP="003037D5">
      <w:pPr>
        <w:pStyle w:val="BodyText"/>
      </w:pPr>
    </w:p>
    <w:p w14:paraId="5C246EEC" w14:textId="0AF98016" w:rsidR="00096910" w:rsidRPr="005450A3" w:rsidRDefault="00EA0B2F" w:rsidP="005450A3">
      <w:pPr>
        <w:pStyle w:val="BodyText"/>
        <w:rPr>
          <w:rStyle w:val="Bold"/>
        </w:rPr>
      </w:pPr>
      <w:r>
        <w:rPr>
          <w:rStyle w:val="Bold"/>
        </w:rPr>
        <w:lastRenderedPageBreak/>
        <w:t>Mount Isa Province</w:t>
      </w:r>
    </w:p>
    <w:p w14:paraId="7CC04C24" w14:textId="5FD4485A" w:rsidR="00096910" w:rsidRDefault="00096910" w:rsidP="003037D5">
      <w:pPr>
        <w:pStyle w:val="BodyText"/>
      </w:pPr>
      <w:r w:rsidRPr="005450A3">
        <w:t xml:space="preserve">The outcropping </w:t>
      </w:r>
      <w:r w:rsidR="00EA0B2F">
        <w:t>Mount Isa Province</w:t>
      </w:r>
      <w:r w:rsidRPr="005450A3">
        <w:t xml:space="preserve"> </w:t>
      </w:r>
      <w:r>
        <w:t>contains</w:t>
      </w:r>
      <w:r w:rsidRPr="005450A3">
        <w:t xml:space="preserve"> sedimentary rocks and volcanics</w:t>
      </w:r>
      <w:r>
        <w:t>,</w:t>
      </w:r>
      <w:r w:rsidRPr="005450A3">
        <w:t xml:space="preserve"> which have been tightly folded about northerly trending axes, extensively faulted, intruded by numerous granite plutons and mafic bodies and regionally metamorphosed to greenschist and amphibolite facies (Blake et al.</w:t>
      </w:r>
      <w:r>
        <w:t>,</w:t>
      </w:r>
      <w:r w:rsidRPr="005450A3">
        <w:t xml:space="preserve"> 1984). </w:t>
      </w:r>
      <w:r>
        <w:t>While groundwater has been sourced from the metamorphic and igneous basement rocks in the Mt Isa-Cloncurry area, useful</w:t>
      </w:r>
      <w:r w:rsidDel="002F4025">
        <w:t xml:space="preserve"> </w:t>
      </w:r>
      <w:r>
        <w:t>supplies have been difficult to obtain and there are many unsuccessful bores in the area. The intense folding and faulting has broken the continuity of potential aquifers and therefore the potential for useful aquifer systems may be diminished (Randal, 1978). As this area is located between the more productive</w:t>
      </w:r>
      <w:r w:rsidRPr="002F4025">
        <w:t xml:space="preserve"> aquifer</w:t>
      </w:r>
      <w:r>
        <w:t xml:space="preserve">s of the Georgina Basin and GAB, the groundwater productivity of the </w:t>
      </w:r>
      <w:r w:rsidR="00EA0B2F">
        <w:t>Mount Isa Province</w:t>
      </w:r>
      <w:r>
        <w:t xml:space="preserve"> is considered as low to moderate (Jacobson and Lau, 1987).</w:t>
      </w:r>
    </w:p>
    <w:p w14:paraId="783608C5" w14:textId="77777777" w:rsidR="00096910" w:rsidRPr="005450A3" w:rsidRDefault="00096910" w:rsidP="005450A3">
      <w:pPr>
        <w:pStyle w:val="BodyText"/>
        <w:rPr>
          <w:rStyle w:val="Bold"/>
        </w:rPr>
      </w:pPr>
      <w:r w:rsidRPr="005450A3">
        <w:rPr>
          <w:rStyle w:val="Bold"/>
        </w:rPr>
        <w:t xml:space="preserve">Georgina Basin </w:t>
      </w:r>
    </w:p>
    <w:p w14:paraId="4BFB6BF8" w14:textId="208D138C" w:rsidR="00096910" w:rsidRPr="003037D5" w:rsidRDefault="00096910" w:rsidP="003739CA">
      <w:pPr>
        <w:pStyle w:val="BodyText"/>
        <w:rPr>
          <w:rStyle w:val="BodyTextChar"/>
        </w:rPr>
      </w:pPr>
      <w:r w:rsidRPr="005450A3">
        <w:t xml:space="preserve">The primary water bearing units identified in the Georgina Basin are the Cambrian to Ordovician carbonate </w:t>
      </w:r>
      <w:r w:rsidRPr="003037D5">
        <w:rPr>
          <w:rStyle w:val="BodyTextChar"/>
        </w:rPr>
        <w:t xml:space="preserve">formations. Less significant sources are found in fractured rock aquifers and porous clastic rock aquifers. </w:t>
      </w:r>
      <w:r>
        <w:rPr>
          <w:rStyle w:val="BodyTextChar"/>
        </w:rPr>
        <w:t>R</w:t>
      </w:r>
      <w:r w:rsidRPr="00E04254">
        <w:rPr>
          <w:rStyle w:val="BodyTextChar"/>
        </w:rPr>
        <w:t>egionally significant groundwater</w:t>
      </w:r>
      <w:r>
        <w:rPr>
          <w:rStyle w:val="BodyTextChar"/>
        </w:rPr>
        <w:t xml:space="preserve"> is occasionally</w:t>
      </w:r>
      <w:r w:rsidRPr="003037D5" w:rsidDel="00E04254">
        <w:rPr>
          <w:rStyle w:val="BodyTextChar"/>
        </w:rPr>
        <w:t xml:space="preserve"> </w:t>
      </w:r>
      <w:r>
        <w:rPr>
          <w:rStyle w:val="BodyTextChar"/>
        </w:rPr>
        <w:t xml:space="preserve"> </w:t>
      </w:r>
      <w:r w:rsidRPr="003037D5">
        <w:rPr>
          <w:rStyle w:val="BodyTextChar"/>
        </w:rPr>
        <w:t xml:space="preserve"> </w:t>
      </w:r>
      <w:r>
        <w:rPr>
          <w:rStyle w:val="BodyTextChar"/>
        </w:rPr>
        <w:t>sourced from</w:t>
      </w:r>
      <w:r w:rsidRPr="003037D5">
        <w:rPr>
          <w:rStyle w:val="BodyTextChar"/>
        </w:rPr>
        <w:t xml:space="preserve"> overlying Cenozoic age sediments. The aquifer </w:t>
      </w:r>
      <w:r>
        <w:rPr>
          <w:rStyle w:val="BodyTextChar"/>
        </w:rPr>
        <w:t>intermittently outcrops along</w:t>
      </w:r>
      <w:r w:rsidRPr="003037D5">
        <w:rPr>
          <w:rStyle w:val="BodyTextChar"/>
        </w:rPr>
        <w:t xml:space="preserve"> the eastern margin</w:t>
      </w:r>
      <w:r>
        <w:rPr>
          <w:rStyle w:val="BodyTextChar"/>
        </w:rPr>
        <w:t xml:space="preserve"> of the basin, while </w:t>
      </w:r>
      <w:r w:rsidR="004D364C">
        <w:rPr>
          <w:rStyle w:val="BodyTextChar"/>
        </w:rPr>
        <w:t>depth to aquifer increases</w:t>
      </w:r>
      <w:r w:rsidRPr="003037D5">
        <w:rPr>
          <w:rStyle w:val="BodyTextChar"/>
        </w:rPr>
        <w:t xml:space="preserve"> to over 20</w:t>
      </w:r>
      <w:r>
        <w:rPr>
          <w:rStyle w:val="BodyTextChar"/>
        </w:rPr>
        <w:t>0 m</w:t>
      </w:r>
      <w:r w:rsidRPr="003037D5">
        <w:rPr>
          <w:rStyle w:val="BodyTextChar"/>
        </w:rPr>
        <w:t xml:space="preserve"> towards the centre of the basin (Randal, 1978). For more detail refer to the Georgina Basin Appendix</w:t>
      </w:r>
      <w:r>
        <w:rPr>
          <w:rStyle w:val="BodyTextChar"/>
        </w:rPr>
        <w:t xml:space="preserve"> (C.5)</w:t>
      </w:r>
      <w:r w:rsidRPr="003037D5">
        <w:rPr>
          <w:rStyle w:val="BodyTextChar"/>
        </w:rPr>
        <w:t>.</w:t>
      </w:r>
    </w:p>
    <w:p w14:paraId="0769F36C" w14:textId="77777777" w:rsidR="00096910" w:rsidRPr="005450A3" w:rsidRDefault="00096910" w:rsidP="005450A3">
      <w:pPr>
        <w:pStyle w:val="BodyText"/>
        <w:rPr>
          <w:rStyle w:val="Bold"/>
        </w:rPr>
      </w:pPr>
      <w:r w:rsidRPr="005450A3">
        <w:rPr>
          <w:rStyle w:val="Bold"/>
        </w:rPr>
        <w:t>South Nicholson Basin</w:t>
      </w:r>
    </w:p>
    <w:p w14:paraId="06AC200C" w14:textId="50D0C1DC" w:rsidR="00096910" w:rsidRPr="003739CA" w:rsidRDefault="00096910" w:rsidP="003739CA">
      <w:pPr>
        <w:pStyle w:val="BodyText"/>
      </w:pPr>
      <w:r w:rsidRPr="003739CA">
        <w:t>The South Nicholson Basin unconformably underlies the Carpentaria Basin to the east and the Georgina Basin in the west. In these regions it is expected that the primary groundwater source would be the typically productive Jurassic to middle Cretaceous GAB aquifers of the Carpentaria Basin and the Cambrian to Ordovician carbonate formations in the Georgina Basin.</w:t>
      </w:r>
    </w:p>
    <w:p w14:paraId="13876A11" w14:textId="77777777" w:rsidR="008B38C1" w:rsidRDefault="008B38C1" w:rsidP="00E34CDE">
      <w:pPr>
        <w:pStyle w:val="AppendixHeading4"/>
      </w:pPr>
      <w:r>
        <w:t>Groundwater quality</w:t>
      </w:r>
    </w:p>
    <w:p w14:paraId="01806C07" w14:textId="0F10F3FE" w:rsidR="00096910" w:rsidRDefault="00096910" w:rsidP="003037D5">
      <w:pPr>
        <w:pStyle w:val="BodyText"/>
      </w:pPr>
      <w:r>
        <w:t xml:space="preserve">Groundwater quality as indicated by Total Dissolved Solids (TDS) is highly variable across the </w:t>
      </w:r>
      <w:r w:rsidR="00EA0B2F">
        <w:t>Mount Isa Province</w:t>
      </w:r>
      <w:r>
        <w:t>. TDS values in the Cadna-owie aquifer typically range from 600–900 mg/L on the western margin of the GAB and 900–1200 mg/L on the southern margin (Ransley et al., 2015).</w:t>
      </w:r>
    </w:p>
    <w:p w14:paraId="36BCFAD2" w14:textId="471A3AC5" w:rsidR="00096910" w:rsidRDefault="00096910" w:rsidP="003037D5">
      <w:pPr>
        <w:pStyle w:val="BodyText"/>
      </w:pPr>
      <w:r>
        <w:t xml:space="preserve">In the Georgina Basin, salinity levels are generally low in the middle Cambrian limestones and are generally lower than the non-carbonate aquifers, with average concentrations ranging from 390 mg/L to 962 mg/L TDS in the Cambrian limestones (Smith, 1972). Regions of significantly higher salinity (TDS &lt;5000 mg/L) occur in sequences containing evaporite beds (Verma and Jolly, 1992). </w:t>
      </w:r>
    </w:p>
    <w:p w14:paraId="31DB3B0D" w14:textId="77777777" w:rsidR="008B38C1" w:rsidRDefault="008B38C1" w:rsidP="00E34CDE">
      <w:pPr>
        <w:pStyle w:val="AppendixHeading4"/>
      </w:pPr>
      <w:r>
        <w:t>Groundwater flow</w:t>
      </w:r>
    </w:p>
    <w:p w14:paraId="0A576AB5" w14:textId="29A70068" w:rsidR="00EC1E50" w:rsidRDefault="00096910" w:rsidP="0046672D">
      <w:pPr>
        <w:pStyle w:val="BodyText"/>
      </w:pPr>
      <w:r>
        <w:t xml:space="preserve">Within the portion of the GAB overlying the </w:t>
      </w:r>
      <w:r w:rsidR="00EA0B2F">
        <w:t>Mount Isa Province</w:t>
      </w:r>
      <w:r>
        <w:t xml:space="preserve">, groundwater flow direction is typically in a north-easterly to northerly direction in the Carpentaria Basin and southerly to south-easterly in the Eromanga Basin, away from the recharge area along </w:t>
      </w:r>
      <w:r w:rsidR="00494973">
        <w:t>the western margins (Figure C.61</w:t>
      </w:r>
      <w:r>
        <w:t>).</w:t>
      </w:r>
    </w:p>
    <w:p w14:paraId="20A69FE4" w14:textId="2ADB8667" w:rsidR="00EC1E50" w:rsidRDefault="00EC1E50" w:rsidP="00EC1E50">
      <w:pPr>
        <w:pStyle w:val="BodyText"/>
        <w:rPr>
          <w:szCs w:val="20"/>
        </w:rPr>
      </w:pPr>
      <w:r>
        <w:lastRenderedPageBreak/>
        <w:t xml:space="preserve">In the central portion of the </w:t>
      </w:r>
      <w:r w:rsidR="00EA0B2F">
        <w:t>Mount Isa Province</w:t>
      </w:r>
      <w:r>
        <w:t>, groundwater flow directions are likely to be influenced by factors such as topography, proximity to rivers and abstraction due to the local nature of the aquifer systems.</w:t>
      </w:r>
    </w:p>
    <w:p w14:paraId="3350B490" w14:textId="3A0A7FCB" w:rsidR="00EC1E50" w:rsidRDefault="00EC1E50" w:rsidP="00EC1E50">
      <w:pPr>
        <w:pStyle w:val="BodyText"/>
      </w:pPr>
      <w:r>
        <w:t>In the southeastern Georgina Basin, groundwater flow is typically towards the townships of Camooweal and Urandagi and then southerly direction, as is evident from the regional potentiometric contours (Randal, 1978) (Figure C.62).</w:t>
      </w:r>
    </w:p>
    <w:p w14:paraId="3FD5534E" w14:textId="2288B157" w:rsidR="00EC1E50" w:rsidRDefault="00EC1E50" w:rsidP="00147CAE">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6"/>
      </w:tblGrid>
      <w:tr w:rsidR="00EC1E50" w:rsidRPr="00EC1E50" w14:paraId="48B9469F" w14:textId="77777777" w:rsidTr="00EC1E50">
        <w:tc>
          <w:tcPr>
            <w:tcW w:w="9287" w:type="dxa"/>
          </w:tcPr>
          <w:p w14:paraId="72E4A5CB" w14:textId="77777777" w:rsidR="00EC1E50" w:rsidRPr="00EC1E50" w:rsidRDefault="00EC1E50" w:rsidP="00960B30">
            <w:pPr>
              <w:pStyle w:val="FiguresImagesCentred"/>
            </w:pPr>
            <w:r w:rsidRPr="00EC1E50">
              <w:rPr>
                <w:noProof/>
              </w:rPr>
              <w:lastRenderedPageBreak/>
              <w:drawing>
                <wp:inline distT="0" distB="0" distL="0" distR="0" wp14:anchorId="2A23F1D0" wp14:editId="7BC888E0">
                  <wp:extent cx="5760000" cy="5126400"/>
                  <wp:effectExtent l="19050" t="19050" r="12700"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cstate="screen">
                            <a:extLst>
                              <a:ext uri="{28A0092B-C50C-407E-A947-70E740481C1C}">
                                <a14:useLocalDpi xmlns:a14="http://schemas.microsoft.com/office/drawing/2010/main"/>
                              </a:ext>
                            </a:extLst>
                          </a:blip>
                          <a:stretch>
                            <a:fillRect/>
                          </a:stretch>
                        </pic:blipFill>
                        <pic:spPr>
                          <a:xfrm>
                            <a:off x="0" y="0"/>
                            <a:ext cx="5760000" cy="5126400"/>
                          </a:xfrm>
                          <a:prstGeom prst="rect">
                            <a:avLst/>
                          </a:prstGeom>
                          <a:ln>
                            <a:solidFill>
                              <a:schemeClr val="accent1"/>
                            </a:solidFill>
                          </a:ln>
                        </pic:spPr>
                      </pic:pic>
                    </a:graphicData>
                  </a:graphic>
                </wp:inline>
              </w:drawing>
            </w:r>
          </w:p>
        </w:tc>
      </w:tr>
      <w:tr w:rsidR="00EC1E50" w:rsidRPr="00EC1E50" w14:paraId="03568B20" w14:textId="77777777" w:rsidTr="00EC1E50">
        <w:tc>
          <w:tcPr>
            <w:tcW w:w="9287" w:type="dxa"/>
          </w:tcPr>
          <w:p w14:paraId="06D70E91" w14:textId="77777777" w:rsidR="00EC1E50" w:rsidRPr="00960B30" w:rsidRDefault="00EC1E50" w:rsidP="00960B30">
            <w:pPr>
              <w:pStyle w:val="FiguresImagesCentred"/>
            </w:pPr>
            <w:r w:rsidRPr="00960B30">
              <w:rPr>
                <w:noProof/>
              </w:rPr>
              <w:drawing>
                <wp:inline distT="0" distB="0" distL="0" distR="0" wp14:anchorId="70FA6B37" wp14:editId="705FD967">
                  <wp:extent cx="5691352" cy="1295001"/>
                  <wp:effectExtent l="0" t="0" r="508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7" cstate="screen">
                            <a:extLst>
                              <a:ext uri="{28A0092B-C50C-407E-A947-70E740481C1C}">
                                <a14:useLocalDpi xmlns:a14="http://schemas.microsoft.com/office/drawing/2010/main"/>
                              </a:ext>
                            </a:extLst>
                          </a:blip>
                          <a:srcRect/>
                          <a:stretch>
                            <a:fillRect/>
                          </a:stretch>
                        </pic:blipFill>
                        <pic:spPr bwMode="auto">
                          <a:xfrm>
                            <a:off x="0" y="0"/>
                            <a:ext cx="5691352" cy="1295001"/>
                          </a:xfrm>
                          <a:prstGeom prst="rect">
                            <a:avLst/>
                          </a:prstGeom>
                          <a:noFill/>
                          <a:ln>
                            <a:noFill/>
                          </a:ln>
                        </pic:spPr>
                      </pic:pic>
                    </a:graphicData>
                  </a:graphic>
                </wp:inline>
              </w:drawing>
            </w:r>
          </w:p>
        </w:tc>
      </w:tr>
    </w:tbl>
    <w:p w14:paraId="5E03C1EA" w14:textId="310A6E06" w:rsidR="00096910" w:rsidRPr="00BA0502" w:rsidRDefault="00096910" w:rsidP="00BA0502">
      <w:pPr>
        <w:pStyle w:val="Caption"/>
      </w:pPr>
      <w:bookmarkStart w:id="285" w:name="_Toc499547619"/>
      <w:bookmarkStart w:id="286" w:name="_Toc508972132"/>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\s 9 </w:instrText>
      </w:r>
      <w:r w:rsidR="008079F1">
        <w:fldChar w:fldCharType="separate"/>
      </w:r>
      <w:r w:rsidR="00640CCB">
        <w:rPr>
          <w:noProof/>
        </w:rPr>
        <w:t>61</w:t>
      </w:r>
      <w:r w:rsidR="008079F1">
        <w:rPr>
          <w:noProof/>
        </w:rPr>
        <w:fldChar w:fldCharType="end"/>
      </w:r>
      <w:r w:rsidRPr="00BA0502">
        <w:t xml:space="preserve"> Groundwater flow in the Great Artesian Basin (adapted from Ransley et. al., 2015).</w:t>
      </w:r>
      <w:bookmarkEnd w:id="285"/>
      <w:bookmarkEnd w:id="286"/>
    </w:p>
    <w:p w14:paraId="4330C019" w14:textId="54C6B4BA" w:rsidR="00096910" w:rsidRPr="005450A3" w:rsidRDefault="00096910" w:rsidP="00FD6771">
      <w:pPr>
        <w:pStyle w:val="FiguresImagesCentred"/>
      </w:pPr>
      <w:r>
        <w:rPr>
          <w:noProof/>
        </w:rPr>
        <w:lastRenderedPageBreak/>
        <w:drawing>
          <wp:inline distT="0" distB="0" distL="0" distR="0" wp14:anchorId="164E68E3" wp14:editId="5737E2B9">
            <wp:extent cx="5760000" cy="7138800"/>
            <wp:effectExtent l="0" t="0" r="0" b="5080"/>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extLst>
                        <a:ext uri="{28A0092B-C50C-407E-A947-70E740481C1C}">
                          <a14:useLocalDpi xmlns:a14="http://schemas.microsoft.com/office/drawing/2010/main"/>
                        </a:ext>
                      </a:extLst>
                    </a:blip>
                    <a:stretch>
                      <a:fillRect/>
                    </a:stretch>
                  </pic:blipFill>
                  <pic:spPr>
                    <a:xfrm>
                      <a:off x="0" y="0"/>
                      <a:ext cx="5760000" cy="7138800"/>
                    </a:xfrm>
                    <a:prstGeom prst="rect">
                      <a:avLst/>
                    </a:prstGeom>
                  </pic:spPr>
                </pic:pic>
              </a:graphicData>
            </a:graphic>
          </wp:inline>
        </w:drawing>
      </w:r>
    </w:p>
    <w:p w14:paraId="40464E95" w14:textId="1BB4D465" w:rsidR="00096910" w:rsidRPr="006971A5" w:rsidRDefault="00096910" w:rsidP="006971A5">
      <w:pPr>
        <w:pStyle w:val="Caption"/>
      </w:pPr>
      <w:bookmarkStart w:id="287" w:name="_Toc499547620"/>
      <w:bookmarkStart w:id="288" w:name="_Toc508972133"/>
      <w:r>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Apx_Figure \* ARABIC \s 9 </w:instrText>
      </w:r>
      <w:r w:rsidR="008079F1">
        <w:fldChar w:fldCharType="separate"/>
      </w:r>
      <w:r w:rsidR="00640CCB">
        <w:rPr>
          <w:noProof/>
        </w:rPr>
        <w:t>62</w:t>
      </w:r>
      <w:r w:rsidR="008079F1">
        <w:rPr>
          <w:noProof/>
        </w:rPr>
        <w:fldChar w:fldCharType="end"/>
      </w:r>
      <w:r>
        <w:rPr>
          <w:noProof/>
        </w:rPr>
        <w:t xml:space="preserve"> </w:t>
      </w:r>
      <w:r w:rsidRPr="006971A5">
        <w:t>Composite potentiometric surface for all aquifers in the in the southeastern Georgina Basin (adapted from Randal, 1978)</w:t>
      </w:r>
      <w:bookmarkEnd w:id="287"/>
      <w:bookmarkEnd w:id="288"/>
    </w:p>
    <w:p w14:paraId="64417940" w14:textId="77777777" w:rsidR="00096910" w:rsidRDefault="00096910"/>
    <w:p w14:paraId="0855C274" w14:textId="77777777" w:rsidR="00096910" w:rsidRDefault="00096910"/>
    <w:p w14:paraId="045DE1FB" w14:textId="77777777" w:rsidR="00096910" w:rsidRDefault="00096910"/>
    <w:p w14:paraId="07E9E9FE" w14:textId="77777777" w:rsidR="008B38C1" w:rsidRDefault="008B38C1" w:rsidP="00E34CDE">
      <w:pPr>
        <w:pStyle w:val="AppendixHeading4"/>
      </w:pPr>
      <w:r>
        <w:lastRenderedPageBreak/>
        <w:t>Groundwater planning and use</w:t>
      </w:r>
    </w:p>
    <w:p w14:paraId="2C8D7BDB" w14:textId="5721CBCE" w:rsidR="00096910" w:rsidRDefault="00096910" w:rsidP="003037D5">
      <w:pPr>
        <w:pStyle w:val="BodyText"/>
      </w:pPr>
      <w:r>
        <w:t xml:space="preserve">Average groundwater bore density across the </w:t>
      </w:r>
      <w:r w:rsidR="00EA0B2F">
        <w:t>Mount Isa Province</w:t>
      </w:r>
      <w:r>
        <w:t xml:space="preserve"> was 0.016 registered bores per km</w:t>
      </w:r>
      <w:r w:rsidRPr="005450A3">
        <w:rPr>
          <w:rStyle w:val="Superscript"/>
        </w:rPr>
        <w:t>2</w:t>
      </w:r>
      <w:r>
        <w:t xml:space="preserve"> </w:t>
      </w:r>
      <w:r w:rsidR="004D364C">
        <w:t>according to the NGIS (BoM, 2016</w:t>
      </w:r>
      <w:r>
        <w:t xml:space="preserve">) database, with notable higher density around Mt Isa, Cloncurry and townships along the Stuart Highway. </w:t>
      </w:r>
    </w:p>
    <w:p w14:paraId="4AD5403F" w14:textId="0FA172C2" w:rsidR="00096910" w:rsidRDefault="00096910" w:rsidP="003037D5">
      <w:pPr>
        <w:pStyle w:val="BodyText"/>
      </w:pPr>
      <w:r>
        <w:t xml:space="preserve">Groundwater management plans are in place for all regions of the Queensland portion of the </w:t>
      </w:r>
      <w:r w:rsidR="00EA0B2F">
        <w:t>Mount Isa Province</w:t>
      </w:r>
      <w:r>
        <w:t xml:space="preserve">, with the exception of the central portion around Mt Isa. The relevant plans for the Queensland portion of the </w:t>
      </w:r>
      <w:r w:rsidR="00EA0B2F">
        <w:t>Mount Isa Province</w:t>
      </w:r>
      <w:r>
        <w:t xml:space="preserve"> are the: Water Plan (Great Artesian Basin) 2006, Water Plan (Georgina and Diamantina) 2004, and Water Plan (Gulf) 2007 (Queensland Government 2006, 2004, 2007)</w:t>
      </w:r>
    </w:p>
    <w:p w14:paraId="720E99DC" w14:textId="3120F9F8" w:rsidR="00096910" w:rsidRDefault="00096910" w:rsidP="006971A5">
      <w:pPr>
        <w:pStyle w:val="BodyText"/>
      </w:pPr>
      <w:r>
        <w:t xml:space="preserve">Table C.50 presents information from the NGIS (BoM, 2016) and shows summary information of the registered bores within the extent of the </w:t>
      </w:r>
      <w:r w:rsidR="00EA0B2F">
        <w:t>Mount Isa Province</w:t>
      </w:r>
      <w:r>
        <w:t xml:space="preserve">. </w:t>
      </w:r>
    </w:p>
    <w:p w14:paraId="3531791F" w14:textId="19B18412" w:rsidR="00096910" w:rsidRPr="006971A5" w:rsidRDefault="00096910" w:rsidP="006971A5">
      <w:pPr>
        <w:pStyle w:val="Caption"/>
        <w:rPr>
          <w:highlight w:val="yellow"/>
        </w:rPr>
      </w:pPr>
      <w:bookmarkStart w:id="289" w:name="_Toc499547520"/>
      <w:bookmarkStart w:id="290" w:name="_Toc508972199"/>
      <w:r w:rsidRPr="006971A5">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6971A5">
        <w:t>.</w:t>
      </w:r>
      <w:r w:rsidR="008079F1">
        <w:fldChar w:fldCharType="begin"/>
      </w:r>
      <w:r w:rsidR="008079F1">
        <w:instrText xml:space="preserve"> SEQ Apx_Table \* ARABIC \s 9 </w:instrText>
      </w:r>
      <w:r w:rsidR="008079F1">
        <w:fldChar w:fldCharType="separate"/>
      </w:r>
      <w:r w:rsidR="00640CCB">
        <w:rPr>
          <w:noProof/>
        </w:rPr>
        <w:t>50</w:t>
      </w:r>
      <w:r w:rsidR="008079F1">
        <w:rPr>
          <w:noProof/>
        </w:rPr>
        <w:fldChar w:fldCharType="end"/>
      </w:r>
      <w:r w:rsidRPr="006971A5">
        <w:t xml:space="preserve"> Summary statistics for groundwater bores and water use in the </w:t>
      </w:r>
      <w:r w:rsidR="00EA0B2F">
        <w:t>Mount Isa Province</w:t>
      </w:r>
      <w:r w:rsidRPr="006971A5">
        <w:t xml:space="preserve"> region</w:t>
      </w:r>
      <w:bookmarkEnd w:id="289"/>
      <w:bookmarkEnd w:id="290"/>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096910" w14:paraId="165C8A32"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460058D4" w14:textId="7C330810" w:rsidR="00096910" w:rsidRDefault="00096910">
            <w:pPr>
              <w:pStyle w:val="TableTextLeft"/>
              <w:rPr>
                <w:color w:val="auto"/>
              </w:rPr>
            </w:pPr>
            <w:r>
              <w:t>GROUNDWATER BORES AND WATER USE</w:t>
            </w:r>
          </w:p>
        </w:tc>
      </w:tr>
      <w:tr w:rsidR="00096910" w14:paraId="08F7539D"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772E5715" w14:textId="77777777" w:rsidR="00096910" w:rsidRDefault="00096910">
            <w:pPr>
              <w:pStyle w:val="TableTextLeft"/>
              <w:rPr>
                <w:szCs w:val="18"/>
              </w:rPr>
            </w:pPr>
            <w:r>
              <w:rPr>
                <w:szCs w:val="18"/>
              </w:rPr>
              <w:t>Number of bores (Density of Registered Bores - bores/km</w:t>
            </w:r>
            <w:r>
              <w:rPr>
                <w:szCs w:val="18"/>
                <w:vertAlign w:val="superscript"/>
              </w:rPr>
              <w:t>2</w:t>
            </w:r>
            <w:r>
              <w:rPr>
                <w:szCs w:val="18"/>
              </w:rPr>
              <w:t>)</w:t>
            </w:r>
          </w:p>
        </w:tc>
        <w:tc>
          <w:tcPr>
            <w:tcW w:w="2421" w:type="pct"/>
            <w:hideMark/>
          </w:tcPr>
          <w:p w14:paraId="47CFC64D" w14:textId="77777777" w:rsidR="00096910" w:rsidRDefault="00096910">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6,009 (0.02)</w:t>
            </w:r>
          </w:p>
        </w:tc>
      </w:tr>
      <w:tr w:rsidR="00096910" w14:paraId="07DB6557"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134F6722" w14:textId="77777777" w:rsidR="00096910" w:rsidRDefault="00096910">
            <w:pPr>
              <w:pStyle w:val="TableTextLeft"/>
              <w:rPr>
                <w:szCs w:val="18"/>
              </w:rPr>
            </w:pPr>
            <w:r>
              <w:rPr>
                <w:szCs w:val="18"/>
              </w:rPr>
              <w:t>Purposes of registered bores</w:t>
            </w:r>
          </w:p>
          <w:p w14:paraId="6834468F" w14:textId="77777777" w:rsidR="00096910" w:rsidRDefault="00096910">
            <w:pPr>
              <w:pStyle w:val="TableTextLeft"/>
              <w:rPr>
                <w:szCs w:val="18"/>
              </w:rPr>
            </w:pPr>
            <w:r>
              <w:rPr>
                <w:szCs w:val="18"/>
              </w:rPr>
              <w:t xml:space="preserve">(Top 5, number) </w:t>
            </w:r>
          </w:p>
          <w:p w14:paraId="3883D988" w14:textId="77777777" w:rsidR="00096910" w:rsidRDefault="00096910">
            <w:pPr>
              <w:pStyle w:val="TableTextLeft"/>
              <w:rPr>
                <w:szCs w:val="18"/>
              </w:rPr>
            </w:pPr>
          </w:p>
        </w:tc>
        <w:tc>
          <w:tcPr>
            <w:tcW w:w="2421" w:type="pct"/>
            <w:hideMark/>
          </w:tcPr>
          <w:tbl>
            <w:tblPr>
              <w:tblW w:w="4200" w:type="dxa"/>
              <w:tblLook w:val="04A0" w:firstRow="1" w:lastRow="0" w:firstColumn="1" w:lastColumn="0" w:noHBand="0" w:noVBand="1"/>
            </w:tblPr>
            <w:tblGrid>
              <w:gridCol w:w="2923"/>
              <w:gridCol w:w="1277"/>
            </w:tblGrid>
            <w:tr w:rsidR="00096910" w14:paraId="49750944" w14:textId="77777777" w:rsidTr="00F27BC3">
              <w:trPr>
                <w:trHeight w:val="300"/>
              </w:trPr>
              <w:tc>
                <w:tcPr>
                  <w:tcW w:w="2920" w:type="dxa"/>
                  <w:noWrap/>
                  <w:vAlign w:val="bottom"/>
                  <w:hideMark/>
                </w:tcPr>
                <w:p w14:paraId="353CFA5E" w14:textId="77777777" w:rsidR="00096910" w:rsidRPr="000350BE" w:rsidRDefault="00096910" w:rsidP="000350BE">
                  <w:pPr>
                    <w:pStyle w:val="TableTextLeft"/>
                  </w:pPr>
                  <w:r w:rsidRPr="000350BE">
                    <w:t>Unknown</w:t>
                  </w:r>
                </w:p>
              </w:tc>
              <w:tc>
                <w:tcPr>
                  <w:tcW w:w="1276" w:type="dxa"/>
                  <w:noWrap/>
                  <w:vAlign w:val="bottom"/>
                  <w:hideMark/>
                </w:tcPr>
                <w:p w14:paraId="7F5DB851" w14:textId="77777777" w:rsidR="00096910" w:rsidRDefault="00096910" w:rsidP="000350BE">
                  <w:pPr>
                    <w:pStyle w:val="TableTextRight0"/>
                  </w:pPr>
                  <w:r>
                    <w:t>4,321</w:t>
                  </w:r>
                </w:p>
              </w:tc>
            </w:tr>
            <w:tr w:rsidR="00096910" w14:paraId="62465C89" w14:textId="77777777" w:rsidTr="00F27BC3">
              <w:trPr>
                <w:trHeight w:val="300"/>
              </w:trPr>
              <w:tc>
                <w:tcPr>
                  <w:tcW w:w="2920" w:type="dxa"/>
                  <w:noWrap/>
                  <w:vAlign w:val="bottom"/>
                  <w:hideMark/>
                </w:tcPr>
                <w:p w14:paraId="29F149B3" w14:textId="77777777" w:rsidR="00096910" w:rsidRPr="000350BE" w:rsidRDefault="00096910" w:rsidP="000350BE">
                  <w:pPr>
                    <w:pStyle w:val="TableTextLeft"/>
                  </w:pPr>
                  <w:r w:rsidRPr="000350BE">
                    <w:t>Stock</w:t>
                  </w:r>
                </w:p>
              </w:tc>
              <w:tc>
                <w:tcPr>
                  <w:tcW w:w="1276" w:type="dxa"/>
                  <w:noWrap/>
                  <w:vAlign w:val="bottom"/>
                  <w:hideMark/>
                </w:tcPr>
                <w:p w14:paraId="28A52342" w14:textId="77777777" w:rsidR="00096910" w:rsidRDefault="00096910" w:rsidP="000350BE">
                  <w:pPr>
                    <w:pStyle w:val="TableTextRight0"/>
                  </w:pPr>
                  <w:r>
                    <w:t>1,560</w:t>
                  </w:r>
                </w:p>
              </w:tc>
            </w:tr>
            <w:tr w:rsidR="00096910" w14:paraId="347E49FD" w14:textId="77777777" w:rsidTr="00F27BC3">
              <w:trPr>
                <w:trHeight w:val="300"/>
              </w:trPr>
              <w:tc>
                <w:tcPr>
                  <w:tcW w:w="2920" w:type="dxa"/>
                  <w:noWrap/>
                  <w:vAlign w:val="bottom"/>
                  <w:hideMark/>
                </w:tcPr>
                <w:p w14:paraId="4058F180" w14:textId="77777777" w:rsidR="00096910" w:rsidRPr="000350BE" w:rsidRDefault="00096910" w:rsidP="000350BE">
                  <w:pPr>
                    <w:pStyle w:val="TableTextLeft"/>
                  </w:pPr>
                  <w:r w:rsidRPr="000350BE">
                    <w:t>Domestic Household</w:t>
                  </w:r>
                </w:p>
              </w:tc>
              <w:tc>
                <w:tcPr>
                  <w:tcW w:w="1276" w:type="dxa"/>
                  <w:noWrap/>
                  <w:vAlign w:val="bottom"/>
                  <w:hideMark/>
                </w:tcPr>
                <w:p w14:paraId="2F358D66" w14:textId="77777777" w:rsidR="00096910" w:rsidRDefault="00096910" w:rsidP="000350BE">
                  <w:pPr>
                    <w:pStyle w:val="TableTextRight0"/>
                  </w:pPr>
                  <w:r>
                    <w:t>657</w:t>
                  </w:r>
                </w:p>
              </w:tc>
            </w:tr>
            <w:tr w:rsidR="00096910" w14:paraId="79F00E9C" w14:textId="77777777" w:rsidTr="00F27BC3">
              <w:trPr>
                <w:trHeight w:val="300"/>
              </w:trPr>
              <w:tc>
                <w:tcPr>
                  <w:tcW w:w="2920" w:type="dxa"/>
                  <w:noWrap/>
                  <w:vAlign w:val="bottom"/>
                  <w:hideMark/>
                </w:tcPr>
                <w:p w14:paraId="6BE930C5" w14:textId="77777777" w:rsidR="00096910" w:rsidRPr="000350BE" w:rsidRDefault="00096910" w:rsidP="000350BE">
                  <w:pPr>
                    <w:pStyle w:val="TableTextLeft"/>
                  </w:pPr>
                  <w:r w:rsidRPr="000350BE">
                    <w:t>Community water supply</w:t>
                  </w:r>
                </w:p>
              </w:tc>
              <w:tc>
                <w:tcPr>
                  <w:tcW w:w="1276" w:type="dxa"/>
                  <w:noWrap/>
                  <w:vAlign w:val="bottom"/>
                  <w:hideMark/>
                </w:tcPr>
                <w:p w14:paraId="6C00E8CE" w14:textId="77777777" w:rsidR="00096910" w:rsidRDefault="00096910" w:rsidP="000350BE">
                  <w:pPr>
                    <w:pStyle w:val="TableTextRight0"/>
                  </w:pPr>
                  <w:r>
                    <w:t>64</w:t>
                  </w:r>
                </w:p>
              </w:tc>
            </w:tr>
            <w:tr w:rsidR="00096910" w14:paraId="36B6F675" w14:textId="77777777" w:rsidTr="00F27BC3">
              <w:trPr>
                <w:trHeight w:val="300"/>
              </w:trPr>
              <w:tc>
                <w:tcPr>
                  <w:tcW w:w="2920" w:type="dxa"/>
                  <w:noWrap/>
                  <w:vAlign w:val="bottom"/>
                  <w:hideMark/>
                </w:tcPr>
                <w:p w14:paraId="096D668B" w14:textId="77777777" w:rsidR="00096910" w:rsidRPr="000350BE" w:rsidRDefault="00096910" w:rsidP="000350BE">
                  <w:pPr>
                    <w:pStyle w:val="TableTextLeft"/>
                  </w:pPr>
                  <w:r w:rsidRPr="000350BE">
                    <w:t>Industrial</w:t>
                  </w:r>
                </w:p>
              </w:tc>
              <w:tc>
                <w:tcPr>
                  <w:tcW w:w="1276" w:type="dxa"/>
                  <w:noWrap/>
                  <w:vAlign w:val="bottom"/>
                  <w:hideMark/>
                </w:tcPr>
                <w:p w14:paraId="45039D51" w14:textId="77777777" w:rsidR="00096910" w:rsidRDefault="00096910" w:rsidP="000350BE">
                  <w:pPr>
                    <w:pStyle w:val="TableTextRight0"/>
                  </w:pPr>
                  <w:r>
                    <w:t>41</w:t>
                  </w:r>
                </w:p>
              </w:tc>
            </w:tr>
          </w:tbl>
          <w:p w14:paraId="2419ABAA" w14:textId="77777777" w:rsidR="00096910" w:rsidRDefault="00096910">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096910" w14:paraId="79F72635"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06CB6026" w14:textId="77777777" w:rsidR="00096910" w:rsidRDefault="00096910">
            <w:pPr>
              <w:pStyle w:val="TableTextLeft"/>
              <w:rPr>
                <w:szCs w:val="18"/>
              </w:rPr>
            </w:pPr>
            <w:r>
              <w:rPr>
                <w:szCs w:val="18"/>
              </w:rPr>
              <w:t>Depth (m) of registered bores below ground level (10</w:t>
            </w:r>
            <w:r>
              <w:rPr>
                <w:szCs w:val="18"/>
                <w:vertAlign w:val="superscript"/>
              </w:rPr>
              <w:t>th</w:t>
            </w:r>
            <w:r>
              <w:rPr>
                <w:szCs w:val="18"/>
              </w:rPr>
              <w:t xml:space="preserve"> and 90</w:t>
            </w:r>
            <w:r>
              <w:rPr>
                <w:szCs w:val="18"/>
                <w:vertAlign w:val="superscript"/>
              </w:rPr>
              <w:t>th</w:t>
            </w:r>
            <w:r>
              <w:rPr>
                <w:szCs w:val="18"/>
              </w:rPr>
              <w:t xml:space="preserve"> Percentile and median)</w:t>
            </w:r>
          </w:p>
        </w:tc>
        <w:tc>
          <w:tcPr>
            <w:tcW w:w="2421" w:type="pct"/>
            <w:hideMark/>
          </w:tcPr>
          <w:p w14:paraId="4334455B" w14:textId="761E6318" w:rsidR="00096910" w:rsidRDefault="00096910">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10</w:t>
            </w:r>
            <w:r w:rsidRPr="000350BE">
              <w:rPr>
                <w:rStyle w:val="Superscript"/>
              </w:rPr>
              <w:t>th</w:t>
            </w:r>
            <w:r>
              <w:t xml:space="preserve"> Percentile</w:t>
            </w:r>
            <w:r w:rsidRPr="004059C5">
              <w:rPr>
                <w:szCs w:val="18"/>
              </w:rPr>
              <w:t xml:space="preserve">: </w:t>
            </w:r>
            <w:r w:rsidRPr="004059C5">
              <w:rPr>
                <w:szCs w:val="18"/>
              </w:rPr>
              <w:tab/>
            </w:r>
            <w:r>
              <w:rPr>
                <w:szCs w:val="18"/>
              </w:rPr>
              <w:t xml:space="preserve">  24</w:t>
            </w:r>
          </w:p>
          <w:p w14:paraId="47558CB3" w14:textId="7CE12218" w:rsidR="00096910" w:rsidRDefault="00096910">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 xml:space="preserve">Median: </w:t>
            </w:r>
            <w:r>
              <w:rPr>
                <w:szCs w:val="18"/>
              </w:rPr>
              <w:tab/>
            </w:r>
            <w:r w:rsidRPr="004059C5">
              <w:rPr>
                <w:szCs w:val="18"/>
              </w:rPr>
              <w:tab/>
            </w:r>
            <w:r>
              <w:rPr>
                <w:szCs w:val="18"/>
              </w:rPr>
              <w:t xml:space="preserve">  79</w:t>
            </w:r>
          </w:p>
          <w:p w14:paraId="3803844C" w14:textId="09297454" w:rsidR="00096910" w:rsidRDefault="00096910">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90</w:t>
            </w:r>
            <w:r w:rsidRPr="000350BE">
              <w:rPr>
                <w:rStyle w:val="Superscript"/>
              </w:rPr>
              <w:t>th</w:t>
            </w:r>
            <w:r>
              <w:t xml:space="preserve"> Percentile</w:t>
            </w:r>
            <w:r w:rsidRPr="004059C5">
              <w:rPr>
                <w:szCs w:val="18"/>
              </w:rPr>
              <w:t xml:space="preserve">: </w:t>
            </w:r>
            <w:r w:rsidRPr="004059C5">
              <w:rPr>
                <w:szCs w:val="18"/>
              </w:rPr>
              <w:tab/>
            </w:r>
            <w:r>
              <w:rPr>
                <w:szCs w:val="18"/>
              </w:rPr>
              <w:t>426</w:t>
            </w:r>
          </w:p>
        </w:tc>
      </w:tr>
    </w:tbl>
    <w:p w14:paraId="3AD50095" w14:textId="77777777" w:rsidR="008B38C1" w:rsidRDefault="008B38C1" w:rsidP="00E34CDE">
      <w:pPr>
        <w:pStyle w:val="AppendixHeading3"/>
      </w:pPr>
      <w:bookmarkStart w:id="291" w:name="_Toc517161194"/>
      <w:r>
        <w:t>Surface water hydrology</w:t>
      </w:r>
      <w:bookmarkEnd w:id="291"/>
    </w:p>
    <w:p w14:paraId="76AD2588" w14:textId="77777777" w:rsidR="00096910" w:rsidRDefault="00096910" w:rsidP="00D15FEC">
      <w:pPr>
        <w:pStyle w:val="AppendixHeading4"/>
      </w:pPr>
      <w:r>
        <w:t>Surface water systems</w:t>
      </w:r>
    </w:p>
    <w:p w14:paraId="6B85B742" w14:textId="6F422143" w:rsidR="00096910" w:rsidRPr="003739CA" w:rsidRDefault="00096910" w:rsidP="003739CA">
      <w:pPr>
        <w:pStyle w:val="BodyText"/>
      </w:pPr>
      <w:r w:rsidRPr="003739CA">
        <w:t>According the B</w:t>
      </w:r>
      <w:r>
        <w:t>o</w:t>
      </w:r>
      <w:r w:rsidRPr="003739CA">
        <w:t xml:space="preserve">M Geofabric, the majority of </w:t>
      </w:r>
      <w:r w:rsidR="00EA0B2F">
        <w:t>Mount Isa Province</w:t>
      </w:r>
      <w:r w:rsidRPr="003739CA">
        <w:t xml:space="preserve"> is covered by the Nicholson–Leichhardt, Flinders–Norman, Morning Inlet, Victoria River–Wiso, Cooper Creek–Bulloo River, Settlement Creek and Diamantina–Georgina river catchments (B</w:t>
      </w:r>
      <w:r>
        <w:t>o</w:t>
      </w:r>
      <w:r w:rsidRPr="003739CA">
        <w:t xml:space="preserve">M, 2014). </w:t>
      </w:r>
      <w:r>
        <w:t>These river basins are presented in Figure B.18</w:t>
      </w:r>
    </w:p>
    <w:p w14:paraId="03D44B8D" w14:textId="77777777" w:rsidR="00096910" w:rsidRPr="005450A3" w:rsidRDefault="00096910" w:rsidP="003037D5">
      <w:pPr>
        <w:pStyle w:val="BodyText"/>
      </w:pPr>
      <w:r>
        <w:t xml:space="preserve">A number of significant population centres rely on surface water for domestic and industrial supply. These include Mt Isa sourcing water from </w:t>
      </w:r>
      <w:r w:rsidRPr="005450A3">
        <w:t>Lake Moondarra and Lake Julius, and Cloncurry sourcing water from Chinaman Weir on the Cloncurry River.</w:t>
      </w:r>
    </w:p>
    <w:p w14:paraId="02631B58" w14:textId="77777777" w:rsidR="00096910" w:rsidRDefault="00096910" w:rsidP="00D15FEC">
      <w:pPr>
        <w:pStyle w:val="AppendixHeading4"/>
      </w:pPr>
      <w:r>
        <w:t>Surface water quality</w:t>
      </w:r>
    </w:p>
    <w:p w14:paraId="2F1CBE82" w14:textId="2F785A41" w:rsidR="00096910" w:rsidRDefault="00096910" w:rsidP="003037D5">
      <w:pPr>
        <w:pStyle w:val="BodyText"/>
      </w:pPr>
      <w:r>
        <w:t>Average surface water salinity reported by the BoM (2017a) for the Gregory River and Gunpowder Creek (Nicholson-Leichhardt Catchment) was between 0–500 mg/L (fresh) and 500–1,000 mg/L (fresh to marginal) respectively for 2015–2016.</w:t>
      </w:r>
    </w:p>
    <w:p w14:paraId="7CC55C43" w14:textId="67983AF1" w:rsidR="00096910" w:rsidRDefault="00096910" w:rsidP="003037D5">
      <w:pPr>
        <w:pStyle w:val="BodyText"/>
      </w:pPr>
      <w:r w:rsidRPr="002A17E2">
        <w:lastRenderedPageBreak/>
        <w:t xml:space="preserve">Surface water quality for the Victoria River </w:t>
      </w:r>
      <w:r w:rsidRPr="00670C32">
        <w:t>as indicated by electrical conductivity, w</w:t>
      </w:r>
      <w:r w:rsidRPr="0046672D">
        <w:t>as</w:t>
      </w:r>
      <w:r w:rsidRPr="00670C32">
        <w:t xml:space="preserve"> generally around 200–400 µS/cm (Kirby and Faulks, 2004). In the Roper River, electrical conductivity levels range from 834 to 1873 µS/cm (Faulks, 2001). </w:t>
      </w:r>
    </w:p>
    <w:p w14:paraId="3A7181C8" w14:textId="561A28B5" w:rsidR="00096910" w:rsidRDefault="00096910" w:rsidP="003037D5">
      <w:pPr>
        <w:pStyle w:val="BodyText"/>
      </w:pPr>
      <w:r>
        <w:t>A survey of selected surface water bodies in the southeastern Georgina Basin by Randal (1978) showed the water suitable for stock purposes, with the exception of a sample taken at Young Australia Mine. It was noted that although most samples were suitable for domestic use, water colour was milky, due to clay suspension.</w:t>
      </w:r>
    </w:p>
    <w:p w14:paraId="2F8CB0D8" w14:textId="77777777" w:rsidR="00096910" w:rsidRDefault="00096910" w:rsidP="00D15FEC">
      <w:pPr>
        <w:pStyle w:val="AppendixHeading4"/>
      </w:pPr>
      <w:r>
        <w:t>Surface water flow</w:t>
      </w:r>
    </w:p>
    <w:p w14:paraId="43692A7B" w14:textId="44989CF1" w:rsidR="00096910" w:rsidRDefault="00096910" w:rsidP="003037D5">
      <w:pPr>
        <w:pStyle w:val="BodyText"/>
      </w:pPr>
      <w:r>
        <w:t xml:space="preserve">Rainfall in the region is markedly seasonal, with the majority of the rainfall occurring under the influence of the northwest monsoon, usually between late December and late February. Average rainfall varies from around 600–1,000 mm in the north to 200–300 mm in the south (BoM, 2017b). </w:t>
      </w:r>
    </w:p>
    <w:p w14:paraId="348F8C9F" w14:textId="2F4D557A" w:rsidR="00096910" w:rsidRDefault="00096910" w:rsidP="003037D5">
      <w:pPr>
        <w:pStyle w:val="BodyText"/>
      </w:pPr>
      <w:r>
        <w:t>Generally rivers are ephemeral and flow following the monsoonal rains. Permanent waterholes are present in many of the river systems. The predominantly perennial Roper River has marked seasonal flow regime of high water levels during the wet season and decreased water flow and river stage towards the end of the dry season. Approximately 96% of rainfall and 92% of runoff occurs during the wet season months according to the historical and recent climatic record (CSIRO, 2009).</w:t>
      </w:r>
    </w:p>
    <w:p w14:paraId="021284BC" w14:textId="47E1C6C2" w:rsidR="00096910" w:rsidRDefault="00096910" w:rsidP="003037D5">
      <w:pPr>
        <w:pStyle w:val="BodyText"/>
      </w:pPr>
      <w:r>
        <w:t xml:space="preserve">Regional Water Information (BoM, 2017b) provides information on the Gregory River system, which drains into the Gulf of Carpentaria. The stated average flow for the Gregory River at Gregory Downs), located approximately 120 km from the Gulf of Carpentaria is 1794 ML/day. </w:t>
      </w:r>
    </w:p>
    <w:p w14:paraId="1B7AD307" w14:textId="77777777" w:rsidR="00096910" w:rsidRDefault="00096910" w:rsidP="00D15FEC">
      <w:pPr>
        <w:pStyle w:val="AppendixHeading4"/>
      </w:pPr>
      <w:r>
        <w:t>Surface water planning and use</w:t>
      </w:r>
    </w:p>
    <w:p w14:paraId="51FE65E5" w14:textId="764961D0" w:rsidR="00096910" w:rsidRDefault="00096910" w:rsidP="003037D5">
      <w:pPr>
        <w:pStyle w:val="BodyText"/>
      </w:pPr>
      <w:r>
        <w:t>The Water Resource (Georgina and Diamantina) Plan 2004 (Queensland Government, 2004) allocates 1,000 ML as general reserve in the Lower Diamantina management area, and another 1,500 ML is available across the whole Diamantina-Georgina catchment area for projects of state significance. However, there is negligible use of surface water in the region, as most are reliant on bore water for a dependable water supply (Smith et al., 2015).</w:t>
      </w:r>
    </w:p>
    <w:p w14:paraId="26B40695" w14:textId="77777777" w:rsidR="008B38C1" w:rsidRDefault="008B38C1" w:rsidP="00E34CDE">
      <w:pPr>
        <w:pStyle w:val="AppendixHeading3"/>
      </w:pPr>
      <w:bookmarkStart w:id="292" w:name="_Toc517161195"/>
      <w:r>
        <w:t>Groundwater – surface water interactions</w:t>
      </w:r>
      <w:bookmarkEnd w:id="292"/>
    </w:p>
    <w:p w14:paraId="25206781" w14:textId="77777777" w:rsidR="00096910" w:rsidRDefault="00096910" w:rsidP="003037D5">
      <w:pPr>
        <w:pStyle w:val="BodyText"/>
      </w:pPr>
      <w:r>
        <w:t>Within the central Eromanga region and the broader GAB, groundwater recharge occurs through rainfall infiltration on the western slopes of the Great Dividing Range. Recharge predominantly occurs in the high rainfall areas of the eastern GAB and flows in a west to southwest direction (DWE, 2009). To a lesser degree, recharge occurs in the southeast of the Northern Territory, and the western margin of the Eromanga Basin in South Australia (SAALNRMB, 2009).</w:t>
      </w:r>
    </w:p>
    <w:p w14:paraId="672F97AD" w14:textId="31D597BB" w:rsidR="00096910" w:rsidRDefault="00096910" w:rsidP="003037D5">
      <w:pPr>
        <w:pStyle w:val="BodyText"/>
      </w:pPr>
      <w:r>
        <w:t>Groundwater recharge to the Paleozoic and Cenozoic aquifers in the Georgina Basin is generally by direct percolation of rainfall into surface fractures, permeable soil cover and through alluvial or lacustrine recharge (Randal, 1978).</w:t>
      </w:r>
    </w:p>
    <w:p w14:paraId="27DAC38E" w14:textId="26F81744" w:rsidR="00096910" w:rsidRDefault="00096910" w:rsidP="003037D5">
      <w:pPr>
        <w:pStyle w:val="BodyText"/>
      </w:pPr>
      <w:r>
        <w:lastRenderedPageBreak/>
        <w:t xml:space="preserve">Many ecosystems depend on groundwater from springs in the GAB. These range in size from small vents to large mounds and may be surrounded by wetlands. Spring complexes that are located in major regional clusters are referred to as supergroups. The Flinders River and Springvale supergroups, which occur in the northern and northwestern portion of the central Eromanga Basin respectively, include complexes overlying the </w:t>
      </w:r>
      <w:r w:rsidR="00EA0B2F">
        <w:t>Mount Isa Province</w:t>
      </w:r>
      <w:r>
        <w:t xml:space="preserve"> (Smerdon et al., 2012)</w:t>
      </w:r>
    </w:p>
    <w:p w14:paraId="46585A0B" w14:textId="77777777" w:rsidR="008B38C1" w:rsidRDefault="008B38C1" w:rsidP="00E34CDE">
      <w:pPr>
        <w:pStyle w:val="AppendixHeading3"/>
      </w:pPr>
      <w:bookmarkStart w:id="293" w:name="_Toc517161196"/>
      <w:r>
        <w:t>Environmental assets</w:t>
      </w:r>
      <w:bookmarkEnd w:id="293"/>
      <w:r>
        <w:t xml:space="preserve"> </w:t>
      </w:r>
    </w:p>
    <w:p w14:paraId="46832FAA" w14:textId="47544798" w:rsidR="008B38C1" w:rsidRDefault="008B38C1" w:rsidP="003037D5">
      <w:pPr>
        <w:pStyle w:val="BodyText"/>
      </w:pPr>
      <w:r>
        <w:t xml:space="preserve">Within the </w:t>
      </w:r>
      <w:r w:rsidR="00EA0B2F">
        <w:t>Mount Isa Province</w:t>
      </w:r>
      <w:r>
        <w:t>, there are 6</w:t>
      </w:r>
      <w:r w:rsidR="00D47844">
        <w:t>,</w:t>
      </w:r>
      <w:r>
        <w:t>323</w:t>
      </w:r>
      <w:r w:rsidR="008232C9">
        <w:t> km</w:t>
      </w:r>
      <w:r w:rsidRPr="005450A3">
        <w:rPr>
          <w:rStyle w:val="Superscript"/>
        </w:rPr>
        <w:t>2</w:t>
      </w:r>
      <w:r>
        <w:t xml:space="preserve"> of Listed Nationally Important Wetlands, 37,734</w:t>
      </w:r>
      <w:r w:rsidR="008232C9">
        <w:t> km</w:t>
      </w:r>
      <w:r w:rsidRPr="005450A3">
        <w:rPr>
          <w:rStyle w:val="Superscript"/>
        </w:rPr>
        <w:t>2</w:t>
      </w:r>
      <w:r>
        <w:t xml:space="preserve"> of Groundwater Dependant Ecosystems (of at least moderate potential) and no Ramsar wetlands. A total of 10,111</w:t>
      </w:r>
      <w:r w:rsidR="008232C9">
        <w:t> km</w:t>
      </w:r>
      <w:r w:rsidRPr="005450A3">
        <w:rPr>
          <w:rStyle w:val="Superscript"/>
        </w:rPr>
        <w:t>2</w:t>
      </w:r>
      <w:r>
        <w:t xml:space="preserve"> of protected areas (such as national parks) are listed (</w:t>
      </w:r>
      <w:r w:rsidR="00611607">
        <w:t>Table C</w:t>
      </w:r>
      <w:r w:rsidR="00A24684">
        <w:t>.51</w:t>
      </w:r>
      <w:r>
        <w:t>).</w:t>
      </w:r>
    </w:p>
    <w:p w14:paraId="21E0CDD3" w14:textId="77777777" w:rsidR="00F27BC3" w:rsidRDefault="00F27BC3" w:rsidP="003037D5">
      <w:pPr>
        <w:pStyle w:val="BodyText"/>
      </w:pPr>
    </w:p>
    <w:p w14:paraId="31C8542A" w14:textId="77777777" w:rsidR="008B38C1" w:rsidRDefault="006971A5" w:rsidP="009F3E8F">
      <w:pPr>
        <w:pStyle w:val="Caption"/>
        <w:rPr>
          <w:rFonts w:eastAsia="Times New Roman"/>
        </w:rPr>
      </w:pPr>
      <w:bookmarkStart w:id="294" w:name="_Toc508972200"/>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51</w:t>
      </w:r>
      <w:r w:rsidR="008079F1">
        <w:rPr>
          <w:noProof/>
        </w:rPr>
        <w:fldChar w:fldCharType="end"/>
      </w:r>
      <w:r>
        <w:t xml:space="preserve"> </w:t>
      </w:r>
      <w:r w:rsidR="008B38C1">
        <w:t>Summary statistics for environmental assets</w:t>
      </w:r>
      <w:bookmarkEnd w:id="294"/>
    </w:p>
    <w:tbl>
      <w:tblPr>
        <w:tblStyle w:val="TableBAHeaderColumn"/>
        <w:tblW w:w="5000" w:type="pct"/>
        <w:tblInd w:w="0" w:type="dxa"/>
        <w:tblLook w:val="04A0" w:firstRow="1" w:lastRow="0" w:firstColumn="1" w:lastColumn="0" w:noHBand="0" w:noVBand="1"/>
      </w:tblPr>
      <w:tblGrid>
        <w:gridCol w:w="4972"/>
        <w:gridCol w:w="4667"/>
      </w:tblGrid>
      <w:tr w:rsidR="008B38C1" w14:paraId="71694EE6"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6D51AD11" w14:textId="77777777" w:rsidR="008B38C1" w:rsidRDefault="008B38C1">
            <w:pPr>
              <w:pStyle w:val="TableTextLeft"/>
            </w:pPr>
            <w:r>
              <w:t>Environmental Assets</w:t>
            </w:r>
          </w:p>
        </w:tc>
      </w:tr>
      <w:tr w:rsidR="008B38C1" w14:paraId="103E4B81"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7004B2C8" w14:textId="77777777" w:rsidR="008B38C1" w:rsidRDefault="008B38C1">
            <w:pPr>
              <w:pStyle w:val="TableTextLeft"/>
              <w:rPr>
                <w:szCs w:val="18"/>
              </w:rPr>
            </w:pPr>
            <w:r>
              <w:rPr>
                <w:szCs w:val="18"/>
              </w:rPr>
              <w:t>Ramsar Wetlands</w:t>
            </w:r>
          </w:p>
        </w:tc>
        <w:tc>
          <w:tcPr>
            <w:tcW w:w="2421" w:type="pct"/>
            <w:hideMark/>
          </w:tcPr>
          <w:p w14:paraId="7F4B8BC7"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 xml:space="preserve"> None</w:t>
            </w:r>
          </w:p>
        </w:tc>
      </w:tr>
      <w:tr w:rsidR="008B38C1" w14:paraId="2AA3A9C1" w14:textId="77777777" w:rsidTr="00F27BC3">
        <w:trPr>
          <w:cnfStyle w:val="100000000000" w:firstRow="1" w:lastRow="0" w:firstColumn="0" w:lastColumn="0" w:oddVBand="0" w:evenVBand="0" w:oddHBand="0" w:evenHBand="0" w:firstRowFirstColumn="0" w:firstRowLastColumn="0" w:lastRowFirstColumn="0" w:lastRowLastColumn="0"/>
          <w:trHeight w:val="1628"/>
        </w:trPr>
        <w:tc>
          <w:tcPr>
            <w:cnfStyle w:val="001000000100" w:firstRow="0" w:lastRow="0" w:firstColumn="1" w:lastColumn="0" w:oddVBand="0" w:evenVBand="0" w:oddHBand="0" w:evenHBand="0" w:firstRowFirstColumn="1" w:firstRowLastColumn="0" w:lastRowFirstColumn="0" w:lastRowLastColumn="0"/>
            <w:tcW w:w="2579" w:type="pct"/>
            <w:hideMark/>
          </w:tcPr>
          <w:p w14:paraId="40E3513B" w14:textId="77777777" w:rsidR="008B38C1" w:rsidRDefault="008B38C1">
            <w:pPr>
              <w:pStyle w:val="TableTextLeft"/>
              <w:rPr>
                <w:szCs w:val="18"/>
              </w:rPr>
            </w:pPr>
            <w:r>
              <w:rPr>
                <w:szCs w:val="18"/>
              </w:rPr>
              <w:t>Nationally Important Wetlands</w:t>
            </w:r>
          </w:p>
          <w:p w14:paraId="6BB01534" w14:textId="77777777" w:rsidR="008B38C1" w:rsidRDefault="008B38C1">
            <w:pPr>
              <w:pStyle w:val="TableTextLeft"/>
              <w:rPr>
                <w:szCs w:val="18"/>
              </w:rPr>
            </w:pPr>
            <w:r>
              <w:rPr>
                <w:szCs w:val="18"/>
              </w:rPr>
              <w:t>Top 5 by area</w:t>
            </w:r>
          </w:p>
          <w:p w14:paraId="5D2A64C0" w14:textId="77777777" w:rsidR="008B38C1" w:rsidRDefault="008B38C1">
            <w:pPr>
              <w:pStyle w:val="TableTextLeft"/>
              <w:rPr>
                <w:szCs w:val="18"/>
              </w:rPr>
            </w:pPr>
            <w:r>
              <w:rPr>
                <w:szCs w:val="18"/>
              </w:rPr>
              <w:t>(area</w:t>
            </w:r>
            <w:r w:rsidR="008232C9">
              <w:rPr>
                <w:szCs w:val="18"/>
              </w:rPr>
              <w:t> km</w:t>
            </w:r>
            <w:r>
              <w:rPr>
                <w:szCs w:val="18"/>
                <w:vertAlign w:val="superscript"/>
              </w:rPr>
              <w:t>2</w:t>
            </w:r>
            <w:r>
              <w:rPr>
                <w:szCs w:val="18"/>
              </w:rPr>
              <w:t>)</w:t>
            </w:r>
          </w:p>
        </w:tc>
        <w:tc>
          <w:tcPr>
            <w:tcW w:w="2421" w:type="pct"/>
            <w:hideMark/>
          </w:tcPr>
          <w:tbl>
            <w:tblPr>
              <w:tblW w:w="4200" w:type="dxa"/>
              <w:tblLook w:val="04A0" w:firstRow="1" w:lastRow="0" w:firstColumn="1" w:lastColumn="0" w:noHBand="0" w:noVBand="1"/>
            </w:tblPr>
            <w:tblGrid>
              <w:gridCol w:w="3206"/>
              <w:gridCol w:w="994"/>
            </w:tblGrid>
            <w:tr w:rsidR="008B38C1" w14:paraId="2F4BCE17" w14:textId="77777777" w:rsidTr="00F27BC3">
              <w:trPr>
                <w:trHeight w:val="300"/>
              </w:trPr>
              <w:tc>
                <w:tcPr>
                  <w:tcW w:w="3203" w:type="dxa"/>
                  <w:noWrap/>
                  <w:vAlign w:val="bottom"/>
                  <w:hideMark/>
                </w:tcPr>
                <w:p w14:paraId="3E67F324" w14:textId="77777777" w:rsidR="008B38C1" w:rsidRDefault="008B38C1">
                  <w:pPr>
                    <w:pStyle w:val="TableTextLeft"/>
                    <w:rPr>
                      <w:szCs w:val="18"/>
                    </w:rPr>
                  </w:pPr>
                  <w:r>
                    <w:rPr>
                      <w:szCs w:val="18"/>
                    </w:rPr>
                    <w:t>Thorntonia Aggregation</w:t>
                  </w:r>
                </w:p>
              </w:tc>
              <w:tc>
                <w:tcPr>
                  <w:tcW w:w="993" w:type="dxa"/>
                  <w:noWrap/>
                  <w:vAlign w:val="bottom"/>
                  <w:hideMark/>
                </w:tcPr>
                <w:p w14:paraId="34E77A4E" w14:textId="77777777" w:rsidR="008B38C1" w:rsidRDefault="008B38C1" w:rsidP="000350BE">
                  <w:pPr>
                    <w:pStyle w:val="TableTextRight0"/>
                  </w:pPr>
                  <w:r>
                    <w:t>2</w:t>
                  </w:r>
                  <w:r w:rsidR="00D47844">
                    <w:t>,</w:t>
                  </w:r>
                  <w:r>
                    <w:t>970</w:t>
                  </w:r>
                </w:p>
              </w:tc>
            </w:tr>
            <w:tr w:rsidR="008B38C1" w14:paraId="2FB7CA5C" w14:textId="77777777" w:rsidTr="00F27BC3">
              <w:trPr>
                <w:trHeight w:val="300"/>
              </w:trPr>
              <w:tc>
                <w:tcPr>
                  <w:tcW w:w="3203" w:type="dxa"/>
                  <w:noWrap/>
                  <w:vAlign w:val="bottom"/>
                  <w:hideMark/>
                </w:tcPr>
                <w:p w14:paraId="0A2E1456" w14:textId="77777777" w:rsidR="008B38C1" w:rsidRDefault="008B38C1">
                  <w:pPr>
                    <w:pStyle w:val="TableTextLeft"/>
                    <w:rPr>
                      <w:szCs w:val="18"/>
                    </w:rPr>
                  </w:pPr>
                  <w:r>
                    <w:rPr>
                      <w:szCs w:val="18"/>
                    </w:rPr>
                    <w:t>Southern Gulf Aggregation</w:t>
                  </w:r>
                </w:p>
              </w:tc>
              <w:tc>
                <w:tcPr>
                  <w:tcW w:w="993" w:type="dxa"/>
                  <w:noWrap/>
                  <w:vAlign w:val="bottom"/>
                  <w:hideMark/>
                </w:tcPr>
                <w:p w14:paraId="24CEE1C3" w14:textId="77777777" w:rsidR="008B38C1" w:rsidRDefault="008B38C1" w:rsidP="000350BE">
                  <w:pPr>
                    <w:pStyle w:val="TableTextRight0"/>
                  </w:pPr>
                  <w:r>
                    <w:t>2</w:t>
                  </w:r>
                  <w:r w:rsidR="00D47844">
                    <w:t>,</w:t>
                  </w:r>
                  <w:r>
                    <w:t>140</w:t>
                  </w:r>
                </w:p>
              </w:tc>
            </w:tr>
            <w:tr w:rsidR="008B38C1" w14:paraId="4943FB9A" w14:textId="77777777" w:rsidTr="00F27BC3">
              <w:trPr>
                <w:trHeight w:val="300"/>
              </w:trPr>
              <w:tc>
                <w:tcPr>
                  <w:tcW w:w="3203" w:type="dxa"/>
                  <w:noWrap/>
                  <w:vAlign w:val="bottom"/>
                  <w:hideMark/>
                </w:tcPr>
                <w:p w14:paraId="38DB0111" w14:textId="77777777" w:rsidR="008B38C1" w:rsidRDefault="008B38C1">
                  <w:pPr>
                    <w:pStyle w:val="TableTextLeft"/>
                    <w:rPr>
                      <w:szCs w:val="18"/>
                    </w:rPr>
                  </w:pPr>
                  <w:r>
                    <w:rPr>
                      <w:szCs w:val="18"/>
                    </w:rPr>
                    <w:t>Musselbrook Creek Aggregation</w:t>
                  </w:r>
                </w:p>
              </w:tc>
              <w:tc>
                <w:tcPr>
                  <w:tcW w:w="993" w:type="dxa"/>
                  <w:noWrap/>
                  <w:vAlign w:val="bottom"/>
                  <w:hideMark/>
                </w:tcPr>
                <w:p w14:paraId="44C4B441" w14:textId="77777777" w:rsidR="008B38C1" w:rsidRDefault="008B38C1" w:rsidP="000350BE">
                  <w:pPr>
                    <w:pStyle w:val="TableTextRight0"/>
                  </w:pPr>
                  <w:r>
                    <w:t>451</w:t>
                  </w:r>
                </w:p>
              </w:tc>
            </w:tr>
            <w:tr w:rsidR="008B38C1" w14:paraId="18286546" w14:textId="77777777" w:rsidTr="00F27BC3">
              <w:trPr>
                <w:trHeight w:val="300"/>
              </w:trPr>
              <w:tc>
                <w:tcPr>
                  <w:tcW w:w="3203" w:type="dxa"/>
                  <w:noWrap/>
                  <w:vAlign w:val="bottom"/>
                  <w:hideMark/>
                </w:tcPr>
                <w:p w14:paraId="5018228E" w14:textId="77777777" w:rsidR="008B38C1" w:rsidRDefault="008B38C1">
                  <w:pPr>
                    <w:pStyle w:val="TableTextLeft"/>
                    <w:rPr>
                      <w:szCs w:val="18"/>
                    </w:rPr>
                  </w:pPr>
                  <w:r>
                    <w:rPr>
                      <w:szCs w:val="18"/>
                    </w:rPr>
                    <w:t>Nicholson Delta Aggregation</w:t>
                  </w:r>
                </w:p>
              </w:tc>
              <w:tc>
                <w:tcPr>
                  <w:tcW w:w="993" w:type="dxa"/>
                  <w:noWrap/>
                  <w:vAlign w:val="bottom"/>
                  <w:hideMark/>
                </w:tcPr>
                <w:p w14:paraId="48F272BC" w14:textId="77777777" w:rsidR="008B38C1" w:rsidRDefault="008B38C1" w:rsidP="000350BE">
                  <w:pPr>
                    <w:pStyle w:val="TableTextRight0"/>
                  </w:pPr>
                  <w:r>
                    <w:t>357</w:t>
                  </w:r>
                </w:p>
              </w:tc>
            </w:tr>
            <w:tr w:rsidR="008B38C1" w14:paraId="193256E3" w14:textId="77777777" w:rsidTr="00F27BC3">
              <w:trPr>
                <w:trHeight w:val="300"/>
              </w:trPr>
              <w:tc>
                <w:tcPr>
                  <w:tcW w:w="3203" w:type="dxa"/>
                  <w:noWrap/>
                  <w:vAlign w:val="bottom"/>
                  <w:hideMark/>
                </w:tcPr>
                <w:p w14:paraId="60C1F323" w14:textId="77777777" w:rsidR="008B38C1" w:rsidRDefault="008B38C1">
                  <w:pPr>
                    <w:pStyle w:val="TableTextLeft"/>
                    <w:rPr>
                      <w:szCs w:val="18"/>
                    </w:rPr>
                  </w:pPr>
                  <w:r>
                    <w:rPr>
                      <w:szCs w:val="18"/>
                    </w:rPr>
                    <w:t>Gregory River</w:t>
                  </w:r>
                </w:p>
              </w:tc>
              <w:tc>
                <w:tcPr>
                  <w:tcW w:w="993" w:type="dxa"/>
                  <w:noWrap/>
                  <w:vAlign w:val="bottom"/>
                  <w:hideMark/>
                </w:tcPr>
                <w:p w14:paraId="0B997536" w14:textId="77777777" w:rsidR="008B38C1" w:rsidRDefault="008B38C1" w:rsidP="000350BE">
                  <w:pPr>
                    <w:pStyle w:val="TableTextRight0"/>
                  </w:pPr>
                  <w:r>
                    <w:t>265</w:t>
                  </w:r>
                </w:p>
              </w:tc>
            </w:tr>
            <w:tr w:rsidR="008B38C1" w14:paraId="52509544" w14:textId="77777777" w:rsidTr="00F27BC3">
              <w:trPr>
                <w:trHeight w:val="300"/>
              </w:trPr>
              <w:tc>
                <w:tcPr>
                  <w:tcW w:w="3203" w:type="dxa"/>
                  <w:noWrap/>
                  <w:vAlign w:val="bottom"/>
                  <w:hideMark/>
                </w:tcPr>
                <w:p w14:paraId="3B3BF3C5" w14:textId="77777777" w:rsidR="008B38C1" w:rsidRDefault="008B38C1">
                  <w:pPr>
                    <w:pStyle w:val="TableTextLeft"/>
                    <w:rPr>
                      <w:szCs w:val="18"/>
                    </w:rPr>
                  </w:pPr>
                  <w:r>
                    <w:rPr>
                      <w:szCs w:val="18"/>
                    </w:rPr>
                    <w:t>TOTAL WETLAND AREA</w:t>
                  </w:r>
                </w:p>
              </w:tc>
              <w:tc>
                <w:tcPr>
                  <w:tcW w:w="993" w:type="dxa"/>
                  <w:noWrap/>
                  <w:vAlign w:val="bottom"/>
                  <w:hideMark/>
                </w:tcPr>
                <w:p w14:paraId="060393FA" w14:textId="77777777" w:rsidR="008B38C1" w:rsidRDefault="008B38C1" w:rsidP="000350BE">
                  <w:pPr>
                    <w:pStyle w:val="TableTextRight0"/>
                  </w:pPr>
                  <w:r>
                    <w:t>6</w:t>
                  </w:r>
                  <w:r w:rsidR="00D47844">
                    <w:t>,</w:t>
                  </w:r>
                  <w:r>
                    <w:t>323</w:t>
                  </w:r>
                </w:p>
              </w:tc>
            </w:tr>
          </w:tbl>
          <w:p w14:paraId="787B3B6C"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B38C1" w14:paraId="4245805D"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63B40CFB" w14:textId="77777777" w:rsidR="008B38C1" w:rsidRDefault="008B38C1">
            <w:pPr>
              <w:pStyle w:val="TableTextLeft"/>
              <w:rPr>
                <w:szCs w:val="18"/>
              </w:rPr>
            </w:pPr>
            <w:r>
              <w:rPr>
                <w:szCs w:val="18"/>
              </w:rPr>
              <w:t>Protected areas (CAPAD 2016)</w:t>
            </w:r>
          </w:p>
          <w:p w14:paraId="0D62D80C" w14:textId="77777777" w:rsidR="008B38C1" w:rsidRDefault="008B38C1">
            <w:pPr>
              <w:pStyle w:val="TableTextLeft"/>
              <w:rPr>
                <w:szCs w:val="18"/>
              </w:rPr>
            </w:pPr>
            <w:r>
              <w:rPr>
                <w:szCs w:val="18"/>
              </w:rPr>
              <w:t>Top 5 by area (area</w:t>
            </w:r>
            <w:r w:rsidR="008232C9">
              <w:rPr>
                <w:szCs w:val="18"/>
              </w:rPr>
              <w:t> km</w:t>
            </w:r>
            <w:r>
              <w:rPr>
                <w:szCs w:val="18"/>
                <w:vertAlign w:val="superscript"/>
              </w:rPr>
              <w:t>2</w:t>
            </w:r>
            <w:r>
              <w:rPr>
                <w:szCs w:val="18"/>
              </w:rPr>
              <w:t>)</w:t>
            </w:r>
          </w:p>
        </w:tc>
        <w:tc>
          <w:tcPr>
            <w:tcW w:w="2421" w:type="pct"/>
            <w:hideMark/>
          </w:tcPr>
          <w:tbl>
            <w:tblPr>
              <w:tblW w:w="4200" w:type="dxa"/>
              <w:tblLook w:val="04A0" w:firstRow="1" w:lastRow="0" w:firstColumn="1" w:lastColumn="0" w:noHBand="0" w:noVBand="1"/>
            </w:tblPr>
            <w:tblGrid>
              <w:gridCol w:w="3206"/>
              <w:gridCol w:w="994"/>
            </w:tblGrid>
            <w:tr w:rsidR="008B38C1" w14:paraId="60E3084D" w14:textId="77777777" w:rsidTr="00F27BC3">
              <w:trPr>
                <w:trHeight w:val="300"/>
              </w:trPr>
              <w:tc>
                <w:tcPr>
                  <w:tcW w:w="3203" w:type="dxa"/>
                  <w:noWrap/>
                  <w:vAlign w:val="bottom"/>
                  <w:hideMark/>
                </w:tcPr>
                <w:p w14:paraId="2406F630" w14:textId="77777777" w:rsidR="008B38C1" w:rsidRDefault="008B38C1">
                  <w:pPr>
                    <w:pStyle w:val="TableTextLeft"/>
                    <w:rPr>
                      <w:szCs w:val="18"/>
                    </w:rPr>
                  </w:pPr>
                  <w:r>
                    <w:rPr>
                      <w:szCs w:val="18"/>
                    </w:rPr>
                    <w:t>National Park</w:t>
                  </w:r>
                </w:p>
              </w:tc>
              <w:tc>
                <w:tcPr>
                  <w:tcW w:w="993" w:type="dxa"/>
                  <w:noWrap/>
                  <w:vAlign w:val="bottom"/>
                  <w:hideMark/>
                </w:tcPr>
                <w:p w14:paraId="3A1F6143" w14:textId="77777777" w:rsidR="008B38C1" w:rsidRDefault="008B38C1" w:rsidP="000350BE">
                  <w:pPr>
                    <w:pStyle w:val="TableTextRight0"/>
                  </w:pPr>
                  <w:r>
                    <w:t>6</w:t>
                  </w:r>
                  <w:r w:rsidR="00D47844">
                    <w:t>,</w:t>
                  </w:r>
                  <w:r>
                    <w:t>745</w:t>
                  </w:r>
                </w:p>
              </w:tc>
            </w:tr>
            <w:tr w:rsidR="008B38C1" w14:paraId="667ACE2E" w14:textId="77777777" w:rsidTr="00F27BC3">
              <w:trPr>
                <w:trHeight w:val="300"/>
              </w:trPr>
              <w:tc>
                <w:tcPr>
                  <w:tcW w:w="3203" w:type="dxa"/>
                  <w:noWrap/>
                  <w:vAlign w:val="bottom"/>
                  <w:hideMark/>
                </w:tcPr>
                <w:p w14:paraId="00C25E53" w14:textId="77777777" w:rsidR="008B38C1" w:rsidRDefault="008B38C1">
                  <w:pPr>
                    <w:pStyle w:val="TableTextLeft"/>
                    <w:rPr>
                      <w:szCs w:val="18"/>
                    </w:rPr>
                  </w:pPr>
                  <w:r>
                    <w:rPr>
                      <w:szCs w:val="18"/>
                    </w:rPr>
                    <w:t>Nature Refuge</w:t>
                  </w:r>
                </w:p>
              </w:tc>
              <w:tc>
                <w:tcPr>
                  <w:tcW w:w="993" w:type="dxa"/>
                  <w:noWrap/>
                  <w:vAlign w:val="bottom"/>
                  <w:hideMark/>
                </w:tcPr>
                <w:p w14:paraId="3BA93C4B" w14:textId="77777777" w:rsidR="008B38C1" w:rsidRDefault="008B38C1" w:rsidP="000350BE">
                  <w:pPr>
                    <w:pStyle w:val="TableTextRight0"/>
                  </w:pPr>
                  <w:r>
                    <w:t>2</w:t>
                  </w:r>
                  <w:r w:rsidR="00D47844">
                    <w:t>,</w:t>
                  </w:r>
                  <w:r>
                    <w:t>298</w:t>
                  </w:r>
                </w:p>
              </w:tc>
            </w:tr>
            <w:tr w:rsidR="008B38C1" w14:paraId="5B08BBBA" w14:textId="77777777" w:rsidTr="00F27BC3">
              <w:trPr>
                <w:trHeight w:val="300"/>
              </w:trPr>
              <w:tc>
                <w:tcPr>
                  <w:tcW w:w="3203" w:type="dxa"/>
                  <w:noWrap/>
                  <w:vAlign w:val="bottom"/>
                  <w:hideMark/>
                </w:tcPr>
                <w:p w14:paraId="1044A437" w14:textId="77777777" w:rsidR="008B38C1" w:rsidRDefault="008B38C1">
                  <w:pPr>
                    <w:pStyle w:val="TableTextLeft"/>
                    <w:rPr>
                      <w:szCs w:val="18"/>
                    </w:rPr>
                  </w:pPr>
                  <w:r>
                    <w:rPr>
                      <w:szCs w:val="18"/>
                    </w:rPr>
                    <w:t>Regional Park</w:t>
                  </w:r>
                </w:p>
              </w:tc>
              <w:tc>
                <w:tcPr>
                  <w:tcW w:w="993" w:type="dxa"/>
                  <w:noWrap/>
                  <w:vAlign w:val="bottom"/>
                  <w:hideMark/>
                </w:tcPr>
                <w:p w14:paraId="345C7BDE" w14:textId="77777777" w:rsidR="008B38C1" w:rsidRDefault="008B38C1" w:rsidP="000350BE">
                  <w:pPr>
                    <w:pStyle w:val="TableTextRight0"/>
                  </w:pPr>
                  <w:r>
                    <w:t>968</w:t>
                  </w:r>
                </w:p>
              </w:tc>
            </w:tr>
            <w:tr w:rsidR="008B38C1" w14:paraId="2A43A6FD" w14:textId="77777777" w:rsidTr="00F27BC3">
              <w:trPr>
                <w:trHeight w:val="300"/>
              </w:trPr>
              <w:tc>
                <w:tcPr>
                  <w:tcW w:w="3203" w:type="dxa"/>
                  <w:noWrap/>
                  <w:vAlign w:val="bottom"/>
                  <w:hideMark/>
                </w:tcPr>
                <w:p w14:paraId="7916C4BB" w14:textId="77777777" w:rsidR="008B38C1" w:rsidRDefault="008B38C1">
                  <w:pPr>
                    <w:pStyle w:val="TableTextLeft"/>
                    <w:rPr>
                      <w:szCs w:val="18"/>
                    </w:rPr>
                  </w:pPr>
                  <w:r>
                    <w:rPr>
                      <w:szCs w:val="18"/>
                    </w:rPr>
                    <w:t>—</w:t>
                  </w:r>
                </w:p>
              </w:tc>
              <w:tc>
                <w:tcPr>
                  <w:tcW w:w="993" w:type="dxa"/>
                  <w:noWrap/>
                  <w:vAlign w:val="bottom"/>
                  <w:hideMark/>
                </w:tcPr>
                <w:p w14:paraId="798624EE" w14:textId="77777777" w:rsidR="008B38C1" w:rsidRDefault="008B38C1" w:rsidP="000350BE">
                  <w:pPr>
                    <w:pStyle w:val="TableTextRight0"/>
                  </w:pPr>
                  <w:r>
                    <w:t>0</w:t>
                  </w:r>
                </w:p>
              </w:tc>
            </w:tr>
            <w:tr w:rsidR="008B38C1" w14:paraId="10A62EBE" w14:textId="77777777" w:rsidTr="00F27BC3">
              <w:trPr>
                <w:trHeight w:val="300"/>
              </w:trPr>
              <w:tc>
                <w:tcPr>
                  <w:tcW w:w="3203" w:type="dxa"/>
                  <w:noWrap/>
                  <w:vAlign w:val="bottom"/>
                  <w:hideMark/>
                </w:tcPr>
                <w:p w14:paraId="0069FA60" w14:textId="77777777" w:rsidR="008B38C1" w:rsidRDefault="008B38C1">
                  <w:pPr>
                    <w:pStyle w:val="TableTextLeft"/>
                    <w:rPr>
                      <w:szCs w:val="18"/>
                    </w:rPr>
                  </w:pPr>
                  <w:r>
                    <w:rPr>
                      <w:szCs w:val="18"/>
                    </w:rPr>
                    <w:t>—</w:t>
                  </w:r>
                </w:p>
              </w:tc>
              <w:tc>
                <w:tcPr>
                  <w:tcW w:w="993" w:type="dxa"/>
                  <w:noWrap/>
                  <w:vAlign w:val="bottom"/>
                  <w:hideMark/>
                </w:tcPr>
                <w:p w14:paraId="7CB6ECC5" w14:textId="77777777" w:rsidR="008B38C1" w:rsidRDefault="008B38C1" w:rsidP="000350BE">
                  <w:pPr>
                    <w:pStyle w:val="TableTextRight0"/>
                  </w:pPr>
                  <w:r>
                    <w:t>0</w:t>
                  </w:r>
                </w:p>
              </w:tc>
            </w:tr>
            <w:tr w:rsidR="008B38C1" w14:paraId="5B8BADD7" w14:textId="77777777" w:rsidTr="00F27BC3">
              <w:trPr>
                <w:trHeight w:val="300"/>
              </w:trPr>
              <w:tc>
                <w:tcPr>
                  <w:tcW w:w="3203" w:type="dxa"/>
                  <w:noWrap/>
                  <w:vAlign w:val="bottom"/>
                  <w:hideMark/>
                </w:tcPr>
                <w:p w14:paraId="525BE38C" w14:textId="77777777" w:rsidR="008B38C1" w:rsidRDefault="008B38C1">
                  <w:pPr>
                    <w:pStyle w:val="TableTextLeft"/>
                    <w:rPr>
                      <w:szCs w:val="18"/>
                    </w:rPr>
                  </w:pPr>
                  <w:r>
                    <w:rPr>
                      <w:szCs w:val="18"/>
                    </w:rPr>
                    <w:t xml:space="preserve">TOTAL PROTECTED AREA </w:t>
                  </w:r>
                </w:p>
              </w:tc>
              <w:tc>
                <w:tcPr>
                  <w:tcW w:w="993" w:type="dxa"/>
                  <w:noWrap/>
                  <w:vAlign w:val="bottom"/>
                  <w:hideMark/>
                </w:tcPr>
                <w:p w14:paraId="2A35585D" w14:textId="77777777" w:rsidR="008B38C1" w:rsidRDefault="008B38C1" w:rsidP="000350BE">
                  <w:pPr>
                    <w:pStyle w:val="TableTextRight0"/>
                  </w:pPr>
                  <w:r>
                    <w:t>10,011</w:t>
                  </w:r>
                </w:p>
              </w:tc>
            </w:tr>
          </w:tbl>
          <w:p w14:paraId="18990AF1"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B38C1" w14:paraId="734385B8"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7F5A4E31" w14:textId="77777777" w:rsidR="008B38C1" w:rsidRDefault="008B38C1">
            <w:pPr>
              <w:pStyle w:val="TableTextLeft"/>
              <w:rPr>
                <w:szCs w:val="18"/>
              </w:rPr>
            </w:pPr>
            <w:r>
              <w:rPr>
                <w:szCs w:val="18"/>
              </w:rPr>
              <w:t>Aquatic and Terrestrial Groundwater Dependant Ecosystems, of known, high potential and moderate potential (area</w:t>
            </w:r>
            <w:r w:rsidR="008232C9">
              <w:rPr>
                <w:szCs w:val="18"/>
              </w:rPr>
              <w:t> km</w:t>
            </w:r>
            <w:r>
              <w:rPr>
                <w:szCs w:val="18"/>
                <w:vertAlign w:val="superscript"/>
              </w:rPr>
              <w:t>2</w:t>
            </w:r>
            <w:r>
              <w:rPr>
                <w:szCs w:val="18"/>
              </w:rPr>
              <w:t>).</w:t>
            </w:r>
          </w:p>
          <w:p w14:paraId="4676A8E8" w14:textId="77777777" w:rsidR="008B38C1" w:rsidRDefault="008B38C1">
            <w:pPr>
              <w:pStyle w:val="TableTextLeft"/>
              <w:rPr>
                <w:szCs w:val="18"/>
              </w:rPr>
            </w:pPr>
          </w:p>
        </w:tc>
        <w:tc>
          <w:tcPr>
            <w:tcW w:w="2421" w:type="pct"/>
          </w:tcPr>
          <w:p w14:paraId="513AB6E7"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37,734</w:t>
            </w:r>
          </w:p>
          <w:p w14:paraId="5487A7F7"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bl>
    <w:p w14:paraId="14EAD54B" w14:textId="77777777" w:rsidR="00E8067C" w:rsidRPr="00E8067C" w:rsidRDefault="00E8067C" w:rsidP="006A6AF0">
      <w:pPr>
        <w:pStyle w:val="BodyText"/>
      </w:pPr>
    </w:p>
    <w:p w14:paraId="1228D9AA" w14:textId="77777777" w:rsidR="008B38C1" w:rsidRDefault="008B38C1" w:rsidP="00E34CDE">
      <w:pPr>
        <w:pStyle w:val="AppendixHeading3"/>
      </w:pPr>
      <w:bookmarkStart w:id="295" w:name="_Toc517161197"/>
      <w:r>
        <w:t>Social considerations</w:t>
      </w:r>
      <w:bookmarkEnd w:id="295"/>
    </w:p>
    <w:p w14:paraId="44330EBF" w14:textId="77777777" w:rsidR="008B38C1" w:rsidRDefault="008B38C1" w:rsidP="003739CA">
      <w:pPr>
        <w:pStyle w:val="BodyText"/>
      </w:pPr>
      <w:r>
        <w:t>Information on population, land use type and areas listed as either Indigenous Protected Areas (CAPAD, 2016) or where Native Title exists are presented in the table below (</w:t>
      </w:r>
      <w:r w:rsidR="00611607">
        <w:t>Table C</w:t>
      </w:r>
      <w:r w:rsidR="006971A5">
        <w:t>.</w:t>
      </w:r>
      <w:r w:rsidR="00A24684">
        <w:t>52</w:t>
      </w:r>
      <w:r>
        <w:t>).</w:t>
      </w:r>
    </w:p>
    <w:p w14:paraId="16ED90D2" w14:textId="77777777" w:rsidR="004F2B68" w:rsidRDefault="004F2B68" w:rsidP="003739CA">
      <w:pPr>
        <w:pStyle w:val="BodyText"/>
      </w:pPr>
    </w:p>
    <w:p w14:paraId="32D9970A" w14:textId="77777777" w:rsidR="004F2B68" w:rsidRDefault="004F2B68" w:rsidP="003739CA">
      <w:pPr>
        <w:pStyle w:val="BodyText"/>
      </w:pPr>
    </w:p>
    <w:p w14:paraId="75C99F5F" w14:textId="77777777" w:rsidR="008B38C1" w:rsidRDefault="006971A5" w:rsidP="009F3E8F">
      <w:pPr>
        <w:pStyle w:val="Caption"/>
        <w:rPr>
          <w:rFonts w:eastAsia="Times New Roman"/>
        </w:rPr>
      </w:pPr>
      <w:bookmarkStart w:id="296" w:name="_Toc508972201"/>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52</w:t>
      </w:r>
      <w:r w:rsidR="008079F1">
        <w:rPr>
          <w:noProof/>
        </w:rPr>
        <w:fldChar w:fldCharType="end"/>
      </w:r>
      <w:r>
        <w:t xml:space="preserve"> </w:t>
      </w:r>
      <w:r w:rsidR="008B38C1">
        <w:t>Summary statistics for social and general characteristics</w:t>
      </w:r>
      <w:bookmarkEnd w:id="296"/>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8B38C1" w14:paraId="726166C9"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52F3E9E9" w14:textId="77777777" w:rsidR="008B38C1" w:rsidRDefault="008B38C1">
            <w:pPr>
              <w:pStyle w:val="TableTextLeft"/>
            </w:pPr>
            <w:r>
              <w:t>GENERAL CHARACTERISTICS</w:t>
            </w:r>
          </w:p>
        </w:tc>
      </w:tr>
      <w:tr w:rsidR="008B38C1" w14:paraId="76FBA376"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1DB11060" w14:textId="77777777" w:rsidR="008B38C1" w:rsidRDefault="008B38C1">
            <w:pPr>
              <w:pStyle w:val="TableTextLeft"/>
              <w:rPr>
                <w:szCs w:val="18"/>
              </w:rPr>
            </w:pPr>
            <w:r>
              <w:rPr>
                <w:szCs w:val="18"/>
              </w:rPr>
              <w:t>Population</w:t>
            </w:r>
          </w:p>
        </w:tc>
        <w:tc>
          <w:tcPr>
            <w:tcW w:w="2421" w:type="pct"/>
            <w:hideMark/>
          </w:tcPr>
          <w:p w14:paraId="2CCE0752"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25,000</w:t>
            </w:r>
          </w:p>
        </w:tc>
      </w:tr>
      <w:tr w:rsidR="008B38C1" w14:paraId="58D09E67"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EBADB6E" w14:textId="77777777" w:rsidR="008B38C1" w:rsidRDefault="008B38C1">
            <w:pPr>
              <w:pStyle w:val="TableTextLeft"/>
              <w:rPr>
                <w:szCs w:val="18"/>
              </w:rPr>
            </w:pPr>
            <w:r>
              <w:rPr>
                <w:szCs w:val="18"/>
              </w:rPr>
              <w:t>Major population centres (two)</w:t>
            </w:r>
          </w:p>
        </w:tc>
        <w:tc>
          <w:tcPr>
            <w:tcW w:w="2421" w:type="pct"/>
            <w:hideMark/>
          </w:tcPr>
          <w:p w14:paraId="5180E4A6"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Mt Isa, Cloncurry</w:t>
            </w:r>
          </w:p>
        </w:tc>
      </w:tr>
      <w:tr w:rsidR="008B38C1" w14:paraId="597BAEE4"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5659B70C" w14:textId="77777777" w:rsidR="008B38C1" w:rsidRDefault="008B38C1">
            <w:pPr>
              <w:pStyle w:val="TableTextLeft"/>
              <w:rPr>
                <w:szCs w:val="18"/>
              </w:rPr>
            </w:pPr>
            <w:r>
              <w:rPr>
                <w:szCs w:val="18"/>
              </w:rPr>
              <w:t>Land use types</w:t>
            </w:r>
          </w:p>
          <w:p w14:paraId="4AD03B33" w14:textId="77777777" w:rsidR="008B38C1" w:rsidRDefault="008B38C1">
            <w:pPr>
              <w:pStyle w:val="TableTextLeft"/>
              <w:rPr>
                <w:szCs w:val="18"/>
              </w:rPr>
            </w:pPr>
            <w:r>
              <w:rPr>
                <w:szCs w:val="18"/>
              </w:rPr>
              <w:t>Top 5 by area</w:t>
            </w:r>
          </w:p>
          <w:p w14:paraId="317BE653" w14:textId="77777777" w:rsidR="008B38C1" w:rsidRDefault="008B38C1">
            <w:pPr>
              <w:pStyle w:val="TableTextLeft"/>
              <w:rPr>
                <w:szCs w:val="18"/>
              </w:rPr>
            </w:pPr>
            <w:r>
              <w:rPr>
                <w:szCs w:val="18"/>
              </w:rPr>
              <w:t>(area</w:t>
            </w:r>
            <w:r w:rsidR="008232C9">
              <w:rPr>
                <w:szCs w:val="18"/>
              </w:rPr>
              <w:t> km</w:t>
            </w:r>
            <w:r>
              <w:rPr>
                <w:szCs w:val="18"/>
                <w:vertAlign w:val="superscript"/>
              </w:rPr>
              <w:t>2</w:t>
            </w:r>
            <w:r>
              <w:rPr>
                <w:szCs w:val="18"/>
              </w:rPr>
              <w:t>)</w:t>
            </w:r>
          </w:p>
        </w:tc>
        <w:tc>
          <w:tcPr>
            <w:tcW w:w="2421" w:type="pct"/>
            <w:hideMark/>
          </w:tcPr>
          <w:tbl>
            <w:tblPr>
              <w:tblW w:w="4200" w:type="dxa"/>
              <w:tblLook w:val="04A0" w:firstRow="1" w:lastRow="0" w:firstColumn="1" w:lastColumn="0" w:noHBand="0" w:noVBand="1"/>
            </w:tblPr>
            <w:tblGrid>
              <w:gridCol w:w="2534"/>
              <w:gridCol w:w="1666"/>
            </w:tblGrid>
            <w:tr w:rsidR="008B38C1" w14:paraId="757EDB73" w14:textId="77777777" w:rsidTr="00F27BC3">
              <w:trPr>
                <w:trHeight w:val="300"/>
              </w:trPr>
              <w:tc>
                <w:tcPr>
                  <w:tcW w:w="2532" w:type="dxa"/>
                  <w:tcBorders>
                    <w:top w:val="single" w:sz="4" w:space="0" w:color="auto"/>
                    <w:left w:val="nil"/>
                    <w:bottom w:val="nil"/>
                    <w:right w:val="nil"/>
                  </w:tcBorders>
                  <w:noWrap/>
                  <w:vAlign w:val="center"/>
                  <w:hideMark/>
                </w:tcPr>
                <w:p w14:paraId="793FCCF9" w14:textId="77777777" w:rsidR="008B38C1" w:rsidRDefault="008B38C1">
                  <w:pPr>
                    <w:pStyle w:val="TableTextLeft"/>
                    <w:rPr>
                      <w:szCs w:val="18"/>
                    </w:rPr>
                  </w:pPr>
                  <w:r>
                    <w:rPr>
                      <w:szCs w:val="18"/>
                    </w:rPr>
                    <w:t>Grazing native vegetation</w:t>
                  </w:r>
                </w:p>
              </w:tc>
              <w:tc>
                <w:tcPr>
                  <w:tcW w:w="1664" w:type="dxa"/>
                  <w:tcBorders>
                    <w:top w:val="single" w:sz="4" w:space="0" w:color="auto"/>
                    <w:left w:val="nil"/>
                    <w:bottom w:val="nil"/>
                    <w:right w:val="nil"/>
                  </w:tcBorders>
                  <w:noWrap/>
                  <w:vAlign w:val="center"/>
                  <w:hideMark/>
                </w:tcPr>
                <w:p w14:paraId="1FA76FF5" w14:textId="77777777" w:rsidR="008B38C1" w:rsidRDefault="008B38C1" w:rsidP="000350BE">
                  <w:pPr>
                    <w:pStyle w:val="TableTextRight0"/>
                  </w:pPr>
                  <w:r>
                    <w:t>261,353</w:t>
                  </w:r>
                </w:p>
              </w:tc>
            </w:tr>
            <w:tr w:rsidR="008B38C1" w14:paraId="3D5317DA" w14:textId="77777777" w:rsidTr="00F27BC3">
              <w:trPr>
                <w:trHeight w:val="300"/>
              </w:trPr>
              <w:tc>
                <w:tcPr>
                  <w:tcW w:w="2532" w:type="dxa"/>
                  <w:noWrap/>
                  <w:vAlign w:val="center"/>
                  <w:hideMark/>
                </w:tcPr>
                <w:p w14:paraId="1EB5B5A1" w14:textId="77777777" w:rsidR="008B38C1" w:rsidRDefault="008B38C1">
                  <w:pPr>
                    <w:pStyle w:val="TableTextLeft"/>
                    <w:rPr>
                      <w:szCs w:val="18"/>
                    </w:rPr>
                  </w:pPr>
                  <w:r>
                    <w:rPr>
                      <w:szCs w:val="18"/>
                    </w:rPr>
                    <w:t>Other Protected areas</w:t>
                  </w:r>
                </w:p>
              </w:tc>
              <w:tc>
                <w:tcPr>
                  <w:tcW w:w="1664" w:type="dxa"/>
                  <w:noWrap/>
                  <w:vAlign w:val="center"/>
                  <w:hideMark/>
                </w:tcPr>
                <w:p w14:paraId="3C0595DD" w14:textId="77777777" w:rsidR="008B38C1" w:rsidRDefault="008B38C1" w:rsidP="000350BE">
                  <w:pPr>
                    <w:pStyle w:val="TableTextRight0"/>
                  </w:pPr>
                  <w:r>
                    <w:t>9</w:t>
                  </w:r>
                  <w:r w:rsidR="00D47844">
                    <w:t>,</w:t>
                  </w:r>
                  <w:r>
                    <w:t>058</w:t>
                  </w:r>
                </w:p>
              </w:tc>
            </w:tr>
            <w:tr w:rsidR="008B38C1" w14:paraId="71BC65C7" w14:textId="77777777" w:rsidTr="00F27BC3">
              <w:trPr>
                <w:trHeight w:val="300"/>
              </w:trPr>
              <w:tc>
                <w:tcPr>
                  <w:tcW w:w="2532" w:type="dxa"/>
                  <w:noWrap/>
                  <w:vAlign w:val="center"/>
                  <w:hideMark/>
                </w:tcPr>
                <w:p w14:paraId="37C6D47F" w14:textId="77777777" w:rsidR="008B38C1" w:rsidRDefault="008B38C1">
                  <w:pPr>
                    <w:pStyle w:val="TableTextLeft"/>
                    <w:rPr>
                      <w:szCs w:val="18"/>
                    </w:rPr>
                  </w:pPr>
                  <w:r>
                    <w:rPr>
                      <w:szCs w:val="18"/>
                    </w:rPr>
                    <w:t>Nature Conservation</w:t>
                  </w:r>
                </w:p>
              </w:tc>
              <w:tc>
                <w:tcPr>
                  <w:tcW w:w="1664" w:type="dxa"/>
                  <w:noWrap/>
                  <w:vAlign w:val="center"/>
                  <w:hideMark/>
                </w:tcPr>
                <w:p w14:paraId="61D2DEDB" w14:textId="77777777" w:rsidR="008B38C1" w:rsidRDefault="008B38C1" w:rsidP="000350BE">
                  <w:pPr>
                    <w:pStyle w:val="TableTextRight0"/>
                  </w:pPr>
                  <w:r>
                    <w:t>6</w:t>
                  </w:r>
                  <w:r w:rsidR="00D47844">
                    <w:t>,</w:t>
                  </w:r>
                  <w:r>
                    <w:t>924</w:t>
                  </w:r>
                </w:p>
              </w:tc>
            </w:tr>
            <w:tr w:rsidR="008B38C1" w14:paraId="0E9F797D" w14:textId="77777777" w:rsidTr="00F27BC3">
              <w:trPr>
                <w:trHeight w:val="300"/>
              </w:trPr>
              <w:tc>
                <w:tcPr>
                  <w:tcW w:w="2532" w:type="dxa"/>
                  <w:noWrap/>
                  <w:vAlign w:val="center"/>
                  <w:hideMark/>
                </w:tcPr>
                <w:p w14:paraId="6399648C" w14:textId="77777777" w:rsidR="008B38C1" w:rsidRDefault="008B38C1">
                  <w:pPr>
                    <w:pStyle w:val="TableTextLeft"/>
                    <w:rPr>
                      <w:szCs w:val="18"/>
                    </w:rPr>
                  </w:pPr>
                  <w:r>
                    <w:rPr>
                      <w:szCs w:val="18"/>
                    </w:rPr>
                    <w:t>Water</w:t>
                  </w:r>
                </w:p>
              </w:tc>
              <w:tc>
                <w:tcPr>
                  <w:tcW w:w="1664" w:type="dxa"/>
                  <w:noWrap/>
                  <w:vAlign w:val="center"/>
                  <w:hideMark/>
                </w:tcPr>
                <w:p w14:paraId="0EB34660" w14:textId="77777777" w:rsidR="008B38C1" w:rsidRDefault="008B38C1" w:rsidP="000350BE">
                  <w:pPr>
                    <w:pStyle w:val="TableTextRight0"/>
                  </w:pPr>
                  <w:r>
                    <w:t>1</w:t>
                  </w:r>
                  <w:r w:rsidR="00D47844">
                    <w:t>,</w:t>
                  </w:r>
                  <w:r>
                    <w:t>602</w:t>
                  </w:r>
                </w:p>
              </w:tc>
            </w:tr>
            <w:tr w:rsidR="008B38C1" w14:paraId="2EA5B3F5" w14:textId="77777777" w:rsidTr="00F27BC3">
              <w:trPr>
                <w:trHeight w:val="300"/>
              </w:trPr>
              <w:tc>
                <w:tcPr>
                  <w:tcW w:w="2532" w:type="dxa"/>
                  <w:noWrap/>
                  <w:vAlign w:val="center"/>
                  <w:hideMark/>
                </w:tcPr>
                <w:p w14:paraId="1704751F" w14:textId="77777777" w:rsidR="008B38C1" w:rsidRDefault="008B38C1">
                  <w:pPr>
                    <w:pStyle w:val="TableTextLeft"/>
                    <w:rPr>
                      <w:szCs w:val="18"/>
                    </w:rPr>
                  </w:pPr>
                  <w:r>
                    <w:rPr>
                      <w:szCs w:val="18"/>
                    </w:rPr>
                    <w:t>Minimal use</w:t>
                  </w:r>
                </w:p>
              </w:tc>
              <w:tc>
                <w:tcPr>
                  <w:tcW w:w="1664" w:type="dxa"/>
                  <w:noWrap/>
                  <w:vAlign w:val="center"/>
                  <w:hideMark/>
                </w:tcPr>
                <w:p w14:paraId="210DEF65" w14:textId="77777777" w:rsidR="008B38C1" w:rsidRDefault="008B38C1" w:rsidP="000350BE">
                  <w:pPr>
                    <w:pStyle w:val="TableTextRight0"/>
                  </w:pPr>
                  <w:r>
                    <w:t>200</w:t>
                  </w:r>
                </w:p>
              </w:tc>
            </w:tr>
          </w:tbl>
          <w:p w14:paraId="25F595AC"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B38C1" w14:paraId="54B4C86A"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78F13EA3" w14:textId="77777777" w:rsidR="008B38C1" w:rsidRDefault="008B38C1">
            <w:pPr>
              <w:pStyle w:val="TableTextLeft"/>
              <w:rPr>
                <w:szCs w:val="18"/>
              </w:rPr>
            </w:pPr>
            <w:r>
              <w:rPr>
                <w:szCs w:val="18"/>
              </w:rPr>
              <w:t>Aboriginal Protected Area (CAPAD 2016) and Native title (area</w:t>
            </w:r>
            <w:r w:rsidR="008232C9">
              <w:rPr>
                <w:szCs w:val="18"/>
              </w:rPr>
              <w:t> km</w:t>
            </w:r>
            <w:r>
              <w:rPr>
                <w:szCs w:val="18"/>
                <w:vertAlign w:val="superscript"/>
              </w:rPr>
              <w:t>2</w:t>
            </w:r>
            <w:r>
              <w:rPr>
                <w:szCs w:val="18"/>
              </w:rPr>
              <w:t>)</w:t>
            </w:r>
          </w:p>
        </w:tc>
        <w:tc>
          <w:tcPr>
            <w:tcW w:w="2421" w:type="pct"/>
            <w:hideMark/>
          </w:tcPr>
          <w:p w14:paraId="59FCDCF0"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116,360</w:t>
            </w:r>
          </w:p>
        </w:tc>
      </w:tr>
    </w:tbl>
    <w:p w14:paraId="3679738F" w14:textId="77777777" w:rsidR="008B38C1" w:rsidRDefault="008B38C1" w:rsidP="000520F9">
      <w:pPr>
        <w:pStyle w:val="BodyText"/>
      </w:pPr>
    </w:p>
    <w:p w14:paraId="6C5301C0" w14:textId="77777777" w:rsidR="008B38C1" w:rsidRPr="005962FF" w:rsidRDefault="008B38C1" w:rsidP="005962FF">
      <w:pPr>
        <w:pStyle w:val="BodyText"/>
      </w:pPr>
      <w:r>
        <w:br w:type="page"/>
      </w:r>
    </w:p>
    <w:p w14:paraId="4777038F" w14:textId="77777777" w:rsidR="008B38C1" w:rsidRDefault="008B38C1" w:rsidP="00035C4A">
      <w:pPr>
        <w:pStyle w:val="Heading3notnumbered"/>
      </w:pPr>
      <w:bookmarkStart w:id="297" w:name="_Toc517161198"/>
      <w:r>
        <w:lastRenderedPageBreak/>
        <w:t>Key references</w:t>
      </w:r>
      <w:bookmarkEnd w:id="297"/>
    </w:p>
    <w:p w14:paraId="75D2FAE1" w14:textId="77777777" w:rsidR="00727542" w:rsidRDefault="00727542" w:rsidP="00727542">
      <w:pPr>
        <w:pStyle w:val="References"/>
      </w:pPr>
      <w:r>
        <w:t>AER (Australian Energy Regulator) (2017) State of the energy market, May 2017. Viewed 16/01/2018, &lt;</w:t>
      </w:r>
      <w:hyperlink r:id="rId398" w:history="1">
        <w:r w:rsidRPr="00165029">
          <w:rPr>
            <w:rStyle w:val="Hyperlink"/>
          </w:rPr>
          <w:t>https://www.aer.gov.au/publications/state-of-the-energy-market-reports/state-of-the-energy-market-may-2017</w:t>
        </w:r>
      </w:hyperlink>
      <w:r>
        <w:t>&gt;.</w:t>
      </w:r>
    </w:p>
    <w:p w14:paraId="11BD1496" w14:textId="3E71D153" w:rsidR="00096910" w:rsidRPr="000350BE" w:rsidRDefault="00096910" w:rsidP="008B38C1">
      <w:pPr>
        <w:pStyle w:val="References"/>
      </w:pPr>
      <w:r>
        <w:t xml:space="preserve">ANZECC </w:t>
      </w:r>
      <w:r w:rsidR="00E41EC3">
        <w:t>(</w:t>
      </w:r>
      <w:r>
        <w:t>1992</w:t>
      </w:r>
      <w:r w:rsidR="00E41EC3">
        <w:t>)</w:t>
      </w:r>
      <w:r>
        <w:t xml:space="preserve"> Australian water quality guidelines for fresh and marine waters. National Water Quality Management Strategy Paper No 4, Australian and New Zealand Environment and Conservation Council, Canberra.</w:t>
      </w:r>
    </w:p>
    <w:p w14:paraId="598E2D8F" w14:textId="77777777" w:rsidR="00727542" w:rsidRDefault="00727542" w:rsidP="00727542">
      <w:pPr>
        <w:pStyle w:val="References"/>
      </w:pPr>
      <w:r>
        <w:t>APPEA (2017) Shale g</w:t>
      </w:r>
      <w:r w:rsidRPr="00985702">
        <w:t>as in Australia</w:t>
      </w:r>
      <w:r>
        <w:t>. Viewed 15/01/2018,</w:t>
      </w:r>
      <w:r w:rsidRPr="00985702">
        <w:t xml:space="preserve"> </w:t>
      </w:r>
      <w:r>
        <w:t>&lt;</w:t>
      </w:r>
      <w:hyperlink r:id="rId399" w:history="1">
        <w:r w:rsidRPr="000E4EFC">
          <w:rPr>
            <w:rStyle w:val="Hyperlink"/>
          </w:rPr>
          <w:t>https://www.shale-gas.com.au/environment/regulation-and-licensing/</w:t>
        </w:r>
      </w:hyperlink>
      <w:r>
        <w:t>&gt;.</w:t>
      </w:r>
    </w:p>
    <w:p w14:paraId="1F5BFA3A" w14:textId="5D216534" w:rsidR="00096910" w:rsidRDefault="00096910" w:rsidP="008B38C1">
      <w:pPr>
        <w:pStyle w:val="References"/>
      </w:pPr>
      <w:r>
        <w:t xml:space="preserve">Andrews SJ </w:t>
      </w:r>
      <w:r w:rsidR="00E41EC3">
        <w:t>(</w:t>
      </w:r>
      <w:r>
        <w:t>1998</w:t>
      </w:r>
      <w:r w:rsidR="00E41EC3">
        <w:t>)</w:t>
      </w:r>
      <w:r>
        <w:t xml:space="preserve"> Stratigraphy and depositional setting of the upper McNamara Group, Lawn Hill Region, Northwest Queensland. Economic Geology 93, 1132–1152.</w:t>
      </w:r>
    </w:p>
    <w:p w14:paraId="269B495B" w14:textId="7052DD1C" w:rsidR="00096910" w:rsidRDefault="00E41EC3" w:rsidP="008B38C1">
      <w:pPr>
        <w:pStyle w:val="References"/>
        <w:rPr>
          <w:rStyle w:val="Hyperlink"/>
        </w:rPr>
      </w:pPr>
      <w:r>
        <w:t>Armour Energy (</w:t>
      </w:r>
      <w:r w:rsidR="00096910">
        <w:t>2014a</w:t>
      </w:r>
      <w:r>
        <w:t>)</w:t>
      </w:r>
      <w:r w:rsidR="00096910">
        <w:t xml:space="preserve"> Egilabria 4 Reaches Total Depth With Multiple Gas Shows and Egilabria 2 Update – Cleanup Continuing Ahead of Production Test. ASX Announcement. </w:t>
      </w:r>
      <w:r>
        <w:t>Viewed 07/08/2017, &lt;</w:t>
      </w:r>
      <w:hyperlink r:id="rId400" w:history="1">
        <w:r w:rsidR="00096910" w:rsidRPr="004217CD">
          <w:rPr>
            <w:rStyle w:val="Hyperlink"/>
          </w:rPr>
          <w:t>https://wcsecure.weblink.com.au/pdf/AJQ/01446411.pdf</w:t>
        </w:r>
      </w:hyperlink>
      <w:r>
        <w:rPr>
          <w:rStyle w:val="Hyperlink"/>
        </w:rPr>
        <w:t>&gt;.</w:t>
      </w:r>
    </w:p>
    <w:p w14:paraId="104E8EB4" w14:textId="3AF1492A" w:rsidR="00983C9B" w:rsidRDefault="00983C9B" w:rsidP="00983C9B">
      <w:pPr>
        <w:pStyle w:val="References"/>
        <w:rPr>
          <w:rStyle w:val="Hyperlink"/>
        </w:rPr>
      </w:pPr>
      <w:r>
        <w:t xml:space="preserve">Armour Energy </w:t>
      </w:r>
      <w:r w:rsidR="00E41EC3">
        <w:t>(</w:t>
      </w:r>
      <w:r>
        <w:t>2014b</w:t>
      </w:r>
      <w:r w:rsidR="00E41EC3">
        <w:t>)</w:t>
      </w:r>
      <w:r>
        <w:t xml:space="preserve"> Armour Energy Limited annual report. </w:t>
      </w:r>
      <w:r w:rsidR="00E41EC3">
        <w:t>Viewed 07/08/2017, &lt;</w:t>
      </w:r>
      <w:hyperlink r:id="rId401" w:history="1">
        <w:r w:rsidRPr="004217CD">
          <w:rPr>
            <w:rStyle w:val="Hyperlink"/>
          </w:rPr>
          <w:t>https://wcsecure.weblink.com.au/pdf/AJQ/01564041.pdf</w:t>
        </w:r>
      </w:hyperlink>
      <w:r w:rsidR="00E41EC3">
        <w:rPr>
          <w:rStyle w:val="Hyperlink"/>
        </w:rPr>
        <w:t>&gt;.</w:t>
      </w:r>
    </w:p>
    <w:p w14:paraId="36D33B0B" w14:textId="18128C2B" w:rsidR="00E41EC3" w:rsidRDefault="00E41EC3" w:rsidP="00E41EC3">
      <w:pPr>
        <w:pStyle w:val="References"/>
      </w:pPr>
      <w:r>
        <w:t>Armour Energy (2014c) Third part independent certification of 350 PJs (3C) contingent resources Lawn Hill Shale, Egilabria 2 DW1, ATP1087, Queensland. Viewed 07/08/2017, &lt;</w:t>
      </w:r>
      <w:hyperlink r:id="rId402" w:history="1">
        <w:r w:rsidRPr="00DD43E4">
          <w:rPr>
            <w:rStyle w:val="Hyperlink"/>
          </w:rPr>
          <w:t>http://www.armourenergy.com.au/assets/2014/2014.07.16%20-%20ASX%20Announcement%20Maiden%20Contingence%20Resource%20Lawn%20Hill20Shale20Egilabria20220DW1.pdf</w:t>
        </w:r>
      </w:hyperlink>
      <w:r>
        <w:rPr>
          <w:rStyle w:val="Hyperlink"/>
        </w:rPr>
        <w:t>&gt;</w:t>
      </w:r>
      <w:r w:rsidRPr="00116B50">
        <w:t xml:space="preserve"> </w:t>
      </w:r>
    </w:p>
    <w:p w14:paraId="2F930929" w14:textId="1A9816C1" w:rsidR="00E41EC3" w:rsidRPr="00E41EC3" w:rsidRDefault="00E41EC3" w:rsidP="00E41EC3">
      <w:pPr>
        <w:pStyle w:val="References"/>
      </w:pPr>
      <w:r>
        <w:t>Armour Energy (2015) 66% increase in prospective gas resources in Northern Australia. Maiden prospective gas resources in the Tawallah Group, McArthur Basin (NT) and in the Riversleigh Shale Formation (QLD). Viewed 07/08/2017, &lt;</w:t>
      </w:r>
      <w:hyperlink r:id="rId403" w:history="1">
        <w:r w:rsidRPr="00DD43E4">
          <w:rPr>
            <w:rStyle w:val="Hyperlink"/>
          </w:rPr>
          <w:t>http://www.armourenergy.com.au/assets/1475615.pdf</w:t>
        </w:r>
      </w:hyperlink>
      <w:r>
        <w:t>&gt;.</w:t>
      </w:r>
    </w:p>
    <w:p w14:paraId="6FCBB9F4" w14:textId="6A2EDF82" w:rsidR="00983C9B" w:rsidRDefault="002D4BDE" w:rsidP="00983C9B">
      <w:pPr>
        <w:pStyle w:val="References"/>
      </w:pPr>
      <w:r>
        <w:t>Armour Energy (2017</w:t>
      </w:r>
      <w:r w:rsidR="00983C9B">
        <w:t>) Queensland. Viewed 16/01/2018, &lt;</w:t>
      </w:r>
      <w:r w:rsidR="00983C9B" w:rsidRPr="003640CF">
        <w:rPr>
          <w:rStyle w:val="Hyperlink"/>
        </w:rPr>
        <w:t>https://www.armourenergy.com.au/north-west-queensland</w:t>
      </w:r>
      <w:r w:rsidR="00983C9B">
        <w:rPr>
          <w:rStyle w:val="Hyperlink"/>
        </w:rPr>
        <w:t>&gt;.</w:t>
      </w:r>
    </w:p>
    <w:p w14:paraId="617044CD" w14:textId="77777777" w:rsidR="00B221F1" w:rsidRDefault="00B221F1" w:rsidP="00B221F1">
      <w:pPr>
        <w:pStyle w:val="References"/>
      </w:pPr>
      <w:r>
        <w:t>Betts PG and Lister GS (2001) Comparison of the ‘strike</w:t>
      </w:r>
      <w:r w:rsidRPr="000350BE">
        <w:t>‐</w:t>
      </w:r>
      <w:r>
        <w:t>slip’ versus the ‘episodic rift</w:t>
      </w:r>
      <w:r w:rsidRPr="000350BE">
        <w:t>‐</w:t>
      </w:r>
      <w:r>
        <w:t>sag’ models for the origin of the Isa Superbasin, Australian Journal of Earth Sciences, 48(2), 265</w:t>
      </w:r>
      <w:r>
        <w:rPr>
          <w:rFonts w:ascii="Arial" w:hAnsi="Arial" w:cs="Arial"/>
        </w:rPr>
        <w:t>‒</w:t>
      </w:r>
      <w:r>
        <w:t>280.</w:t>
      </w:r>
    </w:p>
    <w:p w14:paraId="3287DE22" w14:textId="42270141" w:rsidR="00096910" w:rsidRDefault="00096910" w:rsidP="008B38C1">
      <w:pPr>
        <w:pStyle w:val="References"/>
      </w:pPr>
      <w:r>
        <w:t xml:space="preserve">Blake DH </w:t>
      </w:r>
      <w:r w:rsidR="00E41EC3">
        <w:t>(</w:t>
      </w:r>
      <w:r>
        <w:t>1987</w:t>
      </w:r>
      <w:r w:rsidR="00E41EC3">
        <w:t>)</w:t>
      </w:r>
      <w:r>
        <w:t xml:space="preserve"> Geology of the Mount Isa Inlier and environs, Queensland and Northern Territory. Bureau of Mineral Resources, Australia, Bulletin 225.</w:t>
      </w:r>
    </w:p>
    <w:p w14:paraId="216182B0" w14:textId="19C49EC3" w:rsidR="00096910" w:rsidRDefault="00F63931" w:rsidP="008B38C1">
      <w:pPr>
        <w:pStyle w:val="References"/>
      </w:pPr>
      <w:r>
        <w:t>Blake</w:t>
      </w:r>
      <w:r w:rsidR="00096910">
        <w:t xml:space="preserve"> DH, Bultitude RJ, Donchak PJT, Wyborn LAI, Hone IG </w:t>
      </w:r>
      <w:r>
        <w:t>(</w:t>
      </w:r>
      <w:r w:rsidR="00096910">
        <w:t>1984</w:t>
      </w:r>
      <w:r>
        <w:t>)</w:t>
      </w:r>
      <w:r w:rsidR="00096910">
        <w:t xml:space="preserve"> Geology of the Duchess-Urandangi region, Mount Isa Inlier, Queensland. Department of Resources and Energy, QLD.</w:t>
      </w:r>
    </w:p>
    <w:p w14:paraId="03F0D7C4" w14:textId="77777777" w:rsidR="00B221F1" w:rsidRDefault="00B221F1" w:rsidP="00B221F1">
      <w:pPr>
        <w:pStyle w:val="References"/>
      </w:pPr>
      <w:r>
        <w:t>BoM (Bureau of Meteorology) (2014) Australian Hydrological Geospatial Fabric (“Geofabric”), version 2.1.1. Viewed 02/08/2017, &lt;</w:t>
      </w:r>
      <w:hyperlink r:id="rId404" w:history="1">
        <w:r w:rsidRPr="00DA1EAB">
          <w:rPr>
            <w:rStyle w:val="Hyperlink"/>
          </w:rPr>
          <w:t>http://www.bom.gov.au/water/geofabric/download.shtml</w:t>
        </w:r>
      </w:hyperlink>
      <w:r>
        <w:t>&gt;.</w:t>
      </w:r>
    </w:p>
    <w:p w14:paraId="62113338" w14:textId="270B56AA" w:rsidR="00B221F1" w:rsidRDefault="00B221F1" w:rsidP="00B221F1">
      <w:pPr>
        <w:pStyle w:val="References"/>
      </w:pPr>
      <w:r>
        <w:lastRenderedPageBreak/>
        <w:t>BoM (Bureau of Meteorology) (2016) National Groundwater Information System, v.1.3. Viewed 07/07/2017, &lt;</w:t>
      </w:r>
      <w:hyperlink r:id="rId405" w:history="1">
        <w:r w:rsidRPr="00DA1EAB">
          <w:rPr>
            <w:rStyle w:val="Hyperlink"/>
          </w:rPr>
          <w:t>http://www.bom.gov.au/water/groundwater/ngis/</w:t>
        </w:r>
      </w:hyperlink>
      <w:r>
        <w:t>&gt;.</w:t>
      </w:r>
    </w:p>
    <w:p w14:paraId="45D0925D" w14:textId="2737EFA4" w:rsidR="00096910" w:rsidRDefault="006B4EAA" w:rsidP="008B38C1">
      <w:pPr>
        <w:pStyle w:val="References"/>
      </w:pPr>
      <w:r>
        <w:t xml:space="preserve">BoM (Bureau of Meteorology) </w:t>
      </w:r>
      <w:r w:rsidR="001750A8">
        <w:t>(2</w:t>
      </w:r>
      <w:r w:rsidR="00096910">
        <w:t>017a</w:t>
      </w:r>
      <w:r w:rsidR="001750A8">
        <w:t>)</w:t>
      </w:r>
      <w:r w:rsidR="00096910">
        <w:t xml:space="preserve"> Average annual Australian Rainfall 1961-1990. </w:t>
      </w:r>
      <w:r w:rsidR="001750A8">
        <w:t>Viewed 03/08/2017, &lt;</w:t>
      </w:r>
      <w:hyperlink r:id="rId406" w:history="1">
        <w:r w:rsidR="00096910" w:rsidRPr="004217CD">
          <w:rPr>
            <w:rStyle w:val="Hyperlink"/>
          </w:rPr>
          <w:t>http://www.bom.gov.au/jsp/ncc/climate_averages/rainfall/index.jsp</w:t>
        </w:r>
      </w:hyperlink>
      <w:r w:rsidR="001750A8">
        <w:rPr>
          <w:rStyle w:val="Hyperlink"/>
        </w:rPr>
        <w:t>&gt;.</w:t>
      </w:r>
    </w:p>
    <w:p w14:paraId="6D8BD2DF" w14:textId="6CCB3FD8" w:rsidR="00096910" w:rsidRDefault="006B4EAA" w:rsidP="008B38C1">
      <w:pPr>
        <w:pStyle w:val="References"/>
      </w:pPr>
      <w:r>
        <w:t xml:space="preserve">BoM (Bureau of Meteorology) </w:t>
      </w:r>
      <w:r w:rsidR="001750A8">
        <w:t>(2</w:t>
      </w:r>
      <w:r w:rsidR="00096910">
        <w:t>017b</w:t>
      </w:r>
      <w:r w:rsidR="001750A8">
        <w:t>)</w:t>
      </w:r>
      <w:r w:rsidR="00096910">
        <w:t xml:space="preserve"> Regional Water Information. Viewed </w:t>
      </w:r>
      <w:r w:rsidR="001750A8">
        <w:t>01/08/2017, &lt;</w:t>
      </w:r>
      <w:hyperlink r:id="rId407" w:anchor="wq_ssme/001/2016" w:history="1">
        <w:r w:rsidR="00096910" w:rsidRPr="004217CD">
          <w:rPr>
            <w:rStyle w:val="Hyperlink"/>
          </w:rPr>
          <w:t>http://www.bom.gov.au/water/rwi/#wq_ssme/001/2016</w:t>
        </w:r>
      </w:hyperlink>
      <w:r w:rsidR="001750A8">
        <w:rPr>
          <w:rStyle w:val="Hyperlink"/>
        </w:rPr>
        <w:t>&gt;</w:t>
      </w:r>
    </w:p>
    <w:p w14:paraId="55593110" w14:textId="77777777" w:rsidR="00923F1B" w:rsidRPr="00356E9E" w:rsidRDefault="00923F1B" w:rsidP="00923F1B">
      <w:pPr>
        <w:pStyle w:val="References"/>
      </w:pPr>
      <w:r>
        <w:t xml:space="preserve">CAPAD (2016) </w:t>
      </w:r>
      <w:r w:rsidRPr="00356E9E">
        <w:t>Collaborative Australia</w:t>
      </w:r>
      <w:r>
        <w:t>n Protected Area Database, 2016 S</w:t>
      </w:r>
      <w:r w:rsidRPr="00356E9E">
        <w:t>patial dataset provided from the Departmen</w:t>
      </w:r>
      <w:r>
        <w:t>t of the Environment and Energy.</w:t>
      </w:r>
      <w:r w:rsidRPr="00356E9E">
        <w:t xml:space="preserve"> </w:t>
      </w:r>
      <w:r>
        <w:t>Viewed 18/07/2017, &lt;</w:t>
      </w:r>
      <w:hyperlink r:id="rId408" w:history="1">
        <w:r w:rsidRPr="00456161">
          <w:rPr>
            <w:rStyle w:val="Hyperlink"/>
          </w:rPr>
          <w:t>https://www.environment.gov.au/land/nrs/science/capad/2016</w:t>
        </w:r>
      </w:hyperlink>
      <w:r>
        <w:t>&gt;.</w:t>
      </w:r>
      <w:r w:rsidRPr="00356E9E">
        <w:t xml:space="preserve"> </w:t>
      </w:r>
    </w:p>
    <w:p w14:paraId="3257979D" w14:textId="77777777" w:rsidR="001750A8" w:rsidRDefault="00096910" w:rsidP="008B38C1">
      <w:pPr>
        <w:pStyle w:val="References"/>
      </w:pPr>
      <w:r>
        <w:t>CSIRO</w:t>
      </w:r>
      <w:r w:rsidR="001750A8">
        <w:t xml:space="preserve"> (2</w:t>
      </w:r>
      <w:r>
        <w:t>009</w:t>
      </w:r>
      <w:r w:rsidR="001750A8">
        <w:t>)</w:t>
      </w:r>
      <w:r>
        <w:t xml:space="preserve"> Water in the Roper region. In: CSIRO (2009) Water in the Gulf of Carpentaria Drainage Division. A report to the Australian Government from the CSIRO Northern Australia Sustainable Yields Project. CSIRO Water for a Healthy Country Flagship, Australia. 59-120</w:t>
      </w:r>
      <w:r w:rsidR="001750A8">
        <w:t xml:space="preserve"> </w:t>
      </w:r>
    </w:p>
    <w:p w14:paraId="03223BB4" w14:textId="7DA7A994" w:rsidR="00096910" w:rsidRDefault="00096910" w:rsidP="008B38C1">
      <w:pPr>
        <w:pStyle w:val="References"/>
        <w:rPr>
          <w:rStyle w:val="BodyTextChar"/>
        </w:rPr>
      </w:pPr>
      <w:r>
        <w:t>de Weijer R</w:t>
      </w:r>
      <w:r w:rsidR="001750A8">
        <w:t xml:space="preserve"> (2</w:t>
      </w:r>
      <w:r>
        <w:t>015</w:t>
      </w:r>
      <w:r w:rsidR="001750A8">
        <w:t>)</w:t>
      </w:r>
      <w:r>
        <w:t xml:space="preserve"> Armour Energy, preparing for the next wave of investment in oil and gas exploration. UGAS -Unconventional Gas Conference Brisbane 2015.</w:t>
      </w:r>
      <w:r w:rsidRPr="004217CD">
        <w:rPr>
          <w:rStyle w:val="Hyperlink"/>
        </w:rPr>
        <w:t xml:space="preserve"> </w:t>
      </w:r>
      <w:r w:rsidR="001750A8">
        <w:t>Viewed 16/01/2018, &lt;</w:t>
      </w:r>
      <w:hyperlink r:id="rId409" w:history="1">
        <w:r w:rsidRPr="004217CD">
          <w:rPr>
            <w:rStyle w:val="Hyperlink"/>
          </w:rPr>
          <w:t>https://wcsecure.weblink.com.au/pdf/AJQ/01616806.pdf</w:t>
        </w:r>
      </w:hyperlink>
      <w:r w:rsidR="001750A8">
        <w:rPr>
          <w:rStyle w:val="Hyperlink"/>
        </w:rPr>
        <w:t>&gt;.</w:t>
      </w:r>
    </w:p>
    <w:p w14:paraId="2074382F" w14:textId="77777777" w:rsidR="00983C9B" w:rsidRPr="00CD20C0" w:rsidRDefault="00983C9B" w:rsidP="00983C9B">
      <w:pPr>
        <w:pStyle w:val="References"/>
      </w:pPr>
      <w:r w:rsidRPr="00CD20C0">
        <w:t>DNRM (Department of Natural Resources and Mines)</w:t>
      </w:r>
      <w:r>
        <w:t xml:space="preserve"> (2</w:t>
      </w:r>
      <w:r w:rsidRPr="00CD20C0">
        <w:t>0</w:t>
      </w:r>
      <w:r>
        <w:t>17)</w:t>
      </w:r>
      <w:r w:rsidRPr="00CD20C0">
        <w:t xml:space="preserve"> Queensland’s unconventional petroleum potential – shale oil and gas, tight gas and coal seam gas. Department of Natural </w:t>
      </w:r>
      <w:r>
        <w:t>Resources and Mines, Queensland. Viewed</w:t>
      </w:r>
      <w:r w:rsidRPr="00CD20C0">
        <w:t xml:space="preserve"> </w:t>
      </w:r>
      <w:r>
        <w:t>16/01/2018, &lt;</w:t>
      </w:r>
      <w:hyperlink r:id="rId410" w:history="1">
        <w:r w:rsidRPr="00CD20C0">
          <w:rPr>
            <w:rStyle w:val="Hyperlink"/>
          </w:rPr>
          <w:t>https://www.business.qld.gov.au/industries/invest/mining/resources-potential/petroleum-gas</w:t>
        </w:r>
      </w:hyperlink>
      <w:r>
        <w:t xml:space="preserve">&gt;. </w:t>
      </w:r>
    </w:p>
    <w:p w14:paraId="1CA177F7" w14:textId="77777777" w:rsidR="00B221F1" w:rsidRDefault="00B221F1" w:rsidP="00B221F1">
      <w:pPr>
        <w:pStyle w:val="References"/>
      </w:pPr>
      <w:r>
        <w:t>DNRME (Department of Natural Resources, Mines and Energy) (2017a) Petroleum well locations – Queensland. Viewed 23/07/2017, &lt;</w:t>
      </w:r>
      <w:hyperlink r:id="rId411" w:history="1">
        <w:r w:rsidRPr="00E46720">
          <w:rPr>
            <w:rStyle w:val="Hyperlink"/>
          </w:rPr>
          <w:t>http://qldspatial.information.qld.gov.au/catalogue/custom/detail.page?fid=%7bCBBE665F-60A8-4116-87C8-AEBF0D21B97C%7d</w:t>
        </w:r>
      </w:hyperlink>
      <w:r>
        <w:t>&gt;.</w:t>
      </w:r>
    </w:p>
    <w:p w14:paraId="7984028A" w14:textId="77777777" w:rsidR="00B221F1" w:rsidRDefault="00B221F1" w:rsidP="00B221F1">
      <w:pPr>
        <w:pStyle w:val="References"/>
      </w:pPr>
      <w:r>
        <w:t>DNRME (Department of Natural Resources, Mines and Energy) (2017b) Seismic survey 2D – Queensland</w:t>
      </w:r>
      <w:r>
        <w:rPr>
          <w:b/>
        </w:rPr>
        <w:t xml:space="preserve">. </w:t>
      </w:r>
      <w:r>
        <w:t>Viewed 23/07/2017, &lt;</w:t>
      </w:r>
      <w:hyperlink r:id="rId412" w:history="1">
        <w:r w:rsidRPr="0065740D">
          <w:rPr>
            <w:rStyle w:val="Hyperlink"/>
          </w:rPr>
          <w:t>http://qldspatial.information.qld.gov.au/catalogue/custom/index.page</w:t>
        </w:r>
      </w:hyperlink>
      <w:r>
        <w:t>&gt;.</w:t>
      </w:r>
    </w:p>
    <w:p w14:paraId="586250BB" w14:textId="77777777" w:rsidR="00B221F1" w:rsidRDefault="00B221F1" w:rsidP="00B221F1">
      <w:pPr>
        <w:pStyle w:val="References"/>
      </w:pPr>
      <w:r>
        <w:t>DNRME (Department of Natural Resources, Mines and Energy) (2017c) Seismic survey 3D – Queensland. Viewed 23/07/2017, &lt;</w:t>
      </w:r>
      <w:hyperlink r:id="rId413" w:history="1">
        <w:r w:rsidRPr="0065740D">
          <w:rPr>
            <w:rStyle w:val="Hyperlink"/>
          </w:rPr>
          <w:t>http://qldspatial.information.qld.gov.au/catalogue/custom/index.page</w:t>
        </w:r>
      </w:hyperlink>
      <w:r>
        <w:rPr>
          <w:rStyle w:val="Hyperlink"/>
        </w:rPr>
        <w:t>&gt;</w:t>
      </w:r>
      <w:r>
        <w:t>.</w:t>
      </w:r>
    </w:p>
    <w:p w14:paraId="4EC005A7" w14:textId="77777777" w:rsidR="00B221F1" w:rsidRDefault="00B221F1" w:rsidP="00B221F1">
      <w:pPr>
        <w:pStyle w:val="References"/>
      </w:pPr>
      <w:r>
        <w:t>DNRME (Department of Natural Resources, Mines and Energy) (2017d) Seismic survey deep – Queensland. Viewed 23/07/2017, &lt;</w:t>
      </w:r>
      <w:hyperlink r:id="rId414" w:history="1">
        <w:r w:rsidRPr="0065740D">
          <w:rPr>
            <w:rStyle w:val="Hyperlink"/>
          </w:rPr>
          <w:t>http://qldspatial.information.qld.gov.au/catalogue/custom/index.page</w:t>
        </w:r>
      </w:hyperlink>
      <w:r>
        <w:rPr>
          <w:rStyle w:val="Hyperlink"/>
        </w:rPr>
        <w:t>&gt;</w:t>
      </w:r>
      <w:r>
        <w:t>.</w:t>
      </w:r>
    </w:p>
    <w:p w14:paraId="1DBD4855" w14:textId="5D546E21" w:rsidR="00096910" w:rsidRPr="000350BE" w:rsidRDefault="00096910" w:rsidP="008B38C1">
      <w:pPr>
        <w:pStyle w:val="References"/>
      </w:pPr>
      <w:r>
        <w:t>DWE</w:t>
      </w:r>
      <w:r w:rsidR="00160101">
        <w:t xml:space="preserve"> (NSW Department of Water and Energy)</w:t>
      </w:r>
      <w:r w:rsidR="001750A8">
        <w:t xml:space="preserve"> (2</w:t>
      </w:r>
      <w:r>
        <w:t>009</w:t>
      </w:r>
      <w:r w:rsidR="001750A8">
        <w:t>)</w:t>
      </w:r>
      <w:r>
        <w:t xml:space="preserve"> Water Sharing Plan NSW Great Artesian Province Groundwater Sources: background document. NSW Department of Water and Energy, Sydney.</w:t>
      </w:r>
    </w:p>
    <w:p w14:paraId="018CA09A" w14:textId="4567DB1E" w:rsidR="00096910" w:rsidRDefault="00096910" w:rsidP="008B38C1">
      <w:pPr>
        <w:pStyle w:val="References"/>
      </w:pPr>
      <w:r>
        <w:lastRenderedPageBreak/>
        <w:t>Faulks JJ</w:t>
      </w:r>
      <w:r w:rsidR="001750A8">
        <w:t xml:space="preserve"> (2</w:t>
      </w:r>
      <w:r>
        <w:t>001</w:t>
      </w:r>
      <w:r w:rsidR="00160101">
        <w:t>)</w:t>
      </w:r>
      <w:r>
        <w:t xml:space="preserve"> Roper River Catchment- An assessment of the physical and ecological condition of the roper river and its major tributaries. Technical Report No. 36/2001. Northern Territory Government.</w:t>
      </w:r>
    </w:p>
    <w:p w14:paraId="6AD9514B" w14:textId="77777777" w:rsidR="00FE4817" w:rsidRDefault="00FE4817" w:rsidP="00FE4817">
      <w:pPr>
        <w:pStyle w:val="References"/>
      </w:pPr>
      <w:r>
        <w:t xml:space="preserve">GA (Geoscience Australia) (2015a) </w:t>
      </w:r>
      <w:r w:rsidRPr="00093164">
        <w:t>Oil and Gas Infrastructure</w:t>
      </w:r>
      <w:r>
        <w:t>. Viewed 16/01/2018, &lt;</w:t>
      </w:r>
      <w:hyperlink r:id="rId415" w:history="1">
        <w:r w:rsidRPr="0065740D">
          <w:rPr>
            <w:rStyle w:val="Hyperlink"/>
          </w:rPr>
          <w:t>http://services.ga.gov.au/site_9/rest/services/Oil_Gas_Infrastructure/MapServer</w:t>
        </w:r>
      </w:hyperlink>
      <w:r>
        <w:rPr>
          <w:rStyle w:val="Hyperlink"/>
        </w:rPr>
        <w:t>&gt;.</w:t>
      </w:r>
    </w:p>
    <w:p w14:paraId="2E109CF6" w14:textId="77777777" w:rsidR="00FE4817" w:rsidRDefault="00FE4817" w:rsidP="00FE4817">
      <w:pPr>
        <w:pStyle w:val="References"/>
      </w:pPr>
      <w:r>
        <w:t xml:space="preserve">GA (Geoscience Australia) (2015b) </w:t>
      </w:r>
      <w:r w:rsidRPr="00093164">
        <w:t xml:space="preserve">Oil and Gas </w:t>
      </w:r>
      <w:r>
        <w:t xml:space="preserve">platforms. </w:t>
      </w:r>
      <w:r w:rsidRPr="000C32BC">
        <w:t>Viewed 16/01/2018</w:t>
      </w:r>
      <w:r>
        <w:t>, &lt;</w:t>
      </w:r>
      <w:hyperlink r:id="rId416" w:anchor="!0a4a79dc-978a-0e89-e054-00144fdd4fa6" w:history="1">
        <w:r w:rsidRPr="00743C84">
          <w:rPr>
            <w:rStyle w:val="Hyperlink"/>
          </w:rPr>
          <w:t>https://ecat.ga.gov.au/geonetwork/srv/eng/search#!0a4a79dc-978a-0e89-e054-00144fdd4fa6</w:t>
        </w:r>
      </w:hyperlink>
      <w:r>
        <w:rPr>
          <w:rStyle w:val="Hyperlink"/>
        </w:rPr>
        <w:t>&gt;.</w:t>
      </w:r>
      <w:r>
        <w:t xml:space="preserve"> </w:t>
      </w:r>
    </w:p>
    <w:p w14:paraId="0F31B7E4" w14:textId="4E1C2B5C" w:rsidR="00F32632" w:rsidRPr="00B059F6" w:rsidRDefault="00F32632" w:rsidP="00B059F6">
      <w:pPr>
        <w:pStyle w:val="References"/>
      </w:pPr>
      <w:r w:rsidRPr="00B059F6">
        <w:t>Gibson GM</w:t>
      </w:r>
      <w:r w:rsidR="00B059F6" w:rsidRPr="00B059F6">
        <w:t xml:space="preserve">, Meixner AJ, Withnall IW, Korsch RJ,  Huttonc LJ, Jones LEA, </w:t>
      </w:r>
      <w:r w:rsidR="003D3EEE">
        <w:t>Holzschuh</w:t>
      </w:r>
      <w:r w:rsidR="00B059F6" w:rsidRPr="00B059F6">
        <w:t xml:space="preserve"> J, Costelloe RD, Henson PA and Saygin E.</w:t>
      </w:r>
      <w:r w:rsidRPr="00B059F6">
        <w:t xml:space="preserve"> </w:t>
      </w:r>
      <w:r w:rsidR="00B059F6" w:rsidRPr="00B059F6">
        <w:t xml:space="preserve">(2016) </w:t>
      </w:r>
      <w:r w:rsidRPr="00B059F6">
        <w:t>Basin architecture and evolution in the Mount Isa mineral province, northern Australia: Constraints from deep seismic reflection profiling and implications for ore genesis Ore Geology Reviews 76, 414–441</w:t>
      </w:r>
      <w:r w:rsidR="00B059F6">
        <w:t>.</w:t>
      </w:r>
    </w:p>
    <w:p w14:paraId="0369F837" w14:textId="01686DFD" w:rsidR="00160101" w:rsidRDefault="00160101" w:rsidP="00160101">
      <w:pPr>
        <w:pStyle w:val="References"/>
      </w:pPr>
      <w:r>
        <w:t>Jacobson G and Lau JE (1987) Hydrogeology of Australia, Geoscience Australia. Viewed 10/07/2017, &lt;</w:t>
      </w:r>
      <w:hyperlink r:id="rId417" w:anchor="!a05f7892-72bf-7506-e044-00144fdd4fa6" w:history="1">
        <w:r>
          <w:rPr>
            <w:rStyle w:val="Hyperlink"/>
          </w:rPr>
          <w:t>https://ecat.ga.gov.au/geonetwork/srv/eng/search#!a05f7892-72bf-7506-e044-00144fdd4fa6</w:t>
        </w:r>
      </w:hyperlink>
      <w:r>
        <w:rPr>
          <w:rStyle w:val="Hyperlink"/>
        </w:rPr>
        <w:t>&gt;.</w:t>
      </w:r>
    </w:p>
    <w:p w14:paraId="7945164B" w14:textId="77777777" w:rsidR="00160101" w:rsidRDefault="00160101" w:rsidP="00160101">
      <w:pPr>
        <w:pStyle w:val="References"/>
      </w:pPr>
      <w:r>
        <w:t>Jemena (2017) Northern gas pipeline. Viewed 16/01/2018, &lt;</w:t>
      </w:r>
      <w:hyperlink r:id="rId418" w:history="1">
        <w:r>
          <w:rPr>
            <w:rStyle w:val="Hyperlink"/>
          </w:rPr>
          <w:t>http://jemena.com.au/industry/pipelines/northern-gas-pipeline</w:t>
        </w:r>
      </w:hyperlink>
      <w:r>
        <w:rPr>
          <w:rStyle w:val="Hyperlink"/>
        </w:rPr>
        <w:t>&gt;.</w:t>
      </w:r>
    </w:p>
    <w:p w14:paraId="111F14BB" w14:textId="6CBDCAB4" w:rsidR="00096910" w:rsidRDefault="00096910" w:rsidP="00160101">
      <w:pPr>
        <w:pStyle w:val="References"/>
      </w:pPr>
      <w:r>
        <w:t>Kirby</w:t>
      </w:r>
      <w:r w:rsidR="00160101">
        <w:t xml:space="preserve"> SL and</w:t>
      </w:r>
      <w:r>
        <w:t xml:space="preserve"> Faulks JJ</w:t>
      </w:r>
      <w:r w:rsidR="001750A8">
        <w:t xml:space="preserve"> (2</w:t>
      </w:r>
      <w:r>
        <w:t>004</w:t>
      </w:r>
      <w:r w:rsidR="00160101">
        <w:t>)</w:t>
      </w:r>
      <w:r>
        <w:t xml:space="preserve"> An assessment of the physical and ecological conditions of the Victoria River and its Major Tributaries. Technical Report 40/2004K, Northern Territory Government.</w:t>
      </w:r>
    </w:p>
    <w:p w14:paraId="706B1323" w14:textId="2F153155" w:rsidR="00096910" w:rsidRDefault="00096910" w:rsidP="008B38C1">
      <w:pPr>
        <w:pStyle w:val="References"/>
      </w:pPr>
      <w:r>
        <w:t>Krassay AA, Bradshaw BE, Domagala J and Jackson MJ</w:t>
      </w:r>
      <w:r w:rsidR="001750A8">
        <w:t xml:space="preserve"> (2</w:t>
      </w:r>
      <w:r>
        <w:t>000</w:t>
      </w:r>
      <w:r w:rsidR="00160101">
        <w:t>)</w:t>
      </w:r>
      <w:r>
        <w:t xml:space="preserve"> Siliciclastic shoreline to growth</w:t>
      </w:r>
      <w:r w:rsidRPr="000350BE">
        <w:t>‐</w:t>
      </w:r>
      <w:r>
        <w:t>faulted, turbiditic sub</w:t>
      </w:r>
      <w:r w:rsidRPr="000350BE">
        <w:t>‐</w:t>
      </w:r>
      <w:r>
        <w:t>basins: The Proterozoic River Supersequence of the upper McNamara Group on the Lawn Hill Platform, northern Australia. Australian Journal of Earth Sciences 47(3), 533-562.</w:t>
      </w:r>
    </w:p>
    <w:p w14:paraId="56CA1150" w14:textId="69CDAF6E" w:rsidR="00096910" w:rsidRDefault="00096910" w:rsidP="008B38C1">
      <w:pPr>
        <w:pStyle w:val="References"/>
      </w:pPr>
      <w:r>
        <w:t>MBA</w:t>
      </w:r>
      <w:r w:rsidR="001750A8">
        <w:t xml:space="preserve"> (2</w:t>
      </w:r>
      <w:r>
        <w:t>012</w:t>
      </w:r>
      <w:r w:rsidR="00160101">
        <w:t>)</w:t>
      </w:r>
      <w:r>
        <w:t xml:space="preserve"> Independent Expert’s Report for Armour Energy Limited.</w:t>
      </w:r>
    </w:p>
    <w:p w14:paraId="2106FD9C" w14:textId="28F4FA16" w:rsidR="00096910" w:rsidRDefault="00096910" w:rsidP="008B38C1">
      <w:pPr>
        <w:pStyle w:val="References"/>
      </w:pPr>
      <w:r>
        <w:t>McConachie BA, Barlow MG, Dunster JN, Meaney RA</w:t>
      </w:r>
      <w:r w:rsidR="00160101">
        <w:t xml:space="preserve"> and</w:t>
      </w:r>
      <w:r>
        <w:t xml:space="preserve"> Shaap AD </w:t>
      </w:r>
      <w:r w:rsidR="00160101">
        <w:t>(</w:t>
      </w:r>
      <w:r>
        <w:t>1993</w:t>
      </w:r>
      <w:r w:rsidR="00160101">
        <w:t>)</w:t>
      </w:r>
      <w:r>
        <w:t xml:space="preserve"> The Mount Isa Basin – Definition, structure and petroleum geology. APEA Journal, 33(1), 237–257.</w:t>
      </w:r>
    </w:p>
    <w:p w14:paraId="44D9E33F" w14:textId="77777777" w:rsidR="00A655D8" w:rsidRDefault="00A655D8" w:rsidP="00A655D8">
      <w:pPr>
        <w:pStyle w:val="References"/>
      </w:pPr>
      <w:r w:rsidRPr="000E4EFC">
        <w:t>NTGS (Northern Territory Geological Survey)</w:t>
      </w:r>
      <w:r>
        <w:t xml:space="preserve"> (20</w:t>
      </w:r>
      <w:r w:rsidRPr="000E4EFC">
        <w:t>17</w:t>
      </w:r>
      <w:r>
        <w:t xml:space="preserve">a) </w:t>
      </w:r>
      <w:r w:rsidRPr="000E4EFC">
        <w:t>Geoscience exploration and mining information system (GEMIS) – Petroleum wells</w:t>
      </w:r>
      <w:r>
        <w:t>. Viewed</w:t>
      </w:r>
      <w:r w:rsidRPr="00AA00C4">
        <w:t xml:space="preserve"> </w:t>
      </w:r>
      <w:r>
        <w:t>11/08/2017, &lt;</w:t>
      </w:r>
      <w:hyperlink r:id="rId419" w:history="1">
        <w:r w:rsidRPr="000E4EFC">
          <w:rPr>
            <w:rStyle w:val="Hyperlink"/>
          </w:rPr>
          <w:t>http://www.geoscience.nt.gov.au/gemis/ntgsjspui/handle/1/79187</w:t>
        </w:r>
      </w:hyperlink>
      <w:r>
        <w:rPr>
          <w:rStyle w:val="Hyperlink"/>
        </w:rPr>
        <w:t>&gt;.</w:t>
      </w:r>
      <w:r>
        <w:t xml:space="preserve"> </w:t>
      </w:r>
    </w:p>
    <w:p w14:paraId="75EFCA57" w14:textId="77777777" w:rsidR="00A655D8" w:rsidRPr="005C209B" w:rsidRDefault="00A655D8" w:rsidP="00A655D8">
      <w:pPr>
        <w:pStyle w:val="References"/>
      </w:pPr>
      <w:r w:rsidRPr="000E4EFC">
        <w:t>NTGS (Northern Territory Geological Survey)</w:t>
      </w:r>
      <w:r>
        <w:t xml:space="preserve"> (20</w:t>
      </w:r>
      <w:r w:rsidRPr="000E4EFC">
        <w:t>17</w:t>
      </w:r>
      <w:r>
        <w:t>b) Northern Territory Statewide Geophysics – Seismic Lines. Viewed 11/08/2017, &lt;</w:t>
      </w:r>
      <w:hyperlink r:id="rId420" w:history="1">
        <w:r w:rsidRPr="002C6079">
          <w:rPr>
            <w:rStyle w:val="Hyperlink"/>
          </w:rPr>
          <w:t>http://www.ntlis.nt.gov.au/metadata/export_data?type=html&amp;metadata_id=FB25348A02CB16B2E040CD9B2144584B</w:t>
        </w:r>
      </w:hyperlink>
      <w:r>
        <w:rPr>
          <w:rStyle w:val="Hyperlink"/>
        </w:rPr>
        <w:t>&gt;.</w:t>
      </w:r>
      <w:r>
        <w:t xml:space="preserve"> </w:t>
      </w:r>
    </w:p>
    <w:p w14:paraId="6CB77614" w14:textId="6ACEB6CB" w:rsidR="00096910" w:rsidRDefault="00096910" w:rsidP="008B38C1">
      <w:pPr>
        <w:pStyle w:val="References"/>
      </w:pPr>
      <w:r w:rsidRPr="002462A9">
        <w:lastRenderedPageBreak/>
        <w:t xml:space="preserve">Queensland Government </w:t>
      </w:r>
      <w:r w:rsidR="00E41EC3">
        <w:t>(</w:t>
      </w:r>
      <w:r w:rsidRPr="002462A9">
        <w:t>2004</w:t>
      </w:r>
      <w:r w:rsidR="00E41EC3">
        <w:t>)</w:t>
      </w:r>
      <w:r w:rsidRPr="002462A9">
        <w:t xml:space="preserve"> "Water Resource (Georgina and Diamantina) Plan 2004</w:t>
      </w:r>
      <w:r>
        <w:t>”</w:t>
      </w:r>
      <w:r w:rsidRPr="002462A9">
        <w:t>, legislation under the Water Act 2000, current as at 27 June 2014</w:t>
      </w:r>
      <w:r w:rsidR="00E41EC3">
        <w:t>. Viewed 13/09/2017, &lt;</w:t>
      </w:r>
      <w:hyperlink r:id="rId421" w:history="1">
        <w:r w:rsidRPr="00495DBB">
          <w:rPr>
            <w:rStyle w:val="Hyperlink"/>
          </w:rPr>
          <w:t>https://www.legislation.qld.gov.au/view/pdf/inforce/2014-06-27/sl-2004-0152</w:t>
        </w:r>
      </w:hyperlink>
      <w:r w:rsidR="00E41EC3">
        <w:t>&gt;.</w:t>
      </w:r>
    </w:p>
    <w:p w14:paraId="32550764" w14:textId="77777777" w:rsidR="00E41EC3" w:rsidRDefault="00E41EC3" w:rsidP="00E41EC3">
      <w:pPr>
        <w:pStyle w:val="References"/>
      </w:pPr>
      <w:r>
        <w:t xml:space="preserve">Queensland Government (2006) “Water Plan (Great Artesian Basin) 2006”, legislation under the Water Act 2000 (Qld), current as at 3 July 2017. Viewed 04/08/2017, </w:t>
      </w:r>
      <w:hyperlink r:id="rId422" w:history="1">
        <w:r w:rsidRPr="00495DBB">
          <w:rPr>
            <w:rStyle w:val="Hyperlink"/>
          </w:rPr>
          <w:t>https://www.legislation.qld.gov.au/LEGISLTN/CURRENT/W/WaterReGABP06.pdf</w:t>
        </w:r>
      </w:hyperlink>
      <w:r>
        <w:t>&gt;.</w:t>
      </w:r>
    </w:p>
    <w:p w14:paraId="242C41CC" w14:textId="429B6996" w:rsidR="00096910" w:rsidRDefault="00096910" w:rsidP="008B38C1">
      <w:pPr>
        <w:pStyle w:val="References"/>
      </w:pPr>
      <w:r w:rsidRPr="002462A9">
        <w:t xml:space="preserve">Queensland Government </w:t>
      </w:r>
      <w:r w:rsidR="00E41EC3">
        <w:t>(</w:t>
      </w:r>
      <w:r w:rsidRPr="002462A9">
        <w:t>2007</w:t>
      </w:r>
      <w:r w:rsidR="00E41EC3">
        <w:t>)</w:t>
      </w:r>
      <w:r w:rsidRPr="002462A9">
        <w:t xml:space="preserve"> "Water Plan (Gulf) 2007", legislation under the Water Act 2000</w:t>
      </w:r>
      <w:r>
        <w:t xml:space="preserve"> (Qld)</w:t>
      </w:r>
      <w:r w:rsidRPr="002462A9">
        <w:t>, current as at 2 September 2017</w:t>
      </w:r>
      <w:r w:rsidR="00E41EC3">
        <w:t>. Viewed 29/09/2017, &lt;</w:t>
      </w:r>
      <w:hyperlink r:id="rId423" w:history="1">
        <w:r w:rsidRPr="00495DBB">
          <w:rPr>
            <w:rStyle w:val="Hyperlink"/>
          </w:rPr>
          <w:t>https://www.legislation.qld.gov.au/view/pdf/2017-09-02/sl-2007-0268</w:t>
        </w:r>
      </w:hyperlink>
      <w:r w:rsidR="00E41EC3">
        <w:t>&gt;.</w:t>
      </w:r>
    </w:p>
    <w:p w14:paraId="48376D4F" w14:textId="77777777" w:rsidR="00E41EC3" w:rsidRPr="00456161" w:rsidRDefault="00E41EC3" w:rsidP="00E41EC3">
      <w:pPr>
        <w:pStyle w:val="References"/>
      </w:pPr>
      <w:r w:rsidRPr="00456161">
        <w:t>Queensland Government</w:t>
      </w:r>
      <w:r>
        <w:t xml:space="preserve"> (2017)</w:t>
      </w:r>
      <w:r w:rsidRPr="00456161">
        <w:t xml:space="preserve"> Drilling, completion and abandonment of petroleum wells. </w:t>
      </w:r>
      <w:r>
        <w:t>Viewed 22/01/2018, &lt;</w:t>
      </w:r>
      <w:hyperlink r:id="rId424" w:history="1">
        <w:r w:rsidRPr="003E47FE">
          <w:rPr>
            <w:rStyle w:val="Hyperlink"/>
          </w:rPr>
          <w:t>https://www.business.qld.gov.au/industries/mining-energy-water/resources/applications-compliance/lodging-statutory-reports/petroleum-gas-reporting/petroleum-wells</w:t>
        </w:r>
      </w:hyperlink>
      <w:r>
        <w:t>&gt;.</w:t>
      </w:r>
    </w:p>
    <w:p w14:paraId="50E4ECB3" w14:textId="2152A870" w:rsidR="00096910" w:rsidRDefault="00096910" w:rsidP="008B38C1">
      <w:pPr>
        <w:pStyle w:val="References"/>
      </w:pPr>
      <w:r>
        <w:t xml:space="preserve">Randal MA </w:t>
      </w:r>
      <w:r w:rsidR="00E41EC3">
        <w:t>(</w:t>
      </w:r>
      <w:r>
        <w:t>1978</w:t>
      </w:r>
      <w:r w:rsidR="00E41EC3">
        <w:t>)</w:t>
      </w:r>
      <w:r>
        <w:t xml:space="preserve"> Hydrogeology of the southeastern Georgina Province and environs, Queensland and Northern Territory. Queensland Department of Mines. Publication 366, April 1978.</w:t>
      </w:r>
    </w:p>
    <w:p w14:paraId="1F98EB22" w14:textId="77777777" w:rsidR="00E41EC3" w:rsidRDefault="00E41EC3" w:rsidP="00E41EC3">
      <w:pPr>
        <w:pStyle w:val="References"/>
      </w:pPr>
      <w:r>
        <w:t>Ransley TR, Radke BM, Feitz AJ, Kellett JR, Owens R, Bell J, Stewart G and Carey H (2015) Hydrogeological Atlas of the Great Artesian Basin, Geoscience Australia, Canberra. Viewed 22/01/2018, &lt;</w:t>
      </w:r>
      <w:hyperlink r:id="rId425" w:history="1">
        <w:r w:rsidRPr="00E03451">
          <w:rPr>
            <w:rStyle w:val="Hyperlink"/>
          </w:rPr>
          <w:t>http://dx.doi.org/10.11636/9781925124668</w:t>
        </w:r>
      </w:hyperlink>
      <w:r>
        <w:t>&gt;.</w:t>
      </w:r>
    </w:p>
    <w:p w14:paraId="77DF09E2" w14:textId="0FE9CF7A" w:rsidR="00096910" w:rsidRDefault="00096910" w:rsidP="008B38C1">
      <w:pPr>
        <w:pStyle w:val="References"/>
      </w:pPr>
      <w:r>
        <w:t xml:space="preserve">Ransley TR and Smerdon BD (eds) (2012) Hydrostratigraphy, hydrogeology and system conceptualisation of the Great Artesian Basin. A technical report to the Australian Government from the CSIRO Great Artesian Basin Water Resource Assessment. CSIRO Water for a Healthy Country Flagship, Australia. </w:t>
      </w:r>
    </w:p>
    <w:p w14:paraId="023AB76A" w14:textId="77777777" w:rsidR="00CB0530" w:rsidRDefault="00CB0530" w:rsidP="00CB0530">
      <w:pPr>
        <w:pStyle w:val="References"/>
      </w:pPr>
      <w:r>
        <w:t>Raymond OL, Gallagher R and Highet LM (2012) Surface geology of Australia, 1:2 500 00 scale, 2012 edition. Geoscience Australia, Canberra. Viewed 16/01/2018, &lt;</w:t>
      </w:r>
      <w:hyperlink r:id="rId426" w:anchor="!b4088aa1-f875-2444-e044-00144fdd4fa6" w:history="1">
        <w:r w:rsidRPr="00A576A0">
          <w:rPr>
            <w:rStyle w:val="Hyperlink"/>
          </w:rPr>
          <w:t>https://ecat.ga.gov.au/geonetwork/srv/eng/search#!b4088aa1-f875-2444-e044-00144fdd4fa6</w:t>
        </w:r>
      </w:hyperlink>
      <w:r>
        <w:rPr>
          <w:rStyle w:val="Hyperlink"/>
        </w:rPr>
        <w:t>&gt;.</w:t>
      </w:r>
      <w:r>
        <w:t xml:space="preserve">   </w:t>
      </w:r>
    </w:p>
    <w:p w14:paraId="6EED380C" w14:textId="5F364646" w:rsidR="00096910" w:rsidRDefault="00096910" w:rsidP="008B38C1">
      <w:pPr>
        <w:pStyle w:val="References"/>
      </w:pPr>
      <w:r>
        <w:t>SAALNRMB (South Australian Arid Lands Natural Resource Management Board)</w:t>
      </w:r>
      <w:r w:rsidR="001750A8">
        <w:t xml:space="preserve"> (2</w:t>
      </w:r>
      <w:r>
        <w:t>009</w:t>
      </w:r>
      <w:r w:rsidR="00160101">
        <w:t>)</w:t>
      </w:r>
      <w:r>
        <w:t xml:space="preserve"> Explanation of the Water Allocation Plan for the Far North Prescribed Wells Area. South Australian Arid Lands Natural Resources Management Board, South Australia.</w:t>
      </w:r>
    </w:p>
    <w:p w14:paraId="11894C4E" w14:textId="77777777" w:rsidR="00B46F53" w:rsidRDefault="000578DD" w:rsidP="008B38C1">
      <w:pPr>
        <w:pStyle w:val="References"/>
      </w:pPr>
      <w:r w:rsidRPr="000578DD">
        <w:t xml:space="preserve">Scientific Inquiry into Hydraulic Fracturing in the Northern Territory (2018) Scientific Inquiry into Hydraulic Fracturing in the Northern Territory: Final Report, March 2018. Viewed 23/04/2018, &lt;https://frackinginquiry.nt.gov.au/inquiry-reports?a=494286&gt;. </w:t>
      </w:r>
    </w:p>
    <w:p w14:paraId="206CC7A3" w14:textId="4032E424" w:rsidR="00096910" w:rsidRDefault="00096910" w:rsidP="008B38C1">
      <w:pPr>
        <w:pStyle w:val="References"/>
      </w:pPr>
      <w:r>
        <w:t>Smerdon BD, Marston FM and Ransley TR</w:t>
      </w:r>
      <w:r w:rsidR="001750A8">
        <w:t xml:space="preserve"> (2</w:t>
      </w:r>
      <w:r>
        <w:t>012</w:t>
      </w:r>
      <w:r w:rsidR="00160101">
        <w:t>)</w:t>
      </w:r>
      <w:r>
        <w:t xml:space="preserve"> Water Resource Assessment for the Central Eromanga Region. CSIRO, Commonwealth of Australia.</w:t>
      </w:r>
    </w:p>
    <w:p w14:paraId="08338E89" w14:textId="65239AED" w:rsidR="00096910" w:rsidRDefault="00096910" w:rsidP="008B38C1">
      <w:pPr>
        <w:pStyle w:val="References"/>
      </w:pPr>
      <w:r>
        <w:t xml:space="preserve">Smith KG </w:t>
      </w:r>
      <w:r w:rsidR="00160101">
        <w:t>(</w:t>
      </w:r>
      <w:r>
        <w:t>1972</w:t>
      </w:r>
      <w:r w:rsidR="00160101">
        <w:t>)</w:t>
      </w:r>
      <w:r>
        <w:t xml:space="preserve"> Stratigraphy of the Georgina Province. Bureau of Mineral Resources, Geology and Geophysics, Canberra.</w:t>
      </w:r>
    </w:p>
    <w:p w14:paraId="74D08E8E" w14:textId="77777777" w:rsidR="00160101" w:rsidRDefault="00160101" w:rsidP="00160101">
      <w:pPr>
        <w:pStyle w:val="References"/>
      </w:pPr>
      <w:r>
        <w:lastRenderedPageBreak/>
        <w:t>Smith M, Karim F, Sparrow A, Cassel R and Hall L (2015) Context statement for the Cooper subregion. Product 1.1 for the Cooper subregion from the Lake Eyre Basin Bioregional Assessment. Bioregional Assessment Programme, Department of the Environment, Bureau of Meteorology, CSIRO and Geoscience Australia, Australia. Viewed 16/01/2018, &lt;</w:t>
      </w:r>
      <w:hyperlink r:id="rId427" w:history="1">
        <w:r w:rsidRPr="00E03451">
          <w:rPr>
            <w:rStyle w:val="Hyperlink"/>
          </w:rPr>
          <w:t>http://data.bioregionalassessments.gov.au/doc/BA-LEB-COO-110-ContextStatement-20150903.pdf</w:t>
        </w:r>
      </w:hyperlink>
      <w:r>
        <w:rPr>
          <w:rStyle w:val="Hyperlink"/>
        </w:rPr>
        <w:t>&gt;.</w:t>
      </w:r>
    </w:p>
    <w:p w14:paraId="736AA3C8" w14:textId="25F772E3" w:rsidR="00096910" w:rsidRDefault="00096910" w:rsidP="008B38C1">
      <w:pPr>
        <w:pStyle w:val="References"/>
      </w:pPr>
      <w:r>
        <w:t>Southgate PN, Bradshaw BE, Domagala J, Jackson MJ, Idnurm M, Krassay A</w:t>
      </w:r>
      <w:r w:rsidR="00160101">
        <w:t>A</w:t>
      </w:r>
      <w:r>
        <w:t xml:space="preserve">, Page RS, Sami </w:t>
      </w:r>
      <w:r w:rsidR="00160101">
        <w:t>TT</w:t>
      </w:r>
      <w:r>
        <w:t>, Scott DL, Lindsay JF, McConachie BA and Tarlowski C</w:t>
      </w:r>
      <w:r w:rsidR="001750A8">
        <w:t xml:space="preserve"> (2</w:t>
      </w:r>
      <w:r>
        <w:t>000</w:t>
      </w:r>
      <w:r w:rsidR="00160101">
        <w:t>)</w:t>
      </w:r>
      <w:r>
        <w:t xml:space="preserve"> Chronostratigraphic basin framework for Palaeoproterozoic rocks (1730–1575 Ma) in northern Australia and implications for mineralisation. Australian Journal of Earth Sciences, 47, 461–85.</w:t>
      </w:r>
    </w:p>
    <w:p w14:paraId="4399427B" w14:textId="77777777" w:rsidR="00F32632" w:rsidRDefault="00F32632" w:rsidP="00F32632">
      <w:pPr>
        <w:pStyle w:val="References"/>
      </w:pPr>
      <w:r>
        <w:t xml:space="preserve">Southgate PN, Neumann NL and Gibson GM (2013) Depositional systems in the Mt Isa Inlier from 1800 Ma to 1640 Ma: implications for Zn–Pb–Ag mineralisation. Aust. J. Earth Sci. 60, 157–173. </w:t>
      </w:r>
    </w:p>
    <w:p w14:paraId="7E5EEB1C" w14:textId="699834E2" w:rsidR="00CB0530" w:rsidRPr="00F32632" w:rsidRDefault="00CB0530" w:rsidP="00F32632">
      <w:pPr>
        <w:pStyle w:val="References"/>
        <w:rPr>
          <w:rStyle w:val="Hyperlink"/>
          <w:color w:val="000000"/>
        </w:rPr>
      </w:pPr>
      <w:r>
        <w:t>Stewart AJ, Raymond OL, Totterdell JM, Zhang W and Gallagher R (2013) Australian Geological Provinces, 2013.01 edition, scale 1:2 500 000. Geoscience Australia, Canberra. Viewed 16/01/2018, &lt;</w:t>
      </w:r>
      <w:hyperlink r:id="rId428" w:anchor="!2680f4bb-8494-14fc-e053-10a3070a4107" w:history="1">
        <w:r w:rsidRPr="0065740D">
          <w:rPr>
            <w:rStyle w:val="Hyperlink"/>
          </w:rPr>
          <w:t>https://ecat.ga.gov.au/geonetwork/srv/eng/search#!2680f4bb-8494-14fc-e053-10a3070a4107</w:t>
        </w:r>
      </w:hyperlink>
      <w:r>
        <w:rPr>
          <w:rStyle w:val="Hyperlink"/>
        </w:rPr>
        <w:t>&gt;.</w:t>
      </w:r>
      <w:r>
        <w:t xml:space="preserve"> </w:t>
      </w:r>
    </w:p>
    <w:p w14:paraId="4FFE646D" w14:textId="7B3A4346" w:rsidR="00096910" w:rsidRDefault="00096910" w:rsidP="000350BE">
      <w:pPr>
        <w:pStyle w:val="References"/>
      </w:pPr>
      <w:r>
        <w:t xml:space="preserve">Verma MN and Jolly PB </w:t>
      </w:r>
      <w:r w:rsidR="00160101">
        <w:t>(</w:t>
      </w:r>
      <w:r>
        <w:t>1992</w:t>
      </w:r>
      <w:r w:rsidR="00160101">
        <w:t>)</w:t>
      </w:r>
      <w:r>
        <w:t xml:space="preserve"> Hydrogeology of Helen Springs; Explanatory notes for the 1:250,000 scale map. Power and Water Authority, Darwin.</w:t>
      </w:r>
    </w:p>
    <w:p w14:paraId="4AE57341" w14:textId="16C3CE46" w:rsidR="007225BD" w:rsidRDefault="007225BD" w:rsidP="007225BD">
      <w:pPr>
        <w:pStyle w:val="BodyText"/>
      </w:pPr>
    </w:p>
    <w:p w14:paraId="70CD185C" w14:textId="77777777" w:rsidR="007225BD" w:rsidRDefault="007225BD">
      <w:pPr>
        <w:spacing w:after="180"/>
      </w:pPr>
      <w:r>
        <w:br w:type="page"/>
      </w:r>
    </w:p>
    <w:p w14:paraId="4FD0C288" w14:textId="77777777" w:rsidR="007225BD" w:rsidRPr="007225BD" w:rsidRDefault="007225BD" w:rsidP="007225BD">
      <w:pPr>
        <w:pStyle w:val="BodyText"/>
      </w:pPr>
    </w:p>
    <w:p w14:paraId="45FD3922" w14:textId="77777777" w:rsidR="000350BE" w:rsidRPr="00960B30" w:rsidRDefault="000350BE" w:rsidP="00960B30">
      <w:pPr>
        <w:pStyle w:val="References"/>
      </w:pPr>
      <w:r>
        <w:br w:type="page"/>
      </w:r>
    </w:p>
    <w:p w14:paraId="1E85AC23" w14:textId="77777777" w:rsidR="008B38C1" w:rsidRDefault="008B38C1" w:rsidP="00B94DC7">
      <w:pPr>
        <w:pStyle w:val="AppendixHeading2"/>
        <w:keepNext/>
      </w:pPr>
      <w:bookmarkStart w:id="298" w:name="_Toc517161199"/>
      <w:r>
        <w:lastRenderedPageBreak/>
        <w:t>McArthur Basin</w:t>
      </w:r>
      <w:bookmarkEnd w:id="298"/>
    </w:p>
    <w:p w14:paraId="09298BF1" w14:textId="77777777" w:rsidR="008B38C1" w:rsidRDefault="006971A5" w:rsidP="009F3E8F">
      <w:pPr>
        <w:pStyle w:val="Caption"/>
      </w:pPr>
      <w:bookmarkStart w:id="299" w:name="_Toc508972202"/>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53</w:t>
      </w:r>
      <w:r w:rsidR="008079F1">
        <w:rPr>
          <w:noProof/>
        </w:rPr>
        <w:fldChar w:fldCharType="end"/>
      </w:r>
      <w:r>
        <w:t xml:space="preserve"> </w:t>
      </w:r>
      <w:r w:rsidR="008B38C1">
        <w:t>Geology and petroleum prospectivity summary.</w:t>
      </w:r>
      <w:bookmarkEnd w:id="299"/>
    </w:p>
    <w:tbl>
      <w:tblPr>
        <w:tblStyle w:val="TableGrid"/>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57" w:type="dxa"/>
          <w:left w:w="57" w:type="dxa"/>
          <w:bottom w:w="28" w:type="dxa"/>
          <w:right w:w="57" w:type="dxa"/>
        </w:tblCellMar>
        <w:tblLook w:val="04A0" w:firstRow="1" w:lastRow="0" w:firstColumn="1" w:lastColumn="0" w:noHBand="0" w:noVBand="1"/>
      </w:tblPr>
      <w:tblGrid>
        <w:gridCol w:w="4098"/>
        <w:gridCol w:w="5511"/>
      </w:tblGrid>
      <w:tr w:rsidR="00B94DC7" w14:paraId="30D8B7C6" w14:textId="77777777" w:rsidTr="00EB4DD3">
        <w:tc>
          <w:tcPr>
            <w:tcW w:w="9629" w:type="dxa"/>
            <w:gridSpan w:val="2"/>
            <w:shd w:val="clear" w:color="auto" w:fill="146692"/>
          </w:tcPr>
          <w:p w14:paraId="51E09C4B" w14:textId="3020696C" w:rsidR="00B94DC7" w:rsidRDefault="00B94DC7" w:rsidP="00B94DC7">
            <w:pPr>
              <w:pStyle w:val="BodyText"/>
              <w:spacing w:beforeLines="20" w:before="48" w:afterLines="20" w:after="48" w:line="120" w:lineRule="atLeast"/>
            </w:pPr>
            <w:r w:rsidRPr="00B94DC7">
              <w:rPr>
                <w:b/>
                <w:color w:val="FFFFFF" w:themeColor="background1"/>
              </w:rPr>
              <w:t>GENERAL</w:t>
            </w:r>
          </w:p>
        </w:tc>
      </w:tr>
      <w:tr w:rsidR="00B94DC7" w14:paraId="03F0EC6B" w14:textId="77777777" w:rsidTr="00EB4DD3">
        <w:tc>
          <w:tcPr>
            <w:tcW w:w="4106" w:type="dxa"/>
            <w:shd w:val="clear" w:color="auto" w:fill="146692"/>
          </w:tcPr>
          <w:p w14:paraId="050EE832" w14:textId="24463A6D"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Jurisdiction</w:t>
            </w:r>
          </w:p>
        </w:tc>
        <w:tc>
          <w:tcPr>
            <w:tcW w:w="5523" w:type="dxa"/>
            <w:shd w:val="clear" w:color="auto" w:fill="E1F2FB"/>
          </w:tcPr>
          <w:p w14:paraId="27EE81A9" w14:textId="353C1CA6" w:rsidR="00B94DC7" w:rsidRDefault="00B94DC7" w:rsidP="00B94DC7">
            <w:pPr>
              <w:pStyle w:val="BodyText"/>
              <w:spacing w:beforeLines="20" w:before="48" w:afterLines="20" w:after="48" w:line="120" w:lineRule="atLeast"/>
            </w:pPr>
            <w:r w:rsidRPr="007D15B3">
              <w:t>Northern Territory, Queensland</w:t>
            </w:r>
          </w:p>
        </w:tc>
      </w:tr>
      <w:tr w:rsidR="00B94DC7" w14:paraId="58B09E12" w14:textId="77777777" w:rsidTr="00EB4DD3">
        <w:tc>
          <w:tcPr>
            <w:tcW w:w="4106" w:type="dxa"/>
            <w:shd w:val="clear" w:color="auto" w:fill="146692"/>
          </w:tcPr>
          <w:p w14:paraId="4CAA64F1" w14:textId="5E23D6DB"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Area</w:t>
            </w:r>
          </w:p>
        </w:tc>
        <w:tc>
          <w:tcPr>
            <w:tcW w:w="5523" w:type="dxa"/>
            <w:shd w:val="clear" w:color="auto" w:fill="E1F2FB"/>
          </w:tcPr>
          <w:p w14:paraId="3FEF4180" w14:textId="1FF6857F" w:rsidR="00B94DC7" w:rsidRDefault="00B94DC7" w:rsidP="00B94DC7">
            <w:pPr>
              <w:pStyle w:val="BodyText"/>
              <w:spacing w:beforeLines="20" w:before="48" w:afterLines="20" w:after="48" w:line="120" w:lineRule="atLeast"/>
            </w:pPr>
            <w:r w:rsidRPr="007D15B3">
              <w:t xml:space="preserve">~285,000 km2 </w:t>
            </w:r>
          </w:p>
        </w:tc>
      </w:tr>
      <w:tr w:rsidR="00B94DC7" w14:paraId="2D970AA2" w14:textId="77777777" w:rsidTr="00EB4DD3">
        <w:tc>
          <w:tcPr>
            <w:tcW w:w="4106" w:type="dxa"/>
            <w:shd w:val="clear" w:color="auto" w:fill="146692"/>
          </w:tcPr>
          <w:p w14:paraId="0AACF8D3" w14:textId="4F6C2F3B"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Maximum basin depth</w:t>
            </w:r>
          </w:p>
        </w:tc>
        <w:tc>
          <w:tcPr>
            <w:tcW w:w="5523" w:type="dxa"/>
            <w:shd w:val="clear" w:color="auto" w:fill="E1F2FB"/>
          </w:tcPr>
          <w:p w14:paraId="28D279CA" w14:textId="045CB8F6" w:rsidR="00B94DC7" w:rsidRDefault="00B94DC7" w:rsidP="00B94DC7">
            <w:pPr>
              <w:pStyle w:val="BodyText"/>
              <w:spacing w:beforeLines="20" w:before="48" w:afterLines="20" w:after="48" w:line="120" w:lineRule="atLeast"/>
            </w:pPr>
            <w:r w:rsidRPr="007D15B3">
              <w:t>15,000 m</w:t>
            </w:r>
          </w:p>
        </w:tc>
      </w:tr>
      <w:tr w:rsidR="00B94DC7" w14:paraId="72C00EC2" w14:textId="77777777" w:rsidTr="00EB4DD3">
        <w:tc>
          <w:tcPr>
            <w:tcW w:w="4106" w:type="dxa"/>
            <w:shd w:val="clear" w:color="auto" w:fill="146692"/>
          </w:tcPr>
          <w:p w14:paraId="167FB0EF" w14:textId="743076A0"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Maximum sediment thickness (m)</w:t>
            </w:r>
          </w:p>
        </w:tc>
        <w:tc>
          <w:tcPr>
            <w:tcW w:w="5523" w:type="dxa"/>
            <w:shd w:val="clear" w:color="auto" w:fill="E1F2FB"/>
          </w:tcPr>
          <w:p w14:paraId="3BB390A0" w14:textId="0243E059" w:rsidR="00B94DC7" w:rsidRDefault="00B94DC7" w:rsidP="00B94DC7">
            <w:pPr>
              <w:pStyle w:val="BodyText"/>
              <w:spacing w:beforeLines="20" w:before="48" w:afterLines="20" w:after="48" w:line="120" w:lineRule="atLeast"/>
            </w:pPr>
            <w:r w:rsidRPr="007D15B3">
              <w:t>15,000 m</w:t>
            </w:r>
          </w:p>
        </w:tc>
      </w:tr>
      <w:tr w:rsidR="00B94DC7" w14:paraId="43421DEA" w14:textId="77777777" w:rsidTr="00EB4DD3">
        <w:tc>
          <w:tcPr>
            <w:tcW w:w="4106" w:type="dxa"/>
            <w:shd w:val="clear" w:color="auto" w:fill="146692"/>
          </w:tcPr>
          <w:p w14:paraId="4D031100" w14:textId="01027281"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Age range</w:t>
            </w:r>
          </w:p>
        </w:tc>
        <w:tc>
          <w:tcPr>
            <w:tcW w:w="5523" w:type="dxa"/>
            <w:shd w:val="clear" w:color="auto" w:fill="E1F2FB"/>
          </w:tcPr>
          <w:p w14:paraId="09B015D4" w14:textId="55EF6CDF" w:rsidR="00B94DC7" w:rsidRDefault="00B94DC7" w:rsidP="00B94DC7">
            <w:pPr>
              <w:pStyle w:val="BodyText"/>
              <w:spacing w:beforeLines="20" w:before="48" w:afterLines="20" w:after="48" w:line="120" w:lineRule="atLeast"/>
            </w:pPr>
            <w:r w:rsidRPr="007D15B3">
              <w:t>Paleoproterozoic–Mesoproterozoic</w:t>
            </w:r>
          </w:p>
        </w:tc>
      </w:tr>
      <w:tr w:rsidR="00B94DC7" w14:paraId="77D2A705" w14:textId="77777777" w:rsidTr="00EB4DD3">
        <w:tc>
          <w:tcPr>
            <w:tcW w:w="4106" w:type="dxa"/>
            <w:shd w:val="clear" w:color="auto" w:fill="146692"/>
          </w:tcPr>
          <w:p w14:paraId="5A8260D0" w14:textId="5D3085B7"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Depositional setting</w:t>
            </w:r>
          </w:p>
        </w:tc>
        <w:tc>
          <w:tcPr>
            <w:tcW w:w="5523" w:type="dxa"/>
            <w:shd w:val="clear" w:color="auto" w:fill="E1F2FB"/>
          </w:tcPr>
          <w:p w14:paraId="56C8FE5A" w14:textId="29869AFE" w:rsidR="00B94DC7" w:rsidRDefault="00B94DC7" w:rsidP="00B94DC7">
            <w:pPr>
              <w:pStyle w:val="BodyText"/>
              <w:spacing w:beforeLines="20" w:before="48" w:afterLines="20" w:after="48" w:line="120" w:lineRule="atLeast"/>
            </w:pPr>
            <w:r w:rsidRPr="007D15B3">
              <w:t xml:space="preserve">Mainly shallow marine clastic and carbonate deposits, with some lacustrine and fluvial deposits; minor volcanic and intrusive rocks </w:t>
            </w:r>
          </w:p>
        </w:tc>
      </w:tr>
      <w:tr w:rsidR="00B94DC7" w14:paraId="7641EE67" w14:textId="77777777" w:rsidTr="00EB4DD3">
        <w:tc>
          <w:tcPr>
            <w:tcW w:w="4106" w:type="dxa"/>
            <w:shd w:val="clear" w:color="auto" w:fill="146692"/>
          </w:tcPr>
          <w:p w14:paraId="675E7355" w14:textId="2BF4D020"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Regional structure</w:t>
            </w:r>
          </w:p>
        </w:tc>
        <w:tc>
          <w:tcPr>
            <w:tcW w:w="5523" w:type="dxa"/>
            <w:shd w:val="clear" w:color="auto" w:fill="E1F2FB"/>
          </w:tcPr>
          <w:p w14:paraId="2D7B8249" w14:textId="69E12AE6" w:rsidR="00B94DC7" w:rsidRDefault="00B94DC7" w:rsidP="00B94DC7">
            <w:pPr>
              <w:pStyle w:val="BodyText"/>
              <w:spacing w:beforeLines="20" w:before="48" w:afterLines="20" w:after="48" w:line="120" w:lineRule="atLeast"/>
            </w:pPr>
            <w:r w:rsidRPr="007D15B3">
              <w:t>Includes the Beetaloo Sub-basin in the SW. Dominant north–south (Batten and Walker fault zones) and east-west to northwest–southeast (Urapunga Fault Zone) fault zones related to strike-slip deformation and eastward-propagating thrust belt.</w:t>
            </w:r>
          </w:p>
        </w:tc>
      </w:tr>
      <w:tr w:rsidR="00B94DC7" w14:paraId="5A5E45DB" w14:textId="77777777" w:rsidTr="00EB4DD3">
        <w:tc>
          <w:tcPr>
            <w:tcW w:w="4106" w:type="dxa"/>
            <w:shd w:val="clear" w:color="auto" w:fill="146692"/>
          </w:tcPr>
          <w:p w14:paraId="5A63D4FC" w14:textId="7E379A22"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Overlying basins</w:t>
            </w:r>
          </w:p>
        </w:tc>
        <w:tc>
          <w:tcPr>
            <w:tcW w:w="5523" w:type="dxa"/>
            <w:shd w:val="clear" w:color="auto" w:fill="E1F2FB"/>
          </w:tcPr>
          <w:p w14:paraId="42EEB338" w14:textId="36210FBA" w:rsidR="00B94DC7" w:rsidRDefault="00B94DC7" w:rsidP="00B94DC7">
            <w:pPr>
              <w:pStyle w:val="BodyText"/>
              <w:spacing w:beforeLines="20" w:before="48" w:afterLines="20" w:after="48" w:line="120" w:lineRule="atLeast"/>
            </w:pPr>
            <w:r w:rsidRPr="007D15B3">
              <w:t>Arafura Basin, Georgina Basin, Carpentaria Basin, Dunmarra Basin, Money Shoal Basin</w:t>
            </w:r>
          </w:p>
        </w:tc>
      </w:tr>
      <w:tr w:rsidR="00B94DC7" w14:paraId="177D1F7F" w14:textId="77777777" w:rsidTr="00EB4DD3">
        <w:tc>
          <w:tcPr>
            <w:tcW w:w="9629" w:type="dxa"/>
            <w:gridSpan w:val="2"/>
            <w:shd w:val="clear" w:color="auto" w:fill="146692"/>
          </w:tcPr>
          <w:p w14:paraId="4C774ACB" w14:textId="70B804F5" w:rsidR="00B94DC7" w:rsidRDefault="00B94DC7" w:rsidP="00B94DC7">
            <w:pPr>
              <w:pStyle w:val="BodyText"/>
              <w:spacing w:beforeLines="20" w:before="48" w:afterLines="20" w:after="48" w:line="120" w:lineRule="atLeast"/>
            </w:pPr>
            <w:r w:rsidRPr="00B94DC7">
              <w:rPr>
                <w:b/>
                <w:color w:val="FFFFFF" w:themeColor="background1"/>
              </w:rPr>
              <w:t>EXPLORATION STATUS</w:t>
            </w:r>
          </w:p>
        </w:tc>
      </w:tr>
      <w:tr w:rsidR="00B94DC7" w14:paraId="56FC5BA1" w14:textId="77777777" w:rsidTr="00EB4DD3">
        <w:tc>
          <w:tcPr>
            <w:tcW w:w="4106" w:type="dxa"/>
            <w:shd w:val="clear" w:color="auto" w:fill="146692"/>
          </w:tcPr>
          <w:p w14:paraId="362E0522" w14:textId="197D36D3"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Seismic lines</w:t>
            </w:r>
          </w:p>
        </w:tc>
        <w:tc>
          <w:tcPr>
            <w:tcW w:w="5523" w:type="dxa"/>
            <w:shd w:val="clear" w:color="auto" w:fill="E1F2FB"/>
          </w:tcPr>
          <w:p w14:paraId="1E87B375" w14:textId="73ACFE5D" w:rsidR="00B94DC7" w:rsidRDefault="00B94DC7" w:rsidP="00B94DC7">
            <w:pPr>
              <w:pStyle w:val="BodyText"/>
              <w:spacing w:beforeLines="20" w:before="48" w:afterLines="20" w:after="48" w:line="120" w:lineRule="atLeast"/>
            </w:pPr>
            <w:r w:rsidRPr="007D15B3">
              <w:t>8,818 line km, 2D seismic</w:t>
            </w:r>
          </w:p>
        </w:tc>
      </w:tr>
      <w:tr w:rsidR="00B94DC7" w14:paraId="5362B536" w14:textId="77777777" w:rsidTr="00EB4DD3">
        <w:tc>
          <w:tcPr>
            <w:tcW w:w="4106" w:type="dxa"/>
            <w:shd w:val="clear" w:color="auto" w:fill="146692"/>
          </w:tcPr>
          <w:p w14:paraId="2A541E4F" w14:textId="4EA71B16"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Number of wells</w:t>
            </w:r>
          </w:p>
        </w:tc>
        <w:tc>
          <w:tcPr>
            <w:tcW w:w="5523" w:type="dxa"/>
            <w:shd w:val="clear" w:color="auto" w:fill="E1F2FB"/>
          </w:tcPr>
          <w:p w14:paraId="781B88F9" w14:textId="7BC70B02" w:rsidR="00B94DC7" w:rsidRDefault="00B94DC7" w:rsidP="00B94DC7">
            <w:pPr>
              <w:pStyle w:val="BodyText"/>
              <w:spacing w:beforeLines="20" w:before="48" w:afterLines="20" w:after="48" w:line="120" w:lineRule="atLeast"/>
            </w:pPr>
            <w:r w:rsidRPr="007D15B3">
              <w:t xml:space="preserve">~35 </w:t>
            </w:r>
          </w:p>
        </w:tc>
      </w:tr>
      <w:tr w:rsidR="00B94DC7" w14:paraId="0D39DF78" w14:textId="77777777" w:rsidTr="00EB4DD3">
        <w:tc>
          <w:tcPr>
            <w:tcW w:w="4106" w:type="dxa"/>
            <w:shd w:val="clear" w:color="auto" w:fill="146692"/>
          </w:tcPr>
          <w:p w14:paraId="0CCEC318" w14:textId="1DFE3AC6"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Exploration status – conventional</w:t>
            </w:r>
          </w:p>
        </w:tc>
        <w:tc>
          <w:tcPr>
            <w:tcW w:w="5523" w:type="dxa"/>
            <w:shd w:val="clear" w:color="auto" w:fill="E1F2FB"/>
          </w:tcPr>
          <w:p w14:paraId="731F2776" w14:textId="3D2178E6" w:rsidR="00B94DC7" w:rsidRDefault="00B94DC7" w:rsidP="00B94DC7">
            <w:pPr>
              <w:pStyle w:val="BodyText"/>
              <w:spacing w:beforeLines="20" w:before="48" w:afterLines="20" w:after="48" w:line="120" w:lineRule="atLeast"/>
            </w:pPr>
            <w:r w:rsidRPr="007D15B3">
              <w:t>Under-explored</w:t>
            </w:r>
          </w:p>
        </w:tc>
      </w:tr>
      <w:tr w:rsidR="00B94DC7" w14:paraId="3B3F8672" w14:textId="77777777" w:rsidTr="00EB4DD3">
        <w:tc>
          <w:tcPr>
            <w:tcW w:w="4106" w:type="dxa"/>
            <w:shd w:val="clear" w:color="auto" w:fill="146692"/>
          </w:tcPr>
          <w:p w14:paraId="003EACFB" w14:textId="4827E785"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Exploration status – shale/ tight gas</w:t>
            </w:r>
          </w:p>
        </w:tc>
        <w:tc>
          <w:tcPr>
            <w:tcW w:w="5523" w:type="dxa"/>
            <w:shd w:val="clear" w:color="auto" w:fill="E1F2FB"/>
          </w:tcPr>
          <w:p w14:paraId="7F7EB700" w14:textId="3DE9BC99" w:rsidR="00B94DC7" w:rsidRDefault="00B94DC7" w:rsidP="00B94DC7">
            <w:pPr>
              <w:pStyle w:val="BodyText"/>
              <w:spacing w:beforeLines="20" w:before="48" w:afterLines="20" w:after="48" w:line="120" w:lineRule="atLeast"/>
            </w:pPr>
            <w:r w:rsidRPr="007D15B3">
              <w:t>Under-explored</w:t>
            </w:r>
          </w:p>
        </w:tc>
      </w:tr>
      <w:tr w:rsidR="00B94DC7" w14:paraId="245416EE" w14:textId="77777777" w:rsidTr="00EB4DD3">
        <w:tc>
          <w:tcPr>
            <w:tcW w:w="9629" w:type="dxa"/>
            <w:gridSpan w:val="2"/>
            <w:shd w:val="clear" w:color="auto" w:fill="146692"/>
          </w:tcPr>
          <w:p w14:paraId="47DA7F57" w14:textId="3CD5F134" w:rsidR="00B94DC7" w:rsidRDefault="00B94DC7" w:rsidP="00B94DC7">
            <w:pPr>
              <w:pStyle w:val="BodyText"/>
              <w:spacing w:beforeLines="20" w:before="48" w:afterLines="20" w:after="48" w:line="120" w:lineRule="atLeast"/>
            </w:pPr>
            <w:r w:rsidRPr="00B94DC7">
              <w:rPr>
                <w:b/>
                <w:color w:val="FFFFFF" w:themeColor="background1"/>
              </w:rPr>
              <w:t>PETROLEUM PROSPECTIVITY -  GENERAL</w:t>
            </w:r>
          </w:p>
        </w:tc>
      </w:tr>
      <w:tr w:rsidR="00B94DC7" w14:paraId="2E655870" w14:textId="77777777" w:rsidTr="00EB4DD3">
        <w:tc>
          <w:tcPr>
            <w:tcW w:w="4106" w:type="dxa"/>
            <w:shd w:val="clear" w:color="auto" w:fill="146692"/>
          </w:tcPr>
          <w:p w14:paraId="490078A2" w14:textId="3516DD81"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Petroleum systems</w:t>
            </w:r>
          </w:p>
        </w:tc>
        <w:tc>
          <w:tcPr>
            <w:tcW w:w="5523" w:type="dxa"/>
            <w:shd w:val="clear" w:color="auto" w:fill="E1F2FB"/>
          </w:tcPr>
          <w:p w14:paraId="3220C654" w14:textId="493C74EE" w:rsidR="00B94DC7" w:rsidRDefault="00B94DC7" w:rsidP="00B94DC7">
            <w:pPr>
              <w:pStyle w:val="BodyText"/>
              <w:spacing w:beforeLines="20" w:before="48" w:afterLines="20" w:after="48" w:line="120" w:lineRule="atLeast"/>
            </w:pPr>
            <w:r w:rsidRPr="007D15B3">
              <w:t>Proven (Urapungan Supersystem; McArthur Supersystem)</w:t>
            </w:r>
          </w:p>
        </w:tc>
      </w:tr>
      <w:tr w:rsidR="00B94DC7" w14:paraId="74536B5B" w14:textId="77777777" w:rsidTr="00EB4DD3">
        <w:tc>
          <w:tcPr>
            <w:tcW w:w="4106" w:type="dxa"/>
            <w:shd w:val="clear" w:color="auto" w:fill="146692"/>
          </w:tcPr>
          <w:p w14:paraId="00FE84F4" w14:textId="2F5EAAD9"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Prospectivity</w:t>
            </w:r>
          </w:p>
        </w:tc>
        <w:tc>
          <w:tcPr>
            <w:tcW w:w="5523" w:type="dxa"/>
            <w:shd w:val="clear" w:color="auto" w:fill="E1F2FB"/>
          </w:tcPr>
          <w:p w14:paraId="3F3F23F6" w14:textId="5DCD1F3F" w:rsidR="00B94DC7" w:rsidRDefault="00B94DC7" w:rsidP="00B94DC7">
            <w:pPr>
              <w:pStyle w:val="BodyText"/>
              <w:spacing w:beforeLines="20" w:before="48" w:afterLines="20" w:after="48" w:line="120" w:lineRule="atLeast"/>
            </w:pPr>
            <w:r w:rsidRPr="007D15B3">
              <w:t>High</w:t>
            </w:r>
          </w:p>
        </w:tc>
      </w:tr>
      <w:tr w:rsidR="00B94DC7" w14:paraId="065B0C13" w14:textId="77777777" w:rsidTr="00EB4DD3">
        <w:tc>
          <w:tcPr>
            <w:tcW w:w="4106" w:type="dxa"/>
            <w:shd w:val="clear" w:color="auto" w:fill="146692"/>
          </w:tcPr>
          <w:p w14:paraId="3F4A894E" w14:textId="21349A9E"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 xml:space="preserve">Conventional discoveries </w:t>
            </w:r>
          </w:p>
        </w:tc>
        <w:tc>
          <w:tcPr>
            <w:tcW w:w="5523" w:type="dxa"/>
            <w:shd w:val="clear" w:color="auto" w:fill="E1F2FB"/>
          </w:tcPr>
          <w:p w14:paraId="298249EF" w14:textId="7A1C53FF" w:rsidR="00B94DC7" w:rsidRDefault="00B94DC7" w:rsidP="00B94DC7">
            <w:pPr>
              <w:pStyle w:val="BodyText"/>
              <w:spacing w:beforeLines="20" w:before="48" w:afterLines="20" w:after="48" w:line="120" w:lineRule="atLeast"/>
            </w:pPr>
            <w:r w:rsidRPr="007D15B3">
              <w:t>No commercial discoveries; technical discoveries in the Batten Trough (Glyde gas prospect; Armour Energy, 2017)</w:t>
            </w:r>
          </w:p>
        </w:tc>
      </w:tr>
      <w:tr w:rsidR="00B94DC7" w14:paraId="55B729C1" w14:textId="77777777" w:rsidTr="00EB4DD3">
        <w:tc>
          <w:tcPr>
            <w:tcW w:w="4106" w:type="dxa"/>
            <w:shd w:val="clear" w:color="auto" w:fill="146692"/>
          </w:tcPr>
          <w:p w14:paraId="6DEAFBDB" w14:textId="2BCF4B1C"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Hydrocarbon production – total to date</w:t>
            </w:r>
          </w:p>
        </w:tc>
        <w:tc>
          <w:tcPr>
            <w:tcW w:w="5523" w:type="dxa"/>
            <w:shd w:val="clear" w:color="auto" w:fill="E1F2FB"/>
          </w:tcPr>
          <w:p w14:paraId="6ACD0148" w14:textId="4A81332F" w:rsidR="00B94DC7" w:rsidRDefault="00B94DC7" w:rsidP="00B94DC7">
            <w:pPr>
              <w:pStyle w:val="BodyText"/>
              <w:spacing w:beforeLines="20" w:before="48" w:afterLines="20" w:after="48" w:line="120" w:lineRule="atLeast"/>
            </w:pPr>
            <w:r w:rsidRPr="007D15B3">
              <w:t>None to date (AERA, 2018)</w:t>
            </w:r>
          </w:p>
        </w:tc>
      </w:tr>
      <w:tr w:rsidR="00B94DC7" w14:paraId="322550ED" w14:textId="77777777" w:rsidTr="00EB4DD3">
        <w:tc>
          <w:tcPr>
            <w:tcW w:w="4106" w:type="dxa"/>
            <w:shd w:val="clear" w:color="auto" w:fill="146692"/>
          </w:tcPr>
          <w:p w14:paraId="6EC9C207" w14:textId="59956CE3"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 xml:space="preserve">2P Reserves </w:t>
            </w:r>
          </w:p>
        </w:tc>
        <w:tc>
          <w:tcPr>
            <w:tcW w:w="5523" w:type="dxa"/>
            <w:shd w:val="clear" w:color="auto" w:fill="E1F2FB"/>
          </w:tcPr>
          <w:p w14:paraId="4D257C7B" w14:textId="547F1FFF" w:rsidR="00B94DC7" w:rsidRDefault="00B94DC7" w:rsidP="00B94DC7">
            <w:pPr>
              <w:pStyle w:val="BodyText"/>
              <w:spacing w:beforeLines="20" w:before="48" w:afterLines="20" w:after="48" w:line="120" w:lineRule="atLeast"/>
            </w:pPr>
            <w:r w:rsidRPr="007D15B3">
              <w:t>None reported (AERA, 2018)</w:t>
            </w:r>
          </w:p>
        </w:tc>
      </w:tr>
      <w:tr w:rsidR="00B94DC7" w14:paraId="4F13887C" w14:textId="77777777" w:rsidTr="00EB4DD3">
        <w:tc>
          <w:tcPr>
            <w:tcW w:w="4106" w:type="dxa"/>
            <w:shd w:val="clear" w:color="auto" w:fill="146692"/>
          </w:tcPr>
          <w:p w14:paraId="5C9E708F" w14:textId="2BFB6A2E"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Remaining resources (reserves + contingent resources)</w:t>
            </w:r>
          </w:p>
        </w:tc>
        <w:tc>
          <w:tcPr>
            <w:tcW w:w="5523" w:type="dxa"/>
            <w:shd w:val="clear" w:color="auto" w:fill="E1F2FB"/>
          </w:tcPr>
          <w:p w14:paraId="4550FD55" w14:textId="672539CE" w:rsidR="00B94DC7" w:rsidRDefault="00B94DC7" w:rsidP="00B94DC7">
            <w:pPr>
              <w:pStyle w:val="BodyText"/>
              <w:spacing w:beforeLines="20" w:before="48" w:afterLines="20" w:after="48" w:line="120" w:lineRule="atLeast"/>
            </w:pPr>
            <w:r w:rsidRPr="007D15B3">
              <w:t>No conventional resources reported (AERA, 2018); see shale/ tight gas resources 2C resources below</w:t>
            </w:r>
          </w:p>
        </w:tc>
      </w:tr>
      <w:tr w:rsidR="00B94DC7" w14:paraId="03DF21EC" w14:textId="77777777" w:rsidTr="00EB4DD3">
        <w:tc>
          <w:tcPr>
            <w:tcW w:w="4106" w:type="dxa"/>
            <w:shd w:val="clear" w:color="auto" w:fill="146692"/>
          </w:tcPr>
          <w:p w14:paraId="3B67D863" w14:textId="1A277E89"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 xml:space="preserve">Undiscovered resource estimates </w:t>
            </w:r>
          </w:p>
        </w:tc>
        <w:tc>
          <w:tcPr>
            <w:tcW w:w="5523" w:type="dxa"/>
            <w:shd w:val="clear" w:color="auto" w:fill="E1F2FB"/>
          </w:tcPr>
          <w:p w14:paraId="19E5118E" w14:textId="782E1A6B" w:rsidR="00B94DC7" w:rsidRDefault="00B94DC7" w:rsidP="00B94DC7">
            <w:pPr>
              <w:pStyle w:val="BodyText"/>
              <w:spacing w:beforeLines="20" w:before="48" w:afterLines="20" w:after="48" w:line="120" w:lineRule="atLeast"/>
            </w:pPr>
            <w:r w:rsidRPr="007D15B3">
              <w:t>No conventional prospective resources; see prospective shale/ tight gas resources below</w:t>
            </w:r>
          </w:p>
        </w:tc>
      </w:tr>
      <w:tr w:rsidR="00B94DC7" w14:paraId="7793D348" w14:textId="77777777" w:rsidTr="00EB4DD3">
        <w:tc>
          <w:tcPr>
            <w:tcW w:w="9629" w:type="dxa"/>
            <w:gridSpan w:val="2"/>
            <w:shd w:val="clear" w:color="auto" w:fill="146692"/>
          </w:tcPr>
          <w:p w14:paraId="0200E668" w14:textId="79305E91" w:rsidR="00B94DC7" w:rsidRDefault="00B94DC7" w:rsidP="00B94DC7">
            <w:pPr>
              <w:pStyle w:val="BodyText"/>
              <w:spacing w:beforeLines="20" w:before="48" w:afterLines="20" w:after="48" w:line="120" w:lineRule="atLeast"/>
            </w:pPr>
            <w:r w:rsidRPr="00B94DC7">
              <w:rPr>
                <w:b/>
                <w:color w:val="FFFFFF" w:themeColor="background1"/>
              </w:rPr>
              <w:t>PETROLEUM PROSPECTIVITY – SHALE/ TIGHT GAS</w:t>
            </w:r>
          </w:p>
        </w:tc>
      </w:tr>
      <w:tr w:rsidR="00B94DC7" w14:paraId="0447DD85" w14:textId="77777777" w:rsidTr="00EB4DD3">
        <w:tc>
          <w:tcPr>
            <w:tcW w:w="4106" w:type="dxa"/>
            <w:shd w:val="clear" w:color="auto" w:fill="146692"/>
          </w:tcPr>
          <w:p w14:paraId="7D1D7780" w14:textId="0E4B05C1"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Unconventional play types</w:t>
            </w:r>
          </w:p>
        </w:tc>
        <w:tc>
          <w:tcPr>
            <w:tcW w:w="5523" w:type="dxa"/>
            <w:shd w:val="clear" w:color="auto" w:fill="E1F2FB"/>
          </w:tcPr>
          <w:p w14:paraId="6E7E747D" w14:textId="6F287DB3" w:rsidR="00B94DC7" w:rsidRDefault="00B94DC7" w:rsidP="00B94DC7">
            <w:pPr>
              <w:pStyle w:val="BodyText"/>
              <w:spacing w:beforeLines="20" w:before="48" w:afterLines="20" w:after="48" w:line="120" w:lineRule="atLeast"/>
            </w:pPr>
            <w:r w:rsidRPr="007D15B3">
              <w:t>Shale gas, tight gas</w:t>
            </w:r>
          </w:p>
        </w:tc>
      </w:tr>
      <w:tr w:rsidR="00B94DC7" w14:paraId="4E9BE5E1" w14:textId="77777777" w:rsidTr="00EB4DD3">
        <w:tc>
          <w:tcPr>
            <w:tcW w:w="4106" w:type="dxa"/>
            <w:shd w:val="clear" w:color="auto" w:fill="146692"/>
          </w:tcPr>
          <w:p w14:paraId="5409DF67" w14:textId="7F6B2BE4"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lastRenderedPageBreak/>
              <w:t>Production – shale/ tight gas</w:t>
            </w:r>
          </w:p>
        </w:tc>
        <w:tc>
          <w:tcPr>
            <w:tcW w:w="5523" w:type="dxa"/>
            <w:shd w:val="clear" w:color="auto" w:fill="E1F2FB"/>
          </w:tcPr>
          <w:p w14:paraId="19CC5314" w14:textId="4D7FD15F" w:rsidR="00B94DC7" w:rsidRDefault="00B94DC7" w:rsidP="00B94DC7">
            <w:pPr>
              <w:pStyle w:val="BodyText"/>
              <w:spacing w:beforeLines="20" w:before="48" w:afterLines="20" w:after="48" w:line="120" w:lineRule="atLeast"/>
            </w:pPr>
            <w:r w:rsidRPr="007D15B3">
              <w:t>None</w:t>
            </w:r>
          </w:p>
        </w:tc>
      </w:tr>
      <w:tr w:rsidR="00B94DC7" w14:paraId="1739AD29" w14:textId="77777777" w:rsidTr="00EB4DD3">
        <w:tc>
          <w:tcPr>
            <w:tcW w:w="4106" w:type="dxa"/>
            <w:shd w:val="clear" w:color="auto" w:fill="146692"/>
          </w:tcPr>
          <w:p w14:paraId="4DCECABE" w14:textId="3B9019FB"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2P Reserves – shale/ tight gas</w:t>
            </w:r>
          </w:p>
        </w:tc>
        <w:tc>
          <w:tcPr>
            <w:tcW w:w="5523" w:type="dxa"/>
            <w:shd w:val="clear" w:color="auto" w:fill="E1F2FB"/>
          </w:tcPr>
          <w:p w14:paraId="1144CB58" w14:textId="22417E50" w:rsidR="00B94DC7" w:rsidRDefault="00B94DC7" w:rsidP="00B94DC7">
            <w:pPr>
              <w:pStyle w:val="BodyText"/>
              <w:spacing w:beforeLines="20" w:before="48" w:afterLines="20" w:after="48" w:line="120" w:lineRule="atLeast"/>
            </w:pPr>
            <w:r w:rsidRPr="007D15B3">
              <w:t>None reported</w:t>
            </w:r>
          </w:p>
        </w:tc>
      </w:tr>
      <w:tr w:rsidR="00B94DC7" w14:paraId="64CD44D2" w14:textId="77777777" w:rsidTr="00EB4DD3">
        <w:tc>
          <w:tcPr>
            <w:tcW w:w="4106" w:type="dxa"/>
            <w:shd w:val="clear" w:color="auto" w:fill="146692"/>
          </w:tcPr>
          <w:p w14:paraId="1AB4CE98" w14:textId="45978B85"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Remaining resources (reserves + contingent resources) – shale/ tight gas</w:t>
            </w:r>
          </w:p>
        </w:tc>
        <w:tc>
          <w:tcPr>
            <w:tcW w:w="5523" w:type="dxa"/>
            <w:shd w:val="clear" w:color="auto" w:fill="E1F2FB"/>
          </w:tcPr>
          <w:p w14:paraId="256668C0" w14:textId="61D03997" w:rsidR="00B94DC7" w:rsidRDefault="00B94DC7" w:rsidP="00B94DC7">
            <w:pPr>
              <w:pStyle w:val="BodyText"/>
              <w:spacing w:beforeLines="20" w:before="48" w:afterLines="20" w:after="48" w:line="120" w:lineRule="atLeast"/>
            </w:pPr>
            <w:r w:rsidRPr="007D15B3">
              <w:t>6.6 Tcf shale gas over an area of 1,968 km2 (Table A.3; Origin, 2017)</w:t>
            </w:r>
          </w:p>
        </w:tc>
      </w:tr>
      <w:tr w:rsidR="00B94DC7" w14:paraId="4241DB77" w14:textId="77777777" w:rsidTr="00EB4DD3">
        <w:tc>
          <w:tcPr>
            <w:tcW w:w="4106" w:type="dxa"/>
            <w:shd w:val="clear" w:color="auto" w:fill="146692"/>
          </w:tcPr>
          <w:p w14:paraId="31D61989" w14:textId="695EA049"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Undiscovered resource estimates – shale/ tight gas</w:t>
            </w:r>
          </w:p>
        </w:tc>
        <w:tc>
          <w:tcPr>
            <w:tcW w:w="5523" w:type="dxa"/>
            <w:shd w:val="clear" w:color="auto" w:fill="E1F2FB"/>
          </w:tcPr>
          <w:p w14:paraId="4FF6C6D9" w14:textId="77777777" w:rsidR="00B94DC7" w:rsidRPr="00806FFA" w:rsidRDefault="00B94DC7" w:rsidP="00B94DC7">
            <w:pPr>
              <w:pStyle w:val="TableBullet"/>
              <w:spacing w:beforeLines="20" w:before="48" w:afterLines="20" w:after="48"/>
              <w:ind w:left="318"/>
            </w:pPr>
            <w:r w:rsidRPr="00806FFA">
              <w:t>202 Tcf undiscovered shale gas-in-place in the middle Velkerri Formation (Table A.3; Revie, 2017b; Weatherford Labs, 2017)</w:t>
            </w:r>
          </w:p>
          <w:p w14:paraId="49374028" w14:textId="77777777" w:rsidR="00B94DC7" w:rsidRPr="00806FFA" w:rsidRDefault="00B94DC7" w:rsidP="00B94DC7">
            <w:pPr>
              <w:pStyle w:val="TableBullet"/>
              <w:spacing w:beforeLines="20" w:before="48" w:afterLines="20" w:after="48"/>
              <w:ind w:left="318"/>
            </w:pPr>
            <w:r>
              <w:t>B</w:t>
            </w:r>
            <w:r w:rsidRPr="00806FFA">
              <w:t>est estimate of recoverable shale gas resource of 3 Tcf for the lower Kyalla Formation (prospective area 898 km</w:t>
            </w:r>
            <w:r w:rsidRPr="00760876">
              <w:rPr>
                <w:vertAlign w:val="superscript"/>
              </w:rPr>
              <w:t>2</w:t>
            </w:r>
            <w:r w:rsidRPr="00806FFA">
              <w:t>) and 16 Tcf for the middle Velkerri Formation (prospective area 6,092 km</w:t>
            </w:r>
            <w:r w:rsidRPr="00760876">
              <w:rPr>
                <w:vertAlign w:val="superscript"/>
              </w:rPr>
              <w:t>2</w:t>
            </w:r>
            <w:r w:rsidRPr="00806FFA">
              <w:t>) (AWT International, 2013)</w:t>
            </w:r>
          </w:p>
          <w:p w14:paraId="67A529C0" w14:textId="77777777" w:rsidR="00B94DC7" w:rsidRPr="00806FFA" w:rsidRDefault="00B94DC7" w:rsidP="00B94DC7">
            <w:pPr>
              <w:pStyle w:val="TableBullet"/>
              <w:spacing w:beforeLines="20" w:before="48" w:afterLines="20" w:after="48"/>
              <w:ind w:left="318"/>
            </w:pPr>
            <w:r w:rsidRPr="00806FFA">
              <w:t xml:space="preserve">P50 estimate of potentially recoverable shale gas </w:t>
            </w:r>
            <w:r>
              <w:t>of</w:t>
            </w:r>
            <w:r w:rsidRPr="00806FFA">
              <w:t xml:space="preserve"> 37.29 Tcf for the lower Kyalla Formation and 74.50 Tcf for the middle Velkerri Formation (prospective area unknown; RPS, 2013).</w:t>
            </w:r>
          </w:p>
          <w:p w14:paraId="7D9E7029" w14:textId="463FA82E" w:rsidR="00B94DC7" w:rsidRDefault="00B94DC7" w:rsidP="00B94DC7">
            <w:pPr>
              <w:pStyle w:val="BodyText"/>
              <w:numPr>
                <w:ilvl w:val="0"/>
                <w:numId w:val="34"/>
              </w:numPr>
              <w:spacing w:beforeLines="20" w:before="48" w:afterLines="20" w:after="48" w:line="120" w:lineRule="atLeast"/>
              <w:ind w:left="318"/>
            </w:pPr>
            <w:r>
              <w:t>T</w:t>
            </w:r>
            <w:r w:rsidRPr="00806FFA">
              <w:t>echnically recoverable shale gas of  22 Tcf for the lower Kyalla Formation (prospective area - associated gas 4,100 mi</w:t>
            </w:r>
            <w:r w:rsidRPr="00806FFA">
              <w:rPr>
                <w:vertAlign w:val="superscript"/>
              </w:rPr>
              <w:t>2</w:t>
            </w:r>
            <w:r w:rsidRPr="00806FFA">
              <w:t>, 2,400 mi</w:t>
            </w:r>
            <w:r w:rsidRPr="00806FFA">
              <w:rPr>
                <w:vertAlign w:val="superscript"/>
              </w:rPr>
              <w:t>2</w:t>
            </w:r>
            <w:r w:rsidRPr="00806FFA">
              <w:t xml:space="preserve"> wet gas, 1,310 mi</w:t>
            </w:r>
            <w:r w:rsidRPr="00806FFA">
              <w:rPr>
                <w:vertAlign w:val="superscript"/>
              </w:rPr>
              <w:t>2</w:t>
            </w:r>
            <w:r w:rsidRPr="00806FFA">
              <w:t xml:space="preserve"> dry gas) and 22 Tcf for the middle Velkerri Formation (prospective area - associated gas 2,650 mi</w:t>
            </w:r>
            <w:r w:rsidRPr="00806FFA">
              <w:rPr>
                <w:vertAlign w:val="superscript"/>
              </w:rPr>
              <w:t>2</w:t>
            </w:r>
            <w:r w:rsidRPr="00806FFA">
              <w:t>, 2,130 mi</w:t>
            </w:r>
            <w:r w:rsidRPr="00806FFA">
              <w:rPr>
                <w:vertAlign w:val="superscript"/>
              </w:rPr>
              <w:t xml:space="preserve">2 </w:t>
            </w:r>
            <w:r w:rsidRPr="00806FFA">
              <w:t>wet gas, 2,480 mi</w:t>
            </w:r>
            <w:r w:rsidRPr="00806FFA">
              <w:rPr>
                <w:vertAlign w:val="superscript"/>
              </w:rPr>
              <w:t>2</w:t>
            </w:r>
            <w:r w:rsidRPr="00806FFA">
              <w:t xml:space="preserve"> dry gas) (EIA, 2013)</w:t>
            </w:r>
          </w:p>
        </w:tc>
      </w:tr>
      <w:tr w:rsidR="00B94DC7" w14:paraId="77E38E78" w14:textId="77777777" w:rsidTr="00EB4DD3">
        <w:tc>
          <w:tcPr>
            <w:tcW w:w="4106" w:type="dxa"/>
            <w:shd w:val="clear" w:color="auto" w:fill="146692"/>
          </w:tcPr>
          <w:p w14:paraId="738D46C2" w14:textId="633E24D0" w:rsidR="00B94DC7" w:rsidRPr="00B94DC7" w:rsidRDefault="00B94DC7" w:rsidP="00B94DC7">
            <w:pPr>
              <w:pStyle w:val="BodyText"/>
              <w:spacing w:beforeLines="20" w:before="48" w:afterLines="20" w:after="48" w:line="120" w:lineRule="atLeast"/>
              <w:rPr>
                <w:b/>
                <w:color w:val="FFFFFF" w:themeColor="background1"/>
              </w:rPr>
            </w:pPr>
            <w:r w:rsidRPr="00B94DC7">
              <w:rPr>
                <w:b/>
                <w:color w:val="FFFFFF" w:themeColor="background1"/>
              </w:rPr>
              <w:t>Hydrocarbon shows, tests – shale/ tight gas</w:t>
            </w:r>
          </w:p>
        </w:tc>
        <w:tc>
          <w:tcPr>
            <w:tcW w:w="5523" w:type="dxa"/>
            <w:shd w:val="clear" w:color="auto" w:fill="E1F2FB"/>
          </w:tcPr>
          <w:p w14:paraId="0DE07B36" w14:textId="381266D2" w:rsidR="00B94DC7" w:rsidRDefault="00B94DC7" w:rsidP="00B94DC7">
            <w:pPr>
              <w:pStyle w:val="BodyText"/>
              <w:spacing w:beforeLines="20" w:before="48" w:afterLines="20" w:after="48" w:line="120" w:lineRule="atLeast"/>
            </w:pPr>
            <w:r w:rsidRPr="00B94DC7">
              <w:t>Amungee (Beetaloo Sub-basin); Glyde (Greater McArthur Basin)</w:t>
            </w:r>
          </w:p>
        </w:tc>
      </w:tr>
    </w:tbl>
    <w:p w14:paraId="3A3981BF" w14:textId="77777777" w:rsidR="008B38C1" w:rsidRDefault="008B38C1" w:rsidP="00E34CDE">
      <w:pPr>
        <w:pStyle w:val="AppendixHeading3"/>
      </w:pPr>
      <w:bookmarkStart w:id="300" w:name="_Toc517161200"/>
      <w:r>
        <w:t>Basin geology</w:t>
      </w:r>
      <w:bookmarkEnd w:id="300"/>
    </w:p>
    <w:p w14:paraId="4B33594C" w14:textId="430D4B28" w:rsidR="008B38C1" w:rsidRPr="003739CA" w:rsidRDefault="008B38C1" w:rsidP="003739CA">
      <w:pPr>
        <w:pStyle w:val="BodyText"/>
      </w:pPr>
      <w:r w:rsidRPr="003739CA">
        <w:t>The McArthur Basin is a regionally extensive Paleo- to Mesoproterozoic multiphase intracratonic basin covering an area of approximately 285,000</w:t>
      </w:r>
      <w:r w:rsidR="008232C9">
        <w:t> km</w:t>
      </w:r>
      <w:r w:rsidRPr="005450A3">
        <w:rPr>
          <w:rStyle w:val="Superscript"/>
        </w:rPr>
        <w:t>2</w:t>
      </w:r>
      <w:r w:rsidRPr="00960B30">
        <w:t>;</w:t>
      </w:r>
      <w:r w:rsidRPr="000350BE">
        <w:rPr>
          <w:rStyle w:val="Superscript"/>
        </w:rPr>
        <w:t xml:space="preserve"> </w:t>
      </w:r>
      <w:r w:rsidRPr="00D47844">
        <w:t>it is m</w:t>
      </w:r>
      <w:r w:rsidRPr="003739CA">
        <w:t>ainly located in the Northern Territory but extends into northwestern Queensland (</w:t>
      </w:r>
      <w:r w:rsidR="00611607">
        <w:t>Figure C</w:t>
      </w:r>
      <w:r w:rsidR="00367A93">
        <w:t>.6</w:t>
      </w:r>
      <w:r w:rsidR="00494973">
        <w:t>3</w:t>
      </w:r>
      <w:r w:rsidRPr="003739CA">
        <w:t xml:space="preserve">; </w:t>
      </w:r>
      <w:r w:rsidR="00611607">
        <w:t>Table C</w:t>
      </w:r>
      <w:r w:rsidR="006971A5">
        <w:t>.5</w:t>
      </w:r>
      <w:r w:rsidR="00A24684">
        <w:t>3</w:t>
      </w:r>
      <w:r w:rsidRPr="003739CA">
        <w:t xml:space="preserve">; Munson, 2014; Carr et al., 2016). The </w:t>
      </w:r>
      <w:r w:rsidR="00FA72AE">
        <w:t>28</w:t>
      </w:r>
      <w:r w:rsidRPr="003739CA">
        <w:t>,000</w:t>
      </w:r>
      <w:r w:rsidR="008232C9">
        <w:t> km</w:t>
      </w:r>
      <w:r w:rsidRPr="005450A3">
        <w:rPr>
          <w:rStyle w:val="Superscript"/>
        </w:rPr>
        <w:t>2</w:t>
      </w:r>
      <w:r w:rsidRPr="003739CA">
        <w:t xml:space="preserve"> Beetaloo Sub-basin is located in the southwestern part of the basin. The McArthur Basin is unconformably overlain by the Neoproterozoic to Devonian Georgina Basin and the Mesozoic Carpentaria Basin in the southwest, and Neoproterozoic sediments of the Arafura Basin in the north.</w:t>
      </w:r>
    </w:p>
    <w:p w14:paraId="0BF59B71" w14:textId="0D29E785" w:rsidR="008B38C1" w:rsidRPr="003739CA" w:rsidRDefault="008B38C1" w:rsidP="003739CA">
      <w:pPr>
        <w:pStyle w:val="BodyText"/>
      </w:pPr>
      <w:r w:rsidRPr="003739CA">
        <w:t>The McArthur Basin contains a thick, mixed carbonate and siliciclastic succession; minor mafic and felsic volcanic rocks are present near the base. Depositional environments range from fluvial and lacustrine to shallow marginal marine (Munson, 2014). The basin succession is subdivided into four major groups—the Tawallah, McArthur, Nathan and Roper groups (</w:t>
      </w:r>
      <w:r w:rsidR="00611607">
        <w:t>Figure C</w:t>
      </w:r>
      <w:r w:rsidR="00367A93">
        <w:t>.6</w:t>
      </w:r>
      <w:r w:rsidR="00494973">
        <w:t>4</w:t>
      </w:r>
      <w:r w:rsidRPr="003739CA">
        <w:t>; Jackson et al., 1987). The McArthur Basin forms part of a network of similarly aged basins that evolved across the northern Australian craton during the Paleoproterozoic and Mesoproterozoic. It is probably continuous or correlative with the Tomkinson Province succession to the south and the Birrindudu Basin to the west</w:t>
      </w:r>
      <w:r w:rsidR="00441B07">
        <w:t>;</w:t>
      </w:r>
      <w:r w:rsidRPr="003739CA">
        <w:t xml:space="preserve"> </w:t>
      </w:r>
      <w:r w:rsidR="004C5A26">
        <w:t>furthermore</w:t>
      </w:r>
      <w:r w:rsidR="004C5A26" w:rsidRPr="003739CA" w:rsidDel="004C5A26">
        <w:t xml:space="preserve"> </w:t>
      </w:r>
      <w:r w:rsidRPr="003739CA">
        <w:t>parts of the succession can be correlated with the South Nicholson Basin (Roper Group equivalent) and Isa Superbasin to the east (Greater McArthur basin concept; Munson, 2014). The tectonic evolution of the basin is poorly understood, but most models suggest that basin evolution was dominated by extensional tectonics and periods of compressional and strike-slip deformation (Rawlings, 1999).</w:t>
      </w:r>
    </w:p>
    <w:p w14:paraId="3A92130C" w14:textId="1976FCA0" w:rsidR="008B38C1" w:rsidRPr="001F259B" w:rsidRDefault="00C54E77" w:rsidP="0006515C">
      <w:pPr>
        <w:pStyle w:val="Caption"/>
        <w:keepLines/>
      </w:pPr>
      <w:bookmarkStart w:id="301" w:name="_Toc508972134"/>
      <w:r>
        <w:rPr>
          <w:noProof/>
        </w:rPr>
        <w:lastRenderedPageBreak/>
        <w:drawing>
          <wp:inline distT="0" distB="0" distL="0" distR="0" wp14:anchorId="29F5FBFA" wp14:editId="54E2302D">
            <wp:extent cx="5760000" cy="5338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429" cstate="screen">
                      <a:extLst>
                        <a:ext uri="{28A0092B-C50C-407E-A947-70E740481C1C}">
                          <a14:useLocalDpi xmlns:a14="http://schemas.microsoft.com/office/drawing/2010/main"/>
                        </a:ext>
                      </a:extLst>
                    </a:blip>
                    <a:srcRect/>
                    <a:stretch/>
                  </pic:blipFill>
                  <pic:spPr bwMode="auto">
                    <a:xfrm>
                      <a:off x="0" y="0"/>
                      <a:ext cx="5760000" cy="5338800"/>
                    </a:xfrm>
                    <a:prstGeom prst="rect">
                      <a:avLst/>
                    </a:prstGeom>
                    <a:noFill/>
                    <a:ln>
                      <a:noFill/>
                    </a:ln>
                    <a:extLst>
                      <a:ext uri="{53640926-AAD7-44D8-BBD7-CCE9431645EC}">
                        <a14:shadowObscured xmlns:a14="http://schemas.microsoft.com/office/drawing/2010/main"/>
                      </a:ext>
                    </a:extLst>
                  </pic:spPr>
                </pic:pic>
              </a:graphicData>
            </a:graphic>
          </wp:inline>
        </w:drawing>
      </w:r>
      <w:r w:rsidR="000444A8">
        <w:t xml:space="preserve">  </w:t>
      </w:r>
      <w:r w:rsidR="00FD61CA"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00FD61CA" w:rsidRPr="00BA0502">
        <w:t>.</w:t>
      </w:r>
      <w:r w:rsidR="008079F1">
        <w:fldChar w:fldCharType="begin"/>
      </w:r>
      <w:r w:rsidR="008079F1">
        <w:instrText xml:space="preserve"> SEQ Apx_Figure \* ARABIC \s 9 </w:instrText>
      </w:r>
      <w:r w:rsidR="008079F1">
        <w:fldChar w:fldCharType="separate"/>
      </w:r>
      <w:r w:rsidR="00640CCB">
        <w:rPr>
          <w:noProof/>
        </w:rPr>
        <w:t>63</w:t>
      </w:r>
      <w:r w:rsidR="008079F1">
        <w:rPr>
          <w:noProof/>
        </w:rPr>
        <w:fldChar w:fldCharType="end"/>
      </w:r>
      <w:r w:rsidR="00FD61CA" w:rsidRPr="00BA0502">
        <w:t xml:space="preserve"> </w:t>
      </w:r>
      <w:r w:rsidR="008B38C1">
        <w:t>Location of the McArthur Basin and Beetaloo Sub-basin on a base map of surface geology from Carr et al. (2016). Surface geology is from the 1:1,000,000 scale geology map of Australia (Raymond, 2009);</w:t>
      </w:r>
      <w:r w:rsidR="007225BD" w:rsidRPr="007225BD">
        <w:t xml:space="preserve"> </w:t>
      </w:r>
      <w:r w:rsidR="007225BD">
        <w:t>M</w:t>
      </w:r>
      <w:r w:rsidR="007225BD" w:rsidRPr="007225BD">
        <w:t>cArthur Basin outline from Stewart et al. (2013) (McArthur) and Beetaloo Sub-basin outline from Williams (in prep).</w:t>
      </w:r>
      <w:r w:rsidR="008B38C1">
        <w:t xml:space="preserve"> </w:t>
      </w:r>
      <w:bookmarkEnd w:id="301"/>
    </w:p>
    <w:p w14:paraId="10F1882E" w14:textId="77777777" w:rsidR="008B38C1" w:rsidRPr="005450A3" w:rsidRDefault="008B38C1" w:rsidP="00FD6771">
      <w:pPr>
        <w:pStyle w:val="FiguresImagesCentred"/>
      </w:pPr>
      <w:r w:rsidRPr="00FD6771">
        <w:rPr>
          <w:noProof/>
        </w:rPr>
        <w:lastRenderedPageBreak/>
        <w:drawing>
          <wp:inline distT="0" distB="0" distL="0" distR="0" wp14:anchorId="428961CC" wp14:editId="0897264B">
            <wp:extent cx="4742688" cy="7717536"/>
            <wp:effectExtent l="0" t="0" r="1270" b="0"/>
            <wp:docPr id="294" name="Picture 294" title="Figure 2.3 (below) Stratigraphy of the McArthur Basin. Correlations of stratigraphic units  are based on Rawlings (1999) and Munson. (2014). Also shown is the subdivision of the basin into non-genetic packages (Rawlings, 1999) or superbasins (Jackson et al., 2000), and the source rock and reservoir units, and petroleum shows (after Munson, 2014"/>
            <wp:cNvGraphicFramePr/>
            <a:graphic xmlns:a="http://schemas.openxmlformats.org/drawingml/2006/main">
              <a:graphicData uri="http://schemas.openxmlformats.org/drawingml/2006/picture">
                <pic:pic xmlns:pic="http://schemas.openxmlformats.org/drawingml/2006/picture">
                  <pic:nvPicPr>
                    <pic:cNvPr id="13" name="" title="Figure 2.3 (below) Stratigraphy of the McArthur Basin. Correlations of stratigraphic units  are based on Rawlings (1999) and Munson. (2014). Also shown is the subdivision of the basin into non-genetic packages (Rawlings, 1999) or superbasins (Jackson et al., 2000), and the source rock and reservoir units, and petroleum shows (after Munson, 2014"/>
                    <pic:cNvPicPr/>
                  </pic:nvPicPr>
                  <pic:blipFill>
                    <a:blip r:embed="rId430" cstate="screen">
                      <a:extLst>
                        <a:ext uri="{28A0092B-C50C-407E-A947-70E740481C1C}">
                          <a14:useLocalDpi xmlns:a14="http://schemas.microsoft.com/office/drawing/2010/main"/>
                        </a:ext>
                      </a:extLst>
                    </a:blip>
                    <a:stretch>
                      <a:fillRect/>
                    </a:stretch>
                  </pic:blipFill>
                  <pic:spPr>
                    <a:xfrm>
                      <a:off x="0" y="0"/>
                      <a:ext cx="4765473" cy="7754614"/>
                    </a:xfrm>
                    <a:prstGeom prst="rect">
                      <a:avLst/>
                    </a:prstGeom>
                  </pic:spPr>
                </pic:pic>
              </a:graphicData>
            </a:graphic>
          </wp:inline>
        </w:drawing>
      </w:r>
    </w:p>
    <w:p w14:paraId="1D0217DE" w14:textId="77777777" w:rsidR="008B38C1" w:rsidRDefault="00FD61CA" w:rsidP="007225BD">
      <w:pPr>
        <w:pStyle w:val="Caption"/>
        <w:keepLines/>
      </w:pPr>
      <w:bookmarkStart w:id="302" w:name="_Toc508972135"/>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\s 9 </w:instrText>
      </w:r>
      <w:r w:rsidR="008079F1">
        <w:fldChar w:fldCharType="separate"/>
      </w:r>
      <w:r w:rsidR="00640CCB">
        <w:rPr>
          <w:noProof/>
        </w:rPr>
        <w:t>64</w:t>
      </w:r>
      <w:r w:rsidR="008079F1">
        <w:rPr>
          <w:noProof/>
        </w:rPr>
        <w:fldChar w:fldCharType="end"/>
      </w:r>
      <w:r w:rsidRPr="00BA0502">
        <w:t xml:space="preserve"> </w:t>
      </w:r>
      <w:r w:rsidR="008B38C1">
        <w:t>Stratigraphy of the McArthur Basin from Carr et al. (2016). Correlations of stratigraphic units are based on Rawlings (1999) and Munson. (2014). Also shown is the subdivision of the basin into non-genetic packages (Rawlings, 1999) or superbasins (Jackson et al., 2000), source rock and reservoir units, and petroleum shows (after Munson, 2014).</w:t>
      </w:r>
      <w:bookmarkEnd w:id="302"/>
    </w:p>
    <w:p w14:paraId="745A5A3D" w14:textId="77777777" w:rsidR="008B38C1" w:rsidRDefault="008B38C1" w:rsidP="00E34CDE">
      <w:pPr>
        <w:pStyle w:val="AppendixHeading3"/>
      </w:pPr>
      <w:bookmarkStart w:id="303" w:name="_Toc517161201"/>
      <w:r>
        <w:lastRenderedPageBreak/>
        <w:t>Petroleum data coverage</w:t>
      </w:r>
      <w:bookmarkEnd w:id="303"/>
    </w:p>
    <w:p w14:paraId="4944D803" w14:textId="6D3D4F54" w:rsidR="008B38C1" w:rsidRPr="003739CA" w:rsidRDefault="008B38C1" w:rsidP="003739CA">
      <w:pPr>
        <w:pStyle w:val="BodyText"/>
      </w:pPr>
      <w:r w:rsidRPr="003739CA">
        <w:t>Data coverage for the McArthur Basin and Beetaloo Sub-basin is generally sparse with about 8</w:t>
      </w:r>
      <w:r w:rsidR="001F259B">
        <w:t>,</w:t>
      </w:r>
      <w:r w:rsidRPr="003739CA">
        <w:t>818</w:t>
      </w:r>
      <w:r w:rsidR="008232C9">
        <w:t> km</w:t>
      </w:r>
      <w:r w:rsidRPr="003739CA">
        <w:t xml:space="preserve"> of open file 2D seismic reflection data, mainly from the Beetaloo Sub-basin (</w:t>
      </w:r>
      <w:r w:rsidR="00611607">
        <w:t>Figure C</w:t>
      </w:r>
      <w:r w:rsidR="00367A93">
        <w:t>.6</w:t>
      </w:r>
      <w:r w:rsidR="00494973">
        <w:t>5</w:t>
      </w:r>
      <w:r w:rsidR="005023A3">
        <w:t>; DNRME, 2017b-d; NTGS, 2017b</w:t>
      </w:r>
      <w:r w:rsidRPr="003739CA">
        <w:t>). No 3D seismic surveys have been acquired. In 2002, Geoscience Australia acquired its Southern McArthur Basin Deep Seismic Survey across the Batten Fault Zone. This consisted of a 110</w:t>
      </w:r>
      <w:r w:rsidR="008232C9">
        <w:t> km</w:t>
      </w:r>
      <w:r w:rsidRPr="003739CA">
        <w:t xml:space="preserve"> long seismic line (02GA-BT1) along the Borroloola–Roper Bar Road and a 20</w:t>
      </w:r>
      <w:r w:rsidR="008232C9">
        <w:t> km</w:t>
      </w:r>
      <w:r w:rsidRPr="003739CA">
        <w:t xml:space="preserve"> long north-south cross line (02GA-BT2; Rawlings et al., 2004). </w:t>
      </w:r>
    </w:p>
    <w:p w14:paraId="711FBCAF" w14:textId="3B41E84F" w:rsidR="008B38C1" w:rsidRPr="003739CA" w:rsidRDefault="008B38C1" w:rsidP="003739CA">
      <w:pPr>
        <w:pStyle w:val="BodyText"/>
      </w:pPr>
      <w:r w:rsidRPr="003739CA">
        <w:t>More than 55 petroleum exploration wells have been drilled in the region</w:t>
      </w:r>
      <w:r w:rsidR="005023A3">
        <w:t xml:space="preserve"> (DNRME, 2017a; NTGS, 2017a)</w:t>
      </w:r>
      <w:r w:rsidRPr="003739CA">
        <w:t xml:space="preserve">. Drilling is mostly confined to the Beetaloo Sub-basin, and the Urapunga and Batten fault zones. There are also many mineral drillholes in the region but they tend to be relatively shallow compared to the petroleum exploration wells. </w:t>
      </w:r>
    </w:p>
    <w:p w14:paraId="69967E5B" w14:textId="1BC12DF4" w:rsidR="008B38C1" w:rsidRPr="003739CA" w:rsidRDefault="008B38C1" w:rsidP="003739CA">
      <w:pPr>
        <w:pStyle w:val="BodyText"/>
      </w:pPr>
      <w:r w:rsidRPr="003739CA">
        <w:t xml:space="preserve">Gravity, aeromagnetic and radiometric datasets are also available across the McArthur Basin and Beetaloo Sub-basin (Carr et al., 2016). These include open file Australian and state/ NT government acquired datasets, </w:t>
      </w:r>
      <w:r w:rsidR="00C05783">
        <w:t>as well as</w:t>
      </w:r>
      <w:r w:rsidRPr="003739CA">
        <w:t xml:space="preserve"> those acquired by various mining and petroleum companies. Airborne magnetic and radiometric geophysical data qualities are generally good across the basins, with </w:t>
      </w:r>
      <w:r w:rsidR="00051CBC">
        <w:t xml:space="preserve">a </w:t>
      </w:r>
      <w:r w:rsidRPr="003739CA">
        <w:t xml:space="preserve">line </w:t>
      </w:r>
      <w:r w:rsidR="00051CBC" w:rsidRPr="003739CA">
        <w:t>spacing</w:t>
      </w:r>
      <w:r w:rsidRPr="003739CA">
        <w:t xml:space="preserve"> of approximately 40</w:t>
      </w:r>
      <w:r w:rsidR="004C01AB">
        <w:t>0 m</w:t>
      </w:r>
      <w:r w:rsidRPr="003739CA">
        <w:t xml:space="preserve"> or less. Gravity data is fair to poor, as station spacing is sparse (predominantly 11</w:t>
      </w:r>
      <w:r w:rsidR="008232C9">
        <w:t> km</w:t>
      </w:r>
      <w:r w:rsidRPr="003739CA">
        <w:t xml:space="preserve">), </w:t>
      </w:r>
      <w:r w:rsidR="00C05783">
        <w:t>the areas of better quality</w:t>
      </w:r>
      <w:r w:rsidR="007A43AA">
        <w:t xml:space="preserve"> data</w:t>
      </w:r>
      <w:r w:rsidR="00C05783">
        <w:t xml:space="preserve"> have </w:t>
      </w:r>
      <w:r w:rsidRPr="003739CA">
        <w:t>2–4</w:t>
      </w:r>
      <w:r w:rsidR="008232C9">
        <w:t> km</w:t>
      </w:r>
      <w:r w:rsidRPr="003739CA">
        <w:t xml:space="preserve"> station spacing.</w:t>
      </w:r>
    </w:p>
    <w:p w14:paraId="4D7A61C4" w14:textId="23DF1B0F" w:rsidR="008B38C1" w:rsidRPr="003739CA" w:rsidRDefault="008B38C1" w:rsidP="003739CA">
      <w:pPr>
        <w:pStyle w:val="BodyText"/>
      </w:pPr>
      <w:r w:rsidRPr="003739CA">
        <w:t xml:space="preserve">In recent years, the Northern Territory Geological Survey </w:t>
      </w:r>
      <w:r w:rsidR="007A43AA">
        <w:t xml:space="preserve">(NTGS) </w:t>
      </w:r>
      <w:r w:rsidRPr="003739CA">
        <w:t>has compiled and reworked existing data as part of their McArthur Basin unconventional hydrocarbon prospectivity project. This has included resampling of 115 wells to characterise the basin’s shale prospectivity and development of a 3D model of the Greater McArthur Basin (Close, 2014; Bruna and Dhu, 2015; Revie, 2017a).</w:t>
      </w:r>
    </w:p>
    <w:p w14:paraId="4F234C6A" w14:textId="2D3FF3E7" w:rsidR="008B38C1" w:rsidRPr="005450A3" w:rsidRDefault="006A536D" w:rsidP="006A536D">
      <w:pPr>
        <w:pStyle w:val="BodyText"/>
      </w:pPr>
      <w:r>
        <w:rPr>
          <w:noProof/>
        </w:rPr>
        <w:lastRenderedPageBreak/>
        <w:drawing>
          <wp:inline distT="0" distB="0" distL="0" distR="0" wp14:anchorId="19F312AA" wp14:editId="5E63945F">
            <wp:extent cx="5760000" cy="5281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431" cstate="screen">
                      <a:extLst>
                        <a:ext uri="{28A0092B-C50C-407E-A947-70E740481C1C}">
                          <a14:useLocalDpi xmlns:a14="http://schemas.microsoft.com/office/drawing/2010/main"/>
                        </a:ext>
                      </a:extLst>
                    </a:blip>
                    <a:srcRect/>
                    <a:stretch/>
                  </pic:blipFill>
                  <pic:spPr bwMode="auto">
                    <a:xfrm>
                      <a:off x="0" y="0"/>
                      <a:ext cx="5760000" cy="5281200"/>
                    </a:xfrm>
                    <a:prstGeom prst="rect">
                      <a:avLst/>
                    </a:prstGeom>
                    <a:noFill/>
                    <a:ln>
                      <a:noFill/>
                    </a:ln>
                    <a:extLst>
                      <a:ext uri="{53640926-AAD7-44D8-BBD7-CCE9431645EC}">
                        <a14:shadowObscured xmlns:a14="http://schemas.microsoft.com/office/drawing/2010/main"/>
                      </a:ext>
                    </a:extLst>
                  </pic:spPr>
                </pic:pic>
              </a:graphicData>
            </a:graphic>
          </wp:inline>
        </w:drawing>
      </w:r>
    </w:p>
    <w:p w14:paraId="18374DB6" w14:textId="06887A58" w:rsidR="008B38C1" w:rsidRDefault="00FD61CA" w:rsidP="009F3E8F">
      <w:pPr>
        <w:pStyle w:val="Caption"/>
      </w:pPr>
      <w:bookmarkStart w:id="304" w:name="_Toc508972136"/>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w:instrText>
      </w:r>
      <w:r w:rsidR="008079F1">
        <w:instrText xml:space="preserve">re \* ARABIC \s 9 </w:instrText>
      </w:r>
      <w:r w:rsidR="008079F1">
        <w:fldChar w:fldCharType="separate"/>
      </w:r>
      <w:r w:rsidR="00640CCB">
        <w:rPr>
          <w:noProof/>
        </w:rPr>
        <w:t>65</w:t>
      </w:r>
      <w:r w:rsidR="008079F1">
        <w:rPr>
          <w:noProof/>
        </w:rPr>
        <w:fldChar w:fldCharType="end"/>
      </w:r>
      <w:r w:rsidRPr="00BA0502">
        <w:t xml:space="preserve"> </w:t>
      </w:r>
      <w:r w:rsidR="008B38C1">
        <w:t xml:space="preserve">McArthur Basin petroleum exploration wells and 2D seismic data coverage. </w:t>
      </w:r>
      <w:r w:rsidR="0085437E">
        <w:t xml:space="preserve">McArthur Basin outline from Stewart et al. (2013). </w:t>
      </w:r>
      <w:r w:rsidR="008B38C1">
        <w:t>Beetaloo Sub-basin</w:t>
      </w:r>
      <w:r w:rsidR="0085437E">
        <w:t xml:space="preserve"> outline</w:t>
      </w:r>
      <w:r w:rsidR="008B38C1">
        <w:t xml:space="preserve"> from </w:t>
      </w:r>
      <w:r w:rsidR="00D2269E">
        <w:t>Williams (in prep)</w:t>
      </w:r>
      <w:r w:rsidR="008B38C1">
        <w:t>.</w:t>
      </w:r>
      <w:r w:rsidR="0085437E">
        <w:t xml:space="preserve"> </w:t>
      </w:r>
      <w:r w:rsidR="0085437E" w:rsidRPr="0085437E">
        <w:t xml:space="preserve">Petroleum wells from </w:t>
      </w:r>
      <w:r w:rsidR="00A51CEF">
        <w:t>DNRME (2017a)</w:t>
      </w:r>
      <w:r w:rsidR="005C209B">
        <w:t xml:space="preserve"> and </w:t>
      </w:r>
      <w:r w:rsidR="005C209B" w:rsidRPr="0085437E">
        <w:t>NTGS (2017</w:t>
      </w:r>
      <w:r w:rsidR="005C209B">
        <w:t>a</w:t>
      </w:r>
      <w:r w:rsidR="005C209B" w:rsidRPr="0085437E">
        <w:t>)</w:t>
      </w:r>
      <w:r w:rsidR="0085437E">
        <w:t>.</w:t>
      </w:r>
      <w:r w:rsidR="00A51CEF">
        <w:t xml:space="preserve"> Seismic data from DNRME (2017b-d) and NT</w:t>
      </w:r>
      <w:r w:rsidR="005C209B">
        <w:t>GS (2017b).</w:t>
      </w:r>
      <w:bookmarkEnd w:id="304"/>
    </w:p>
    <w:p w14:paraId="1CACF25F" w14:textId="77777777" w:rsidR="008B38C1" w:rsidRDefault="008B38C1" w:rsidP="00E34CDE">
      <w:pPr>
        <w:pStyle w:val="AppendixHeading3"/>
      </w:pPr>
      <w:bookmarkStart w:id="305" w:name="_Toc517161202"/>
      <w:r>
        <w:t>Shale and tight gas prospectivity</w:t>
      </w:r>
      <w:bookmarkEnd w:id="305"/>
    </w:p>
    <w:p w14:paraId="31DAE348" w14:textId="77777777" w:rsidR="008B38C1" w:rsidRDefault="008B38C1" w:rsidP="00527F5D">
      <w:pPr>
        <w:pStyle w:val="BodyText"/>
      </w:pPr>
      <w:r>
        <w:t xml:space="preserve">The hydrocarbon prospectivity of the McArthur Basin is summarised in </w:t>
      </w:r>
      <w:r w:rsidR="00611607">
        <w:t>Table C</w:t>
      </w:r>
      <w:r w:rsidR="006971A5">
        <w:t>.5</w:t>
      </w:r>
      <w:r w:rsidR="00A24684">
        <w:t>3</w:t>
      </w:r>
    </w:p>
    <w:p w14:paraId="354E008C" w14:textId="36EF0375" w:rsidR="008B38C1" w:rsidRDefault="008B38C1" w:rsidP="00527F5D">
      <w:pPr>
        <w:pStyle w:val="BodyText"/>
      </w:pPr>
      <w:r>
        <w:t>Unconventional petroleum resources are key targets in the McArthur Basin (e.g. Silverman and Ahlbrandt, 2010; Close et al., 2014; Connors and Krassay, 2015; Revie and Edgoose, 2015a, 2015b; Revie, 2017a, b). The Barney Creek Formation (McArthur Group) and Velkerri Formation (Roper Group) have been identified as the primary shale gas plays, having the greatest potential for commercial production, and are currently being explored and evaluated (</w:t>
      </w:r>
      <w:r w:rsidR="00611607">
        <w:t>Table C</w:t>
      </w:r>
      <w:r w:rsidR="006971A5">
        <w:t>.5</w:t>
      </w:r>
      <w:r w:rsidR="00A24684">
        <w:t>4</w:t>
      </w:r>
      <w:r>
        <w:t xml:space="preserve">; </w:t>
      </w:r>
      <w:r w:rsidR="00611607">
        <w:t>Figure C</w:t>
      </w:r>
      <w:r w:rsidR="00367A93">
        <w:t>.6</w:t>
      </w:r>
      <w:r w:rsidR="00494973">
        <w:t>6</w:t>
      </w:r>
      <w:r>
        <w:t>; Armour Energy, 2017; Origin, 2017; Revie, 2017b). Additional units with unconventional potential for shale oil and gas are the Lynott Formation (particularly Caranbirini Member) of the McArthur Group, the Kyalla Formation of the Roper Group, and the Vaughton Siltstone of the Balma Group in the northern McArthur Basin (</w:t>
      </w:r>
      <w:r w:rsidR="00611607">
        <w:t>Table C</w:t>
      </w:r>
      <w:r w:rsidR="006971A5">
        <w:t>.5</w:t>
      </w:r>
      <w:r w:rsidR="00A24684">
        <w:t>4</w:t>
      </w:r>
      <w:r w:rsidR="006971A5">
        <w:t>;</w:t>
      </w:r>
      <w:r>
        <w:t xml:space="preserve"> Munson, 2014). In addition, there is potential for </w:t>
      </w:r>
      <w:r>
        <w:lastRenderedPageBreak/>
        <w:t>basin-centred/ tight gas plays within the Reward Dolostone of the McArthur Group, and the Bessie Creek and Moroak sandstones of the Roper Group (</w:t>
      </w:r>
      <w:r w:rsidR="00611607">
        <w:t>Table C</w:t>
      </w:r>
      <w:r w:rsidR="006971A5">
        <w:t>.5</w:t>
      </w:r>
      <w:r w:rsidR="00A24684">
        <w:t>4</w:t>
      </w:r>
      <w:r w:rsidR="006971A5">
        <w:t>;</w:t>
      </w:r>
      <w:r>
        <w:t xml:space="preserve"> Munson, 2014; RPS, 2013). </w:t>
      </w:r>
    </w:p>
    <w:p w14:paraId="0C77C7F7" w14:textId="3724E91E" w:rsidR="008B38C1" w:rsidRDefault="00473AD9" w:rsidP="00527F5D">
      <w:pPr>
        <w:pStyle w:val="BodyText"/>
      </w:pPr>
      <w:r>
        <w:t xml:space="preserve">While </w:t>
      </w:r>
      <w:r w:rsidR="008B38C1">
        <w:t xml:space="preserve">there is no production from shale or tight gas plays in the McArthur Basin, significant exploration activity is underway (Munson, 2014; Scientific Inquiry into Hydraulic Fracturing in the Northern Territory, </w:t>
      </w:r>
      <w:r w:rsidR="00B46F53">
        <w:t>2018</w:t>
      </w:r>
      <w:r w:rsidR="008B38C1">
        <w:t xml:space="preserve">). More than 30 wells targeting shale gas plays have been drilled within the Beetaloo Sub-basin, and </w:t>
      </w:r>
      <w:r w:rsidR="006A536D">
        <w:t xml:space="preserve">four </w:t>
      </w:r>
      <w:r w:rsidR="008B38C1">
        <w:t>wells have targeted unconventional plays in the Batten Trough (</w:t>
      </w:r>
      <w:r w:rsidR="00611607">
        <w:t>Figure C</w:t>
      </w:r>
      <w:r w:rsidR="00367A93">
        <w:t>.6</w:t>
      </w:r>
      <w:r w:rsidR="00494973">
        <w:t>6</w:t>
      </w:r>
      <w:r w:rsidR="008B38C1">
        <w:t xml:space="preserve">). Approximately half these wells have been drilled in the </w:t>
      </w:r>
      <w:r>
        <w:t xml:space="preserve">last </w:t>
      </w:r>
      <w:r w:rsidR="008B38C1">
        <w:t>10 years.</w:t>
      </w:r>
    </w:p>
    <w:p w14:paraId="6A3EFEAF" w14:textId="61ED9D45" w:rsidR="008B38C1" w:rsidRDefault="008B38C1" w:rsidP="00527F5D">
      <w:pPr>
        <w:pStyle w:val="BodyText"/>
      </w:pPr>
      <w:r>
        <w:t xml:space="preserve">Santos, Origin Energy and </w:t>
      </w:r>
      <w:r w:rsidR="00262D17">
        <w:t>Falcon Oil and Gas</w:t>
      </w:r>
      <w:r>
        <w:t>, and Pangaea Resources are actively investigating shale plays in the Beetaloo Sub-basin. In 2017, following completion of extended production testing at the Amungee NW-1H exploration well (Origin Energy, 2016), Origin booked 2C contingent resources of 6.6 Tcf for the “B shale” member of the Velkerri Formation</w:t>
      </w:r>
      <w:r w:rsidR="00F40704">
        <w:t xml:space="preserve"> </w:t>
      </w:r>
      <w:r w:rsidR="00F40704" w:rsidRPr="00F40704">
        <w:t>over an area of 1,968 km</w:t>
      </w:r>
      <w:r w:rsidR="00F40704" w:rsidRPr="005962FF">
        <w:rPr>
          <w:rStyle w:val="Superscript"/>
        </w:rPr>
        <w:t>2</w:t>
      </w:r>
      <w:r w:rsidR="00F40704">
        <w:t xml:space="preserve">, </w:t>
      </w:r>
      <w:r>
        <w:t xml:space="preserve">across permits EP76, EP98 and EP114 in the Beetaloo Sub-basin (Origin Energy, 2017). </w:t>
      </w:r>
    </w:p>
    <w:p w14:paraId="0DBD6302" w14:textId="7494C116" w:rsidR="008B38C1" w:rsidRDefault="008B38C1" w:rsidP="00527F5D">
      <w:pPr>
        <w:pStyle w:val="BodyText"/>
      </w:pPr>
      <w:r>
        <w:t xml:space="preserve">It is important to note these 2C contingent resources have been booked based on the results from one well, however experience in the US highlights that there is commonly a large degree of heterogeneity in production rates from shale gas plays within small areas. In particular, the recovery factor for Amungee NW-1H was reported to be 16% (Falcon, 2017), comparable with well explored shale gas plays in the U.S. Nevertheless, further wells are required to increase confidence </w:t>
      </w:r>
      <w:r w:rsidR="00E56DCE">
        <w:t>in the long-term producibility of the play</w:t>
      </w:r>
      <w:r>
        <w:t xml:space="preserve"> (Revie, 2017b).</w:t>
      </w:r>
    </w:p>
    <w:p w14:paraId="358BF8A0" w14:textId="310312BC" w:rsidR="008B38C1" w:rsidRDefault="004A0799" w:rsidP="00527F5D">
      <w:pPr>
        <w:pStyle w:val="BodyText"/>
      </w:pPr>
      <w:r>
        <w:t xml:space="preserve">In addition, </w:t>
      </w:r>
      <w:r w:rsidR="008B38C1">
        <w:t>Armour Energy are actively exploring for unconventional naturally fractured and shale gas accumulations in the Batten Trough. They estimate a mean prospective shale gas resource of 18.6 Tcf within the Barney Creek Formation across permits EP 171 and EP 176 (Armour Energy, 2012, 2017). In addition, another 0.1 Tcf of unconventional gas resource is estimated to be associated with Lynott and Reward formations at the Greater Cow Lagoon Structure (Armour Energy, 2017).</w:t>
      </w:r>
    </w:p>
    <w:p w14:paraId="55CDF51B" w14:textId="09C06B12" w:rsidR="008B38C1" w:rsidRDefault="008B38C1" w:rsidP="00527F5D">
      <w:pPr>
        <w:pStyle w:val="BodyText"/>
      </w:pPr>
      <w:r>
        <w:t>Several regional-scale prospective resource estimates have been published for shale</w:t>
      </w:r>
      <w:r w:rsidR="00E56DCE">
        <w:t xml:space="preserve"> and tight</w:t>
      </w:r>
      <w:r>
        <w:t xml:space="preserve"> gas plays in the McArthur Basin, as described below</w:t>
      </w:r>
      <w:r w:rsidR="00E56DCE">
        <w:t>:</w:t>
      </w:r>
    </w:p>
    <w:p w14:paraId="5940E4A0" w14:textId="332F3692" w:rsidR="008B38C1" w:rsidRDefault="008B38C1" w:rsidP="00527F5D">
      <w:pPr>
        <w:pStyle w:val="ListBullet"/>
      </w:pPr>
      <w:r>
        <w:t xml:space="preserve">RPS reported </w:t>
      </w:r>
      <w:r w:rsidR="00B85237">
        <w:t xml:space="preserve">a P50 </w:t>
      </w:r>
      <w:r>
        <w:t xml:space="preserve">estimate of potentially recoverable shale gas resource to be 37.29 Tcf for the lower Kyalla Formation and 74.50 Tcf for the middle Velkerri Formation </w:t>
      </w:r>
      <w:r w:rsidR="00857F0B">
        <w:t xml:space="preserve">(prospective area unknown; </w:t>
      </w:r>
      <w:r>
        <w:t xml:space="preserve">RPS, 2013). In addition, they reported </w:t>
      </w:r>
      <w:r w:rsidR="00B85237">
        <w:t xml:space="preserve">P50 </w:t>
      </w:r>
      <w:r>
        <w:t>estimate of potentially recoverable basin</w:t>
      </w:r>
      <w:r w:rsidR="00682494">
        <w:t>-</w:t>
      </w:r>
      <w:r>
        <w:t>centred gas resources of 5.9 Tcf for the Moroak Sandstone and 44.31 Tcf for the Bessie Creek Sandstone (RPS</w:t>
      </w:r>
      <w:r w:rsidR="00262D17">
        <w:t>,</w:t>
      </w:r>
      <w:r>
        <w:t xml:space="preserve"> 2013).</w:t>
      </w:r>
    </w:p>
    <w:p w14:paraId="298FA378" w14:textId="30A294A2" w:rsidR="008B38C1" w:rsidRDefault="008B38C1" w:rsidP="00527F5D">
      <w:pPr>
        <w:pStyle w:val="ListBullet"/>
      </w:pPr>
      <w:r>
        <w:t xml:space="preserve">The US Energy Information Administration (EIA) reported that that the technically recoverable shale gas in the Beetaloo Sub-basin is 22 Tcf for </w:t>
      </w:r>
      <w:r w:rsidR="004A0799">
        <w:t>the</w:t>
      </w:r>
      <w:r>
        <w:t xml:space="preserve"> lower Kyalla Formation</w:t>
      </w:r>
      <w:r w:rsidR="004A0799">
        <w:t xml:space="preserve"> (prospective area - associated gas 4,100 mi</w:t>
      </w:r>
      <w:r w:rsidR="004A0799" w:rsidRPr="00906AAC">
        <w:rPr>
          <w:vertAlign w:val="superscript"/>
        </w:rPr>
        <w:t>2</w:t>
      </w:r>
      <w:r w:rsidR="004A0799">
        <w:t>, 2,400 mi</w:t>
      </w:r>
      <w:r w:rsidR="004A0799" w:rsidRPr="004A0799">
        <w:rPr>
          <w:vertAlign w:val="superscript"/>
        </w:rPr>
        <w:t>2</w:t>
      </w:r>
      <w:r w:rsidR="004A0799">
        <w:t xml:space="preserve"> wet gas, 1,310 mi</w:t>
      </w:r>
      <w:r w:rsidR="004A0799" w:rsidRPr="004A0799">
        <w:rPr>
          <w:vertAlign w:val="superscript"/>
        </w:rPr>
        <w:t>2</w:t>
      </w:r>
      <w:r w:rsidR="004A0799">
        <w:t xml:space="preserve"> dry gas) </w:t>
      </w:r>
      <w:r>
        <w:t xml:space="preserve">and </w:t>
      </w:r>
      <w:r w:rsidR="004A0799">
        <w:t xml:space="preserve">22 Tcf for </w:t>
      </w:r>
      <w:r>
        <w:t xml:space="preserve">the middle Velkerri Formation </w:t>
      </w:r>
      <w:r w:rsidR="004A0799">
        <w:t>(prospective area - associated gas 2,650 mi</w:t>
      </w:r>
      <w:r w:rsidR="004A0799" w:rsidRPr="00906AAC">
        <w:rPr>
          <w:vertAlign w:val="superscript"/>
        </w:rPr>
        <w:t>2</w:t>
      </w:r>
      <w:r w:rsidR="004A0799">
        <w:t>, 2,130 mi</w:t>
      </w:r>
      <w:r w:rsidR="004A0799" w:rsidRPr="004A0799">
        <w:rPr>
          <w:vertAlign w:val="superscript"/>
        </w:rPr>
        <w:t>2</w:t>
      </w:r>
      <w:r w:rsidR="004A0799">
        <w:t xml:space="preserve"> wet gas, </w:t>
      </w:r>
      <w:r w:rsidR="00857F0B">
        <w:t>2,480</w:t>
      </w:r>
      <w:r w:rsidR="004A0799">
        <w:t xml:space="preserve"> mi</w:t>
      </w:r>
      <w:r w:rsidR="004A0799" w:rsidRPr="004A0799">
        <w:rPr>
          <w:vertAlign w:val="superscript"/>
        </w:rPr>
        <w:t>2</w:t>
      </w:r>
      <w:r w:rsidR="004A0799">
        <w:t xml:space="preserve"> dry gas) </w:t>
      </w:r>
      <w:r>
        <w:t xml:space="preserve">(EIA, 2013). </w:t>
      </w:r>
    </w:p>
    <w:p w14:paraId="067F082A" w14:textId="58A27E55" w:rsidR="008B38C1" w:rsidRDefault="008B38C1" w:rsidP="00527F5D">
      <w:pPr>
        <w:pStyle w:val="ListBullet"/>
      </w:pPr>
      <w:r>
        <w:t xml:space="preserve">AWT </w:t>
      </w:r>
      <w:r w:rsidR="0012354E">
        <w:t xml:space="preserve">International </w:t>
      </w:r>
      <w:r>
        <w:t>have reported their best estimate of recoverable shale gas resource to be 3 Tcf for the lower Kyalla Formation</w:t>
      </w:r>
      <w:r w:rsidR="00906AAC">
        <w:t xml:space="preserve"> (</w:t>
      </w:r>
      <w:r w:rsidR="00857F0B">
        <w:t>prospective area 898</w:t>
      </w:r>
      <w:r w:rsidR="00906AAC">
        <w:t xml:space="preserve"> km</w:t>
      </w:r>
      <w:r w:rsidR="00906AAC" w:rsidRPr="00906AAC">
        <w:rPr>
          <w:vertAlign w:val="superscript"/>
        </w:rPr>
        <w:t>2</w:t>
      </w:r>
      <w:r w:rsidR="00906AAC">
        <w:t xml:space="preserve">) </w:t>
      </w:r>
      <w:r>
        <w:t xml:space="preserve">and 16 Tcf for the middle Velkerri Formation </w:t>
      </w:r>
      <w:r w:rsidR="00906AAC">
        <w:t>(</w:t>
      </w:r>
      <w:r w:rsidR="00857F0B">
        <w:t>prospective</w:t>
      </w:r>
      <w:r w:rsidR="00906AAC">
        <w:t xml:space="preserve"> area </w:t>
      </w:r>
      <w:r w:rsidR="00857F0B">
        <w:t>6,092</w:t>
      </w:r>
      <w:r w:rsidR="00906AAC">
        <w:t xml:space="preserve"> km</w:t>
      </w:r>
      <w:r w:rsidR="00906AAC" w:rsidRPr="00906AAC">
        <w:rPr>
          <w:vertAlign w:val="superscript"/>
        </w:rPr>
        <w:t>2</w:t>
      </w:r>
      <w:r w:rsidR="00906AAC">
        <w:t xml:space="preserve">) </w:t>
      </w:r>
      <w:r>
        <w:t>(AWT International, 2013).</w:t>
      </w:r>
    </w:p>
    <w:p w14:paraId="5268F75E" w14:textId="43F8CFD6" w:rsidR="008B38C1" w:rsidRDefault="008B38C1" w:rsidP="00527F5D">
      <w:pPr>
        <w:pStyle w:val="ListBullet"/>
      </w:pPr>
      <w:r>
        <w:lastRenderedPageBreak/>
        <w:t>Most recently, the Northern Territory Geological Survey published gas-in-place (</w:t>
      </w:r>
      <w:r w:rsidR="00812005">
        <w:t>GIP</w:t>
      </w:r>
      <w:r>
        <w:t xml:space="preserve">) estimates for the middle Velkerri Formation of 202 Tcf (Revie, 2017a, b; Weatherford Laboratories, 2017). </w:t>
      </w:r>
      <w:r w:rsidR="00F40704">
        <w:t>To enable comparison with the potential</w:t>
      </w:r>
      <w:r w:rsidR="00760876">
        <w:t>ly</w:t>
      </w:r>
      <w:r w:rsidR="00F40704">
        <w:t xml:space="preserve"> recoverable estimates from </w:t>
      </w:r>
      <w:r w:rsidR="00760876">
        <w:t xml:space="preserve">the </w:t>
      </w:r>
      <w:r w:rsidR="00F40704">
        <w:t>other sources quoted above, a</w:t>
      </w:r>
      <w:r>
        <w:t>pplying a</w:t>
      </w:r>
      <w:r w:rsidR="00857F0B">
        <w:t xml:space="preserve"> generic</w:t>
      </w:r>
      <w:r>
        <w:t xml:space="preserve"> 10% recovery factor would give </w:t>
      </w:r>
      <w:r w:rsidR="00760876">
        <w:t xml:space="preserve">a potentially </w:t>
      </w:r>
      <w:r>
        <w:t xml:space="preserve">recoverable shale gas resource </w:t>
      </w:r>
      <w:r w:rsidR="00760876">
        <w:t xml:space="preserve">estimate </w:t>
      </w:r>
      <w:r>
        <w:t>of 20.2 Tcf.</w:t>
      </w:r>
    </w:p>
    <w:p w14:paraId="1FE6AF43" w14:textId="725F172C" w:rsidR="008B38C1" w:rsidRDefault="008B38C1" w:rsidP="00527F5D">
      <w:pPr>
        <w:pStyle w:val="BodyText"/>
      </w:pPr>
      <w:r>
        <w:t>Although these results highlight the large shale</w:t>
      </w:r>
      <w:r w:rsidR="00812005">
        <w:t xml:space="preserve"> and tight</w:t>
      </w:r>
      <w:r>
        <w:t xml:space="preserve"> gas resource potential of the McArthur Basin, the full extent of these resources are still poorly understood and quantified, and any estimates of potential resources have a high degree of uncertainty. In particular, shale gas recovery factors are very poorly understood and vary significantly between each resource assessment. </w:t>
      </w:r>
    </w:p>
    <w:p w14:paraId="44D3F38D" w14:textId="593300F1" w:rsidR="005F69FA" w:rsidRPr="005450A3" w:rsidRDefault="001C2655" w:rsidP="005F69FA">
      <w:pPr>
        <w:pStyle w:val="FiguresImagesCentred"/>
      </w:pPr>
      <w:r>
        <w:rPr>
          <w:noProof/>
        </w:rPr>
        <w:drawing>
          <wp:inline distT="0" distB="0" distL="0" distR="0" wp14:anchorId="14B81151" wp14:editId="4C501C70">
            <wp:extent cx="5142582" cy="5071872"/>
            <wp:effectExtent l="0" t="0" r="1270" b="0"/>
            <wp:docPr id="7211" name="Picture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432" cstate="screen">
                      <a:extLst>
                        <a:ext uri="{28A0092B-C50C-407E-A947-70E740481C1C}">
                          <a14:useLocalDpi xmlns:a14="http://schemas.microsoft.com/office/drawing/2010/main"/>
                        </a:ext>
                      </a:extLst>
                    </a:blip>
                    <a:srcRect/>
                    <a:stretch/>
                  </pic:blipFill>
                  <pic:spPr bwMode="auto">
                    <a:xfrm>
                      <a:off x="0" y="0"/>
                      <a:ext cx="5150996" cy="5080170"/>
                    </a:xfrm>
                    <a:prstGeom prst="rect">
                      <a:avLst/>
                    </a:prstGeom>
                    <a:noFill/>
                    <a:ln>
                      <a:noFill/>
                    </a:ln>
                    <a:extLst>
                      <a:ext uri="{53640926-AAD7-44D8-BBD7-CCE9431645EC}">
                        <a14:shadowObscured xmlns:a14="http://schemas.microsoft.com/office/drawing/2010/main"/>
                      </a:ext>
                    </a:extLst>
                  </pic:spPr>
                </pic:pic>
              </a:graphicData>
            </a:graphic>
          </wp:inline>
        </w:drawing>
      </w:r>
    </w:p>
    <w:p w14:paraId="12334151" w14:textId="701FDC7D" w:rsidR="005F69FA" w:rsidRDefault="005F69FA" w:rsidP="005F69FA">
      <w:pPr>
        <w:pStyle w:val="Caption"/>
      </w:pPr>
      <w:bookmarkStart w:id="306" w:name="_Toc508972137"/>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\s 9 </w:instrText>
      </w:r>
      <w:r w:rsidR="008079F1">
        <w:fldChar w:fldCharType="separate"/>
      </w:r>
      <w:r w:rsidR="00640CCB">
        <w:rPr>
          <w:noProof/>
        </w:rPr>
        <w:t>66</w:t>
      </w:r>
      <w:r w:rsidR="008079F1">
        <w:rPr>
          <w:noProof/>
        </w:rPr>
        <w:fldChar w:fldCharType="end"/>
      </w:r>
      <w:r w:rsidRPr="00BA0502">
        <w:t xml:space="preserve"> </w:t>
      </w:r>
      <w:r>
        <w:t xml:space="preserve">Wells targeting shale or tight gas plays. </w:t>
      </w:r>
      <w:r w:rsidRPr="006B212F">
        <w:t xml:space="preserve">McArthur Basin outline from Stewart et al. (2013). Beetaloo Sub-basin outline from </w:t>
      </w:r>
      <w:r w:rsidR="001C2655">
        <w:t>Williams (in prep)</w:t>
      </w:r>
      <w:r w:rsidRPr="006B212F">
        <w:t xml:space="preserve">. </w:t>
      </w:r>
      <w:r>
        <w:t>Approximate areas within which key prospective shales are likely to be present sourced from Bruna and Dhu (2015), Revie (2017a).</w:t>
      </w:r>
      <w:bookmarkEnd w:id="306"/>
    </w:p>
    <w:p w14:paraId="6FDE5635" w14:textId="6632606D" w:rsidR="008B38C1" w:rsidRDefault="008B38C1" w:rsidP="00527F5D">
      <w:pPr>
        <w:pStyle w:val="BodyText"/>
      </w:pPr>
      <w:r>
        <w:t xml:space="preserve">Data for the key unconventional hydrocarbon targets are summarised in </w:t>
      </w:r>
      <w:r w:rsidR="00611607">
        <w:t>Table C</w:t>
      </w:r>
      <w:r w:rsidR="006971A5">
        <w:t>.5</w:t>
      </w:r>
      <w:r w:rsidR="00A24684">
        <w:t>4.</w:t>
      </w:r>
    </w:p>
    <w:p w14:paraId="0A676607" w14:textId="77777777" w:rsidR="008B38C1" w:rsidRDefault="008B38C1" w:rsidP="000520F9">
      <w:pPr>
        <w:pStyle w:val="BodyText"/>
      </w:pPr>
    </w:p>
    <w:p w14:paraId="3BC1C6AD" w14:textId="77777777" w:rsidR="008B38C1" w:rsidRDefault="008B38C1" w:rsidP="000350BE">
      <w:pPr>
        <w:pStyle w:val="BodyText"/>
        <w:sectPr w:rsidR="008B38C1" w:rsidSect="005E271C">
          <w:headerReference w:type="default" r:id="rId433"/>
          <w:pgSz w:w="11907" w:h="16840"/>
          <w:pgMar w:top="1418" w:right="1134" w:bottom="1418" w:left="1134" w:header="510" w:footer="624" w:gutter="0"/>
          <w:cols w:space="720"/>
          <w:docGrid w:linePitch="326"/>
        </w:sectPr>
      </w:pPr>
    </w:p>
    <w:p w14:paraId="13EFB42A" w14:textId="77777777" w:rsidR="008B38C1" w:rsidRPr="006971A5" w:rsidRDefault="006971A5" w:rsidP="009F3E8F">
      <w:pPr>
        <w:pStyle w:val="Caption"/>
      </w:pPr>
      <w:bookmarkStart w:id="307" w:name="_Toc508972203"/>
      <w:r w:rsidRPr="006971A5">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6971A5">
        <w:t>.</w:t>
      </w:r>
      <w:r w:rsidR="008079F1">
        <w:fldChar w:fldCharType="begin"/>
      </w:r>
      <w:r w:rsidR="008079F1">
        <w:instrText xml:space="preserve"> SEQ Apx_Table \* ARABIC \s 9 </w:instrText>
      </w:r>
      <w:r w:rsidR="008079F1">
        <w:fldChar w:fldCharType="separate"/>
      </w:r>
      <w:r w:rsidR="00640CCB">
        <w:rPr>
          <w:noProof/>
        </w:rPr>
        <w:t>54</w:t>
      </w:r>
      <w:r w:rsidR="008079F1">
        <w:rPr>
          <w:noProof/>
        </w:rPr>
        <w:fldChar w:fldCharType="end"/>
      </w:r>
      <w:r w:rsidRPr="006971A5">
        <w:t xml:space="preserve"> </w:t>
      </w:r>
      <w:r w:rsidR="008B38C1" w:rsidRPr="006971A5">
        <w:t>Summary of shale and tight gas plays (compiled from Munson et al., 2014; UPR, 2015; Revie, 2017a).</w:t>
      </w:r>
      <w:bookmarkEnd w:id="307"/>
    </w:p>
    <w:tbl>
      <w:tblPr>
        <w:tblStyle w:val="TableBAHeaderRow"/>
        <w:tblW w:w="5000" w:type="pct"/>
        <w:tblLook w:val="04A0" w:firstRow="1" w:lastRow="0" w:firstColumn="1" w:lastColumn="0" w:noHBand="0" w:noVBand="1"/>
      </w:tblPr>
      <w:tblGrid>
        <w:gridCol w:w="1320"/>
        <w:gridCol w:w="1465"/>
        <w:gridCol w:w="1779"/>
        <w:gridCol w:w="982"/>
        <w:gridCol w:w="1125"/>
        <w:gridCol w:w="1203"/>
        <w:gridCol w:w="1327"/>
        <w:gridCol w:w="1545"/>
        <w:gridCol w:w="1265"/>
        <w:gridCol w:w="1993"/>
      </w:tblGrid>
      <w:tr w:rsidR="008B38C1" w14:paraId="75D5A6F1" w14:textId="77777777" w:rsidTr="00DC345C">
        <w:trPr>
          <w:cnfStyle w:val="100000000000" w:firstRow="1" w:lastRow="0" w:firstColumn="0" w:lastColumn="0" w:oddVBand="0" w:evenVBand="0" w:oddHBand="0" w:evenHBand="0" w:firstRowFirstColumn="0" w:firstRowLastColumn="0" w:lastRowFirstColumn="0" w:lastRowLastColumn="0"/>
        </w:trPr>
        <w:tc>
          <w:tcPr>
            <w:tcW w:w="472" w:type="pct"/>
            <w:hideMark/>
          </w:tcPr>
          <w:p w14:paraId="6DDF7683" w14:textId="77777777" w:rsidR="008B38C1" w:rsidRDefault="008B38C1">
            <w:pPr>
              <w:pStyle w:val="TableTextLeft"/>
            </w:pPr>
            <w:r>
              <w:t>Formation</w:t>
            </w:r>
          </w:p>
        </w:tc>
        <w:tc>
          <w:tcPr>
            <w:tcW w:w="519" w:type="pct"/>
            <w:hideMark/>
          </w:tcPr>
          <w:p w14:paraId="30D275D4" w14:textId="77777777" w:rsidR="008B38C1" w:rsidRDefault="008B38C1">
            <w:pPr>
              <w:pStyle w:val="TableTextLeft"/>
            </w:pPr>
            <w:r>
              <w:t>Age</w:t>
            </w:r>
          </w:p>
        </w:tc>
        <w:tc>
          <w:tcPr>
            <w:tcW w:w="636" w:type="pct"/>
            <w:hideMark/>
          </w:tcPr>
          <w:p w14:paraId="14FF11C5" w14:textId="77777777" w:rsidR="008B38C1" w:rsidRDefault="008B38C1">
            <w:pPr>
              <w:pStyle w:val="TableTextLeft"/>
            </w:pPr>
            <w:r>
              <w:t>Environment</w:t>
            </w:r>
          </w:p>
        </w:tc>
        <w:tc>
          <w:tcPr>
            <w:tcW w:w="351" w:type="pct"/>
            <w:hideMark/>
          </w:tcPr>
          <w:p w14:paraId="18597E8C" w14:textId="77777777" w:rsidR="008B38C1" w:rsidRDefault="008B38C1">
            <w:pPr>
              <w:pStyle w:val="TableTextLeft"/>
            </w:pPr>
            <w:r>
              <w:t>Top depth (m)</w:t>
            </w:r>
          </w:p>
        </w:tc>
        <w:tc>
          <w:tcPr>
            <w:tcW w:w="402" w:type="pct"/>
            <w:hideMark/>
          </w:tcPr>
          <w:p w14:paraId="3C587B61" w14:textId="77777777" w:rsidR="008B38C1" w:rsidRDefault="008B38C1">
            <w:pPr>
              <w:pStyle w:val="TableTextLeft"/>
            </w:pPr>
            <w:r>
              <w:t>Thickness (m)</w:t>
            </w:r>
          </w:p>
        </w:tc>
        <w:tc>
          <w:tcPr>
            <w:tcW w:w="430" w:type="pct"/>
            <w:hideMark/>
          </w:tcPr>
          <w:p w14:paraId="29820CC2" w14:textId="77777777" w:rsidR="008B38C1" w:rsidRDefault="008B38C1">
            <w:pPr>
              <w:pStyle w:val="TableTextLeft"/>
            </w:pPr>
            <w:r>
              <w:t>Source rock(s)</w:t>
            </w:r>
          </w:p>
        </w:tc>
        <w:tc>
          <w:tcPr>
            <w:tcW w:w="474" w:type="pct"/>
            <w:hideMark/>
          </w:tcPr>
          <w:p w14:paraId="7D30441E" w14:textId="77777777" w:rsidR="008B38C1" w:rsidRDefault="008B38C1">
            <w:pPr>
              <w:pStyle w:val="TableTextLeft"/>
            </w:pPr>
            <w:r>
              <w:t>Source rock TOC (%)</w:t>
            </w:r>
          </w:p>
        </w:tc>
        <w:tc>
          <w:tcPr>
            <w:tcW w:w="552" w:type="pct"/>
            <w:hideMark/>
          </w:tcPr>
          <w:p w14:paraId="3FB22457" w14:textId="77777777" w:rsidR="008B38C1" w:rsidRDefault="008B38C1">
            <w:pPr>
              <w:pStyle w:val="TableTextLeft"/>
            </w:pPr>
            <w:r>
              <w:t>Source rock maturity</w:t>
            </w:r>
          </w:p>
        </w:tc>
        <w:tc>
          <w:tcPr>
            <w:tcW w:w="452" w:type="pct"/>
            <w:hideMark/>
          </w:tcPr>
          <w:p w14:paraId="3028F7BF" w14:textId="77777777" w:rsidR="008B38C1" w:rsidRDefault="008B38C1">
            <w:pPr>
              <w:pStyle w:val="TableTextLeft"/>
            </w:pPr>
            <w:r>
              <w:t>Play type</w:t>
            </w:r>
          </w:p>
        </w:tc>
        <w:tc>
          <w:tcPr>
            <w:tcW w:w="712" w:type="pct"/>
            <w:hideMark/>
          </w:tcPr>
          <w:p w14:paraId="2EB52192" w14:textId="77777777" w:rsidR="008B38C1" w:rsidRDefault="008B38C1">
            <w:pPr>
              <w:pStyle w:val="TableTextLeft"/>
            </w:pPr>
            <w:r>
              <w:t>Exploration status</w:t>
            </w:r>
          </w:p>
        </w:tc>
      </w:tr>
      <w:tr w:rsidR="008B38C1" w14:paraId="6DE3B626" w14:textId="77777777" w:rsidTr="00DC345C">
        <w:trPr>
          <w:cnfStyle w:val="000000100000" w:firstRow="0" w:lastRow="0" w:firstColumn="0" w:lastColumn="0" w:oddVBand="0" w:evenVBand="0" w:oddHBand="1" w:evenHBand="0" w:firstRowFirstColumn="0" w:firstRowLastColumn="0" w:lastRowFirstColumn="0" w:lastRowLastColumn="0"/>
        </w:trPr>
        <w:tc>
          <w:tcPr>
            <w:tcW w:w="472" w:type="pct"/>
            <w:hideMark/>
          </w:tcPr>
          <w:p w14:paraId="207261A4" w14:textId="77777777" w:rsidR="008B38C1" w:rsidRDefault="008B38C1">
            <w:pPr>
              <w:pStyle w:val="TableTextLeft"/>
            </w:pPr>
            <w:r>
              <w:t xml:space="preserve">Kyalla Formation (Roper Group) </w:t>
            </w:r>
          </w:p>
        </w:tc>
        <w:tc>
          <w:tcPr>
            <w:tcW w:w="519" w:type="pct"/>
            <w:hideMark/>
          </w:tcPr>
          <w:p w14:paraId="5F188E3E" w14:textId="77777777" w:rsidR="008B38C1" w:rsidRDefault="008B38C1">
            <w:pPr>
              <w:pStyle w:val="TableTextLeft"/>
            </w:pPr>
            <w:r>
              <w:t>Mesoproterozoic</w:t>
            </w:r>
          </w:p>
        </w:tc>
        <w:tc>
          <w:tcPr>
            <w:tcW w:w="636" w:type="pct"/>
            <w:hideMark/>
          </w:tcPr>
          <w:p w14:paraId="4C15CD2B" w14:textId="77777777" w:rsidR="008B38C1" w:rsidRDefault="008B38C1">
            <w:pPr>
              <w:pStyle w:val="TableTextLeft"/>
            </w:pPr>
            <w:r>
              <w:t>shallow to moderately deep marine</w:t>
            </w:r>
          </w:p>
        </w:tc>
        <w:tc>
          <w:tcPr>
            <w:tcW w:w="351" w:type="pct"/>
            <w:hideMark/>
          </w:tcPr>
          <w:p w14:paraId="7B6CD2FE" w14:textId="77777777" w:rsidR="008B38C1" w:rsidRDefault="008B38C1">
            <w:pPr>
              <w:pStyle w:val="TableTextLeft"/>
            </w:pPr>
            <w:r>
              <w:t>550–990</w:t>
            </w:r>
          </w:p>
        </w:tc>
        <w:tc>
          <w:tcPr>
            <w:tcW w:w="402" w:type="pct"/>
            <w:hideMark/>
          </w:tcPr>
          <w:p w14:paraId="18E75B74" w14:textId="77777777" w:rsidR="008B38C1" w:rsidRDefault="008B38C1">
            <w:pPr>
              <w:pStyle w:val="TableTextLeft"/>
            </w:pPr>
            <w:r>
              <w:t>0–800</w:t>
            </w:r>
          </w:p>
        </w:tc>
        <w:tc>
          <w:tcPr>
            <w:tcW w:w="430" w:type="pct"/>
            <w:hideMark/>
          </w:tcPr>
          <w:p w14:paraId="7EAC2A4F" w14:textId="77777777" w:rsidR="008B38C1" w:rsidRDefault="008B38C1">
            <w:pPr>
              <w:pStyle w:val="TableTextLeft"/>
            </w:pPr>
            <w:r>
              <w:t>Type I to II</w:t>
            </w:r>
          </w:p>
        </w:tc>
        <w:tc>
          <w:tcPr>
            <w:tcW w:w="474" w:type="pct"/>
            <w:hideMark/>
          </w:tcPr>
          <w:p w14:paraId="2DE0093E" w14:textId="77777777" w:rsidR="008B38C1" w:rsidRDefault="008B38C1">
            <w:pPr>
              <w:pStyle w:val="TableTextLeft"/>
            </w:pPr>
            <w:r>
              <w:t xml:space="preserve">2–3% </w:t>
            </w:r>
          </w:p>
          <w:p w14:paraId="06CF62C6" w14:textId="77777777" w:rsidR="008B38C1" w:rsidRDefault="008B38C1">
            <w:pPr>
              <w:pStyle w:val="TableTextLeft"/>
            </w:pPr>
            <w:r>
              <w:t>Max 4%</w:t>
            </w:r>
          </w:p>
        </w:tc>
        <w:tc>
          <w:tcPr>
            <w:tcW w:w="552" w:type="pct"/>
            <w:hideMark/>
          </w:tcPr>
          <w:p w14:paraId="5D0CF1D6" w14:textId="77777777" w:rsidR="008B38C1" w:rsidRDefault="008B38C1">
            <w:pPr>
              <w:pStyle w:val="TableTextLeft"/>
            </w:pPr>
            <w:r>
              <w:t>Early oil–gas window</w:t>
            </w:r>
          </w:p>
        </w:tc>
        <w:tc>
          <w:tcPr>
            <w:tcW w:w="452" w:type="pct"/>
            <w:hideMark/>
          </w:tcPr>
          <w:p w14:paraId="54A68984" w14:textId="77777777" w:rsidR="008B38C1" w:rsidRDefault="008B38C1">
            <w:pPr>
              <w:pStyle w:val="TableTextLeft"/>
            </w:pPr>
            <w:r>
              <w:t xml:space="preserve">shale gas </w:t>
            </w:r>
          </w:p>
        </w:tc>
        <w:tc>
          <w:tcPr>
            <w:tcW w:w="712" w:type="pct"/>
            <w:hideMark/>
          </w:tcPr>
          <w:p w14:paraId="13F66093" w14:textId="77777777" w:rsidR="008B38C1" w:rsidRDefault="008B38C1">
            <w:pPr>
              <w:pStyle w:val="TableTextLeft"/>
            </w:pPr>
            <w:r>
              <w:t>Active exploration (Origin, 2017)</w:t>
            </w:r>
          </w:p>
        </w:tc>
      </w:tr>
      <w:tr w:rsidR="008B38C1" w14:paraId="35651162" w14:textId="77777777" w:rsidTr="00DC345C">
        <w:trPr>
          <w:cnfStyle w:val="000000010000" w:firstRow="0" w:lastRow="0" w:firstColumn="0" w:lastColumn="0" w:oddVBand="0" w:evenVBand="0" w:oddHBand="0" w:evenHBand="1" w:firstRowFirstColumn="0" w:firstRowLastColumn="0" w:lastRowFirstColumn="0" w:lastRowLastColumn="0"/>
        </w:trPr>
        <w:tc>
          <w:tcPr>
            <w:tcW w:w="472" w:type="pct"/>
            <w:hideMark/>
          </w:tcPr>
          <w:p w14:paraId="53CFCC56" w14:textId="77777777" w:rsidR="008B38C1" w:rsidRDefault="008B38C1">
            <w:pPr>
              <w:pStyle w:val="TableTextLeft"/>
            </w:pPr>
            <w:r>
              <w:t>Moroak Sandstone (Roper Group)</w:t>
            </w:r>
          </w:p>
        </w:tc>
        <w:tc>
          <w:tcPr>
            <w:tcW w:w="519" w:type="pct"/>
            <w:hideMark/>
          </w:tcPr>
          <w:p w14:paraId="65DED4E2" w14:textId="77777777" w:rsidR="008B38C1" w:rsidRDefault="008B38C1">
            <w:pPr>
              <w:pStyle w:val="TableTextLeft"/>
            </w:pPr>
            <w:r>
              <w:t>Mesoproterozoic</w:t>
            </w:r>
          </w:p>
        </w:tc>
        <w:tc>
          <w:tcPr>
            <w:tcW w:w="636" w:type="pct"/>
            <w:hideMark/>
          </w:tcPr>
          <w:p w14:paraId="3099D38B" w14:textId="77777777" w:rsidR="008B38C1" w:rsidRDefault="008B38C1">
            <w:pPr>
              <w:pStyle w:val="TableTextLeft"/>
            </w:pPr>
            <w:r>
              <w:t>tide-dominated shoreline</w:t>
            </w:r>
          </w:p>
        </w:tc>
        <w:tc>
          <w:tcPr>
            <w:tcW w:w="351" w:type="pct"/>
            <w:hideMark/>
          </w:tcPr>
          <w:p w14:paraId="1855557D" w14:textId="77777777" w:rsidR="008B38C1" w:rsidRDefault="008B38C1">
            <w:pPr>
              <w:pStyle w:val="TableTextLeft"/>
            </w:pPr>
            <w:r>
              <w:t>320–1</w:t>
            </w:r>
            <w:r w:rsidR="00473729">
              <w:t>,</w:t>
            </w:r>
            <w:r>
              <w:t>715</w:t>
            </w:r>
          </w:p>
        </w:tc>
        <w:tc>
          <w:tcPr>
            <w:tcW w:w="402" w:type="pct"/>
            <w:hideMark/>
          </w:tcPr>
          <w:p w14:paraId="1CBD55A8" w14:textId="77777777" w:rsidR="008B38C1" w:rsidRDefault="008B38C1">
            <w:pPr>
              <w:pStyle w:val="TableTextLeft"/>
            </w:pPr>
            <w:r>
              <w:t>2.5–485</w:t>
            </w:r>
          </w:p>
        </w:tc>
        <w:tc>
          <w:tcPr>
            <w:tcW w:w="430" w:type="pct"/>
            <w:hideMark/>
          </w:tcPr>
          <w:p w14:paraId="268BDF2E" w14:textId="77777777" w:rsidR="008B38C1" w:rsidRDefault="008B38C1">
            <w:pPr>
              <w:pStyle w:val="TableTextLeft"/>
            </w:pPr>
            <w:r>
              <w:t>N/A</w:t>
            </w:r>
          </w:p>
        </w:tc>
        <w:tc>
          <w:tcPr>
            <w:tcW w:w="474" w:type="pct"/>
            <w:hideMark/>
          </w:tcPr>
          <w:p w14:paraId="5EFDB6AF" w14:textId="77777777" w:rsidR="008B38C1" w:rsidRDefault="008B38C1">
            <w:pPr>
              <w:pStyle w:val="TableTextLeft"/>
            </w:pPr>
            <w:r>
              <w:t>N/A</w:t>
            </w:r>
          </w:p>
        </w:tc>
        <w:tc>
          <w:tcPr>
            <w:tcW w:w="552" w:type="pct"/>
            <w:hideMark/>
          </w:tcPr>
          <w:p w14:paraId="465642A6" w14:textId="77777777" w:rsidR="008B38C1" w:rsidRDefault="008B38C1">
            <w:pPr>
              <w:pStyle w:val="TableTextLeft"/>
            </w:pPr>
            <w:r>
              <w:t>N/A</w:t>
            </w:r>
          </w:p>
        </w:tc>
        <w:tc>
          <w:tcPr>
            <w:tcW w:w="452" w:type="pct"/>
            <w:hideMark/>
          </w:tcPr>
          <w:p w14:paraId="7647A36F" w14:textId="77777777" w:rsidR="008B38C1" w:rsidRDefault="008B38C1">
            <w:pPr>
              <w:pStyle w:val="TableTextLeft"/>
            </w:pPr>
            <w:r>
              <w:t>tight gas</w:t>
            </w:r>
          </w:p>
        </w:tc>
        <w:tc>
          <w:tcPr>
            <w:tcW w:w="712" w:type="pct"/>
            <w:hideMark/>
          </w:tcPr>
          <w:p w14:paraId="3555BDF4" w14:textId="77777777" w:rsidR="008B38C1" w:rsidRDefault="008B38C1">
            <w:pPr>
              <w:pStyle w:val="TableTextLeft"/>
            </w:pPr>
            <w:r>
              <w:t>Unknown</w:t>
            </w:r>
          </w:p>
        </w:tc>
      </w:tr>
      <w:tr w:rsidR="008B38C1" w14:paraId="2B21C207" w14:textId="77777777" w:rsidTr="00DC345C">
        <w:trPr>
          <w:cnfStyle w:val="000000100000" w:firstRow="0" w:lastRow="0" w:firstColumn="0" w:lastColumn="0" w:oddVBand="0" w:evenVBand="0" w:oddHBand="1" w:evenHBand="0" w:firstRowFirstColumn="0" w:firstRowLastColumn="0" w:lastRowFirstColumn="0" w:lastRowLastColumn="0"/>
        </w:trPr>
        <w:tc>
          <w:tcPr>
            <w:tcW w:w="472" w:type="pct"/>
            <w:hideMark/>
          </w:tcPr>
          <w:p w14:paraId="0158AAFB" w14:textId="77777777" w:rsidR="008B38C1" w:rsidRDefault="008B38C1">
            <w:pPr>
              <w:pStyle w:val="TableTextLeft"/>
            </w:pPr>
            <w:r>
              <w:t>Velkerri Formation (Roper Group)</w:t>
            </w:r>
          </w:p>
        </w:tc>
        <w:tc>
          <w:tcPr>
            <w:tcW w:w="519" w:type="pct"/>
            <w:hideMark/>
          </w:tcPr>
          <w:p w14:paraId="41A41282" w14:textId="77777777" w:rsidR="008B38C1" w:rsidRDefault="008B38C1">
            <w:pPr>
              <w:pStyle w:val="TableTextLeft"/>
            </w:pPr>
            <w:r>
              <w:t>Mesoproterozoic</w:t>
            </w:r>
          </w:p>
        </w:tc>
        <w:tc>
          <w:tcPr>
            <w:tcW w:w="636" w:type="pct"/>
            <w:hideMark/>
          </w:tcPr>
          <w:p w14:paraId="4E66EF53" w14:textId="77777777" w:rsidR="008B38C1" w:rsidRDefault="008B38C1">
            <w:pPr>
              <w:pStyle w:val="TableTextLeft"/>
            </w:pPr>
            <w:r>
              <w:t>shallow to nearshore marine</w:t>
            </w:r>
          </w:p>
        </w:tc>
        <w:tc>
          <w:tcPr>
            <w:tcW w:w="351" w:type="pct"/>
            <w:hideMark/>
          </w:tcPr>
          <w:p w14:paraId="5DF8303F" w14:textId="77777777" w:rsidR="008B38C1" w:rsidRDefault="008B38C1">
            <w:pPr>
              <w:pStyle w:val="TableTextLeft"/>
            </w:pPr>
            <w:r>
              <w:t>230–&gt;2</w:t>
            </w:r>
            <w:r w:rsidR="00473729">
              <w:t>,</w:t>
            </w:r>
            <w:r>
              <w:t>200</w:t>
            </w:r>
          </w:p>
        </w:tc>
        <w:tc>
          <w:tcPr>
            <w:tcW w:w="402" w:type="pct"/>
            <w:hideMark/>
          </w:tcPr>
          <w:p w14:paraId="155FCCB6" w14:textId="77777777" w:rsidR="008B38C1" w:rsidRDefault="008B38C1">
            <w:pPr>
              <w:pStyle w:val="TableTextLeft"/>
            </w:pPr>
            <w:r>
              <w:t>80 to &gt;350</w:t>
            </w:r>
          </w:p>
        </w:tc>
        <w:tc>
          <w:tcPr>
            <w:tcW w:w="430" w:type="pct"/>
            <w:hideMark/>
          </w:tcPr>
          <w:p w14:paraId="173D2435" w14:textId="77777777" w:rsidR="008B38C1" w:rsidRDefault="008B38C1">
            <w:pPr>
              <w:pStyle w:val="TableTextLeft"/>
            </w:pPr>
            <w:r>
              <w:t>Type I to II</w:t>
            </w:r>
          </w:p>
        </w:tc>
        <w:tc>
          <w:tcPr>
            <w:tcW w:w="474" w:type="pct"/>
            <w:hideMark/>
          </w:tcPr>
          <w:p w14:paraId="1FA2C0AD" w14:textId="77777777" w:rsidR="008B38C1" w:rsidRDefault="008B38C1">
            <w:pPr>
              <w:pStyle w:val="TableTextLeft"/>
            </w:pPr>
            <w:r>
              <w:t>2-6 %.</w:t>
            </w:r>
          </w:p>
          <w:p w14:paraId="41C661E6" w14:textId="77777777" w:rsidR="008B38C1" w:rsidRDefault="008B38C1">
            <w:pPr>
              <w:pStyle w:val="TableTextLeft"/>
            </w:pPr>
            <w:r>
              <w:t>Max 12.5%</w:t>
            </w:r>
          </w:p>
        </w:tc>
        <w:tc>
          <w:tcPr>
            <w:tcW w:w="552" w:type="pct"/>
            <w:hideMark/>
          </w:tcPr>
          <w:p w14:paraId="72A67F1B" w14:textId="77777777" w:rsidR="008B38C1" w:rsidRDefault="008B38C1">
            <w:pPr>
              <w:pStyle w:val="TableTextLeft"/>
            </w:pPr>
            <w:r>
              <w:t>Early oil–gas window</w:t>
            </w:r>
          </w:p>
        </w:tc>
        <w:tc>
          <w:tcPr>
            <w:tcW w:w="452" w:type="pct"/>
            <w:hideMark/>
          </w:tcPr>
          <w:p w14:paraId="786724BE" w14:textId="77777777" w:rsidR="008B38C1" w:rsidRDefault="008B38C1">
            <w:pPr>
              <w:pStyle w:val="TableTextLeft"/>
            </w:pPr>
            <w:r>
              <w:t xml:space="preserve">shale gas </w:t>
            </w:r>
          </w:p>
        </w:tc>
        <w:tc>
          <w:tcPr>
            <w:tcW w:w="712" w:type="pct"/>
            <w:hideMark/>
          </w:tcPr>
          <w:p w14:paraId="27F989A2" w14:textId="77777777" w:rsidR="008B38C1" w:rsidRDefault="008B38C1">
            <w:pPr>
              <w:pStyle w:val="TableTextLeft"/>
            </w:pPr>
            <w:r>
              <w:t>Under assessment (Origin, 2017)</w:t>
            </w:r>
          </w:p>
        </w:tc>
      </w:tr>
      <w:tr w:rsidR="008B38C1" w14:paraId="4D58A589" w14:textId="77777777" w:rsidTr="00DC345C">
        <w:trPr>
          <w:cnfStyle w:val="000000010000" w:firstRow="0" w:lastRow="0" w:firstColumn="0" w:lastColumn="0" w:oddVBand="0" w:evenVBand="0" w:oddHBand="0" w:evenHBand="1" w:firstRowFirstColumn="0" w:firstRowLastColumn="0" w:lastRowFirstColumn="0" w:lastRowLastColumn="0"/>
        </w:trPr>
        <w:tc>
          <w:tcPr>
            <w:tcW w:w="472" w:type="pct"/>
            <w:hideMark/>
          </w:tcPr>
          <w:p w14:paraId="491D4688" w14:textId="77777777" w:rsidR="008B38C1" w:rsidRDefault="008B38C1">
            <w:pPr>
              <w:pStyle w:val="TableTextLeft"/>
            </w:pPr>
            <w:r>
              <w:t>Bessie Creek Sandstone (Roper Group)</w:t>
            </w:r>
          </w:p>
        </w:tc>
        <w:tc>
          <w:tcPr>
            <w:tcW w:w="519" w:type="pct"/>
            <w:hideMark/>
          </w:tcPr>
          <w:p w14:paraId="0327ADE5" w14:textId="77777777" w:rsidR="008B38C1" w:rsidRDefault="008B38C1">
            <w:pPr>
              <w:pStyle w:val="TableTextLeft"/>
            </w:pPr>
            <w:r>
              <w:t>Mesoproterozoic</w:t>
            </w:r>
          </w:p>
        </w:tc>
        <w:tc>
          <w:tcPr>
            <w:tcW w:w="636" w:type="pct"/>
            <w:hideMark/>
          </w:tcPr>
          <w:p w14:paraId="2446DF8B" w14:textId="77777777" w:rsidR="008B38C1" w:rsidRDefault="008B38C1">
            <w:pPr>
              <w:pStyle w:val="TableTextLeft"/>
            </w:pPr>
            <w:r>
              <w:t>tide-dominated shoreline</w:t>
            </w:r>
          </w:p>
        </w:tc>
        <w:tc>
          <w:tcPr>
            <w:tcW w:w="351" w:type="pct"/>
            <w:hideMark/>
          </w:tcPr>
          <w:p w14:paraId="4DFA9790" w14:textId="77777777" w:rsidR="008B38C1" w:rsidRDefault="008B38C1">
            <w:pPr>
              <w:pStyle w:val="TableTextLeft"/>
            </w:pPr>
            <w:r>
              <w:t>440–1230</w:t>
            </w:r>
          </w:p>
        </w:tc>
        <w:tc>
          <w:tcPr>
            <w:tcW w:w="402" w:type="pct"/>
            <w:hideMark/>
          </w:tcPr>
          <w:p w14:paraId="21954568" w14:textId="77777777" w:rsidR="008B38C1" w:rsidRDefault="008B38C1">
            <w:pPr>
              <w:pStyle w:val="TableTextLeft"/>
            </w:pPr>
            <w:r>
              <w:t>20–422</w:t>
            </w:r>
          </w:p>
        </w:tc>
        <w:tc>
          <w:tcPr>
            <w:tcW w:w="430" w:type="pct"/>
            <w:hideMark/>
          </w:tcPr>
          <w:p w14:paraId="7694754E" w14:textId="77777777" w:rsidR="008B38C1" w:rsidRDefault="008B38C1">
            <w:pPr>
              <w:pStyle w:val="TableTextLeft"/>
            </w:pPr>
            <w:r>
              <w:t>N/A</w:t>
            </w:r>
          </w:p>
        </w:tc>
        <w:tc>
          <w:tcPr>
            <w:tcW w:w="474" w:type="pct"/>
            <w:hideMark/>
          </w:tcPr>
          <w:p w14:paraId="386518F6" w14:textId="77777777" w:rsidR="008B38C1" w:rsidRDefault="008B38C1">
            <w:pPr>
              <w:pStyle w:val="TableTextLeft"/>
            </w:pPr>
            <w:r>
              <w:t>N/A</w:t>
            </w:r>
          </w:p>
        </w:tc>
        <w:tc>
          <w:tcPr>
            <w:tcW w:w="552" w:type="pct"/>
            <w:hideMark/>
          </w:tcPr>
          <w:p w14:paraId="197B774D" w14:textId="77777777" w:rsidR="008B38C1" w:rsidRDefault="008B38C1">
            <w:pPr>
              <w:pStyle w:val="TableTextLeft"/>
            </w:pPr>
            <w:r>
              <w:t>N/A</w:t>
            </w:r>
          </w:p>
        </w:tc>
        <w:tc>
          <w:tcPr>
            <w:tcW w:w="452" w:type="pct"/>
            <w:hideMark/>
          </w:tcPr>
          <w:p w14:paraId="309C87F6" w14:textId="77777777" w:rsidR="008B38C1" w:rsidRDefault="008B38C1">
            <w:pPr>
              <w:pStyle w:val="TableTextLeft"/>
            </w:pPr>
            <w:r>
              <w:t>tight gas</w:t>
            </w:r>
          </w:p>
        </w:tc>
        <w:tc>
          <w:tcPr>
            <w:tcW w:w="712" w:type="pct"/>
            <w:hideMark/>
          </w:tcPr>
          <w:p w14:paraId="0018AAAF" w14:textId="77777777" w:rsidR="008B38C1" w:rsidRDefault="008B38C1">
            <w:pPr>
              <w:pStyle w:val="TableTextLeft"/>
            </w:pPr>
            <w:r>
              <w:t>Unknown</w:t>
            </w:r>
          </w:p>
        </w:tc>
      </w:tr>
      <w:tr w:rsidR="008B38C1" w14:paraId="08BB8E77" w14:textId="77777777" w:rsidTr="00DC345C">
        <w:trPr>
          <w:cnfStyle w:val="000000100000" w:firstRow="0" w:lastRow="0" w:firstColumn="0" w:lastColumn="0" w:oddVBand="0" w:evenVBand="0" w:oddHBand="1" w:evenHBand="0" w:firstRowFirstColumn="0" w:firstRowLastColumn="0" w:lastRowFirstColumn="0" w:lastRowLastColumn="0"/>
        </w:trPr>
        <w:tc>
          <w:tcPr>
            <w:tcW w:w="472" w:type="pct"/>
            <w:hideMark/>
          </w:tcPr>
          <w:p w14:paraId="5CD347D2" w14:textId="77777777" w:rsidR="008B38C1" w:rsidRDefault="008B38C1">
            <w:pPr>
              <w:pStyle w:val="TableTextLeft"/>
            </w:pPr>
            <w:r>
              <w:t>Vaughton Siltstone (Balma Group)</w:t>
            </w:r>
          </w:p>
        </w:tc>
        <w:tc>
          <w:tcPr>
            <w:tcW w:w="519" w:type="pct"/>
            <w:hideMark/>
          </w:tcPr>
          <w:p w14:paraId="30771C9B" w14:textId="77777777" w:rsidR="008B38C1" w:rsidRDefault="008B38C1">
            <w:pPr>
              <w:pStyle w:val="TableTextLeft"/>
            </w:pPr>
            <w:r>
              <w:t>Paleoproterozoic</w:t>
            </w:r>
          </w:p>
        </w:tc>
        <w:tc>
          <w:tcPr>
            <w:tcW w:w="636" w:type="pct"/>
            <w:hideMark/>
          </w:tcPr>
          <w:p w14:paraId="64912D90" w14:textId="77777777" w:rsidR="008B38C1" w:rsidRDefault="008B38C1">
            <w:pPr>
              <w:pStyle w:val="TableTextLeft"/>
            </w:pPr>
            <w:r>
              <w:t xml:space="preserve">deep subtidal </w:t>
            </w:r>
          </w:p>
        </w:tc>
        <w:tc>
          <w:tcPr>
            <w:tcW w:w="351" w:type="pct"/>
          </w:tcPr>
          <w:p w14:paraId="308DE38D" w14:textId="77777777" w:rsidR="008B38C1" w:rsidRDefault="00473729">
            <w:pPr>
              <w:pStyle w:val="TableTextLeft"/>
            </w:pPr>
            <w:r>
              <w:t>?</w:t>
            </w:r>
          </w:p>
        </w:tc>
        <w:tc>
          <w:tcPr>
            <w:tcW w:w="402" w:type="pct"/>
            <w:hideMark/>
          </w:tcPr>
          <w:p w14:paraId="4E5F63D3" w14:textId="77777777" w:rsidR="008B38C1" w:rsidRDefault="008B38C1">
            <w:pPr>
              <w:pStyle w:val="TableTextLeft"/>
            </w:pPr>
            <w:r>
              <w:t>600–1000</w:t>
            </w:r>
          </w:p>
        </w:tc>
        <w:tc>
          <w:tcPr>
            <w:tcW w:w="430" w:type="pct"/>
            <w:hideMark/>
          </w:tcPr>
          <w:p w14:paraId="3C857A0F" w14:textId="77777777" w:rsidR="008B38C1" w:rsidRDefault="008B38C1">
            <w:pPr>
              <w:pStyle w:val="TableTextLeft"/>
            </w:pPr>
            <w:r>
              <w:t>unknown</w:t>
            </w:r>
          </w:p>
        </w:tc>
        <w:tc>
          <w:tcPr>
            <w:tcW w:w="474" w:type="pct"/>
            <w:hideMark/>
          </w:tcPr>
          <w:p w14:paraId="67A85435" w14:textId="77777777" w:rsidR="008B38C1" w:rsidRDefault="008B38C1">
            <w:pPr>
              <w:pStyle w:val="TableTextLeft"/>
            </w:pPr>
            <w:r>
              <w:t>unknown</w:t>
            </w:r>
          </w:p>
        </w:tc>
        <w:tc>
          <w:tcPr>
            <w:tcW w:w="552" w:type="pct"/>
          </w:tcPr>
          <w:p w14:paraId="3FB36F63" w14:textId="77777777" w:rsidR="008B38C1" w:rsidRDefault="008B38C1">
            <w:pPr>
              <w:pStyle w:val="TableTextLeft"/>
            </w:pPr>
          </w:p>
        </w:tc>
        <w:tc>
          <w:tcPr>
            <w:tcW w:w="452" w:type="pct"/>
            <w:hideMark/>
          </w:tcPr>
          <w:p w14:paraId="61C505A6" w14:textId="77777777" w:rsidR="008B38C1" w:rsidRDefault="008B38C1">
            <w:pPr>
              <w:pStyle w:val="TableTextLeft"/>
            </w:pPr>
            <w:r>
              <w:t>?shale gas</w:t>
            </w:r>
          </w:p>
        </w:tc>
        <w:tc>
          <w:tcPr>
            <w:tcW w:w="712" w:type="pct"/>
            <w:hideMark/>
          </w:tcPr>
          <w:p w14:paraId="5E76A598" w14:textId="77777777" w:rsidR="008B38C1" w:rsidRDefault="008B38C1">
            <w:pPr>
              <w:pStyle w:val="TableTextLeft"/>
            </w:pPr>
            <w:r>
              <w:t>Unknown</w:t>
            </w:r>
          </w:p>
        </w:tc>
      </w:tr>
      <w:tr w:rsidR="008B38C1" w14:paraId="142FDD4B" w14:textId="77777777" w:rsidTr="00DC345C">
        <w:trPr>
          <w:cnfStyle w:val="000000010000" w:firstRow="0" w:lastRow="0" w:firstColumn="0" w:lastColumn="0" w:oddVBand="0" w:evenVBand="0" w:oddHBand="0" w:evenHBand="1" w:firstRowFirstColumn="0" w:firstRowLastColumn="0" w:lastRowFirstColumn="0" w:lastRowLastColumn="0"/>
        </w:trPr>
        <w:tc>
          <w:tcPr>
            <w:tcW w:w="472" w:type="pct"/>
            <w:hideMark/>
          </w:tcPr>
          <w:p w14:paraId="1E552155" w14:textId="77777777" w:rsidR="008B38C1" w:rsidRDefault="008B38C1">
            <w:pPr>
              <w:pStyle w:val="TableTextLeft"/>
            </w:pPr>
            <w:r>
              <w:t>Yalco Formation (McArthur Group)</w:t>
            </w:r>
          </w:p>
        </w:tc>
        <w:tc>
          <w:tcPr>
            <w:tcW w:w="519" w:type="pct"/>
            <w:hideMark/>
          </w:tcPr>
          <w:p w14:paraId="42EC72E6" w14:textId="77777777" w:rsidR="008B38C1" w:rsidRDefault="008B38C1">
            <w:pPr>
              <w:pStyle w:val="TableTextLeft"/>
            </w:pPr>
            <w:r>
              <w:t>Paleoproterozoic</w:t>
            </w:r>
          </w:p>
        </w:tc>
        <w:tc>
          <w:tcPr>
            <w:tcW w:w="636" w:type="pct"/>
            <w:hideMark/>
          </w:tcPr>
          <w:p w14:paraId="0400C42A" w14:textId="77777777" w:rsidR="008B38C1" w:rsidRDefault="008B38C1">
            <w:pPr>
              <w:pStyle w:val="TableTextLeft"/>
            </w:pPr>
            <w:r>
              <w:t>shallow-marine</w:t>
            </w:r>
          </w:p>
        </w:tc>
        <w:tc>
          <w:tcPr>
            <w:tcW w:w="351" w:type="pct"/>
          </w:tcPr>
          <w:p w14:paraId="2C72343C" w14:textId="77777777" w:rsidR="008B38C1" w:rsidRDefault="00473729">
            <w:pPr>
              <w:pStyle w:val="TableTextLeft"/>
            </w:pPr>
            <w:r>
              <w:t>?</w:t>
            </w:r>
          </w:p>
        </w:tc>
        <w:tc>
          <w:tcPr>
            <w:tcW w:w="402" w:type="pct"/>
            <w:hideMark/>
          </w:tcPr>
          <w:p w14:paraId="344AA562" w14:textId="77777777" w:rsidR="008B38C1" w:rsidRDefault="008B38C1">
            <w:pPr>
              <w:pStyle w:val="TableTextLeft"/>
            </w:pPr>
            <w:r>
              <w:t>0–250</w:t>
            </w:r>
          </w:p>
        </w:tc>
        <w:tc>
          <w:tcPr>
            <w:tcW w:w="430" w:type="pct"/>
            <w:hideMark/>
          </w:tcPr>
          <w:p w14:paraId="2EB7744C" w14:textId="77777777" w:rsidR="008B38C1" w:rsidRDefault="008B38C1">
            <w:pPr>
              <w:pStyle w:val="TableTextLeft"/>
            </w:pPr>
            <w:r>
              <w:t>Type II</w:t>
            </w:r>
          </w:p>
        </w:tc>
        <w:tc>
          <w:tcPr>
            <w:tcW w:w="474" w:type="pct"/>
            <w:hideMark/>
          </w:tcPr>
          <w:p w14:paraId="4EF55D54" w14:textId="77777777" w:rsidR="008B38C1" w:rsidRDefault="008B38C1">
            <w:pPr>
              <w:pStyle w:val="TableTextLeft"/>
            </w:pPr>
            <w:r>
              <w:t>Max. 6%</w:t>
            </w:r>
          </w:p>
        </w:tc>
        <w:tc>
          <w:tcPr>
            <w:tcW w:w="552" w:type="pct"/>
            <w:hideMark/>
          </w:tcPr>
          <w:p w14:paraId="360A3190" w14:textId="77777777" w:rsidR="008B38C1" w:rsidRDefault="008B38C1">
            <w:pPr>
              <w:pStyle w:val="TableTextLeft"/>
            </w:pPr>
            <w:r>
              <w:t>Marginally mature–over mature</w:t>
            </w:r>
          </w:p>
        </w:tc>
        <w:tc>
          <w:tcPr>
            <w:tcW w:w="452" w:type="pct"/>
            <w:hideMark/>
          </w:tcPr>
          <w:p w14:paraId="401C372E" w14:textId="77777777" w:rsidR="008B38C1" w:rsidRDefault="008B38C1">
            <w:pPr>
              <w:pStyle w:val="TableTextLeft"/>
            </w:pPr>
            <w:r>
              <w:t>shale gas</w:t>
            </w:r>
          </w:p>
        </w:tc>
        <w:tc>
          <w:tcPr>
            <w:tcW w:w="712" w:type="pct"/>
            <w:hideMark/>
          </w:tcPr>
          <w:p w14:paraId="157DBFB2" w14:textId="77777777" w:rsidR="008B38C1" w:rsidRDefault="008B38C1">
            <w:pPr>
              <w:pStyle w:val="TableTextLeft"/>
            </w:pPr>
            <w:r>
              <w:t>Unknown</w:t>
            </w:r>
          </w:p>
        </w:tc>
      </w:tr>
      <w:tr w:rsidR="008B38C1" w14:paraId="1AC28F48" w14:textId="77777777" w:rsidTr="00DC345C">
        <w:trPr>
          <w:cnfStyle w:val="000000100000" w:firstRow="0" w:lastRow="0" w:firstColumn="0" w:lastColumn="0" w:oddVBand="0" w:evenVBand="0" w:oddHBand="1" w:evenHBand="0" w:firstRowFirstColumn="0" w:firstRowLastColumn="0" w:lastRowFirstColumn="0" w:lastRowLastColumn="0"/>
        </w:trPr>
        <w:tc>
          <w:tcPr>
            <w:tcW w:w="472" w:type="pct"/>
            <w:hideMark/>
          </w:tcPr>
          <w:p w14:paraId="0B49409E" w14:textId="77777777" w:rsidR="008B38C1" w:rsidRDefault="008B38C1">
            <w:pPr>
              <w:pStyle w:val="TableTextLeft"/>
            </w:pPr>
            <w:r>
              <w:t>Lynott Formation (McArthur Group)</w:t>
            </w:r>
          </w:p>
        </w:tc>
        <w:tc>
          <w:tcPr>
            <w:tcW w:w="519" w:type="pct"/>
            <w:hideMark/>
          </w:tcPr>
          <w:p w14:paraId="1440B3FC" w14:textId="77777777" w:rsidR="008B38C1" w:rsidRDefault="008B38C1">
            <w:pPr>
              <w:pStyle w:val="TableTextLeft"/>
            </w:pPr>
            <w:r>
              <w:t>Paleoproterozoic</w:t>
            </w:r>
          </w:p>
        </w:tc>
        <w:tc>
          <w:tcPr>
            <w:tcW w:w="636" w:type="pct"/>
            <w:hideMark/>
          </w:tcPr>
          <w:p w14:paraId="11458212" w14:textId="77777777" w:rsidR="008B38C1" w:rsidRDefault="008B38C1">
            <w:pPr>
              <w:pStyle w:val="TableTextLeft"/>
            </w:pPr>
            <w:r>
              <w:t xml:space="preserve">subtidal marine to intertidal </w:t>
            </w:r>
          </w:p>
        </w:tc>
        <w:tc>
          <w:tcPr>
            <w:tcW w:w="351" w:type="pct"/>
          </w:tcPr>
          <w:p w14:paraId="329BB6DE" w14:textId="77777777" w:rsidR="008B38C1" w:rsidRDefault="00473729">
            <w:pPr>
              <w:pStyle w:val="TableTextLeft"/>
            </w:pPr>
            <w:r>
              <w:t>?</w:t>
            </w:r>
          </w:p>
        </w:tc>
        <w:tc>
          <w:tcPr>
            <w:tcW w:w="402" w:type="pct"/>
            <w:hideMark/>
          </w:tcPr>
          <w:p w14:paraId="1AC343AF" w14:textId="77777777" w:rsidR="008B38C1" w:rsidRDefault="008B38C1">
            <w:pPr>
              <w:pStyle w:val="TableTextLeft"/>
            </w:pPr>
            <w:r>
              <w:t>50–600</w:t>
            </w:r>
          </w:p>
        </w:tc>
        <w:tc>
          <w:tcPr>
            <w:tcW w:w="430" w:type="pct"/>
            <w:hideMark/>
          </w:tcPr>
          <w:p w14:paraId="50084CAB" w14:textId="77777777" w:rsidR="008B38C1" w:rsidRDefault="008B38C1">
            <w:pPr>
              <w:pStyle w:val="TableTextLeft"/>
            </w:pPr>
            <w:r>
              <w:t>?Type II</w:t>
            </w:r>
          </w:p>
        </w:tc>
        <w:tc>
          <w:tcPr>
            <w:tcW w:w="474" w:type="pct"/>
            <w:hideMark/>
          </w:tcPr>
          <w:p w14:paraId="69720985" w14:textId="77777777" w:rsidR="008B38C1" w:rsidRDefault="008B38C1">
            <w:pPr>
              <w:pStyle w:val="TableTextLeft"/>
            </w:pPr>
            <w:r>
              <w:t>0.2–3.4%</w:t>
            </w:r>
          </w:p>
        </w:tc>
        <w:tc>
          <w:tcPr>
            <w:tcW w:w="552" w:type="pct"/>
            <w:hideMark/>
          </w:tcPr>
          <w:p w14:paraId="56E42582" w14:textId="77777777" w:rsidR="008B38C1" w:rsidRDefault="008B38C1">
            <w:pPr>
              <w:pStyle w:val="TableTextLeft"/>
            </w:pPr>
            <w:r>
              <w:t>Marginally mature–over mature</w:t>
            </w:r>
          </w:p>
        </w:tc>
        <w:tc>
          <w:tcPr>
            <w:tcW w:w="452" w:type="pct"/>
            <w:hideMark/>
          </w:tcPr>
          <w:p w14:paraId="097FBF2D" w14:textId="77777777" w:rsidR="008B38C1" w:rsidRDefault="008B38C1">
            <w:pPr>
              <w:pStyle w:val="TableTextLeft"/>
            </w:pPr>
            <w:r>
              <w:t>shale gas</w:t>
            </w:r>
          </w:p>
        </w:tc>
        <w:tc>
          <w:tcPr>
            <w:tcW w:w="712" w:type="pct"/>
            <w:hideMark/>
          </w:tcPr>
          <w:p w14:paraId="04D5D7C0" w14:textId="77777777" w:rsidR="008B38C1" w:rsidRDefault="008B38C1">
            <w:pPr>
              <w:pStyle w:val="TableTextLeft"/>
            </w:pPr>
            <w:r>
              <w:t>Active exploration (Armour Energy, 2017)</w:t>
            </w:r>
          </w:p>
        </w:tc>
      </w:tr>
      <w:tr w:rsidR="008B38C1" w14:paraId="608B76DE" w14:textId="77777777" w:rsidTr="00DC345C">
        <w:trPr>
          <w:cnfStyle w:val="000000010000" w:firstRow="0" w:lastRow="0" w:firstColumn="0" w:lastColumn="0" w:oddVBand="0" w:evenVBand="0" w:oddHBand="0" w:evenHBand="1" w:firstRowFirstColumn="0" w:firstRowLastColumn="0" w:lastRowFirstColumn="0" w:lastRowLastColumn="0"/>
        </w:trPr>
        <w:tc>
          <w:tcPr>
            <w:tcW w:w="472" w:type="pct"/>
            <w:hideMark/>
          </w:tcPr>
          <w:p w14:paraId="34FF8F47" w14:textId="77777777" w:rsidR="008B38C1" w:rsidRDefault="008B38C1">
            <w:pPr>
              <w:pStyle w:val="TableTextLeft"/>
            </w:pPr>
            <w:r>
              <w:t>Reward Dolostone (McArthur Group)</w:t>
            </w:r>
          </w:p>
        </w:tc>
        <w:tc>
          <w:tcPr>
            <w:tcW w:w="519" w:type="pct"/>
            <w:hideMark/>
          </w:tcPr>
          <w:p w14:paraId="4B2873A1" w14:textId="77777777" w:rsidR="008B38C1" w:rsidRDefault="008B38C1">
            <w:pPr>
              <w:pStyle w:val="TableTextLeft"/>
            </w:pPr>
            <w:r>
              <w:t>Paleoproterozoic</w:t>
            </w:r>
          </w:p>
        </w:tc>
        <w:tc>
          <w:tcPr>
            <w:tcW w:w="636" w:type="pct"/>
            <w:hideMark/>
          </w:tcPr>
          <w:p w14:paraId="69E8C359" w14:textId="77777777" w:rsidR="008B38C1" w:rsidRDefault="008B38C1">
            <w:pPr>
              <w:pStyle w:val="TableTextLeft"/>
            </w:pPr>
            <w:r>
              <w:t>deepwater to shallow marine</w:t>
            </w:r>
          </w:p>
        </w:tc>
        <w:tc>
          <w:tcPr>
            <w:tcW w:w="351" w:type="pct"/>
            <w:hideMark/>
          </w:tcPr>
          <w:p w14:paraId="219B21B3" w14:textId="77777777" w:rsidR="008B38C1" w:rsidRDefault="008B38C1">
            <w:pPr>
              <w:pStyle w:val="TableTextLeft"/>
            </w:pPr>
            <w:r>
              <w:t>260–615</w:t>
            </w:r>
          </w:p>
        </w:tc>
        <w:tc>
          <w:tcPr>
            <w:tcW w:w="402" w:type="pct"/>
            <w:hideMark/>
          </w:tcPr>
          <w:p w14:paraId="576886E0" w14:textId="77777777" w:rsidR="008B38C1" w:rsidRDefault="008B38C1">
            <w:pPr>
              <w:pStyle w:val="TableTextLeft"/>
            </w:pPr>
            <w:r>
              <w:t>30–350</w:t>
            </w:r>
          </w:p>
        </w:tc>
        <w:tc>
          <w:tcPr>
            <w:tcW w:w="430" w:type="pct"/>
            <w:hideMark/>
          </w:tcPr>
          <w:p w14:paraId="600B17B7" w14:textId="77777777" w:rsidR="008B38C1" w:rsidRDefault="008B38C1">
            <w:pPr>
              <w:pStyle w:val="TableTextLeft"/>
            </w:pPr>
            <w:r>
              <w:t>N/A</w:t>
            </w:r>
          </w:p>
        </w:tc>
        <w:tc>
          <w:tcPr>
            <w:tcW w:w="474" w:type="pct"/>
            <w:hideMark/>
          </w:tcPr>
          <w:p w14:paraId="2499A73E" w14:textId="77777777" w:rsidR="008B38C1" w:rsidRDefault="008B38C1">
            <w:pPr>
              <w:pStyle w:val="TableTextLeft"/>
            </w:pPr>
            <w:r>
              <w:t>N/A</w:t>
            </w:r>
          </w:p>
        </w:tc>
        <w:tc>
          <w:tcPr>
            <w:tcW w:w="552" w:type="pct"/>
            <w:hideMark/>
          </w:tcPr>
          <w:p w14:paraId="35B1AE3F" w14:textId="77777777" w:rsidR="008B38C1" w:rsidRDefault="008B38C1">
            <w:pPr>
              <w:pStyle w:val="TableTextLeft"/>
            </w:pPr>
            <w:r>
              <w:t>N/A</w:t>
            </w:r>
          </w:p>
        </w:tc>
        <w:tc>
          <w:tcPr>
            <w:tcW w:w="452" w:type="pct"/>
            <w:hideMark/>
          </w:tcPr>
          <w:p w14:paraId="7C766D9E" w14:textId="77777777" w:rsidR="008B38C1" w:rsidRDefault="008B38C1">
            <w:pPr>
              <w:pStyle w:val="TableTextLeft"/>
            </w:pPr>
            <w:r>
              <w:t>tight gas, natural fractures</w:t>
            </w:r>
          </w:p>
        </w:tc>
        <w:tc>
          <w:tcPr>
            <w:tcW w:w="712" w:type="pct"/>
            <w:hideMark/>
          </w:tcPr>
          <w:p w14:paraId="66583238" w14:textId="77777777" w:rsidR="008B38C1" w:rsidRDefault="008B38C1">
            <w:pPr>
              <w:pStyle w:val="TableTextLeft"/>
            </w:pPr>
            <w:r>
              <w:t>Active exploration (Armour Energy, 2017)</w:t>
            </w:r>
          </w:p>
        </w:tc>
      </w:tr>
      <w:tr w:rsidR="008B38C1" w14:paraId="32E1BE8E" w14:textId="77777777" w:rsidTr="00DC345C">
        <w:trPr>
          <w:cnfStyle w:val="000000100000" w:firstRow="0" w:lastRow="0" w:firstColumn="0" w:lastColumn="0" w:oddVBand="0" w:evenVBand="0" w:oddHBand="1" w:evenHBand="0" w:firstRowFirstColumn="0" w:firstRowLastColumn="0" w:lastRowFirstColumn="0" w:lastRowLastColumn="0"/>
        </w:trPr>
        <w:tc>
          <w:tcPr>
            <w:tcW w:w="472" w:type="pct"/>
            <w:hideMark/>
          </w:tcPr>
          <w:p w14:paraId="615C0B65" w14:textId="77777777" w:rsidR="008B38C1" w:rsidRDefault="008B38C1">
            <w:pPr>
              <w:pStyle w:val="TableTextLeft"/>
            </w:pPr>
            <w:r>
              <w:t>Barney Creek (McArthur Group)</w:t>
            </w:r>
          </w:p>
        </w:tc>
        <w:tc>
          <w:tcPr>
            <w:tcW w:w="519" w:type="pct"/>
            <w:hideMark/>
          </w:tcPr>
          <w:p w14:paraId="232E1F59" w14:textId="77777777" w:rsidR="008B38C1" w:rsidRDefault="008B38C1">
            <w:pPr>
              <w:pStyle w:val="TableTextLeft"/>
            </w:pPr>
            <w:r>
              <w:t>Paleoproterozoic</w:t>
            </w:r>
          </w:p>
        </w:tc>
        <w:tc>
          <w:tcPr>
            <w:tcW w:w="636" w:type="pct"/>
          </w:tcPr>
          <w:p w14:paraId="3B756443" w14:textId="77777777" w:rsidR="008B38C1" w:rsidRDefault="008B38C1">
            <w:pPr>
              <w:pStyle w:val="TableTextLeft"/>
            </w:pPr>
            <w:r>
              <w:t xml:space="preserve">deeper-water marine </w:t>
            </w:r>
          </w:p>
          <w:p w14:paraId="21942A65" w14:textId="77777777" w:rsidR="008B38C1" w:rsidRDefault="008B38C1">
            <w:pPr>
              <w:pStyle w:val="TableTextLeft"/>
            </w:pPr>
          </w:p>
        </w:tc>
        <w:tc>
          <w:tcPr>
            <w:tcW w:w="351" w:type="pct"/>
            <w:hideMark/>
          </w:tcPr>
          <w:p w14:paraId="4C2B262E" w14:textId="77777777" w:rsidR="008B38C1" w:rsidRDefault="008B38C1">
            <w:pPr>
              <w:pStyle w:val="TableTextLeft"/>
            </w:pPr>
            <w:r>
              <w:t>60–650</w:t>
            </w:r>
          </w:p>
        </w:tc>
        <w:tc>
          <w:tcPr>
            <w:tcW w:w="402" w:type="pct"/>
            <w:hideMark/>
          </w:tcPr>
          <w:p w14:paraId="2E64831C" w14:textId="77777777" w:rsidR="008B38C1" w:rsidRDefault="008B38C1">
            <w:pPr>
              <w:pStyle w:val="TableTextLeft"/>
            </w:pPr>
            <w:r>
              <w:t>&lt;200–1</w:t>
            </w:r>
            <w:r w:rsidR="00473729">
              <w:t>,</w:t>
            </w:r>
            <w:r>
              <w:t>200</w:t>
            </w:r>
          </w:p>
        </w:tc>
        <w:tc>
          <w:tcPr>
            <w:tcW w:w="430" w:type="pct"/>
            <w:hideMark/>
          </w:tcPr>
          <w:p w14:paraId="61069F30" w14:textId="77777777" w:rsidR="008B38C1" w:rsidRDefault="008B38C1">
            <w:pPr>
              <w:pStyle w:val="TableTextLeft"/>
            </w:pPr>
            <w:r>
              <w:t>Type I to II</w:t>
            </w:r>
          </w:p>
        </w:tc>
        <w:tc>
          <w:tcPr>
            <w:tcW w:w="474" w:type="pct"/>
            <w:hideMark/>
          </w:tcPr>
          <w:p w14:paraId="5615E25B" w14:textId="77777777" w:rsidR="008B38C1" w:rsidRDefault="008B38C1">
            <w:pPr>
              <w:pStyle w:val="TableTextLeft"/>
            </w:pPr>
            <w:r>
              <w:t>0.6–10.4%</w:t>
            </w:r>
          </w:p>
        </w:tc>
        <w:tc>
          <w:tcPr>
            <w:tcW w:w="552" w:type="pct"/>
            <w:hideMark/>
          </w:tcPr>
          <w:p w14:paraId="2099A8CF" w14:textId="77777777" w:rsidR="008B38C1" w:rsidRDefault="008B38C1">
            <w:pPr>
              <w:pStyle w:val="TableTextLeft"/>
            </w:pPr>
            <w:r>
              <w:t>Immature–over mature</w:t>
            </w:r>
          </w:p>
        </w:tc>
        <w:tc>
          <w:tcPr>
            <w:tcW w:w="452" w:type="pct"/>
            <w:hideMark/>
          </w:tcPr>
          <w:p w14:paraId="41EDC851" w14:textId="77777777" w:rsidR="008B38C1" w:rsidRDefault="008B38C1">
            <w:pPr>
              <w:pStyle w:val="TableTextLeft"/>
            </w:pPr>
            <w:r>
              <w:t xml:space="preserve">shale gas </w:t>
            </w:r>
          </w:p>
        </w:tc>
        <w:tc>
          <w:tcPr>
            <w:tcW w:w="712" w:type="pct"/>
            <w:hideMark/>
          </w:tcPr>
          <w:p w14:paraId="5A2AB154" w14:textId="77777777" w:rsidR="008B38C1" w:rsidRDefault="008B38C1">
            <w:pPr>
              <w:pStyle w:val="TableTextLeft"/>
            </w:pPr>
            <w:r>
              <w:t>Active exploration (Armour Energy, 2017)</w:t>
            </w:r>
          </w:p>
        </w:tc>
      </w:tr>
    </w:tbl>
    <w:p w14:paraId="19581BAA" w14:textId="77777777" w:rsidR="008B38C1" w:rsidRDefault="008B38C1" w:rsidP="000350BE">
      <w:pPr>
        <w:pStyle w:val="BodyText"/>
        <w:sectPr w:rsidR="008B38C1" w:rsidSect="005E271C">
          <w:headerReference w:type="default" r:id="rId434"/>
          <w:pgSz w:w="16840" w:h="11907" w:orient="landscape"/>
          <w:pgMar w:top="1418" w:right="1418" w:bottom="1418" w:left="1418" w:header="510" w:footer="624" w:gutter="0"/>
          <w:cols w:space="720"/>
          <w:docGrid w:linePitch="326"/>
        </w:sectPr>
      </w:pPr>
    </w:p>
    <w:p w14:paraId="642A0692" w14:textId="0AD427D9" w:rsidR="008B38C1" w:rsidRDefault="008B38C1" w:rsidP="00E34CDE">
      <w:pPr>
        <w:pStyle w:val="AppendixHeading3"/>
      </w:pPr>
      <w:bookmarkStart w:id="308" w:name="_Toc517161203"/>
      <w:r>
        <w:lastRenderedPageBreak/>
        <w:t>Gas market access and infrastructure</w:t>
      </w:r>
      <w:bookmarkEnd w:id="308"/>
    </w:p>
    <w:p w14:paraId="3B4B099F" w14:textId="64B4E66D" w:rsidR="008B38C1" w:rsidRDefault="00611607" w:rsidP="00527F5D">
      <w:pPr>
        <w:pStyle w:val="BodyText"/>
      </w:pPr>
      <w:r>
        <w:t>Figure C</w:t>
      </w:r>
      <w:r w:rsidR="00367A93">
        <w:t>.6</w:t>
      </w:r>
      <w:r w:rsidR="00494973">
        <w:t>7</w:t>
      </w:r>
      <w:r w:rsidR="008B38C1">
        <w:t xml:space="preserve"> shows the location of major oil and gas infrastructure in and adjacent to the basin, including oil and gas pipelines, along with the distribution of major road and rail networks. Further details are summarised in </w:t>
      </w:r>
      <w:r>
        <w:t>Table C</w:t>
      </w:r>
      <w:r w:rsidR="006971A5">
        <w:t>.5</w:t>
      </w:r>
      <w:r w:rsidR="00A24684">
        <w:t>5</w:t>
      </w:r>
      <w:r w:rsidR="006971A5">
        <w:t>.</w:t>
      </w:r>
    </w:p>
    <w:p w14:paraId="48BCF8E5" w14:textId="48029EA7" w:rsidR="008B38C1" w:rsidRPr="005450A3" w:rsidRDefault="00446DF2" w:rsidP="008B38C1">
      <w:pPr>
        <w:pStyle w:val="FiguresImagesCentred"/>
      </w:pPr>
      <w:r>
        <w:rPr>
          <w:noProof/>
        </w:rPr>
        <w:drawing>
          <wp:inline distT="0" distB="0" distL="0" distR="0" wp14:anchorId="4E460C8A" wp14:editId="2FCEB6C7">
            <wp:extent cx="5759116" cy="5400725"/>
            <wp:effectExtent l="0" t="0" r="0" b="0"/>
            <wp:docPr id="7201" name="Pictur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435" cstate="screen">
                      <a:extLst>
                        <a:ext uri="{28A0092B-C50C-407E-A947-70E740481C1C}">
                          <a14:useLocalDpi xmlns:a14="http://schemas.microsoft.com/office/drawing/2010/main"/>
                        </a:ext>
                      </a:extLst>
                    </a:blip>
                    <a:srcRect/>
                    <a:stretch/>
                  </pic:blipFill>
                  <pic:spPr bwMode="auto">
                    <a:xfrm>
                      <a:off x="0" y="0"/>
                      <a:ext cx="5760000" cy="5401554"/>
                    </a:xfrm>
                    <a:prstGeom prst="rect">
                      <a:avLst/>
                    </a:prstGeom>
                    <a:noFill/>
                    <a:ln>
                      <a:noFill/>
                    </a:ln>
                    <a:extLst>
                      <a:ext uri="{53640926-AAD7-44D8-BBD7-CCE9431645EC}">
                        <a14:shadowObscured xmlns:a14="http://schemas.microsoft.com/office/drawing/2010/main"/>
                      </a:ext>
                    </a:extLst>
                  </pic:spPr>
                </pic:pic>
              </a:graphicData>
            </a:graphic>
          </wp:inline>
        </w:drawing>
      </w:r>
    </w:p>
    <w:p w14:paraId="14A544C2" w14:textId="7AF4AADD" w:rsidR="00E8067C" w:rsidRDefault="00FD61CA" w:rsidP="009F3E8F">
      <w:pPr>
        <w:pStyle w:val="Caption"/>
      </w:pPr>
      <w:bookmarkStart w:id="309" w:name="_Toc508972138"/>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\s 9 </w:instrText>
      </w:r>
      <w:r w:rsidR="008079F1">
        <w:fldChar w:fldCharType="separate"/>
      </w:r>
      <w:r w:rsidR="00640CCB">
        <w:rPr>
          <w:noProof/>
        </w:rPr>
        <w:t>67</w:t>
      </w:r>
      <w:r w:rsidR="008079F1">
        <w:rPr>
          <w:noProof/>
        </w:rPr>
        <w:fldChar w:fldCharType="end"/>
      </w:r>
      <w:r w:rsidRPr="00BA0502">
        <w:t xml:space="preserve"> </w:t>
      </w:r>
      <w:r w:rsidR="008B38C1">
        <w:t xml:space="preserve">McArthur Basin infrastructure, pipelines and production facilities. </w:t>
      </w:r>
      <w:r w:rsidR="006B212F">
        <w:t xml:space="preserve">McArthur Basin outline from Stewart et al. (2013). Beetaloo Sub-basin outline from </w:t>
      </w:r>
      <w:r w:rsidR="0091199D">
        <w:t>Williams (in prep)</w:t>
      </w:r>
      <w:r w:rsidR="006B212F">
        <w:t xml:space="preserve">. </w:t>
      </w:r>
      <w:r w:rsidR="00AF7FF4">
        <w:t>Oil and gas infrastructure from GA (2015a).</w:t>
      </w:r>
      <w:bookmarkEnd w:id="309"/>
      <w:r w:rsidR="00AF7FF4">
        <w:t xml:space="preserve"> </w:t>
      </w:r>
    </w:p>
    <w:p w14:paraId="3E8B4187" w14:textId="77777777" w:rsidR="00E8067C" w:rsidRDefault="00E8067C" w:rsidP="00147CAE">
      <w:pPr>
        <w:pStyle w:val="BodyText"/>
      </w:pPr>
      <w:r>
        <w:br w:type="page"/>
      </w:r>
    </w:p>
    <w:p w14:paraId="234B789B" w14:textId="272ED4FF" w:rsidR="008B38C1" w:rsidRDefault="006971A5" w:rsidP="009F3E8F">
      <w:pPr>
        <w:pStyle w:val="Caption"/>
      </w:pPr>
      <w:bookmarkStart w:id="310" w:name="_Toc508972204"/>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55</w:t>
      </w:r>
      <w:r w:rsidR="008079F1">
        <w:rPr>
          <w:noProof/>
        </w:rPr>
        <w:fldChar w:fldCharType="end"/>
      </w:r>
      <w:r>
        <w:t xml:space="preserve"> </w:t>
      </w:r>
      <w:r w:rsidR="008B38C1">
        <w:t>Summary of market access and infrastructure. Pipeline information from AER (2017) and Jemena (2017). Oil and gas infrastructure from GA (2015</w:t>
      </w:r>
      <w:r w:rsidR="009825ED">
        <w:t>a</w:t>
      </w:r>
      <w:r w:rsidR="008B38C1">
        <w:t>).</w:t>
      </w:r>
      <w:r w:rsidR="009825ED">
        <w:t xml:space="preserve"> Processing facilities from GA (2015b)</w:t>
      </w:r>
      <w:r w:rsidR="009825ED" w:rsidRPr="00495D8B">
        <w:t>.</w:t>
      </w:r>
      <w:bookmarkEnd w:id="310"/>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466"/>
        <w:gridCol w:w="6173"/>
      </w:tblGrid>
      <w:tr w:rsidR="008B38C1" w14:paraId="4538FF6C"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215E99A4" w14:textId="77777777" w:rsidR="008B38C1" w:rsidRDefault="008B38C1">
            <w:pPr>
              <w:pStyle w:val="TableTextLeft"/>
            </w:pPr>
            <w:r>
              <w:t>INFRASTRUCTURE</w:t>
            </w:r>
          </w:p>
        </w:tc>
      </w:tr>
      <w:tr w:rsidR="008B38C1" w14:paraId="38725795"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36AB99B8" w14:textId="77777777" w:rsidR="008B38C1" w:rsidRDefault="008B38C1">
            <w:pPr>
              <w:pStyle w:val="TableTextLeft"/>
            </w:pPr>
            <w:r>
              <w:t>Gas market</w:t>
            </w:r>
          </w:p>
        </w:tc>
        <w:tc>
          <w:tcPr>
            <w:tcW w:w="3202" w:type="pct"/>
            <w:hideMark/>
          </w:tcPr>
          <w:p w14:paraId="7034E642" w14:textId="572682C2" w:rsidR="008B38C1" w:rsidRDefault="006A6AF0">
            <w:pPr>
              <w:pStyle w:val="TableTextLeft"/>
              <w:cnfStyle w:val="100000000000" w:firstRow="1" w:lastRow="0" w:firstColumn="0" w:lastColumn="0" w:oddVBand="0" w:evenVBand="0" w:oddHBand="0" w:evenHBand="0" w:firstRowFirstColumn="0" w:firstRowLastColumn="0" w:lastRowFirstColumn="0" w:lastRowLastColumn="0"/>
            </w:pPr>
            <w:r>
              <w:t>Northern Territory Gas Market</w:t>
            </w:r>
          </w:p>
        </w:tc>
      </w:tr>
      <w:tr w:rsidR="008B38C1" w14:paraId="3D696042"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1596AE4C" w14:textId="77777777" w:rsidR="008B38C1" w:rsidRDefault="008B38C1">
            <w:pPr>
              <w:pStyle w:val="TableTextLeft"/>
            </w:pPr>
            <w:r>
              <w:t>Proximity to gas pipelines</w:t>
            </w:r>
          </w:p>
        </w:tc>
        <w:tc>
          <w:tcPr>
            <w:tcW w:w="3202" w:type="pct"/>
            <w:hideMark/>
          </w:tcPr>
          <w:p w14:paraId="50A951CE" w14:textId="77777777" w:rsidR="008B38C1" w:rsidRDefault="008B38C1" w:rsidP="00873419">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Daly Waters to McArthur River Pipeline – capacity 16 TJ/day</w:t>
            </w:r>
          </w:p>
          <w:p w14:paraId="0AB42E85" w14:textId="77777777" w:rsidR="008B38C1" w:rsidRDefault="008B38C1" w:rsidP="00873419">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Amadeus Gas Pipeline – capacity 120 TJ/day</w:t>
            </w:r>
          </w:p>
        </w:tc>
      </w:tr>
      <w:tr w:rsidR="008B38C1" w14:paraId="2AD2F17B"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0E9EA9CF" w14:textId="77777777" w:rsidR="008B38C1" w:rsidRDefault="008B38C1">
            <w:pPr>
              <w:pStyle w:val="TableTextLeft"/>
            </w:pPr>
            <w:r>
              <w:t>Gas processing facilities</w:t>
            </w:r>
          </w:p>
        </w:tc>
        <w:tc>
          <w:tcPr>
            <w:tcW w:w="3202" w:type="pct"/>
            <w:hideMark/>
          </w:tcPr>
          <w:p w14:paraId="77E517E7"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None</w:t>
            </w:r>
          </w:p>
        </w:tc>
      </w:tr>
      <w:tr w:rsidR="008B38C1" w14:paraId="6557C66A"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7986B932" w14:textId="77777777" w:rsidR="008B38C1" w:rsidRDefault="008B38C1">
            <w:pPr>
              <w:pStyle w:val="TableTextLeft"/>
            </w:pPr>
            <w:r>
              <w:t>Approx. distance from existing pipelines to area prospective for shale and/or tight gas</w:t>
            </w:r>
          </w:p>
        </w:tc>
        <w:tc>
          <w:tcPr>
            <w:tcW w:w="3202" w:type="pct"/>
            <w:hideMark/>
          </w:tcPr>
          <w:p w14:paraId="407BB83D"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0–200</w:t>
            </w:r>
            <w:r w:rsidR="008232C9">
              <w:t> km</w:t>
            </w:r>
          </w:p>
        </w:tc>
      </w:tr>
      <w:tr w:rsidR="008B38C1" w14:paraId="24133F80"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7363AA92" w14:textId="77777777" w:rsidR="008B38C1" w:rsidRDefault="008B38C1">
            <w:pPr>
              <w:pStyle w:val="TableTextLeft"/>
            </w:pPr>
            <w:r>
              <w:t>Road and rail access</w:t>
            </w:r>
          </w:p>
        </w:tc>
        <w:tc>
          <w:tcPr>
            <w:tcW w:w="3202" w:type="pct"/>
            <w:hideMark/>
          </w:tcPr>
          <w:p w14:paraId="5193899D"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Poorly to moderately well serviced</w:t>
            </w:r>
          </w:p>
        </w:tc>
      </w:tr>
      <w:tr w:rsidR="008B38C1" w14:paraId="1FB71E53"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1177E7D2" w14:textId="77777777" w:rsidR="008B38C1" w:rsidRDefault="008B38C1">
            <w:pPr>
              <w:pStyle w:val="TableTextLeft"/>
            </w:pPr>
            <w:r>
              <w:t>Approximate development timeframe</w:t>
            </w:r>
          </w:p>
        </w:tc>
        <w:tc>
          <w:tcPr>
            <w:tcW w:w="3202" w:type="pct"/>
          </w:tcPr>
          <w:p w14:paraId="4005205B" w14:textId="77777777" w:rsidR="008B38C1" w:rsidRDefault="00473729">
            <w:pPr>
              <w:pStyle w:val="TableTextLeft"/>
              <w:cnfStyle w:val="100000000000" w:firstRow="1" w:lastRow="0" w:firstColumn="0" w:lastColumn="0" w:oddVBand="0" w:evenVBand="0" w:oddHBand="0" w:evenHBand="0" w:firstRowFirstColumn="0" w:firstRowLastColumn="0" w:lastRowFirstColumn="0" w:lastRowLastColumn="0"/>
            </w:pPr>
            <w:r w:rsidRPr="00473729">
              <w:t>5–10 years</w:t>
            </w:r>
          </w:p>
        </w:tc>
      </w:tr>
    </w:tbl>
    <w:p w14:paraId="4F1312C5" w14:textId="47C8A243" w:rsidR="008B38C1" w:rsidRDefault="008B38C1" w:rsidP="00E34CDE">
      <w:pPr>
        <w:pStyle w:val="AppendixHeading3"/>
      </w:pPr>
      <w:bookmarkStart w:id="311" w:name="_Toc517161204"/>
      <w:r>
        <w:t>Regulatory environment impacting shale and tight gas exploration</w:t>
      </w:r>
      <w:bookmarkEnd w:id="311"/>
    </w:p>
    <w:p w14:paraId="5B906FF2" w14:textId="76B71F95" w:rsidR="008B38C1" w:rsidRPr="00A2237F" w:rsidRDefault="008B38C1" w:rsidP="003739CA">
      <w:pPr>
        <w:pStyle w:val="BodyText"/>
      </w:pPr>
      <w:r w:rsidRPr="00A2237F">
        <w:t xml:space="preserve">All Australian states and territories have regulatory frameworks in place to manage impacts of petroleum exploration and production. In all Australian jurisdictions, companies intending to carry out drilling and stimulation operations must submit several applications to the relevant departments, including a drilling application, an environment plan and a safety management plan (APPEA, 2017). </w:t>
      </w:r>
    </w:p>
    <w:p w14:paraId="537F1F74" w14:textId="77777777" w:rsidR="00B46F53" w:rsidRPr="00A2237F" w:rsidRDefault="000578DD" w:rsidP="003739CA">
      <w:pPr>
        <w:pStyle w:val="BodyText"/>
      </w:pPr>
      <w:r w:rsidRPr="00A2237F">
        <w:t xml:space="preserve">Regulation is overseen by different government departments across Australia. </w:t>
      </w:r>
    </w:p>
    <w:p w14:paraId="692BB880" w14:textId="79EA3BD3" w:rsidR="00A2237F" w:rsidRPr="00761899" w:rsidRDefault="000578DD" w:rsidP="00761899">
      <w:pPr>
        <w:pStyle w:val="AppendixHeading4"/>
        <w:numPr>
          <w:ilvl w:val="0"/>
          <w:numId w:val="0"/>
        </w:numPr>
        <w:rPr>
          <w:rFonts w:ascii="Calibri" w:hAnsi="Calibri"/>
          <w:sz w:val="24"/>
          <w:szCs w:val="24"/>
        </w:rPr>
      </w:pPr>
      <w:r w:rsidRPr="00761899">
        <w:rPr>
          <w:rFonts w:ascii="Calibri" w:hAnsi="Calibri"/>
          <w:sz w:val="24"/>
          <w:szCs w:val="24"/>
        </w:rPr>
        <w:t>There are no regulatory restrictions affecting the development of shale and or tight gas resources in Queensland. In 2016, the Northern Territory Government implemented a moratorium on unconventional onshore gas activities in the territory, while an inquiry was undertaken and pending the Government’s decision on the recommendations of the inquiry; the final report of the inquiry was released in March 2018 (Scientific Inquiry into Hydraulic Fracturing in the Northern Territory, 2018). Details of the moratorium and regulatory restrictions are described below.</w:t>
      </w:r>
    </w:p>
    <w:p w14:paraId="1D059529" w14:textId="77777777" w:rsidR="008B38C1" w:rsidRDefault="008B38C1" w:rsidP="00E34CDE">
      <w:pPr>
        <w:pStyle w:val="AppendixHeading4"/>
      </w:pPr>
      <w:r>
        <w:t>Northern Territory</w:t>
      </w:r>
    </w:p>
    <w:p w14:paraId="1A699BAE" w14:textId="207D512F" w:rsidR="00A2237F" w:rsidRPr="00A2237F" w:rsidRDefault="00A2237F" w:rsidP="00761899">
      <w:pPr>
        <w:pStyle w:val="AppendixHeading4"/>
        <w:numPr>
          <w:ilvl w:val="0"/>
          <w:numId w:val="0"/>
        </w:numPr>
      </w:pPr>
      <w:r w:rsidRPr="00A2237F">
        <w:rPr>
          <w:rFonts w:ascii="Calibri" w:eastAsia="Calibri" w:hAnsi="Calibri"/>
          <w:iCs w:val="0"/>
          <w:color w:val="000000"/>
          <w:spacing w:val="0"/>
          <w:sz w:val="24"/>
          <w:szCs w:val="24"/>
        </w:rPr>
        <w:t xml:space="preserve">In April 2018, the Northern Territory Government accepted all 135 recommendations of the inquiry and lifted the moratorium on hydraulic fracturing over 51% of the Territory. An implementation plan to be released in July 2018 will clearly show how the recommendations will be implemented.  </w:t>
      </w:r>
    </w:p>
    <w:p w14:paraId="510A5BD0" w14:textId="7F7E820F" w:rsidR="008B38C1" w:rsidRDefault="008B38C1" w:rsidP="00E34CDE">
      <w:pPr>
        <w:pStyle w:val="AppendixHeading4"/>
      </w:pPr>
      <w:r>
        <w:t>Queensland</w:t>
      </w:r>
    </w:p>
    <w:p w14:paraId="03599CBD" w14:textId="77777777" w:rsidR="00341A97" w:rsidRDefault="00341A97" w:rsidP="00341A97">
      <w:pPr>
        <w:pStyle w:val="BodyText"/>
      </w:pPr>
      <w:r w:rsidRPr="00A50501">
        <w:t xml:space="preserve">The Queensland Government has no identified constraints to tight and shale gas resource drilling or production stimulation. All planned hydraulic fracture stimulation activities must be reported to the Queensland Department of Natural Resources and Mines (Queensland Government, 2017). </w:t>
      </w:r>
    </w:p>
    <w:p w14:paraId="5DF2CBD2" w14:textId="77777777" w:rsidR="008B38C1" w:rsidRDefault="008B38C1" w:rsidP="00E34CDE">
      <w:pPr>
        <w:pStyle w:val="AppendixHeading3"/>
      </w:pPr>
      <w:bookmarkStart w:id="312" w:name="_Toc517161205"/>
      <w:r>
        <w:lastRenderedPageBreak/>
        <w:t>Hydrogeology and groundwater</w:t>
      </w:r>
      <w:bookmarkEnd w:id="312"/>
    </w:p>
    <w:p w14:paraId="468232B2" w14:textId="77777777" w:rsidR="008B38C1" w:rsidRDefault="008B38C1" w:rsidP="00E34CDE">
      <w:pPr>
        <w:pStyle w:val="AppendixHeading4"/>
      </w:pPr>
      <w:r>
        <w:t>Groundwater systems</w:t>
      </w:r>
    </w:p>
    <w:p w14:paraId="0CE09160" w14:textId="3C33A413" w:rsidR="005868B3" w:rsidRPr="009A54A6" w:rsidRDefault="005868B3" w:rsidP="00D15FEC">
      <w:pPr>
        <w:pStyle w:val="BodyText"/>
      </w:pPr>
      <w:r>
        <w:t xml:space="preserve">The hydrogeology of the McArthur Basin is complex, with many overlying aquifers and aquitards. </w:t>
      </w:r>
      <w:r w:rsidRPr="009A54A6">
        <w:t>Groundwater is found within the Paleoproterozoic</w:t>
      </w:r>
      <w:r w:rsidRPr="0044470F">
        <w:t>–</w:t>
      </w:r>
      <w:r w:rsidRPr="009A54A6">
        <w:t xml:space="preserve">Mesoproterozoic McArthur Basin rocks. It is also found within the overlying basins including: the Arafura Basin (Neoproterozoic), Georgina Basin (Neoproterozoic–Devonian), </w:t>
      </w:r>
      <w:r w:rsidRPr="00F07EB1">
        <w:t xml:space="preserve">Wiso and Daly basins (Cambrian–Ordovician) </w:t>
      </w:r>
      <w:r w:rsidRPr="009A54A6">
        <w:t xml:space="preserve">and Carpentaria, Dunmarra, and Money Shoal basins (Cretaceous) </w:t>
      </w:r>
      <w:r w:rsidRPr="00F07EB1">
        <w:t>(</w:t>
      </w:r>
      <w:r w:rsidRPr="009A54A6">
        <w:t>Fulton and Knapton, 2015; CSIRO, 2009a; Knapton, 2009a</w:t>
      </w:r>
      <w:r w:rsidRPr="00F07EB1">
        <w:t>; Bruwer and Tickell, 2015</w:t>
      </w:r>
      <w:r w:rsidRPr="009A54A6">
        <w:t xml:space="preserve">). The groundwater systems sustain flows in regional rivers, springs and support a number of human uses including town water supply, mining and agriculture. </w:t>
      </w:r>
    </w:p>
    <w:p w14:paraId="1E35C8E6" w14:textId="60AE0094" w:rsidR="005868B3" w:rsidRPr="009A54A6" w:rsidRDefault="005868B3" w:rsidP="00D15FEC">
      <w:pPr>
        <w:pStyle w:val="BodyText"/>
      </w:pPr>
      <w:r w:rsidRPr="009A54A6">
        <w:t>The McArthur Basin succession contains sandstone</w:t>
      </w:r>
      <w:r w:rsidR="007A32FB">
        <w:t>s</w:t>
      </w:r>
      <w:r w:rsidRPr="009A54A6">
        <w:t>, shales and carbonates</w:t>
      </w:r>
      <w:r w:rsidRPr="00207AE3">
        <w:t xml:space="preserve"> (limestones and dolostones)</w:t>
      </w:r>
      <w:r w:rsidRPr="009A54A6">
        <w:t xml:space="preserve"> with interbedded volcanic and intrusive igneous rocks</w:t>
      </w:r>
      <w:r w:rsidRPr="00207AE3">
        <w:t>.</w:t>
      </w:r>
      <w:r w:rsidRPr="009A54A6">
        <w:t xml:space="preserve"> </w:t>
      </w:r>
      <w:r w:rsidRPr="00207AE3">
        <w:t xml:space="preserve">The </w:t>
      </w:r>
      <w:r w:rsidRPr="009A54A6">
        <w:t xml:space="preserve">Mesoproterozoic dolostones of the Dook Creek Formation (McArthur Basin) are a major aquifer, especially to the north of the Georgina Basin. </w:t>
      </w:r>
      <w:r w:rsidRPr="00207AE3">
        <w:t>A</w:t>
      </w:r>
      <w:r w:rsidRPr="009A54A6">
        <w:t>part from the Dook Creek Formation dolostone, most of its aquifer potential is in weathered, fractured zones, especially fractured sandstones, forming localised aquifers</w:t>
      </w:r>
      <w:r w:rsidRPr="00207AE3">
        <w:t xml:space="preserve"> </w:t>
      </w:r>
      <w:r w:rsidRPr="009A54A6">
        <w:t>(CSIRO, 2009a, 2009b, 2009c; Fulton and Knapton, 2015</w:t>
      </w:r>
      <w:r w:rsidRPr="00207AE3">
        <w:t>; Knapton 2009c</w:t>
      </w:r>
      <w:r w:rsidRPr="009A54A6">
        <w:t>) (Figure C.6</w:t>
      </w:r>
      <w:r w:rsidR="00494973">
        <w:t>8</w:t>
      </w:r>
      <w:r w:rsidRPr="009A54A6">
        <w:t>; Table C.56).</w:t>
      </w:r>
    </w:p>
    <w:p w14:paraId="1068DBCD" w14:textId="6C84DD75" w:rsidR="005868B3" w:rsidRDefault="005868B3" w:rsidP="00D15FEC">
      <w:pPr>
        <w:pStyle w:val="BodyText"/>
      </w:pPr>
      <w:r w:rsidRPr="009A54A6">
        <w:t>Where present, the Cambrian carbonate rocks of the Wiso Basin (Montejinni Limestone), Georgina Basin (Anthony Lagoon and Gum Ridge formations; Thontonia Limestone and Camooweal Dolostone in the east) and Daly Basin (Tindall Limestone) form a single extensive regional aquifer system (the Cambrian Limestone Aquifer) overlying the McArthur Basin and beyond (See Table C.56). The Cambrian Limestone Aquifer is typically fractured and cavernous, allowing bore yields of up to 100 L/s; about 80% of bores screen this limestone, which supplies water for the pastoral industry and local communities. This is the dominant groundwater resource in the region (Knapton, 2009c; Fulton</w:t>
      </w:r>
      <w:r>
        <w:t xml:space="preserve"> and Knapton, 2015; CSIRO, 2009c, 2009b; Bruwer and Tickell, 2015). </w:t>
      </w:r>
    </w:p>
    <w:p w14:paraId="1D158B5D" w14:textId="098BF5DB" w:rsidR="005868B3" w:rsidRDefault="005868B3" w:rsidP="00D15FEC">
      <w:pPr>
        <w:pStyle w:val="BodyText"/>
      </w:pPr>
      <w:r>
        <w:t xml:space="preserve">Cretaceous sandstones, such as those in the Carpentaria Basin, are also a major aquifer, particularly to the northeast of the Roper River catchment. Permeable sandstones, which may be over 100m thick, contribute significantly to river baseflow and provide water supply for north east Arnhem Land (CSIRO, 2009b, 2009a). </w:t>
      </w:r>
    </w:p>
    <w:p w14:paraId="5E90427B" w14:textId="67F5CC8A" w:rsidR="005868B3" w:rsidRDefault="005868B3" w:rsidP="00D15FEC">
      <w:pPr>
        <w:pStyle w:val="BodyText"/>
      </w:pPr>
      <w:r>
        <w:t xml:space="preserve">Fractured rocks of Precambrian and early Cambrian ages, such as those in the Georgina Basin, can also yield groundwater, but these tend to have low yields and are considered only local aquifers. The flow is controlled by the degree of fracturing, especially large-scale jointing and fault zones (CSIRO, 2009b; Fulton and Knapton, 2015; Bruwer and Tickell, 2015). Overlying the northern edge of the McArthur Basin are the Arafura Basin (Neoproterozoic sediments, mostly marine mudstone) and a small part of the Money Shoal Basin (Cretaceous sedimentary clastics including sandstones, coals, shales, marls and claystones). In these basins, Cretaceous sandstones and fractured rocks are generally the only viable aquifers (CSIRO, 2009a). </w:t>
      </w:r>
    </w:p>
    <w:p w14:paraId="178DC778" w14:textId="2C75CFDA" w:rsidR="005868B3" w:rsidRDefault="005868B3" w:rsidP="00D15FEC">
      <w:pPr>
        <w:pStyle w:val="BodyText"/>
      </w:pPr>
      <w:r>
        <w:t xml:space="preserve">Alluvial aquifers are located along river valleys and palaeovalleys, and contain localised groundwater resources, typically within the top few metres of sand and gravel (CSIRO, 2009c). </w:t>
      </w:r>
      <w:r>
        <w:lastRenderedPageBreak/>
        <w:t xml:space="preserve">These alluvial aquifers yield much less than the Cambrian Limestone Aquifer, so are generally only suitable for stock watering and used where limestone aquifers are not available (Fulton and Knapton, 2015; Bruwer and Tickell, 2015). </w:t>
      </w:r>
    </w:p>
    <w:p w14:paraId="2A4342CE" w14:textId="0FEFA44A" w:rsidR="005868B3" w:rsidRDefault="005868B3" w:rsidP="00D15FEC">
      <w:pPr>
        <w:pStyle w:val="BodyText"/>
      </w:pPr>
      <w:r>
        <w:t xml:space="preserve">The dolostone/limestone and Cretaceous sandstone formations are considered as ‘productive’ regional aquifers (CSIRO, 2009b, 2009c). The Hydrogeology of Australia map (Jacobson and Lau, 1987) indicates that outside of these areas, aquifers are typically of low to moderate productivity (Jacobson and Lau, 1987; Zaar, 2003; Zaar et al., 1999). </w:t>
      </w:r>
    </w:p>
    <w:p w14:paraId="5B0FBA15" w14:textId="77777777" w:rsidR="00E8067C" w:rsidRPr="005450A3" w:rsidRDefault="00E8067C" w:rsidP="00E8067C">
      <w:pPr>
        <w:pStyle w:val="FiguresImagesCentred"/>
      </w:pPr>
      <w:r w:rsidRPr="00FD6771">
        <w:rPr>
          <w:noProof/>
        </w:rPr>
        <w:drawing>
          <wp:inline distT="0" distB="0" distL="0" distR="0" wp14:anchorId="32876DDA" wp14:editId="63C75E80">
            <wp:extent cx="5760000" cy="5875200"/>
            <wp:effectExtent l="19050" t="19050" r="12700" b="1143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6" cstate="screen">
                      <a:extLst>
                        <a:ext uri="{28A0092B-C50C-407E-A947-70E740481C1C}">
                          <a14:useLocalDpi xmlns:a14="http://schemas.microsoft.com/office/drawing/2010/main"/>
                        </a:ext>
                      </a:extLst>
                    </a:blip>
                    <a:srcRect l="6241" t="1936" r="3188" b="7042"/>
                    <a:stretch>
                      <a:fillRect/>
                    </a:stretch>
                  </pic:blipFill>
                  <pic:spPr bwMode="auto">
                    <a:xfrm>
                      <a:off x="0" y="0"/>
                      <a:ext cx="5760000" cy="5875200"/>
                    </a:xfrm>
                    <a:prstGeom prst="rect">
                      <a:avLst/>
                    </a:prstGeom>
                    <a:noFill/>
                    <a:ln w="9525" cmpd="sng">
                      <a:solidFill>
                        <a:srgbClr val="000000"/>
                      </a:solidFill>
                      <a:miter lim="800000"/>
                      <a:headEnd/>
                      <a:tailEnd/>
                    </a:ln>
                    <a:effectLst/>
                  </pic:spPr>
                </pic:pic>
              </a:graphicData>
            </a:graphic>
          </wp:inline>
        </w:drawing>
      </w:r>
    </w:p>
    <w:p w14:paraId="056298AA" w14:textId="77777777" w:rsidR="00E8067C" w:rsidRDefault="00E8067C" w:rsidP="00E8067C">
      <w:pPr>
        <w:pStyle w:val="Caption"/>
      </w:pPr>
      <w:bookmarkStart w:id="313" w:name="_Toc508972139"/>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w:instrText>
      </w:r>
      <w:r w:rsidR="008079F1">
        <w:instrText xml:space="preserve">gure \* ARABIC \s 9 </w:instrText>
      </w:r>
      <w:r w:rsidR="008079F1">
        <w:fldChar w:fldCharType="separate"/>
      </w:r>
      <w:r w:rsidR="00640CCB">
        <w:rPr>
          <w:noProof/>
        </w:rPr>
        <w:t>68</w:t>
      </w:r>
      <w:r w:rsidR="008079F1">
        <w:rPr>
          <w:noProof/>
        </w:rPr>
        <w:fldChar w:fldCharType="end"/>
      </w:r>
      <w:r w:rsidRPr="00BA0502">
        <w:t xml:space="preserve"> </w:t>
      </w:r>
      <w:r>
        <w:t>Location of major aquifers (Cambrian limestones and Mesoproterozoic dolostones) underlying the Roper River catchment and surrounding areas, which overlie a significant area of the McArthur Basin (source: Knapton, 2009a).</w:t>
      </w:r>
      <w:bookmarkEnd w:id="313"/>
    </w:p>
    <w:p w14:paraId="072A1ED7" w14:textId="77777777" w:rsidR="005868B3" w:rsidRPr="00EF2A49" w:rsidRDefault="005868B3" w:rsidP="00D15FEC"/>
    <w:p w14:paraId="7AD92167" w14:textId="77777777" w:rsidR="008B38C1" w:rsidRDefault="006971A5" w:rsidP="009F3E8F">
      <w:pPr>
        <w:pStyle w:val="Caption"/>
      </w:pPr>
      <w:bookmarkStart w:id="314" w:name="_Toc508972205"/>
      <w:r>
        <w:lastRenderedPageBreak/>
        <w:t xml:space="preserve">Table </w:t>
      </w:r>
      <w:r w:rsidR="008079F1">
        <w:fldChar w:fldCharType="begin"/>
      </w:r>
      <w:r w:rsidR="008079F1">
        <w:instrText xml:space="preserve"> S</w:instrText>
      </w:r>
      <w:r w:rsidR="008079F1">
        <w:instrText xml:space="preserve">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56</w:t>
      </w:r>
      <w:r w:rsidR="008079F1">
        <w:rPr>
          <w:noProof/>
        </w:rPr>
        <w:fldChar w:fldCharType="end"/>
      </w:r>
      <w:r>
        <w:t xml:space="preserve"> </w:t>
      </w:r>
      <w:r w:rsidR="008B38C1">
        <w:t>Summary of the hydrostratigraphy in and above the Beetaloo Sub-basin (Fulton and Knapton, 2015).</w:t>
      </w:r>
      <w:bookmarkEnd w:id="314"/>
    </w:p>
    <w:p w14:paraId="76E35B62" w14:textId="77777777" w:rsidR="00FD6771" w:rsidRPr="00FD6771" w:rsidRDefault="00FD6771" w:rsidP="00FD6771">
      <w:pPr>
        <w:pStyle w:val="FiguresImagesCentred"/>
      </w:pPr>
      <w:r>
        <w:rPr>
          <w:noProof/>
        </w:rPr>
        <w:drawing>
          <wp:inline distT="0" distB="0" distL="0" distR="0" wp14:anchorId="0B23D4B7" wp14:editId="78A41F88">
            <wp:extent cx="5755640" cy="3592830"/>
            <wp:effectExtent l="0" t="0" r="0" b="762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7" cstate="screen">
                      <a:extLst>
                        <a:ext uri="{28A0092B-C50C-407E-A947-70E740481C1C}">
                          <a14:useLocalDpi xmlns:a14="http://schemas.microsoft.com/office/drawing/2010/main"/>
                        </a:ext>
                      </a:extLst>
                    </a:blip>
                    <a:srcRect/>
                    <a:stretch>
                      <a:fillRect/>
                    </a:stretch>
                  </pic:blipFill>
                  <pic:spPr bwMode="auto">
                    <a:xfrm>
                      <a:off x="0" y="0"/>
                      <a:ext cx="5755640" cy="3592830"/>
                    </a:xfrm>
                    <a:prstGeom prst="rect">
                      <a:avLst/>
                    </a:prstGeom>
                    <a:noFill/>
                    <a:ln>
                      <a:noFill/>
                    </a:ln>
                  </pic:spPr>
                </pic:pic>
              </a:graphicData>
            </a:graphic>
          </wp:inline>
        </w:drawing>
      </w:r>
    </w:p>
    <w:p w14:paraId="4840CDD5" w14:textId="77777777" w:rsidR="008B38C1" w:rsidRDefault="008B38C1" w:rsidP="00E34CDE">
      <w:pPr>
        <w:pStyle w:val="AppendixHeading4"/>
      </w:pPr>
      <w:r>
        <w:t>Groundwater quality</w:t>
      </w:r>
    </w:p>
    <w:p w14:paraId="3082DEA2" w14:textId="3B92EA20" w:rsidR="005868B3" w:rsidRDefault="005868B3" w:rsidP="00527F5D">
      <w:pPr>
        <w:pStyle w:val="BodyText"/>
      </w:pPr>
      <w:r>
        <w:t>Sandstone-dominant formations in the Roper Group (Beetaloo Sub-basin) host highly saline waters, with areas of hypersaline electrical conductivities (EC) of 32,000–159,000 μS/cm (Fulton and Knapton, 2015). In contrast, good quality water is found in the overlying Cambrian and Cretaceous aquifers; mean formation EC values (760–1,780 μS/cm) and</w:t>
      </w:r>
      <w:r w:rsidR="004D364C">
        <w:t xml:space="preserve"> is</w:t>
      </w:r>
      <w:r>
        <w:t xml:space="preserve"> typically acceptable for human consumption (Fulton and Knapton, 2015). </w:t>
      </w:r>
    </w:p>
    <w:p w14:paraId="4CB1D805" w14:textId="6A28084C" w:rsidR="005868B3" w:rsidRDefault="005868B3" w:rsidP="00D15FEC">
      <w:pPr>
        <w:pStyle w:val="BodyText"/>
      </w:pPr>
      <w:r>
        <w:t xml:space="preserve">Most limestone aquifer salinities are low to moderate (300–2,000 μS/cm), however highly saline groundwater (EC &gt; 10,000 μS/cm) can be found beneath groundwater discharge areas (CSIRO, 2009b; Fulton and Knapton 2015). </w:t>
      </w:r>
    </w:p>
    <w:p w14:paraId="5DB92729" w14:textId="1CD32F7E" w:rsidR="005868B3" w:rsidRDefault="005868B3" w:rsidP="00D15FEC">
      <w:pPr>
        <w:pStyle w:val="BodyText"/>
      </w:pPr>
      <w:r>
        <w:t xml:space="preserve">Groundwater from Cretaceous sandstones tend to have very low electrical conductivity (usually EC &lt; 100 μS/cm), however there are patches, such as above the Beetaloo Sub-basin, where EC of up to 4,500 μS/cm have been recorded (Schult, 2014; CSIRO, 2009b, 2009a; Fulton and Knapton, 2015). </w:t>
      </w:r>
    </w:p>
    <w:p w14:paraId="23202697" w14:textId="552617E7" w:rsidR="005868B3" w:rsidRDefault="005868B3" w:rsidP="00D15FEC">
      <w:pPr>
        <w:pStyle w:val="BodyText"/>
      </w:pPr>
      <w:r>
        <w:t>Groundwater from fractured rock aquifers is typically low in salinity, but there are some localised exceptions such as beneath the Roper River and Arafura Swamp. These are major discharge points where extensive evapotranspiration occurs and salinity levels increase (CSIRO, 2009b, 2009a; Fulton and Knapton, 2015).</w:t>
      </w:r>
    </w:p>
    <w:p w14:paraId="63088DEF" w14:textId="77777777" w:rsidR="008B38C1" w:rsidRDefault="008B38C1" w:rsidP="00E34CDE">
      <w:pPr>
        <w:pStyle w:val="AppendixHeading4"/>
      </w:pPr>
      <w:r>
        <w:lastRenderedPageBreak/>
        <w:t>Groundwater flow</w:t>
      </w:r>
    </w:p>
    <w:p w14:paraId="7FD3A330" w14:textId="59A9CF3A" w:rsidR="005868B3" w:rsidRDefault="005868B3" w:rsidP="00D15FEC">
      <w:pPr>
        <w:pStyle w:val="BodyText"/>
      </w:pPr>
      <w:r>
        <w:t xml:space="preserve">The Cambrian Limestone Aquifer is the main regional aquifer. Groundwater flows towards and discharges into the Roper and Flora rivers as well as a small number of associated springs such as those found at Mataranka (Figure C.69) (Fulton and Knapton, 2015; Bruwer and Tickell, 2015). </w:t>
      </w:r>
    </w:p>
    <w:p w14:paraId="2A996972" w14:textId="721A9392" w:rsidR="005868B3" w:rsidRDefault="005868B3" w:rsidP="00D15FEC">
      <w:pPr>
        <w:pStyle w:val="BodyText"/>
      </w:pPr>
      <w:r>
        <w:t xml:space="preserve">A basement high separates the groundwater flow systems of the Wiso and Georgina basins </w:t>
      </w:r>
      <w:r w:rsidRPr="006908BB">
        <w:t>(Knapton, 2009c). The groundwater flow rates are in the order of metres per year, as the groundwater gradients are very low</w:t>
      </w:r>
      <w:r>
        <w:t>,</w:t>
      </w:r>
      <w:r w:rsidRPr="006908BB">
        <w:t xml:space="preserve"> at about 0.0001 (Fulton and Knapton, 2015). </w:t>
      </w:r>
      <w:r w:rsidRPr="00207AE3">
        <w:t>R</w:t>
      </w:r>
      <w:r w:rsidRPr="006908BB">
        <w:t>egional</w:t>
      </w:r>
      <w:r>
        <w:t xml:space="preserve"> transmissivity </w:t>
      </w:r>
      <w:r w:rsidRPr="00207AE3">
        <w:t>ha</w:t>
      </w:r>
      <w:r>
        <w:t>s</w:t>
      </w:r>
      <w:r w:rsidRPr="00207AE3">
        <w:t xml:space="preserve"> been </w:t>
      </w:r>
      <w:r w:rsidRPr="006908BB">
        <w:t xml:space="preserve">estimated </w:t>
      </w:r>
      <w:r w:rsidRPr="00207AE3">
        <w:t xml:space="preserve">at </w:t>
      </w:r>
      <w:r w:rsidRPr="006908BB">
        <w:t>100–30,000 m</w:t>
      </w:r>
      <w:r w:rsidRPr="006908BB">
        <w:rPr>
          <w:rStyle w:val="Superscript"/>
        </w:rPr>
        <w:t>2</w:t>
      </w:r>
      <w:r w:rsidRPr="006908BB">
        <w:t>/day in the Daly Basin; about 5000 m</w:t>
      </w:r>
      <w:r w:rsidRPr="006908BB">
        <w:rPr>
          <w:rStyle w:val="Superscript"/>
        </w:rPr>
        <w:t>2</w:t>
      </w:r>
      <w:r w:rsidRPr="006908BB">
        <w:t>/day for limestone and 10,000 m</w:t>
      </w:r>
      <w:r w:rsidRPr="006908BB">
        <w:rPr>
          <w:rStyle w:val="Superscript"/>
        </w:rPr>
        <w:t>2</w:t>
      </w:r>
      <w:r w:rsidRPr="006908BB">
        <w:t>/day for Dook Creek dolostone (Bruwer and Tickell, 2015; Knapton, 2009c).</w:t>
      </w:r>
    </w:p>
    <w:p w14:paraId="721E16A5" w14:textId="665AA26C" w:rsidR="005868B3" w:rsidRDefault="005868B3" w:rsidP="00527F5D">
      <w:pPr>
        <w:pStyle w:val="BodyText"/>
      </w:pPr>
      <w:r>
        <w:t xml:space="preserve">Recharge, at about 5–20 mm/yr, is dominated by macropore and indirect recharge processes such as through sinkholes where Cretaceous cover is limited (Fulton and Knapton, 2015). However, in areas with thick, clayey Cretaceous cover, diffuse recharge is very limited (Bruwer and Tickell, 2015). Recharge to the </w:t>
      </w:r>
      <w:r w:rsidRPr="00DB0E41">
        <w:t>Cambrian Limestone Aquifer</w:t>
      </w:r>
      <w:r w:rsidRPr="00DB0E41" w:rsidDel="00DB0E41">
        <w:t xml:space="preserve"> </w:t>
      </w:r>
      <w:r>
        <w:t>is not well quantified, but estimated to be 7–169 mm/yr (CSIRO, 2009b). Vertical connectivity is not well understood, but it appears that hydraulic gradients lead to upward groundwater flow from the Beetaloo Sub-basin to the Cambrian Limestone and Cretaceous aquifers (Fulton and Knapton, 2015).</w:t>
      </w:r>
    </w:p>
    <w:p w14:paraId="0757AFC1" w14:textId="6CB47388" w:rsidR="005868B3" w:rsidRDefault="005868B3" w:rsidP="00527F5D">
      <w:pPr>
        <w:pStyle w:val="BodyText"/>
      </w:pPr>
      <w:r>
        <w:t>Discharge is via evapotranspiration, springs and river baseflow (CSIRO, 2009b). Groundwater from the Cambrian Limestone discharges and supports the Mataranka Thermal Pools, which are listed in the Directory of Important Wetlands in Australia (CSIRO, 2009b). Some small springs in the eastern catchments provide a small flow (less than 10 L/s), and can cease to flow in the dry season (CSIRO, 2009c).</w:t>
      </w:r>
    </w:p>
    <w:p w14:paraId="3A76FF0B" w14:textId="77777777" w:rsidR="005868B3" w:rsidRDefault="005868B3"/>
    <w:p w14:paraId="253A6FA7" w14:textId="066CCE51" w:rsidR="005868B3" w:rsidRPr="005450A3" w:rsidRDefault="005868B3" w:rsidP="008B38C1">
      <w:pPr>
        <w:pStyle w:val="FiguresImagesCentred"/>
      </w:pPr>
      <w:r>
        <w:rPr>
          <w:noProof/>
        </w:rPr>
        <w:lastRenderedPageBreak/>
        <w:drawing>
          <wp:inline distT="0" distB="0" distL="0" distR="0" wp14:anchorId="5837D03A" wp14:editId="72813501">
            <wp:extent cx="5760000" cy="5338800"/>
            <wp:effectExtent l="0" t="0" r="0" b="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8" cstate="screen">
                      <a:extLst>
                        <a:ext uri="{28A0092B-C50C-407E-A947-70E740481C1C}">
                          <a14:useLocalDpi xmlns:a14="http://schemas.microsoft.com/office/drawing/2010/main"/>
                        </a:ext>
                      </a:extLst>
                    </a:blip>
                    <a:srcRect/>
                    <a:stretch/>
                  </pic:blipFill>
                  <pic:spPr bwMode="auto">
                    <a:xfrm>
                      <a:off x="0" y="0"/>
                      <a:ext cx="5760000" cy="5338800"/>
                    </a:xfrm>
                    <a:prstGeom prst="rect">
                      <a:avLst/>
                    </a:prstGeom>
                    <a:ln>
                      <a:noFill/>
                    </a:ln>
                    <a:extLst>
                      <a:ext uri="{53640926-AAD7-44D8-BBD7-CCE9431645EC}">
                        <a14:shadowObscured xmlns:a14="http://schemas.microsoft.com/office/drawing/2010/main"/>
                      </a:ext>
                    </a:extLst>
                  </pic:spPr>
                </pic:pic>
              </a:graphicData>
            </a:graphic>
          </wp:inline>
        </w:drawing>
      </w:r>
    </w:p>
    <w:p w14:paraId="4DDA0D4B" w14:textId="763922BF" w:rsidR="005868B3" w:rsidRDefault="005868B3" w:rsidP="00527F5D">
      <w:pPr>
        <w:pStyle w:val="Caption"/>
      </w:pPr>
      <w:bookmarkStart w:id="315" w:name="_Toc499547628"/>
      <w:bookmarkStart w:id="316" w:name="_Toc508972140"/>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w:instrText>
      </w:r>
      <w:r w:rsidR="008079F1">
        <w:instrText xml:space="preserve">s 9 </w:instrText>
      </w:r>
      <w:r w:rsidR="008079F1">
        <w:fldChar w:fldCharType="separate"/>
      </w:r>
      <w:r w:rsidR="00640CCB">
        <w:rPr>
          <w:noProof/>
        </w:rPr>
        <w:t>69</w:t>
      </w:r>
      <w:r w:rsidR="008079F1">
        <w:rPr>
          <w:noProof/>
        </w:rPr>
        <w:fldChar w:fldCharType="end"/>
      </w:r>
      <w:r w:rsidRPr="00BA0502">
        <w:t xml:space="preserve"> </w:t>
      </w:r>
      <w:r>
        <w:t>Regional groundwater flow in the Roper River catchment , showing the Cambrian Limestone (pink) and Dook Creek Formation (purple) aquifers are providing baseflow to the Roper River and tributaries (Knapton, 2009c)</w:t>
      </w:r>
      <w:bookmarkEnd w:id="315"/>
      <w:bookmarkEnd w:id="316"/>
    </w:p>
    <w:p w14:paraId="61DB65C4" w14:textId="77777777" w:rsidR="00F27BC3" w:rsidRPr="00F27BC3" w:rsidRDefault="00F27BC3" w:rsidP="00F27BC3">
      <w:pPr>
        <w:pStyle w:val="BodyText"/>
      </w:pPr>
    </w:p>
    <w:p w14:paraId="4403A4CF" w14:textId="77777777" w:rsidR="008B38C1" w:rsidRDefault="008B38C1" w:rsidP="00E34CDE">
      <w:pPr>
        <w:pStyle w:val="AppendixHeading4"/>
      </w:pPr>
      <w:r>
        <w:t>Groundwater planning and use</w:t>
      </w:r>
    </w:p>
    <w:p w14:paraId="3F331846" w14:textId="6796E7E3" w:rsidR="005868B3" w:rsidRDefault="005868B3" w:rsidP="00527F5D">
      <w:pPr>
        <w:pStyle w:val="BodyText"/>
      </w:pPr>
      <w:r>
        <w:t>A large portion of the McArthur Basin coincides with the Daly-Roper Water Control District (Fulton and Knapton, 2015; Northern Territory Government, 2016). A Water Allocation Plan limits extraction in the area around Katherine (Fulton and Knapton, 2015; NT DLRM, 2016). Despite water being used for horticulture irrigation and mining, both within and outside the Daly-Roper Water Control District, groundwater use is often not metered, as a result the actual volume of groundwater used is not known (CSIRO, 2009b). Contributing to the demands of the groundwater system, an unknown number of small volume users (less than 5 ML/yr) do not require a license (CSIRO, 2009b).</w:t>
      </w:r>
    </w:p>
    <w:p w14:paraId="26370395" w14:textId="4047C894" w:rsidR="005868B3" w:rsidRDefault="005868B3" w:rsidP="00527F5D">
      <w:pPr>
        <w:pStyle w:val="BodyText"/>
      </w:pPr>
      <w:r>
        <w:t>Licenced g</w:t>
      </w:r>
      <w:r w:rsidRPr="004947EC">
        <w:t>roundwater extract</w:t>
      </w:r>
      <w:r>
        <w:t xml:space="preserve">ion </w:t>
      </w:r>
      <w:r w:rsidRPr="004947EC">
        <w:t xml:space="preserve">from the Cambrian Limestone Aquifer </w:t>
      </w:r>
      <w:r>
        <w:t>is used for Mataranka town supply (</w:t>
      </w:r>
      <w:r w:rsidRPr="00B96209">
        <w:t>95 ML/yr</w:t>
      </w:r>
      <w:r>
        <w:t xml:space="preserve">) and horticulture (3220 ML/yr) (Knapton, 2009a). Groundwater licences in </w:t>
      </w:r>
      <w:r>
        <w:lastRenderedPageBreak/>
        <w:t>the Rosie to Koolatong River catchments and the Roper River catchment total 580 ML/yr (CSIRO, 2009b). A fractured Proterozoic sandstone aquifer has been developed for supplying water to Borroloola, with an unknown extraction rate (CSIRO, 2009c). Communities in northeastern Arnhem Land also extract water from Cretaceous sandstones, but do not have licensed limits (CSIRO, 2009a). Arnhem Land extraction is estimated at 500–600 L per person per day, or approximately 6,000 ML/yr (CSIRO, 2009a). At the Century Zinc Mine, there has been an estimated 420 GL of dewatering over 22 years (19 GL/yr) from the Thorntonia Limestone aquifer (CSIRO, 2009c). The Ranger uranium mine extracts a significant but unmetered volume of groundwater, while bauxite mining near Nhulunbuy extracts 10 GL/yr from Cretaceous sandstones (CSIRO, 2009a). The combined take from stock usage and community water supply is estimated at 6000 ML/yr in the Beetaloo Sub-basin (Fulton and Knapton, 2015).</w:t>
      </w:r>
    </w:p>
    <w:p w14:paraId="27912FEA" w14:textId="77777777" w:rsidR="005868B3" w:rsidRDefault="005868B3" w:rsidP="00527F5D">
      <w:pPr>
        <w:pStyle w:val="BodyText"/>
      </w:pPr>
      <w:r>
        <w:t>Only 7% of registered bores have sufficient information for identifying the water table, and less than 2% of registered bores are current monitoring bores (CSIRO, 2009b). Bores are not necessarily monitored regularly (CSIRO, 2009a).</w:t>
      </w:r>
    </w:p>
    <w:p w14:paraId="07E7F41C" w14:textId="70E30823" w:rsidR="005868B3" w:rsidRDefault="005868B3" w:rsidP="00527F5D">
      <w:pPr>
        <w:pStyle w:val="BodyText"/>
      </w:pPr>
      <w:r>
        <w:t xml:space="preserve">Table C.57 presents information from the National Groundwater Information System (BoM, 2016) and shows summary information of registered bores in the basin. </w:t>
      </w:r>
    </w:p>
    <w:p w14:paraId="688C9050" w14:textId="77777777" w:rsidR="005868B3" w:rsidRPr="00207AE3" w:rsidRDefault="005868B3" w:rsidP="00527F5D">
      <w:pPr>
        <w:pStyle w:val="Caption"/>
      </w:pPr>
      <w:r w:rsidRPr="00207AE3">
        <w:br/>
      </w:r>
      <w:bookmarkStart w:id="317" w:name="_Toc499547527"/>
      <w:bookmarkStart w:id="318" w:name="_Toc508972206"/>
      <w:r w:rsidRPr="00A36B62">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C27506">
        <w:t>.</w:t>
      </w:r>
      <w:r w:rsidR="008079F1">
        <w:fldChar w:fldCharType="begin"/>
      </w:r>
      <w:r w:rsidR="008079F1">
        <w:instrText xml:space="preserve"> SEQ Apx_Table \* ARABIC \s 9 </w:instrText>
      </w:r>
      <w:r w:rsidR="008079F1">
        <w:fldChar w:fldCharType="separate"/>
      </w:r>
      <w:r w:rsidR="00640CCB">
        <w:rPr>
          <w:noProof/>
        </w:rPr>
        <w:t>57</w:t>
      </w:r>
      <w:r w:rsidR="008079F1">
        <w:rPr>
          <w:noProof/>
        </w:rPr>
        <w:fldChar w:fldCharType="end"/>
      </w:r>
      <w:r w:rsidRPr="00C27506">
        <w:t xml:space="preserve"> Summary statistics on groundwater bores and water use in and above the McArthur Basin.</w:t>
      </w:r>
      <w:bookmarkEnd w:id="317"/>
      <w:bookmarkEnd w:id="318"/>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5868B3" w:rsidRPr="00C27506" w14:paraId="7520FE7A"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73894B77" w14:textId="77777777" w:rsidR="005868B3" w:rsidRPr="00C27506" w:rsidRDefault="005868B3">
            <w:pPr>
              <w:pStyle w:val="TableTextLeft"/>
              <w:rPr>
                <w:color w:val="auto"/>
              </w:rPr>
            </w:pPr>
            <w:r w:rsidRPr="00A36B62">
              <w:t>GROUNDWATER BORES AND WATER USE</w:t>
            </w:r>
          </w:p>
        </w:tc>
      </w:tr>
      <w:tr w:rsidR="005868B3" w:rsidRPr="00C27506" w14:paraId="3CF16E3B"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0DCF7DE4" w14:textId="77777777" w:rsidR="005868B3" w:rsidRPr="00C27506" w:rsidRDefault="005868B3">
            <w:pPr>
              <w:pStyle w:val="TableTextLeft"/>
              <w:rPr>
                <w:szCs w:val="18"/>
              </w:rPr>
            </w:pPr>
            <w:r w:rsidRPr="00C27506">
              <w:rPr>
                <w:szCs w:val="18"/>
              </w:rPr>
              <w:t>Number of bores (Density of Registered Bores - bores/km</w:t>
            </w:r>
            <w:r w:rsidRPr="00C27506">
              <w:rPr>
                <w:szCs w:val="18"/>
                <w:vertAlign w:val="superscript"/>
              </w:rPr>
              <w:t>2</w:t>
            </w:r>
            <w:r w:rsidRPr="00C27506">
              <w:rPr>
                <w:szCs w:val="18"/>
              </w:rPr>
              <w:t>)</w:t>
            </w:r>
          </w:p>
        </w:tc>
        <w:tc>
          <w:tcPr>
            <w:tcW w:w="2421" w:type="pct"/>
            <w:hideMark/>
          </w:tcPr>
          <w:p w14:paraId="6C1D5922" w14:textId="77777777" w:rsidR="005868B3" w:rsidRPr="00C27506" w:rsidRDefault="005868B3">
            <w:pPr>
              <w:pStyle w:val="TableTextLeft"/>
              <w:cnfStyle w:val="100000000000" w:firstRow="1" w:lastRow="0" w:firstColumn="0" w:lastColumn="0" w:oddVBand="0" w:evenVBand="0" w:oddHBand="0" w:evenHBand="0" w:firstRowFirstColumn="0" w:firstRowLastColumn="0" w:lastRowFirstColumn="0" w:lastRowLastColumn="0"/>
              <w:rPr>
                <w:szCs w:val="18"/>
              </w:rPr>
            </w:pPr>
            <w:r w:rsidRPr="00C27506">
              <w:rPr>
                <w:szCs w:val="18"/>
              </w:rPr>
              <w:t>4700 (0.02)</w:t>
            </w:r>
          </w:p>
        </w:tc>
      </w:tr>
      <w:tr w:rsidR="005868B3" w:rsidRPr="00C27506" w14:paraId="005199B4"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151E9119" w14:textId="77777777" w:rsidR="005868B3" w:rsidRPr="00C27506" w:rsidRDefault="005868B3">
            <w:pPr>
              <w:pStyle w:val="TableTextLeft"/>
              <w:rPr>
                <w:szCs w:val="18"/>
              </w:rPr>
            </w:pPr>
            <w:r w:rsidRPr="00C27506">
              <w:rPr>
                <w:szCs w:val="18"/>
              </w:rPr>
              <w:t>Purposes of registered bores</w:t>
            </w:r>
          </w:p>
          <w:p w14:paraId="50B12062" w14:textId="77777777" w:rsidR="005868B3" w:rsidRPr="00C27506" w:rsidRDefault="005868B3">
            <w:pPr>
              <w:pStyle w:val="TableTextLeft"/>
              <w:rPr>
                <w:szCs w:val="18"/>
              </w:rPr>
            </w:pPr>
            <w:r w:rsidRPr="00C27506">
              <w:rPr>
                <w:szCs w:val="18"/>
              </w:rPr>
              <w:t xml:space="preserve">(Top 5, number) </w:t>
            </w:r>
          </w:p>
          <w:p w14:paraId="36342133" w14:textId="77777777" w:rsidR="005868B3" w:rsidRPr="00C27506" w:rsidRDefault="005868B3">
            <w:pPr>
              <w:pStyle w:val="TableTextLeft"/>
              <w:rPr>
                <w:szCs w:val="18"/>
              </w:rPr>
            </w:pPr>
          </w:p>
        </w:tc>
        <w:tc>
          <w:tcPr>
            <w:tcW w:w="2421" w:type="pct"/>
            <w:hideMark/>
          </w:tcPr>
          <w:tbl>
            <w:tblPr>
              <w:tblW w:w="4200" w:type="dxa"/>
              <w:tblLook w:val="04A0" w:firstRow="1" w:lastRow="0" w:firstColumn="1" w:lastColumn="0" w:noHBand="0" w:noVBand="1"/>
            </w:tblPr>
            <w:tblGrid>
              <w:gridCol w:w="2122"/>
              <w:gridCol w:w="2078"/>
            </w:tblGrid>
            <w:tr w:rsidR="005868B3" w:rsidRPr="00C27506" w14:paraId="2EEADC81" w14:textId="77777777" w:rsidTr="00F27BC3">
              <w:trPr>
                <w:trHeight w:val="300"/>
              </w:trPr>
              <w:tc>
                <w:tcPr>
                  <w:tcW w:w="2120" w:type="dxa"/>
                  <w:noWrap/>
                  <w:vAlign w:val="bottom"/>
                  <w:hideMark/>
                </w:tcPr>
                <w:p w14:paraId="08EA73F4" w14:textId="77777777" w:rsidR="005868B3" w:rsidRPr="00C27506" w:rsidRDefault="005868B3" w:rsidP="000350BE">
                  <w:pPr>
                    <w:pStyle w:val="TableTextLeft"/>
                  </w:pPr>
                  <w:r w:rsidRPr="00C27506">
                    <w:t>Stock</w:t>
                  </w:r>
                </w:p>
              </w:tc>
              <w:tc>
                <w:tcPr>
                  <w:tcW w:w="2076" w:type="dxa"/>
                  <w:noWrap/>
                  <w:vAlign w:val="bottom"/>
                  <w:hideMark/>
                </w:tcPr>
                <w:p w14:paraId="256F03A0" w14:textId="77777777" w:rsidR="005868B3" w:rsidRPr="00C27506" w:rsidRDefault="005868B3" w:rsidP="000350BE">
                  <w:pPr>
                    <w:pStyle w:val="TableTextRight0"/>
                  </w:pPr>
                  <w:r w:rsidRPr="00C27506">
                    <w:t>4,318</w:t>
                  </w:r>
                </w:p>
              </w:tc>
            </w:tr>
            <w:tr w:rsidR="005868B3" w:rsidRPr="00C27506" w14:paraId="0961534C" w14:textId="77777777" w:rsidTr="00F27BC3">
              <w:trPr>
                <w:trHeight w:val="300"/>
              </w:trPr>
              <w:tc>
                <w:tcPr>
                  <w:tcW w:w="2120" w:type="dxa"/>
                  <w:noWrap/>
                  <w:vAlign w:val="bottom"/>
                  <w:hideMark/>
                </w:tcPr>
                <w:p w14:paraId="031A105E" w14:textId="77777777" w:rsidR="005868B3" w:rsidRPr="00C27506" w:rsidRDefault="005868B3" w:rsidP="000350BE">
                  <w:pPr>
                    <w:pStyle w:val="TableTextLeft"/>
                  </w:pPr>
                  <w:r w:rsidRPr="00C27506">
                    <w:t>Monitoring</w:t>
                  </w:r>
                </w:p>
              </w:tc>
              <w:tc>
                <w:tcPr>
                  <w:tcW w:w="2076" w:type="dxa"/>
                  <w:noWrap/>
                  <w:vAlign w:val="bottom"/>
                  <w:hideMark/>
                </w:tcPr>
                <w:p w14:paraId="19F28EE9" w14:textId="77777777" w:rsidR="005868B3" w:rsidRPr="00C27506" w:rsidRDefault="005868B3" w:rsidP="000350BE">
                  <w:pPr>
                    <w:pStyle w:val="TableTextRight0"/>
                  </w:pPr>
                  <w:r w:rsidRPr="00C27506">
                    <w:t>142</w:t>
                  </w:r>
                </w:p>
              </w:tc>
            </w:tr>
            <w:tr w:rsidR="005868B3" w:rsidRPr="00C27506" w14:paraId="79CBC8FD" w14:textId="77777777" w:rsidTr="00F27BC3">
              <w:trPr>
                <w:trHeight w:val="300"/>
              </w:trPr>
              <w:tc>
                <w:tcPr>
                  <w:tcW w:w="2120" w:type="dxa"/>
                  <w:noWrap/>
                  <w:vAlign w:val="bottom"/>
                  <w:hideMark/>
                </w:tcPr>
                <w:p w14:paraId="75C53C22" w14:textId="77777777" w:rsidR="005868B3" w:rsidRPr="00C27506" w:rsidRDefault="005868B3" w:rsidP="000350BE">
                  <w:pPr>
                    <w:pStyle w:val="TableTextLeft"/>
                  </w:pPr>
                  <w:r w:rsidRPr="00C27506">
                    <w:t>Irrigated Agriculture</w:t>
                  </w:r>
                </w:p>
              </w:tc>
              <w:tc>
                <w:tcPr>
                  <w:tcW w:w="2076" w:type="dxa"/>
                  <w:noWrap/>
                  <w:vAlign w:val="bottom"/>
                  <w:hideMark/>
                </w:tcPr>
                <w:p w14:paraId="2AA0E707" w14:textId="77777777" w:rsidR="005868B3" w:rsidRPr="00C27506" w:rsidRDefault="005868B3" w:rsidP="000350BE">
                  <w:pPr>
                    <w:pStyle w:val="TableTextRight0"/>
                  </w:pPr>
                  <w:r w:rsidRPr="00C27506">
                    <w:t>96</w:t>
                  </w:r>
                </w:p>
              </w:tc>
            </w:tr>
            <w:tr w:rsidR="005868B3" w:rsidRPr="00C27506" w14:paraId="2D1FCBCE" w14:textId="77777777" w:rsidTr="00F27BC3">
              <w:trPr>
                <w:trHeight w:val="300"/>
              </w:trPr>
              <w:tc>
                <w:tcPr>
                  <w:tcW w:w="2120" w:type="dxa"/>
                  <w:noWrap/>
                  <w:vAlign w:val="bottom"/>
                  <w:hideMark/>
                </w:tcPr>
                <w:p w14:paraId="19EA7CC3" w14:textId="77777777" w:rsidR="005868B3" w:rsidRPr="00C27506" w:rsidRDefault="005868B3" w:rsidP="000350BE">
                  <w:pPr>
                    <w:pStyle w:val="TableTextLeft"/>
                  </w:pPr>
                  <w:r w:rsidRPr="00C27506">
                    <w:t>Exploration</w:t>
                  </w:r>
                </w:p>
              </w:tc>
              <w:tc>
                <w:tcPr>
                  <w:tcW w:w="2076" w:type="dxa"/>
                  <w:noWrap/>
                  <w:vAlign w:val="bottom"/>
                  <w:hideMark/>
                </w:tcPr>
                <w:p w14:paraId="53C0F910" w14:textId="77777777" w:rsidR="005868B3" w:rsidRPr="00C27506" w:rsidRDefault="005868B3" w:rsidP="000350BE">
                  <w:pPr>
                    <w:pStyle w:val="TableTextRight0"/>
                  </w:pPr>
                  <w:r w:rsidRPr="00C27506">
                    <w:t>42</w:t>
                  </w:r>
                </w:p>
              </w:tc>
            </w:tr>
            <w:tr w:rsidR="005868B3" w:rsidRPr="00C27506" w14:paraId="31B00985" w14:textId="77777777" w:rsidTr="00F27BC3">
              <w:trPr>
                <w:trHeight w:val="300"/>
              </w:trPr>
              <w:tc>
                <w:tcPr>
                  <w:tcW w:w="2120" w:type="dxa"/>
                  <w:noWrap/>
                  <w:vAlign w:val="bottom"/>
                  <w:hideMark/>
                </w:tcPr>
                <w:p w14:paraId="37DA7461" w14:textId="77777777" w:rsidR="005868B3" w:rsidRPr="00C27506" w:rsidRDefault="005868B3" w:rsidP="000350BE">
                  <w:pPr>
                    <w:pStyle w:val="TableTextLeft"/>
                  </w:pPr>
                  <w:r w:rsidRPr="00C27506">
                    <w:t>Road Supply</w:t>
                  </w:r>
                </w:p>
              </w:tc>
              <w:tc>
                <w:tcPr>
                  <w:tcW w:w="2076" w:type="dxa"/>
                  <w:noWrap/>
                  <w:vAlign w:val="bottom"/>
                  <w:hideMark/>
                </w:tcPr>
                <w:p w14:paraId="52AF7F36" w14:textId="77777777" w:rsidR="005868B3" w:rsidRPr="00C27506" w:rsidRDefault="005868B3" w:rsidP="000350BE">
                  <w:pPr>
                    <w:pStyle w:val="TableTextRight0"/>
                  </w:pPr>
                  <w:r w:rsidRPr="00C27506">
                    <w:t>30</w:t>
                  </w:r>
                </w:p>
              </w:tc>
            </w:tr>
          </w:tbl>
          <w:p w14:paraId="4969F10F" w14:textId="77777777" w:rsidR="005868B3" w:rsidRPr="00C27506" w:rsidRDefault="005868B3">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5868B3" w14:paraId="2110D93E"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55824C48" w14:textId="77777777" w:rsidR="005868B3" w:rsidRPr="00C27506" w:rsidRDefault="005868B3">
            <w:pPr>
              <w:pStyle w:val="TableTextLeft"/>
              <w:rPr>
                <w:szCs w:val="18"/>
              </w:rPr>
            </w:pPr>
            <w:r w:rsidRPr="00C27506">
              <w:rPr>
                <w:szCs w:val="18"/>
              </w:rPr>
              <w:t>Depth (m) of registered bores below ground level (10</w:t>
            </w:r>
            <w:r w:rsidRPr="00C27506">
              <w:rPr>
                <w:szCs w:val="18"/>
                <w:vertAlign w:val="superscript"/>
              </w:rPr>
              <w:t>th</w:t>
            </w:r>
            <w:r w:rsidRPr="00C27506">
              <w:rPr>
                <w:szCs w:val="18"/>
              </w:rPr>
              <w:t xml:space="preserve"> and 90</w:t>
            </w:r>
            <w:r w:rsidRPr="00C27506">
              <w:rPr>
                <w:szCs w:val="18"/>
                <w:vertAlign w:val="superscript"/>
              </w:rPr>
              <w:t>th</w:t>
            </w:r>
            <w:r w:rsidRPr="00C27506">
              <w:rPr>
                <w:szCs w:val="18"/>
              </w:rPr>
              <w:t xml:space="preserve"> Percentile and median)</w:t>
            </w:r>
          </w:p>
        </w:tc>
        <w:tc>
          <w:tcPr>
            <w:tcW w:w="2421" w:type="pct"/>
            <w:hideMark/>
          </w:tcPr>
          <w:p w14:paraId="02B54159" w14:textId="50BC2531" w:rsidR="005868B3" w:rsidRPr="00C27506" w:rsidRDefault="005868B3">
            <w:pPr>
              <w:pStyle w:val="TableTextLeft"/>
              <w:cnfStyle w:val="100000000000" w:firstRow="1" w:lastRow="0" w:firstColumn="0" w:lastColumn="0" w:oddVBand="0" w:evenVBand="0" w:oddHBand="0" w:evenHBand="0" w:firstRowFirstColumn="0" w:firstRowLastColumn="0" w:lastRowFirstColumn="0" w:lastRowLastColumn="0"/>
              <w:rPr>
                <w:szCs w:val="18"/>
              </w:rPr>
            </w:pPr>
            <w:r w:rsidRPr="00C27506">
              <w:rPr>
                <w:szCs w:val="18"/>
              </w:rPr>
              <w:t>10</w:t>
            </w:r>
            <w:r w:rsidRPr="00C27506">
              <w:rPr>
                <w:rStyle w:val="Superscript"/>
              </w:rPr>
              <w:t>th</w:t>
            </w:r>
            <w:r w:rsidRPr="00C27506">
              <w:rPr>
                <w:szCs w:val="18"/>
              </w:rPr>
              <w:t xml:space="preserve"> Percentile: </w:t>
            </w:r>
            <w:r w:rsidRPr="00C27506">
              <w:rPr>
                <w:szCs w:val="18"/>
              </w:rPr>
              <w:tab/>
              <w:t xml:space="preserve">  14.6</w:t>
            </w:r>
          </w:p>
          <w:p w14:paraId="7E98B75D" w14:textId="5CEBBA04" w:rsidR="005868B3" w:rsidRPr="00C27506" w:rsidRDefault="005868B3">
            <w:pPr>
              <w:pStyle w:val="TableTextLeft"/>
              <w:cnfStyle w:val="100000000000" w:firstRow="1" w:lastRow="0" w:firstColumn="0" w:lastColumn="0" w:oddVBand="0" w:evenVBand="0" w:oddHBand="0" w:evenHBand="0" w:firstRowFirstColumn="0" w:firstRowLastColumn="0" w:lastRowFirstColumn="0" w:lastRowLastColumn="0"/>
              <w:rPr>
                <w:szCs w:val="18"/>
              </w:rPr>
            </w:pPr>
            <w:r w:rsidRPr="00C27506">
              <w:rPr>
                <w:szCs w:val="18"/>
              </w:rPr>
              <w:t xml:space="preserve">Median: </w:t>
            </w:r>
            <w:r w:rsidRPr="00C27506">
              <w:rPr>
                <w:szCs w:val="18"/>
              </w:rPr>
              <w:tab/>
            </w:r>
            <w:r w:rsidRPr="00C27506">
              <w:rPr>
                <w:szCs w:val="18"/>
              </w:rPr>
              <w:tab/>
              <w:t xml:space="preserve">  50.6</w:t>
            </w:r>
          </w:p>
          <w:p w14:paraId="43BF684B" w14:textId="5A4C16E6" w:rsidR="005868B3" w:rsidRDefault="005868B3">
            <w:pPr>
              <w:pStyle w:val="TableTextLeft"/>
              <w:cnfStyle w:val="100000000000" w:firstRow="1" w:lastRow="0" w:firstColumn="0" w:lastColumn="0" w:oddVBand="0" w:evenVBand="0" w:oddHBand="0" w:evenHBand="0" w:firstRowFirstColumn="0" w:firstRowLastColumn="0" w:lastRowFirstColumn="0" w:lastRowLastColumn="0"/>
              <w:rPr>
                <w:szCs w:val="18"/>
              </w:rPr>
            </w:pPr>
            <w:r w:rsidRPr="00C27506">
              <w:rPr>
                <w:szCs w:val="18"/>
              </w:rPr>
              <w:t>90</w:t>
            </w:r>
            <w:r w:rsidRPr="00C27506">
              <w:rPr>
                <w:rStyle w:val="Superscript"/>
              </w:rPr>
              <w:t>th</w:t>
            </w:r>
            <w:r w:rsidRPr="00C27506">
              <w:rPr>
                <w:szCs w:val="18"/>
              </w:rPr>
              <w:t xml:space="preserve"> Percentile: </w:t>
            </w:r>
            <w:r w:rsidRPr="00C27506">
              <w:rPr>
                <w:szCs w:val="18"/>
              </w:rPr>
              <w:tab/>
              <w:t>120</w:t>
            </w:r>
            <w:r>
              <w:rPr>
                <w:szCs w:val="18"/>
              </w:rPr>
              <w:t xml:space="preserve"> </w:t>
            </w:r>
          </w:p>
        </w:tc>
      </w:tr>
    </w:tbl>
    <w:p w14:paraId="0375DC1E" w14:textId="353B0273" w:rsidR="008B38C1" w:rsidRDefault="008B38C1" w:rsidP="00E34CDE">
      <w:pPr>
        <w:pStyle w:val="AppendixHeading3"/>
      </w:pPr>
      <w:bookmarkStart w:id="319" w:name="_Toc517161206"/>
      <w:r>
        <w:t>Surface water systems and hydrology</w:t>
      </w:r>
      <w:bookmarkEnd w:id="319"/>
    </w:p>
    <w:p w14:paraId="5FC38DB3" w14:textId="77777777" w:rsidR="005868B3" w:rsidRDefault="005868B3" w:rsidP="00D15FEC">
      <w:pPr>
        <w:pStyle w:val="AppendixHeading4"/>
      </w:pPr>
      <w:r>
        <w:t>Surface water systems</w:t>
      </w:r>
    </w:p>
    <w:p w14:paraId="6C1FF7B2" w14:textId="77777777" w:rsidR="005868B3" w:rsidRDefault="005868B3" w:rsidP="00527F5D">
      <w:pPr>
        <w:pStyle w:val="BodyText"/>
      </w:pPr>
      <w:r>
        <w:t>The McArthur Basin underlies several catchments draining to the western Carpentaria Coast (Settlement Creek, Robinson River, Calvert River, McArthur River, Rosie Creek, Limmen Bight River, Towns River, Roper River, Walker River, and Koolatong River) and Arafura Sea (Buckingham River, Goyder River, Blyth River, Liverpool River and Goomadeer River), along with the headwaters of other catchments in the Timor-Tanami division (East Alligator River, South Alligator River, Mary River, Daly River and Victoria–Wiso catchments) in the west of the McArthur Basin (BoM, 2014). River catchments are presented in Figure B.17. Poorly resolved catchment boundaries, particularly for sub-catchments, are due to low topographic gradients in the area (Knapton, 2009b).</w:t>
      </w:r>
    </w:p>
    <w:p w14:paraId="216E688B" w14:textId="65AA8DB7" w:rsidR="005868B3" w:rsidRDefault="005868B3" w:rsidP="00527F5D">
      <w:pPr>
        <w:pStyle w:val="BodyText"/>
      </w:pPr>
      <w:r>
        <w:lastRenderedPageBreak/>
        <w:t>In the Roper River catchment, the only perennial streams are the lower Waterhouse River, lower Little Roper River, lower Elsey Creek and the Roper River itself (Schult and Novak, 2017). In addition, limestone aquifers support flows in neighbouring Mainoru, Wilton, Koolatong, Walker, Rosie, Flora, Daly, and Goyder rivers and Flying Fox Creek (CSIRO, 2009b). Further north, the Goyder, Blyth and Habgood rivers, including the Arafura Swamp, have perennial reaches supported by the Dook Creek dolostone aquifer; while Cretaceous sandstone aquifers support perennial reaches of the Cato and Latram rivers and Yirrkala and Jungle creeks (CSIRO, 2009a). To the east, the Gregory, Calvert and Robinson rivers and Lawn Hill Creek are also perennial, with karstic carbonate aquifers providing small but significant baseflow via small springs, while Cretaceous sediments support additional baseflow to the lower Calvert River (CSIRO, 2009c). These few perennial reaches are of high ecological importance (Knapton, 2009a). The Durabudboi River and Wonga Creek receive baseflow from Cretaceous sediments, with recharge closer to the Arafura Sea (CSIRO, 2009b). Flooding and bank-full discharge is an important factor in sustaining environmental assets; however knowledge of these factors in the region is poor due to the lack of stream gauging on ephemeral and intermittent rivers (CSIRO, 2009a, 2009b).</w:t>
      </w:r>
    </w:p>
    <w:p w14:paraId="23AD6029" w14:textId="77777777" w:rsidR="005868B3" w:rsidRPr="00BF6C2E" w:rsidRDefault="005868B3" w:rsidP="00D15FEC">
      <w:pPr>
        <w:pStyle w:val="AppendixHeading4"/>
      </w:pPr>
      <w:r w:rsidRPr="00BF6C2E">
        <w:t>Surface water quality</w:t>
      </w:r>
    </w:p>
    <w:p w14:paraId="602384C2" w14:textId="60820B5C" w:rsidR="005868B3" w:rsidRDefault="005868B3" w:rsidP="00D15FEC">
      <w:pPr>
        <w:pStyle w:val="BodyText"/>
        <w:rPr>
          <w:rStyle w:val="BodyTextChar"/>
        </w:rPr>
      </w:pPr>
      <w:r>
        <w:t xml:space="preserve">Surface water quality is influenced by a number of factors, including inflowing groundwater quality, rainfall runoff and evaporation. </w:t>
      </w:r>
      <w:r w:rsidRPr="005450A3">
        <w:t>The Roper River</w:t>
      </w:r>
      <w:r>
        <w:t xml:space="preserve">, for example, typically </w:t>
      </w:r>
      <w:r w:rsidRPr="005450A3">
        <w:t>has high salinity (</w:t>
      </w:r>
      <w:r>
        <w:t xml:space="preserve">typically </w:t>
      </w:r>
      <w:r w:rsidRPr="005450A3">
        <w:t>1000–1500 µS/cm EC</w:t>
      </w:r>
      <w:r>
        <w:t>) with occasional areas</w:t>
      </w:r>
      <w:r w:rsidRPr="00F158D1">
        <w:t xml:space="preserve"> exceeding 2000 </w:t>
      </w:r>
      <w:r w:rsidRPr="00207AE3">
        <w:t>µS/cm</w:t>
      </w:r>
      <w:r>
        <w:t xml:space="preserve">, indicative of poorer quality </w:t>
      </w:r>
      <w:r w:rsidRPr="00F158D1">
        <w:t>groundwater baseflow</w:t>
      </w:r>
      <w:r>
        <w:t>.</w:t>
      </w:r>
      <w:r w:rsidRPr="00F158D1">
        <w:t xml:space="preserve"> </w:t>
      </w:r>
      <w:r w:rsidRPr="00F158D1">
        <w:rPr>
          <w:rStyle w:val="BodyTextChar"/>
        </w:rPr>
        <w:t>In contrast, the Katherine and Daly rivers have lower salinities (EC &lt; 700 µS/cm), possibly due to</w:t>
      </w:r>
      <w:r w:rsidRPr="00207AE3">
        <w:rPr>
          <w:rStyle w:val="BodyTextChar"/>
        </w:rPr>
        <w:t xml:space="preserve"> discharge of low salinity groundwater from the Cretaceous sandstone aquifer.</w:t>
      </w:r>
      <w:r w:rsidRPr="00F158D1">
        <w:rPr>
          <w:rStyle w:val="BodyTextChar"/>
        </w:rPr>
        <w:t xml:space="preserve"> </w:t>
      </w:r>
    </w:p>
    <w:p w14:paraId="4DA8FF43" w14:textId="7A584EF6" w:rsidR="005868B3" w:rsidRPr="00527F5D" w:rsidRDefault="005868B3" w:rsidP="00D15FEC">
      <w:pPr>
        <w:pStyle w:val="BodyText"/>
        <w:rPr>
          <w:rStyle w:val="BodyTextChar"/>
        </w:rPr>
      </w:pPr>
      <w:r>
        <w:t>In the Roper River, s</w:t>
      </w:r>
      <w:r w:rsidRPr="00F158D1">
        <w:t xml:space="preserve">alinity </w:t>
      </w:r>
      <w:r>
        <w:t>levels generally increase</w:t>
      </w:r>
      <w:r w:rsidRPr="00AC2EE0">
        <w:t xml:space="preserve"> </w:t>
      </w:r>
      <w:r w:rsidRPr="00F158D1">
        <w:t xml:space="preserve">towards the coast, due to </w:t>
      </w:r>
      <w:r>
        <w:t>e</w:t>
      </w:r>
      <w:r w:rsidRPr="00F158D1">
        <w:t>vapo</w:t>
      </w:r>
      <w:r w:rsidRPr="00AC2EE0">
        <w:t>transpi</w:t>
      </w:r>
      <w:r w:rsidRPr="00F158D1">
        <w:t xml:space="preserve">ration. </w:t>
      </w:r>
      <w:r>
        <w:t xml:space="preserve">Wet </w:t>
      </w:r>
      <w:r w:rsidRPr="00207AE3">
        <w:rPr>
          <w:rStyle w:val="BodyTextChar"/>
        </w:rPr>
        <w:t xml:space="preserve">season storm events increase the flow in the Roper River, reducing salinity and increasing turbidity </w:t>
      </w:r>
      <w:r w:rsidRPr="00F158D1">
        <w:rPr>
          <w:rStyle w:val="BodyTextChar"/>
        </w:rPr>
        <w:t>(Schult and Novak, 2017; Schult, 2014).</w:t>
      </w:r>
    </w:p>
    <w:p w14:paraId="67557FAF" w14:textId="77777777" w:rsidR="005868B3" w:rsidRDefault="005868B3" w:rsidP="00D15FEC">
      <w:pPr>
        <w:pStyle w:val="AppendixHeading4"/>
      </w:pPr>
      <w:r>
        <w:t>Surface water flow</w:t>
      </w:r>
    </w:p>
    <w:p w14:paraId="758F7B38" w14:textId="66E92615" w:rsidR="005868B3" w:rsidRDefault="005868B3" w:rsidP="00D15FEC">
      <w:pPr>
        <w:pStyle w:val="BodyText"/>
      </w:pPr>
      <w:r>
        <w:t xml:space="preserve">A series of 42 surface water gauging stations are located across the region to monitor the annual monsoonal inputs to the river flows. There are 17 gauges in the Arafura region, 22 in the Roper region, and three in the McArthur-Calvert-Robinson region. Most stream gauges are located in the upper reaches, and almost none are currently operating (CSIRO, 2009c, 2009b, 2009a). </w:t>
      </w:r>
    </w:p>
    <w:p w14:paraId="1C770C5B" w14:textId="1966ECCA" w:rsidR="005868B3" w:rsidRDefault="005868B3" w:rsidP="00D15FEC">
      <w:pPr>
        <w:pStyle w:val="BodyText"/>
      </w:pPr>
      <w:r>
        <w:t>Average dry season streamflows at gauging sites are generally 0.5–3.5 m</w:t>
      </w:r>
      <w:r w:rsidRPr="000350BE">
        <w:rPr>
          <w:rStyle w:val="Superscript"/>
        </w:rPr>
        <w:t>3</w:t>
      </w:r>
      <w:r>
        <w:t>/s (Table C.58, Knapton, 2009b, 2009c). Monthly discharges on the Roper River at ‘Red Rock’ vary from a maximum in March (83 m</w:t>
      </w:r>
      <w:r w:rsidRPr="000350BE">
        <w:rPr>
          <w:rStyle w:val="Superscript"/>
        </w:rPr>
        <w:t>3</w:t>
      </w:r>
      <w:r>
        <w:t>/s) to a minimum in September–October (3.5 m</w:t>
      </w:r>
      <w:r w:rsidRPr="000350BE">
        <w:rPr>
          <w:rStyle w:val="Superscript"/>
        </w:rPr>
        <w:t>3</w:t>
      </w:r>
      <w:r>
        <w:t>/s), which shows the effect of the wet season (Knapton, 2009b). Baseflow to the Roper River is estimated at 3–4 m</w:t>
      </w:r>
      <w:r w:rsidRPr="000350BE">
        <w:rPr>
          <w:rStyle w:val="Superscript"/>
        </w:rPr>
        <w:t>3</w:t>
      </w:r>
      <w:r>
        <w:t xml:space="preserve">/s (Knapton, 2009b). </w:t>
      </w:r>
    </w:p>
    <w:p w14:paraId="1E21C006" w14:textId="01987098" w:rsidR="005868B3" w:rsidRDefault="005868B3" w:rsidP="00D15FEC">
      <w:pPr>
        <w:pStyle w:val="BodyText"/>
      </w:pPr>
      <w:r>
        <w:t>Several rivers are also groundwater fed. For example the Cambrian Limestone Aquifer</w:t>
      </w:r>
      <w:r w:rsidRPr="00A5532C">
        <w:t xml:space="preserve"> </w:t>
      </w:r>
      <w:r>
        <w:t>provides baseflow to the Roper, Katherine and Daly rivers; the Dook Creek Formation provides baseflow to some tributaries of the Roper River, as well as the Goyder and Blyth rivers (Knapton, 2009a; CSIRO, 2009a; Schult and Novak, 2017).</w:t>
      </w:r>
    </w:p>
    <w:p w14:paraId="0FD06C2A" w14:textId="5059BF1D" w:rsidR="005868B3" w:rsidRDefault="005868B3" w:rsidP="00D15FEC">
      <w:pPr>
        <w:pStyle w:val="BodyText"/>
      </w:pPr>
      <w:r>
        <w:lastRenderedPageBreak/>
        <w:t>Downstream of Mataranka Springs, dry season flows are reduced, due to groundwater seepage out of the river channel and evapotranspiration (Schult and Novak, 2017). When flows at Mataranka Springs drop below 2.5 m</w:t>
      </w:r>
      <w:r w:rsidRPr="000350BE">
        <w:rPr>
          <w:rStyle w:val="Superscript"/>
        </w:rPr>
        <w:t>3</w:t>
      </w:r>
      <w:r>
        <w:t xml:space="preserve">/s, no streamflow will reach the Roper River estuary (CSIRO, 2009b). In other locations, the ephemeral streams flow after the wet season </w:t>
      </w:r>
      <w:r w:rsidRPr="008816D9">
        <w:t xml:space="preserve">rainfall events </w:t>
      </w:r>
      <w:r>
        <w:t>are otherwise observed as a chain of isolated pools, and tend to run dry in August/September (Faulks, 2001). These series of disconnected pools tend to overlie fractured rock aquifers (CSIRO, 2009a).</w:t>
      </w:r>
    </w:p>
    <w:p w14:paraId="3FF642F4" w14:textId="77777777" w:rsidR="00A821E4" w:rsidRDefault="005868B3" w:rsidP="00207AE3">
      <w:pPr>
        <w:pStyle w:val="Caption"/>
      </w:pPr>
      <w:bookmarkStart w:id="320" w:name="_Toc499547528"/>
      <w:bookmarkStart w:id="321" w:name="_Toc508972207"/>
      <w:r w:rsidRPr="000C5BAD">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0C5BAD">
        <w:t>.</w:t>
      </w:r>
      <w:r w:rsidR="008079F1">
        <w:fldChar w:fldCharType="begin"/>
      </w:r>
      <w:r w:rsidR="008079F1">
        <w:instrText xml:space="preserve"> SEQ Apx_Table \* ARABIC \s 9 </w:instrText>
      </w:r>
      <w:r w:rsidR="008079F1">
        <w:fldChar w:fldCharType="separate"/>
      </w:r>
      <w:r w:rsidR="00640CCB">
        <w:rPr>
          <w:noProof/>
        </w:rPr>
        <w:t>58</w:t>
      </w:r>
      <w:r w:rsidR="008079F1">
        <w:rPr>
          <w:noProof/>
        </w:rPr>
        <w:fldChar w:fldCharType="end"/>
      </w:r>
      <w:r w:rsidRPr="000C5BAD">
        <w:t xml:space="preserve"> Average discharge measurements from gauging stations (Knapton 2009c).</w:t>
      </w:r>
      <w:bookmarkEnd w:id="320"/>
      <w:bookmarkEnd w:id="321"/>
    </w:p>
    <w:p w14:paraId="323ED906" w14:textId="657360F5" w:rsidR="005868B3" w:rsidRPr="00A821E4" w:rsidRDefault="005868B3" w:rsidP="00A821E4">
      <w:pPr>
        <w:pStyle w:val="BodyText"/>
      </w:pPr>
      <w:r>
        <w:rPr>
          <w:noProof/>
        </w:rPr>
        <w:drawing>
          <wp:inline distT="0" distB="0" distL="0" distR="0" wp14:anchorId="301878D9" wp14:editId="70016E74">
            <wp:extent cx="6002873" cy="3729318"/>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9">
                      <a:extLst>
                        <a:ext uri="{28A0092B-C50C-407E-A947-70E740481C1C}">
                          <a14:useLocalDpi xmlns:a14="http://schemas.microsoft.com/office/drawing/2010/main"/>
                        </a:ext>
                      </a:extLst>
                    </a:blip>
                    <a:srcRect/>
                    <a:stretch>
                      <a:fillRect/>
                    </a:stretch>
                  </pic:blipFill>
                  <pic:spPr bwMode="auto">
                    <a:xfrm>
                      <a:off x="0" y="0"/>
                      <a:ext cx="5996433" cy="3725317"/>
                    </a:xfrm>
                    <a:prstGeom prst="rect">
                      <a:avLst/>
                    </a:prstGeom>
                    <a:noFill/>
                    <a:ln>
                      <a:noFill/>
                    </a:ln>
                  </pic:spPr>
                </pic:pic>
              </a:graphicData>
            </a:graphic>
          </wp:inline>
        </w:drawing>
      </w:r>
    </w:p>
    <w:p w14:paraId="0BAFE500" w14:textId="77777777" w:rsidR="005868B3" w:rsidRDefault="005868B3" w:rsidP="00D15FEC">
      <w:pPr>
        <w:pStyle w:val="AppendixHeading4"/>
      </w:pPr>
      <w:r>
        <w:t>Surface water dams, planning and use</w:t>
      </w:r>
    </w:p>
    <w:p w14:paraId="75F0E36C" w14:textId="3AC01077" w:rsidR="005868B3" w:rsidRDefault="005868B3" w:rsidP="00527F5D">
      <w:pPr>
        <w:pStyle w:val="BodyText"/>
      </w:pPr>
      <w:r>
        <w:t xml:space="preserve">There are no large surface water storages in the region (CSIRO, 2009b, 2009a, 2009c). The only substantive surface-water entitlement is 340 ML/yr for the community of Ngukurr, which relies on freshwater stored in a large pool on the Roper River (Knapton, 2009a; CSIRO, 2009b). Some extraction of water from rivers and creeks occurs for stock and domestic purposes. A ‘Water Extraction License’ is required for larger extractions for irrigation, domestic and mining purposes. There are four licenses for community supply purposes and two for gardens at Roper Bar; these six licenses total 403 ML/yr (Faulks, 2001). The Elsey National Park holds another 72 ML/yr entitlement for extraction from the Roper River (Knapton, 2009a). </w:t>
      </w:r>
    </w:p>
    <w:p w14:paraId="48171769" w14:textId="77777777" w:rsidR="008B38C1" w:rsidRDefault="008B38C1" w:rsidP="00E34CDE">
      <w:pPr>
        <w:pStyle w:val="AppendixHeading3"/>
      </w:pPr>
      <w:bookmarkStart w:id="322" w:name="_Toc517161207"/>
      <w:r>
        <w:t>Groundwater–surface water interactions</w:t>
      </w:r>
      <w:bookmarkEnd w:id="322"/>
    </w:p>
    <w:p w14:paraId="3CDAED87" w14:textId="0BE93EB0" w:rsidR="005868B3" w:rsidRDefault="005868B3" w:rsidP="00527F5D">
      <w:pPr>
        <w:pStyle w:val="BodyText"/>
      </w:pPr>
      <w:r>
        <w:t xml:space="preserve">Perennial streams are generally located on top of relatively productive aquifers such as the Cambrian limestones and Cretaceous sandstones (Schult and Novak, 2017; Knapton, 2009c; Fulton and Knapton, 2015; CSIRO, 2009a, b &amp; c). Regional groundwater flow is typically towards discharge features such as springs and perennial rivers, thus linking the entire groundwater system with </w:t>
      </w:r>
      <w:r>
        <w:lastRenderedPageBreak/>
        <w:t>surface water features (Figure C.6</w:t>
      </w:r>
      <w:r w:rsidR="00494973">
        <w:t>9</w:t>
      </w:r>
      <w:r>
        <w:t>). The surface water chemistry is strongly associated with the input aquifer types, especially during periods of low flow where baseflow dominates streamflow (Schult and Novak, 2017; Schult, 2014). In locations where aquifers are unable to provide baseflow, reaches tend to be ephemeral and reliant on wet-season storm events. In some locations, streamflow is derived from an upstream baseflow fed section, but evapotranspiration and losing stream hydraulic gradients lead to diminishing streamflows (Schult and Novak, 2017; CSIRO, 2009b; Knapton, 2009b).</w:t>
      </w:r>
    </w:p>
    <w:p w14:paraId="7F2B439B" w14:textId="77777777" w:rsidR="008B38C1" w:rsidRDefault="008B38C1" w:rsidP="00E34CDE">
      <w:pPr>
        <w:pStyle w:val="AppendixHeading3"/>
      </w:pPr>
      <w:bookmarkStart w:id="323" w:name="_Toc517161208"/>
      <w:r>
        <w:t>Environmental assets</w:t>
      </w:r>
      <w:bookmarkEnd w:id="323"/>
    </w:p>
    <w:p w14:paraId="25053583" w14:textId="77777777" w:rsidR="005868B3" w:rsidRDefault="005868B3" w:rsidP="00527F5D">
      <w:pPr>
        <w:pStyle w:val="BodyText"/>
      </w:pPr>
      <w:r>
        <w:t>Within the McArthur Basin there are 5,352 km</w:t>
      </w:r>
      <w:r w:rsidRPr="005450A3">
        <w:rPr>
          <w:rStyle w:val="Superscript"/>
        </w:rPr>
        <w:t>2</w:t>
      </w:r>
      <w:r>
        <w:t xml:space="preserve"> of Listed Nationally Important Wetlands, 8,990 km</w:t>
      </w:r>
      <w:r w:rsidRPr="005450A3">
        <w:rPr>
          <w:rStyle w:val="Superscript"/>
        </w:rPr>
        <w:t>2</w:t>
      </w:r>
      <w:r>
        <w:t xml:space="preserve"> of Groundwater Dependant Ecosystems (of at least moderate potential) and part of the Ramsar-listed Kakadu National Park wetland; Kakadu is also a World Heritage Area and a National Park managed at a Commonwealth level (DSEWPC, 2012). A total of 19,620 km</w:t>
      </w:r>
      <w:r w:rsidRPr="005450A3">
        <w:rPr>
          <w:rStyle w:val="Superscript"/>
        </w:rPr>
        <w:t>2</w:t>
      </w:r>
      <w:r>
        <w:t xml:space="preserve"> of protected areas (such as national parks) are listed. Table C.59 provides details of these assets.</w:t>
      </w:r>
    </w:p>
    <w:p w14:paraId="1FAA3106" w14:textId="77777777" w:rsidR="008B38C1" w:rsidRDefault="006971A5" w:rsidP="009F3E8F">
      <w:pPr>
        <w:pStyle w:val="Caption"/>
      </w:pPr>
      <w:bookmarkStart w:id="324" w:name="_Toc508972208"/>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59</w:t>
      </w:r>
      <w:r w:rsidR="008079F1">
        <w:rPr>
          <w:noProof/>
        </w:rPr>
        <w:fldChar w:fldCharType="end"/>
      </w:r>
      <w:r>
        <w:t xml:space="preserve"> </w:t>
      </w:r>
      <w:r w:rsidR="008B38C1">
        <w:t>Summary of environmental assets</w:t>
      </w:r>
      <w:bookmarkEnd w:id="324"/>
    </w:p>
    <w:tbl>
      <w:tblPr>
        <w:tblStyle w:val="TableBAHeaderColumn"/>
        <w:tblW w:w="5000" w:type="pct"/>
        <w:tblInd w:w="0" w:type="dxa"/>
        <w:tblLook w:val="04A0" w:firstRow="1" w:lastRow="0" w:firstColumn="1" w:lastColumn="0" w:noHBand="0" w:noVBand="1"/>
      </w:tblPr>
      <w:tblGrid>
        <w:gridCol w:w="4972"/>
        <w:gridCol w:w="4667"/>
      </w:tblGrid>
      <w:tr w:rsidR="008B38C1" w14:paraId="08DE8713"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5F277C75" w14:textId="77777777" w:rsidR="008B38C1" w:rsidRDefault="008B38C1">
            <w:pPr>
              <w:pStyle w:val="TableTextLeft"/>
            </w:pPr>
            <w:r>
              <w:t>Environmental Assets</w:t>
            </w:r>
          </w:p>
        </w:tc>
      </w:tr>
      <w:tr w:rsidR="008B38C1" w14:paraId="1BA1863C"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5BF08CF6" w14:textId="77777777" w:rsidR="008B38C1" w:rsidRDefault="008B38C1">
            <w:pPr>
              <w:pStyle w:val="TableTextLeft"/>
              <w:rPr>
                <w:szCs w:val="18"/>
              </w:rPr>
            </w:pPr>
            <w:r>
              <w:rPr>
                <w:szCs w:val="18"/>
              </w:rPr>
              <w:t>Ramsar Wetlands</w:t>
            </w:r>
          </w:p>
        </w:tc>
        <w:tc>
          <w:tcPr>
            <w:tcW w:w="2421" w:type="pct"/>
            <w:hideMark/>
          </w:tcPr>
          <w:p w14:paraId="365CA7E3"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Kakadu National Park</w:t>
            </w:r>
          </w:p>
        </w:tc>
      </w:tr>
      <w:tr w:rsidR="008B38C1" w14:paraId="2EEAFB61" w14:textId="77777777" w:rsidTr="00F27BC3">
        <w:trPr>
          <w:cnfStyle w:val="100000000000" w:firstRow="1" w:lastRow="0" w:firstColumn="0" w:lastColumn="0" w:oddVBand="0" w:evenVBand="0" w:oddHBand="0" w:evenHBand="0" w:firstRowFirstColumn="0" w:firstRowLastColumn="0" w:lastRowFirstColumn="0" w:lastRowLastColumn="0"/>
          <w:trHeight w:val="1628"/>
        </w:trPr>
        <w:tc>
          <w:tcPr>
            <w:cnfStyle w:val="001000000100" w:firstRow="0" w:lastRow="0" w:firstColumn="1" w:lastColumn="0" w:oddVBand="0" w:evenVBand="0" w:oddHBand="0" w:evenHBand="0" w:firstRowFirstColumn="1" w:firstRowLastColumn="0" w:lastRowFirstColumn="0" w:lastRowLastColumn="0"/>
            <w:tcW w:w="2579" w:type="pct"/>
            <w:hideMark/>
          </w:tcPr>
          <w:p w14:paraId="1EA76C50" w14:textId="77777777" w:rsidR="008B38C1" w:rsidRDefault="008B38C1">
            <w:pPr>
              <w:pStyle w:val="TableTextLeft"/>
              <w:rPr>
                <w:szCs w:val="18"/>
              </w:rPr>
            </w:pPr>
            <w:r>
              <w:rPr>
                <w:szCs w:val="18"/>
              </w:rPr>
              <w:t>Nationally Important Wetlands</w:t>
            </w:r>
          </w:p>
          <w:p w14:paraId="17F2FB9A" w14:textId="77777777" w:rsidR="008B38C1" w:rsidRDefault="008B38C1">
            <w:pPr>
              <w:pStyle w:val="TableTextLeft"/>
              <w:rPr>
                <w:szCs w:val="18"/>
              </w:rPr>
            </w:pPr>
            <w:r>
              <w:rPr>
                <w:szCs w:val="18"/>
              </w:rPr>
              <w:t>Top 5 by area</w:t>
            </w:r>
          </w:p>
          <w:p w14:paraId="5FAB01CF" w14:textId="77777777" w:rsidR="008B38C1" w:rsidRDefault="008B38C1">
            <w:pPr>
              <w:pStyle w:val="TableTextLeft"/>
              <w:rPr>
                <w:szCs w:val="18"/>
              </w:rPr>
            </w:pPr>
            <w:r>
              <w:rPr>
                <w:szCs w:val="18"/>
              </w:rPr>
              <w:t>(area</w:t>
            </w:r>
            <w:r w:rsidR="008232C9">
              <w:rPr>
                <w:szCs w:val="18"/>
              </w:rPr>
              <w:t> km</w:t>
            </w:r>
            <w:r>
              <w:rPr>
                <w:szCs w:val="18"/>
                <w:vertAlign w:val="superscript"/>
              </w:rPr>
              <w:t>2</w:t>
            </w:r>
            <w:r>
              <w:rPr>
                <w:szCs w:val="18"/>
              </w:rPr>
              <w:t>)</w:t>
            </w:r>
          </w:p>
        </w:tc>
        <w:tc>
          <w:tcPr>
            <w:tcW w:w="2421" w:type="pct"/>
            <w:hideMark/>
          </w:tcPr>
          <w:tbl>
            <w:tblPr>
              <w:tblW w:w="4200" w:type="dxa"/>
              <w:tblLook w:val="04A0" w:firstRow="1" w:lastRow="0" w:firstColumn="1" w:lastColumn="0" w:noHBand="0" w:noVBand="1"/>
            </w:tblPr>
            <w:tblGrid>
              <w:gridCol w:w="3348"/>
              <w:gridCol w:w="852"/>
            </w:tblGrid>
            <w:tr w:rsidR="008B38C1" w14:paraId="655C0A87" w14:textId="77777777" w:rsidTr="00F27BC3">
              <w:trPr>
                <w:trHeight w:val="600"/>
              </w:trPr>
              <w:tc>
                <w:tcPr>
                  <w:tcW w:w="3345" w:type="dxa"/>
                  <w:vAlign w:val="center"/>
                  <w:hideMark/>
                </w:tcPr>
                <w:p w14:paraId="3E714B40" w14:textId="77777777" w:rsidR="008B38C1" w:rsidRDefault="008B38C1">
                  <w:pPr>
                    <w:pStyle w:val="TableTextLeft"/>
                    <w:rPr>
                      <w:szCs w:val="18"/>
                    </w:rPr>
                  </w:pPr>
                  <w:r>
                    <w:rPr>
                      <w:szCs w:val="18"/>
                    </w:rPr>
                    <w:t>Limmen Bight (Port Roper) Tidal Wetlands System</w:t>
                  </w:r>
                </w:p>
              </w:tc>
              <w:tc>
                <w:tcPr>
                  <w:tcW w:w="851" w:type="dxa"/>
                  <w:noWrap/>
                  <w:vAlign w:val="center"/>
                  <w:hideMark/>
                </w:tcPr>
                <w:p w14:paraId="1B60A30E" w14:textId="77777777" w:rsidR="008B38C1" w:rsidRDefault="008B38C1" w:rsidP="000350BE">
                  <w:pPr>
                    <w:pStyle w:val="TableTextRight0"/>
                  </w:pPr>
                  <w:r>
                    <w:t>2</w:t>
                  </w:r>
                  <w:r w:rsidR="001F259B">
                    <w:t>,</w:t>
                  </w:r>
                  <w:r>
                    <w:t>059</w:t>
                  </w:r>
                </w:p>
              </w:tc>
            </w:tr>
            <w:tr w:rsidR="008B38C1" w14:paraId="162AF046" w14:textId="77777777" w:rsidTr="00F27BC3">
              <w:trPr>
                <w:trHeight w:val="300"/>
              </w:trPr>
              <w:tc>
                <w:tcPr>
                  <w:tcW w:w="3345" w:type="dxa"/>
                  <w:vAlign w:val="center"/>
                  <w:hideMark/>
                </w:tcPr>
                <w:p w14:paraId="170CD0F6" w14:textId="77777777" w:rsidR="008B38C1" w:rsidRDefault="008B38C1">
                  <w:pPr>
                    <w:pStyle w:val="TableTextLeft"/>
                    <w:rPr>
                      <w:szCs w:val="18"/>
                    </w:rPr>
                  </w:pPr>
                  <w:r>
                    <w:rPr>
                      <w:szCs w:val="18"/>
                    </w:rPr>
                    <w:t>Arafura Swamp</w:t>
                  </w:r>
                </w:p>
              </w:tc>
              <w:tc>
                <w:tcPr>
                  <w:tcW w:w="851" w:type="dxa"/>
                  <w:noWrap/>
                  <w:vAlign w:val="center"/>
                  <w:hideMark/>
                </w:tcPr>
                <w:p w14:paraId="61B920C4" w14:textId="77777777" w:rsidR="008B38C1" w:rsidRDefault="008B38C1" w:rsidP="000350BE">
                  <w:pPr>
                    <w:pStyle w:val="TableTextRight0"/>
                  </w:pPr>
                  <w:r>
                    <w:t>1</w:t>
                  </w:r>
                  <w:r w:rsidR="001F259B">
                    <w:t>,</w:t>
                  </w:r>
                  <w:r>
                    <w:t>004</w:t>
                  </w:r>
                </w:p>
              </w:tc>
            </w:tr>
            <w:tr w:rsidR="008B38C1" w14:paraId="250E2FAD" w14:textId="77777777" w:rsidTr="00F27BC3">
              <w:trPr>
                <w:trHeight w:val="300"/>
              </w:trPr>
              <w:tc>
                <w:tcPr>
                  <w:tcW w:w="3345" w:type="dxa"/>
                  <w:vAlign w:val="center"/>
                  <w:hideMark/>
                </w:tcPr>
                <w:p w14:paraId="08506495" w14:textId="77777777" w:rsidR="008B38C1" w:rsidRDefault="008B38C1">
                  <w:pPr>
                    <w:pStyle w:val="TableTextLeft"/>
                    <w:rPr>
                      <w:szCs w:val="18"/>
                    </w:rPr>
                  </w:pPr>
                  <w:r>
                    <w:rPr>
                      <w:szCs w:val="18"/>
                    </w:rPr>
                    <w:t>Wentworth Aggregation</w:t>
                  </w:r>
                </w:p>
              </w:tc>
              <w:tc>
                <w:tcPr>
                  <w:tcW w:w="851" w:type="dxa"/>
                  <w:noWrap/>
                  <w:vAlign w:val="center"/>
                  <w:hideMark/>
                </w:tcPr>
                <w:p w14:paraId="0F2F4F9F" w14:textId="77777777" w:rsidR="008B38C1" w:rsidRDefault="008B38C1" w:rsidP="000350BE">
                  <w:pPr>
                    <w:pStyle w:val="TableTextRight0"/>
                  </w:pPr>
                  <w:r>
                    <w:t>828</w:t>
                  </w:r>
                </w:p>
              </w:tc>
            </w:tr>
            <w:tr w:rsidR="008B38C1" w14:paraId="3832DA34" w14:textId="77777777" w:rsidTr="00F27BC3">
              <w:trPr>
                <w:trHeight w:val="300"/>
              </w:trPr>
              <w:tc>
                <w:tcPr>
                  <w:tcW w:w="3345" w:type="dxa"/>
                  <w:vAlign w:val="center"/>
                  <w:hideMark/>
                </w:tcPr>
                <w:p w14:paraId="2C47BA12" w14:textId="77777777" w:rsidR="008B38C1" w:rsidRDefault="008B38C1">
                  <w:pPr>
                    <w:pStyle w:val="TableTextLeft"/>
                    <w:rPr>
                      <w:szCs w:val="18"/>
                    </w:rPr>
                  </w:pPr>
                  <w:r>
                    <w:rPr>
                      <w:szCs w:val="18"/>
                    </w:rPr>
                    <w:t>Port McArthur Tidal Wetlands System</w:t>
                  </w:r>
                </w:p>
              </w:tc>
              <w:tc>
                <w:tcPr>
                  <w:tcW w:w="851" w:type="dxa"/>
                  <w:noWrap/>
                  <w:vAlign w:val="center"/>
                  <w:hideMark/>
                </w:tcPr>
                <w:p w14:paraId="56B9FD2F" w14:textId="77777777" w:rsidR="008B38C1" w:rsidRDefault="008B38C1" w:rsidP="000350BE">
                  <w:pPr>
                    <w:pStyle w:val="TableTextRight0"/>
                  </w:pPr>
                  <w:r>
                    <w:t>533</w:t>
                  </w:r>
                </w:p>
              </w:tc>
            </w:tr>
            <w:tr w:rsidR="008B38C1" w14:paraId="6CCB726C" w14:textId="77777777" w:rsidTr="00F27BC3">
              <w:trPr>
                <w:trHeight w:val="300"/>
              </w:trPr>
              <w:tc>
                <w:tcPr>
                  <w:tcW w:w="3345" w:type="dxa"/>
                  <w:vAlign w:val="center"/>
                  <w:hideMark/>
                </w:tcPr>
                <w:p w14:paraId="11E9C679" w14:textId="77777777" w:rsidR="008B38C1" w:rsidRDefault="008B38C1">
                  <w:pPr>
                    <w:pStyle w:val="TableTextLeft"/>
                    <w:rPr>
                      <w:szCs w:val="18"/>
                    </w:rPr>
                  </w:pPr>
                  <w:r>
                    <w:rPr>
                      <w:szCs w:val="18"/>
                    </w:rPr>
                    <w:t>Tarrabool Lake</w:t>
                  </w:r>
                </w:p>
              </w:tc>
              <w:tc>
                <w:tcPr>
                  <w:tcW w:w="851" w:type="dxa"/>
                  <w:noWrap/>
                  <w:vAlign w:val="center"/>
                  <w:hideMark/>
                </w:tcPr>
                <w:p w14:paraId="506FD1AB" w14:textId="77777777" w:rsidR="008B38C1" w:rsidRDefault="008B38C1" w:rsidP="000350BE">
                  <w:pPr>
                    <w:pStyle w:val="TableTextRight0"/>
                  </w:pPr>
                  <w:r>
                    <w:t>469</w:t>
                  </w:r>
                </w:p>
              </w:tc>
            </w:tr>
            <w:tr w:rsidR="008B38C1" w14:paraId="3BF73D4D" w14:textId="77777777" w:rsidTr="00F27BC3">
              <w:trPr>
                <w:trHeight w:val="300"/>
              </w:trPr>
              <w:tc>
                <w:tcPr>
                  <w:tcW w:w="3345" w:type="dxa"/>
                  <w:vAlign w:val="center"/>
                  <w:hideMark/>
                </w:tcPr>
                <w:p w14:paraId="53F18940" w14:textId="77777777" w:rsidR="008B38C1" w:rsidRDefault="008B38C1">
                  <w:pPr>
                    <w:pStyle w:val="TableTextLeft"/>
                    <w:rPr>
                      <w:szCs w:val="18"/>
                    </w:rPr>
                  </w:pPr>
                  <w:r>
                    <w:rPr>
                      <w:szCs w:val="18"/>
                    </w:rPr>
                    <w:t xml:space="preserve">TOTAL WETLAND AREA </w:t>
                  </w:r>
                </w:p>
              </w:tc>
              <w:tc>
                <w:tcPr>
                  <w:tcW w:w="851" w:type="dxa"/>
                  <w:noWrap/>
                  <w:vAlign w:val="center"/>
                  <w:hideMark/>
                </w:tcPr>
                <w:p w14:paraId="742B4B5E" w14:textId="77777777" w:rsidR="008B38C1" w:rsidRDefault="008B38C1" w:rsidP="000350BE">
                  <w:pPr>
                    <w:pStyle w:val="TableTextRight0"/>
                  </w:pPr>
                  <w:r>
                    <w:t>5</w:t>
                  </w:r>
                  <w:r w:rsidR="001F259B">
                    <w:t>,</w:t>
                  </w:r>
                  <w:r>
                    <w:t>352</w:t>
                  </w:r>
                </w:p>
              </w:tc>
            </w:tr>
          </w:tbl>
          <w:p w14:paraId="16F77909"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B38C1" w14:paraId="2E956FDC"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07BA790E" w14:textId="77777777" w:rsidR="008B38C1" w:rsidRDefault="008B38C1">
            <w:pPr>
              <w:pStyle w:val="TableTextLeft"/>
              <w:rPr>
                <w:szCs w:val="18"/>
              </w:rPr>
            </w:pPr>
            <w:r>
              <w:rPr>
                <w:szCs w:val="18"/>
              </w:rPr>
              <w:t>Protected areas (CAPAD 2016)</w:t>
            </w:r>
          </w:p>
          <w:p w14:paraId="17C2C623" w14:textId="77777777" w:rsidR="008B38C1" w:rsidRDefault="008B38C1">
            <w:pPr>
              <w:pStyle w:val="TableTextLeft"/>
              <w:rPr>
                <w:szCs w:val="18"/>
              </w:rPr>
            </w:pPr>
            <w:r>
              <w:rPr>
                <w:szCs w:val="18"/>
              </w:rPr>
              <w:t>Top 5 by area (area</w:t>
            </w:r>
            <w:r w:rsidR="008232C9">
              <w:rPr>
                <w:szCs w:val="18"/>
              </w:rPr>
              <w:t> km</w:t>
            </w:r>
            <w:r>
              <w:rPr>
                <w:szCs w:val="18"/>
                <w:vertAlign w:val="superscript"/>
              </w:rPr>
              <w:t>2</w:t>
            </w:r>
            <w:r>
              <w:rPr>
                <w:szCs w:val="18"/>
              </w:rPr>
              <w:t>)</w:t>
            </w:r>
          </w:p>
        </w:tc>
        <w:tc>
          <w:tcPr>
            <w:tcW w:w="2421" w:type="pct"/>
            <w:hideMark/>
          </w:tcPr>
          <w:tbl>
            <w:tblPr>
              <w:tblW w:w="4200" w:type="dxa"/>
              <w:tblLook w:val="04A0" w:firstRow="1" w:lastRow="0" w:firstColumn="1" w:lastColumn="0" w:noHBand="0" w:noVBand="1"/>
            </w:tblPr>
            <w:tblGrid>
              <w:gridCol w:w="3348"/>
              <w:gridCol w:w="852"/>
            </w:tblGrid>
            <w:tr w:rsidR="008B38C1" w14:paraId="07129FC9" w14:textId="77777777" w:rsidTr="00F27BC3">
              <w:trPr>
                <w:trHeight w:val="300"/>
              </w:trPr>
              <w:tc>
                <w:tcPr>
                  <w:tcW w:w="3345" w:type="dxa"/>
                  <w:noWrap/>
                  <w:vAlign w:val="bottom"/>
                  <w:hideMark/>
                </w:tcPr>
                <w:p w14:paraId="2637DB19" w14:textId="77777777" w:rsidR="008B38C1" w:rsidRDefault="008B38C1">
                  <w:pPr>
                    <w:pStyle w:val="TableTextLeft"/>
                    <w:rPr>
                      <w:szCs w:val="18"/>
                    </w:rPr>
                  </w:pPr>
                  <w:r>
                    <w:rPr>
                      <w:szCs w:val="18"/>
                    </w:rPr>
                    <w:t>National Park</w:t>
                  </w:r>
                </w:p>
              </w:tc>
              <w:tc>
                <w:tcPr>
                  <w:tcW w:w="851" w:type="dxa"/>
                  <w:noWrap/>
                  <w:vAlign w:val="bottom"/>
                  <w:hideMark/>
                </w:tcPr>
                <w:p w14:paraId="47DD1244" w14:textId="77777777" w:rsidR="008B38C1" w:rsidRDefault="008B38C1" w:rsidP="000350BE">
                  <w:pPr>
                    <w:pStyle w:val="TableTextRight0"/>
                  </w:pPr>
                  <w:r>
                    <w:t>11,535</w:t>
                  </w:r>
                </w:p>
              </w:tc>
            </w:tr>
            <w:tr w:rsidR="008B38C1" w14:paraId="5EDEB8CE" w14:textId="77777777" w:rsidTr="00F27BC3">
              <w:trPr>
                <w:trHeight w:val="300"/>
              </w:trPr>
              <w:tc>
                <w:tcPr>
                  <w:tcW w:w="3345" w:type="dxa"/>
                  <w:noWrap/>
                  <w:vAlign w:val="bottom"/>
                  <w:hideMark/>
                </w:tcPr>
                <w:p w14:paraId="708896C4" w14:textId="77777777" w:rsidR="008B38C1" w:rsidRDefault="008B38C1">
                  <w:pPr>
                    <w:pStyle w:val="TableTextLeft"/>
                    <w:rPr>
                      <w:szCs w:val="18"/>
                    </w:rPr>
                  </w:pPr>
                  <w:r>
                    <w:rPr>
                      <w:szCs w:val="18"/>
                    </w:rPr>
                    <w:t>National Park (Commonwealth)</w:t>
                  </w:r>
                </w:p>
              </w:tc>
              <w:tc>
                <w:tcPr>
                  <w:tcW w:w="851" w:type="dxa"/>
                  <w:noWrap/>
                  <w:vAlign w:val="bottom"/>
                  <w:hideMark/>
                </w:tcPr>
                <w:p w14:paraId="430CD89C" w14:textId="77777777" w:rsidR="008B38C1" w:rsidRDefault="008B38C1" w:rsidP="000350BE">
                  <w:pPr>
                    <w:pStyle w:val="TableTextRight0"/>
                  </w:pPr>
                  <w:r>
                    <w:t>4</w:t>
                  </w:r>
                  <w:r w:rsidR="001F259B">
                    <w:t>,</w:t>
                  </w:r>
                  <w:r>
                    <w:t>005</w:t>
                  </w:r>
                </w:p>
              </w:tc>
            </w:tr>
            <w:tr w:rsidR="008B38C1" w14:paraId="07006132" w14:textId="77777777" w:rsidTr="00F27BC3">
              <w:trPr>
                <w:trHeight w:val="300"/>
              </w:trPr>
              <w:tc>
                <w:tcPr>
                  <w:tcW w:w="3345" w:type="dxa"/>
                  <w:noWrap/>
                  <w:vAlign w:val="bottom"/>
                  <w:hideMark/>
                </w:tcPr>
                <w:p w14:paraId="21649267" w14:textId="77777777" w:rsidR="008B38C1" w:rsidRDefault="008B38C1">
                  <w:pPr>
                    <w:pStyle w:val="TableTextLeft"/>
                    <w:rPr>
                      <w:szCs w:val="18"/>
                    </w:rPr>
                  </w:pPr>
                  <w:r>
                    <w:rPr>
                      <w:szCs w:val="18"/>
                    </w:rPr>
                    <w:t>NRS Addition - Gazettal in Progress</w:t>
                  </w:r>
                </w:p>
              </w:tc>
              <w:tc>
                <w:tcPr>
                  <w:tcW w:w="851" w:type="dxa"/>
                  <w:noWrap/>
                  <w:vAlign w:val="bottom"/>
                  <w:hideMark/>
                </w:tcPr>
                <w:p w14:paraId="2A512B8C" w14:textId="77777777" w:rsidR="008B38C1" w:rsidRDefault="008B38C1" w:rsidP="000350BE">
                  <w:pPr>
                    <w:pStyle w:val="TableTextRight0"/>
                  </w:pPr>
                  <w:r>
                    <w:t>1</w:t>
                  </w:r>
                  <w:r w:rsidR="001F259B">
                    <w:t>,</w:t>
                  </w:r>
                  <w:r>
                    <w:t>974</w:t>
                  </w:r>
                </w:p>
              </w:tc>
            </w:tr>
            <w:tr w:rsidR="008B38C1" w14:paraId="657AF403" w14:textId="77777777" w:rsidTr="00F27BC3">
              <w:trPr>
                <w:trHeight w:val="300"/>
              </w:trPr>
              <w:tc>
                <w:tcPr>
                  <w:tcW w:w="3345" w:type="dxa"/>
                  <w:noWrap/>
                  <w:vAlign w:val="bottom"/>
                  <w:hideMark/>
                </w:tcPr>
                <w:p w14:paraId="349D6BA5" w14:textId="77777777" w:rsidR="008B38C1" w:rsidRDefault="008B38C1">
                  <w:pPr>
                    <w:pStyle w:val="TableTextLeft"/>
                    <w:rPr>
                      <w:szCs w:val="18"/>
                    </w:rPr>
                  </w:pPr>
                  <w:r>
                    <w:rPr>
                      <w:szCs w:val="18"/>
                    </w:rPr>
                    <w:t>Biodiversity Hotspot</w:t>
                  </w:r>
                </w:p>
              </w:tc>
              <w:tc>
                <w:tcPr>
                  <w:tcW w:w="851" w:type="dxa"/>
                  <w:noWrap/>
                  <w:vAlign w:val="bottom"/>
                  <w:hideMark/>
                </w:tcPr>
                <w:p w14:paraId="1637606D" w14:textId="77777777" w:rsidR="008B38C1" w:rsidRDefault="008B38C1" w:rsidP="000350BE">
                  <w:pPr>
                    <w:pStyle w:val="TableTextRight0"/>
                  </w:pPr>
                  <w:r>
                    <w:t>1</w:t>
                  </w:r>
                  <w:r w:rsidR="001F259B">
                    <w:t>,</w:t>
                  </w:r>
                  <w:r>
                    <w:t>964</w:t>
                  </w:r>
                </w:p>
              </w:tc>
            </w:tr>
            <w:tr w:rsidR="008B38C1" w14:paraId="37D95E93" w14:textId="77777777" w:rsidTr="00F27BC3">
              <w:trPr>
                <w:trHeight w:val="300"/>
              </w:trPr>
              <w:tc>
                <w:tcPr>
                  <w:tcW w:w="3345" w:type="dxa"/>
                  <w:noWrap/>
                  <w:vAlign w:val="bottom"/>
                  <w:hideMark/>
                </w:tcPr>
                <w:p w14:paraId="38EFFCB2" w14:textId="77777777" w:rsidR="008B38C1" w:rsidRDefault="008B38C1">
                  <w:pPr>
                    <w:pStyle w:val="TableTextLeft"/>
                    <w:rPr>
                      <w:szCs w:val="18"/>
                    </w:rPr>
                  </w:pPr>
                  <w:r>
                    <w:rPr>
                      <w:szCs w:val="18"/>
                    </w:rPr>
                    <w:t>Conservation Reserve</w:t>
                  </w:r>
                </w:p>
              </w:tc>
              <w:tc>
                <w:tcPr>
                  <w:tcW w:w="851" w:type="dxa"/>
                  <w:noWrap/>
                  <w:vAlign w:val="bottom"/>
                  <w:hideMark/>
                </w:tcPr>
                <w:p w14:paraId="69BDF7D4" w14:textId="77777777" w:rsidR="008B38C1" w:rsidRDefault="008B38C1" w:rsidP="000350BE">
                  <w:pPr>
                    <w:pStyle w:val="TableTextRight0"/>
                  </w:pPr>
                  <w:r>
                    <w:t>128</w:t>
                  </w:r>
                </w:p>
              </w:tc>
            </w:tr>
            <w:tr w:rsidR="008B38C1" w14:paraId="5EE7D1A6" w14:textId="77777777" w:rsidTr="00F27BC3">
              <w:trPr>
                <w:trHeight w:val="300"/>
              </w:trPr>
              <w:tc>
                <w:tcPr>
                  <w:tcW w:w="3345" w:type="dxa"/>
                  <w:noWrap/>
                  <w:vAlign w:val="bottom"/>
                  <w:hideMark/>
                </w:tcPr>
                <w:p w14:paraId="290E1016" w14:textId="77777777" w:rsidR="008B38C1" w:rsidRDefault="008B38C1">
                  <w:pPr>
                    <w:pStyle w:val="TableTextLeft"/>
                    <w:rPr>
                      <w:szCs w:val="18"/>
                    </w:rPr>
                  </w:pPr>
                  <w:r>
                    <w:rPr>
                      <w:szCs w:val="18"/>
                    </w:rPr>
                    <w:t>TOTAL PROTECTED AREA</w:t>
                  </w:r>
                </w:p>
              </w:tc>
              <w:tc>
                <w:tcPr>
                  <w:tcW w:w="851" w:type="dxa"/>
                  <w:noWrap/>
                  <w:vAlign w:val="bottom"/>
                  <w:hideMark/>
                </w:tcPr>
                <w:p w14:paraId="1B8BD7F0" w14:textId="77777777" w:rsidR="008B38C1" w:rsidRDefault="008B38C1" w:rsidP="000350BE">
                  <w:pPr>
                    <w:pStyle w:val="TableTextRight0"/>
                  </w:pPr>
                  <w:r>
                    <w:t>19,620</w:t>
                  </w:r>
                </w:p>
              </w:tc>
            </w:tr>
          </w:tbl>
          <w:p w14:paraId="7E62C7BC"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8B38C1" w14:paraId="20D30650"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35F10870" w14:textId="77777777" w:rsidR="008B38C1" w:rsidRDefault="008B38C1">
            <w:pPr>
              <w:pStyle w:val="TableTextLeft"/>
              <w:rPr>
                <w:szCs w:val="18"/>
              </w:rPr>
            </w:pPr>
            <w:r>
              <w:rPr>
                <w:szCs w:val="18"/>
              </w:rPr>
              <w:t>Aquatic and Terrestrial Groundwater Dependant Ecosystems, of known, high potential and moderate potential (area</w:t>
            </w:r>
            <w:r w:rsidR="008232C9">
              <w:rPr>
                <w:szCs w:val="18"/>
              </w:rPr>
              <w:t> km</w:t>
            </w:r>
            <w:r>
              <w:rPr>
                <w:szCs w:val="18"/>
                <w:vertAlign w:val="superscript"/>
              </w:rPr>
              <w:t>2</w:t>
            </w:r>
            <w:r>
              <w:rPr>
                <w:szCs w:val="18"/>
              </w:rPr>
              <w:t>).</w:t>
            </w:r>
          </w:p>
        </w:tc>
        <w:tc>
          <w:tcPr>
            <w:tcW w:w="2421" w:type="pct"/>
            <w:hideMark/>
          </w:tcPr>
          <w:p w14:paraId="7ADD8F65"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8990</w:t>
            </w:r>
          </w:p>
        </w:tc>
      </w:tr>
    </w:tbl>
    <w:p w14:paraId="1D01D3E5" w14:textId="77777777" w:rsidR="0033655C" w:rsidRDefault="0033655C" w:rsidP="0033655C">
      <w:pPr>
        <w:pStyle w:val="BodyText"/>
      </w:pPr>
    </w:p>
    <w:p w14:paraId="5AA5DED6" w14:textId="77777777" w:rsidR="008B38C1" w:rsidRDefault="008B38C1" w:rsidP="00E34CDE">
      <w:pPr>
        <w:pStyle w:val="AppendixHeading3"/>
      </w:pPr>
      <w:bookmarkStart w:id="325" w:name="_Toc517161209"/>
      <w:r>
        <w:t>Social considerations</w:t>
      </w:r>
      <w:bookmarkEnd w:id="325"/>
    </w:p>
    <w:p w14:paraId="2862A54A" w14:textId="77777777" w:rsidR="008B38C1" w:rsidRDefault="008B38C1" w:rsidP="006971A5">
      <w:pPr>
        <w:pStyle w:val="BodyText"/>
      </w:pPr>
      <w:r>
        <w:t xml:space="preserve">Information on population, land use type and areas listed as either Indigenous Protected Areas (CAPAD, 2016) or where Native Title exists is presented in the </w:t>
      </w:r>
      <w:r w:rsidR="00611607">
        <w:t>Table C</w:t>
      </w:r>
      <w:r w:rsidR="006971A5">
        <w:t>.</w:t>
      </w:r>
      <w:r w:rsidR="00A24684">
        <w:t>60</w:t>
      </w:r>
      <w:r w:rsidR="006971A5">
        <w:t>.</w:t>
      </w:r>
    </w:p>
    <w:p w14:paraId="608430CC" w14:textId="77777777" w:rsidR="004F2B68" w:rsidRDefault="004F2B68" w:rsidP="006971A5">
      <w:pPr>
        <w:pStyle w:val="BodyText"/>
      </w:pPr>
    </w:p>
    <w:p w14:paraId="6B6BD0C9" w14:textId="77777777" w:rsidR="008B38C1" w:rsidRPr="006971A5" w:rsidRDefault="006971A5" w:rsidP="009F3E8F">
      <w:pPr>
        <w:pStyle w:val="Caption"/>
      </w:pPr>
      <w:bookmarkStart w:id="326" w:name="_Toc508972209"/>
      <w:r w:rsidRPr="006971A5">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6971A5">
        <w:t>.</w:t>
      </w:r>
      <w:r w:rsidR="008079F1">
        <w:fldChar w:fldCharType="begin"/>
      </w:r>
      <w:r w:rsidR="008079F1">
        <w:instrText xml:space="preserve"> SEQ Apx_Table \* ARABIC \s 9 </w:instrText>
      </w:r>
      <w:r w:rsidR="008079F1">
        <w:fldChar w:fldCharType="separate"/>
      </w:r>
      <w:r w:rsidR="00640CCB">
        <w:rPr>
          <w:noProof/>
        </w:rPr>
        <w:t>60</w:t>
      </w:r>
      <w:r w:rsidR="008079F1">
        <w:rPr>
          <w:noProof/>
        </w:rPr>
        <w:fldChar w:fldCharType="end"/>
      </w:r>
      <w:r w:rsidRPr="006971A5">
        <w:t xml:space="preserve"> </w:t>
      </w:r>
      <w:r w:rsidR="008B38C1" w:rsidRPr="006971A5">
        <w:t>Summary of population, land use and aboriginal protected area</w:t>
      </w:r>
      <w:bookmarkEnd w:id="326"/>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2"/>
        <w:gridCol w:w="4667"/>
      </w:tblGrid>
      <w:tr w:rsidR="008B38C1" w14:paraId="7F0BE0D6"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2235A51C" w14:textId="77777777" w:rsidR="008B38C1" w:rsidRDefault="008B38C1">
            <w:pPr>
              <w:pStyle w:val="TableTextLeft"/>
            </w:pPr>
            <w:r>
              <w:t>GENERAL CHARACTERISTICS</w:t>
            </w:r>
          </w:p>
        </w:tc>
      </w:tr>
      <w:tr w:rsidR="008B38C1" w14:paraId="047C782A"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05BD5E64" w14:textId="77777777" w:rsidR="008B38C1" w:rsidRDefault="008B38C1">
            <w:pPr>
              <w:pStyle w:val="TableTextLeft"/>
            </w:pPr>
            <w:r>
              <w:t>Population</w:t>
            </w:r>
          </w:p>
        </w:tc>
        <w:tc>
          <w:tcPr>
            <w:tcW w:w="2421" w:type="pct"/>
            <w:hideMark/>
          </w:tcPr>
          <w:p w14:paraId="4CDAE47D"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29,784</w:t>
            </w:r>
          </w:p>
        </w:tc>
      </w:tr>
      <w:tr w:rsidR="008B38C1" w14:paraId="6EE7A233"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361A9430" w14:textId="77777777" w:rsidR="008B38C1" w:rsidRDefault="008B38C1">
            <w:pPr>
              <w:pStyle w:val="TableTextLeft"/>
            </w:pPr>
            <w:r>
              <w:t>Major population centres ( two)</w:t>
            </w:r>
          </w:p>
        </w:tc>
        <w:tc>
          <w:tcPr>
            <w:tcW w:w="2421" w:type="pct"/>
            <w:hideMark/>
          </w:tcPr>
          <w:p w14:paraId="34B3C05E"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Katherine, Maningrida</w:t>
            </w:r>
          </w:p>
        </w:tc>
      </w:tr>
      <w:tr w:rsidR="008B38C1" w14:paraId="39F25FE5"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47466661" w14:textId="77777777" w:rsidR="008B38C1" w:rsidRDefault="008B38C1">
            <w:pPr>
              <w:pStyle w:val="TableTextLeft"/>
            </w:pPr>
            <w:r>
              <w:t>Land use types</w:t>
            </w:r>
          </w:p>
          <w:p w14:paraId="72D267C9" w14:textId="77777777" w:rsidR="008B38C1" w:rsidRDefault="008B38C1">
            <w:pPr>
              <w:pStyle w:val="TableTextLeft"/>
            </w:pPr>
            <w:r>
              <w:t>Top 5 by area</w:t>
            </w:r>
          </w:p>
          <w:p w14:paraId="0CE46DFA" w14:textId="77777777" w:rsidR="008B38C1" w:rsidRDefault="008B38C1">
            <w:pPr>
              <w:pStyle w:val="TableTextLeft"/>
            </w:pPr>
            <w:r>
              <w:t>(area</w:t>
            </w:r>
            <w:r w:rsidR="008232C9">
              <w:t> km</w:t>
            </w:r>
            <w:r>
              <w:rPr>
                <w:vertAlign w:val="superscript"/>
              </w:rPr>
              <w:t>2</w:t>
            </w:r>
            <w:r>
              <w:t>)</w:t>
            </w:r>
          </w:p>
        </w:tc>
        <w:tc>
          <w:tcPr>
            <w:tcW w:w="2421" w:type="pct"/>
            <w:hideMark/>
          </w:tcPr>
          <w:tbl>
            <w:tblPr>
              <w:tblW w:w="4200" w:type="dxa"/>
              <w:tblLook w:val="04A0" w:firstRow="1" w:lastRow="0" w:firstColumn="1" w:lastColumn="0" w:noHBand="0" w:noVBand="1"/>
            </w:tblPr>
            <w:tblGrid>
              <w:gridCol w:w="2622"/>
              <w:gridCol w:w="1578"/>
            </w:tblGrid>
            <w:tr w:rsidR="008B38C1" w14:paraId="3CC62E0D" w14:textId="77777777" w:rsidTr="00F27BC3">
              <w:trPr>
                <w:trHeight w:val="300"/>
              </w:trPr>
              <w:tc>
                <w:tcPr>
                  <w:tcW w:w="2620" w:type="dxa"/>
                  <w:tcBorders>
                    <w:top w:val="single" w:sz="4" w:space="0" w:color="auto"/>
                    <w:left w:val="nil"/>
                    <w:bottom w:val="nil"/>
                    <w:right w:val="nil"/>
                  </w:tcBorders>
                  <w:noWrap/>
                  <w:vAlign w:val="center"/>
                  <w:hideMark/>
                </w:tcPr>
                <w:p w14:paraId="325BCF49" w14:textId="77777777" w:rsidR="008B38C1" w:rsidRDefault="008B38C1">
                  <w:pPr>
                    <w:pStyle w:val="TableTextLeft"/>
                  </w:pPr>
                  <w:r>
                    <w:t>Grazing native vegetation</w:t>
                  </w:r>
                </w:p>
              </w:tc>
              <w:tc>
                <w:tcPr>
                  <w:tcW w:w="1576" w:type="dxa"/>
                  <w:tcBorders>
                    <w:top w:val="single" w:sz="4" w:space="0" w:color="auto"/>
                    <w:left w:val="nil"/>
                    <w:bottom w:val="nil"/>
                    <w:right w:val="nil"/>
                  </w:tcBorders>
                  <w:noWrap/>
                  <w:vAlign w:val="center"/>
                  <w:hideMark/>
                </w:tcPr>
                <w:p w14:paraId="072BF798" w14:textId="77777777" w:rsidR="008B38C1" w:rsidRDefault="008B38C1" w:rsidP="000350BE">
                  <w:pPr>
                    <w:pStyle w:val="TableTextRight0"/>
                  </w:pPr>
                  <w:r>
                    <w:t>139,841</w:t>
                  </w:r>
                </w:p>
              </w:tc>
            </w:tr>
            <w:tr w:rsidR="008B38C1" w14:paraId="294D6365" w14:textId="77777777" w:rsidTr="00F27BC3">
              <w:trPr>
                <w:trHeight w:val="300"/>
              </w:trPr>
              <w:tc>
                <w:tcPr>
                  <w:tcW w:w="2620" w:type="dxa"/>
                  <w:noWrap/>
                  <w:vAlign w:val="center"/>
                  <w:hideMark/>
                </w:tcPr>
                <w:p w14:paraId="19E18C88" w14:textId="77777777" w:rsidR="008B38C1" w:rsidRDefault="008B38C1">
                  <w:pPr>
                    <w:pStyle w:val="TableTextLeft"/>
                  </w:pPr>
                  <w:r>
                    <w:t>Other Protected areas</w:t>
                  </w:r>
                </w:p>
              </w:tc>
              <w:tc>
                <w:tcPr>
                  <w:tcW w:w="1576" w:type="dxa"/>
                  <w:noWrap/>
                  <w:vAlign w:val="center"/>
                  <w:hideMark/>
                </w:tcPr>
                <w:p w14:paraId="7CD8EEC8" w14:textId="77777777" w:rsidR="008B38C1" w:rsidRDefault="008B38C1" w:rsidP="000350BE">
                  <w:pPr>
                    <w:pStyle w:val="TableTextRight0"/>
                  </w:pPr>
                  <w:r>
                    <w:t>117,932</w:t>
                  </w:r>
                </w:p>
              </w:tc>
            </w:tr>
            <w:tr w:rsidR="008B38C1" w14:paraId="36912AA8" w14:textId="77777777" w:rsidTr="00F27BC3">
              <w:trPr>
                <w:trHeight w:val="300"/>
              </w:trPr>
              <w:tc>
                <w:tcPr>
                  <w:tcW w:w="2620" w:type="dxa"/>
                  <w:noWrap/>
                  <w:vAlign w:val="center"/>
                  <w:hideMark/>
                </w:tcPr>
                <w:p w14:paraId="18EAF388" w14:textId="77777777" w:rsidR="008B38C1" w:rsidRDefault="008B38C1">
                  <w:pPr>
                    <w:pStyle w:val="TableTextLeft"/>
                  </w:pPr>
                  <w:r>
                    <w:t>Nature Conservation</w:t>
                  </w:r>
                </w:p>
              </w:tc>
              <w:tc>
                <w:tcPr>
                  <w:tcW w:w="1576" w:type="dxa"/>
                  <w:noWrap/>
                  <w:vAlign w:val="center"/>
                  <w:hideMark/>
                </w:tcPr>
                <w:p w14:paraId="088D7A15" w14:textId="77777777" w:rsidR="008B38C1" w:rsidRDefault="008B38C1" w:rsidP="000350BE">
                  <w:pPr>
                    <w:pStyle w:val="TableTextRight0"/>
                  </w:pPr>
                  <w:r>
                    <w:t>20,578</w:t>
                  </w:r>
                </w:p>
              </w:tc>
            </w:tr>
            <w:tr w:rsidR="008B38C1" w14:paraId="082749FD" w14:textId="77777777" w:rsidTr="00F27BC3">
              <w:trPr>
                <w:trHeight w:val="300"/>
              </w:trPr>
              <w:tc>
                <w:tcPr>
                  <w:tcW w:w="2620" w:type="dxa"/>
                  <w:noWrap/>
                  <w:vAlign w:val="center"/>
                  <w:hideMark/>
                </w:tcPr>
                <w:p w14:paraId="7A1E3D41" w14:textId="77777777" w:rsidR="008B38C1" w:rsidRDefault="008B38C1">
                  <w:pPr>
                    <w:pStyle w:val="TableTextLeft"/>
                  </w:pPr>
                  <w:r>
                    <w:t>Minimal use</w:t>
                  </w:r>
                </w:p>
              </w:tc>
              <w:tc>
                <w:tcPr>
                  <w:tcW w:w="1576" w:type="dxa"/>
                  <w:noWrap/>
                  <w:vAlign w:val="center"/>
                  <w:hideMark/>
                </w:tcPr>
                <w:p w14:paraId="7520D8BA" w14:textId="77777777" w:rsidR="008B38C1" w:rsidRDefault="008B38C1" w:rsidP="000350BE">
                  <w:pPr>
                    <w:pStyle w:val="TableTextRight0"/>
                  </w:pPr>
                  <w:r>
                    <w:t>5</w:t>
                  </w:r>
                  <w:r w:rsidR="001F259B">
                    <w:t>,</w:t>
                  </w:r>
                  <w:r>
                    <w:t>608</w:t>
                  </w:r>
                </w:p>
              </w:tc>
            </w:tr>
            <w:tr w:rsidR="008B38C1" w14:paraId="6B23670C" w14:textId="77777777" w:rsidTr="00F27BC3">
              <w:trPr>
                <w:trHeight w:val="300"/>
              </w:trPr>
              <w:tc>
                <w:tcPr>
                  <w:tcW w:w="2620" w:type="dxa"/>
                  <w:noWrap/>
                  <w:vAlign w:val="center"/>
                  <w:hideMark/>
                </w:tcPr>
                <w:p w14:paraId="664E3078" w14:textId="77777777" w:rsidR="008B38C1" w:rsidRDefault="008B38C1">
                  <w:pPr>
                    <w:pStyle w:val="TableTextLeft"/>
                  </w:pPr>
                  <w:r>
                    <w:t>Urban intensive uses</w:t>
                  </w:r>
                </w:p>
              </w:tc>
              <w:tc>
                <w:tcPr>
                  <w:tcW w:w="1576" w:type="dxa"/>
                  <w:noWrap/>
                  <w:vAlign w:val="center"/>
                  <w:hideMark/>
                </w:tcPr>
                <w:p w14:paraId="60A66952" w14:textId="77777777" w:rsidR="008B38C1" w:rsidRDefault="008B38C1" w:rsidP="000350BE">
                  <w:pPr>
                    <w:pStyle w:val="TableTextRight0"/>
                  </w:pPr>
                  <w:r>
                    <w:t>640</w:t>
                  </w:r>
                </w:p>
              </w:tc>
            </w:tr>
          </w:tbl>
          <w:p w14:paraId="483525A7"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p>
        </w:tc>
      </w:tr>
      <w:tr w:rsidR="008B38C1" w14:paraId="07D5AEAE"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255A112" w14:textId="77777777" w:rsidR="008B38C1" w:rsidRDefault="008B38C1">
            <w:pPr>
              <w:pStyle w:val="TableTextLeft"/>
            </w:pPr>
            <w:r>
              <w:t>Aboriginal Protected Area (CAPAD 2016) and Native title (area</w:t>
            </w:r>
            <w:r w:rsidR="008232C9">
              <w:t> km</w:t>
            </w:r>
            <w:r>
              <w:rPr>
                <w:vertAlign w:val="superscript"/>
              </w:rPr>
              <w:t>2</w:t>
            </w:r>
            <w:r>
              <w:t>)</w:t>
            </w:r>
          </w:p>
        </w:tc>
        <w:tc>
          <w:tcPr>
            <w:tcW w:w="2421" w:type="pct"/>
          </w:tcPr>
          <w:p w14:paraId="4A10F0F4"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r>
              <w:t>135,812</w:t>
            </w:r>
          </w:p>
          <w:p w14:paraId="06F88A13" w14:textId="77777777" w:rsidR="008B38C1" w:rsidRDefault="008B38C1">
            <w:pPr>
              <w:pStyle w:val="TableTextLeft"/>
              <w:cnfStyle w:val="100000000000" w:firstRow="1" w:lastRow="0" w:firstColumn="0" w:lastColumn="0" w:oddVBand="0" w:evenVBand="0" w:oddHBand="0" w:evenHBand="0" w:firstRowFirstColumn="0" w:firstRowLastColumn="0" w:lastRowFirstColumn="0" w:lastRowLastColumn="0"/>
            </w:pPr>
          </w:p>
        </w:tc>
      </w:tr>
    </w:tbl>
    <w:p w14:paraId="2B9B1065" w14:textId="77777777" w:rsidR="00527F5D" w:rsidRDefault="00527F5D" w:rsidP="00473729">
      <w:pPr>
        <w:pStyle w:val="BodyText"/>
      </w:pPr>
    </w:p>
    <w:p w14:paraId="76D0BB98" w14:textId="77777777" w:rsidR="008B38C1" w:rsidRDefault="008B38C1" w:rsidP="00035C4A">
      <w:pPr>
        <w:pStyle w:val="Heading3notnumbered"/>
      </w:pPr>
      <w:bookmarkStart w:id="327" w:name="_Toc517161210"/>
      <w:r>
        <w:t>Key references</w:t>
      </w:r>
      <w:bookmarkEnd w:id="327"/>
    </w:p>
    <w:p w14:paraId="360A2E9C" w14:textId="77777777" w:rsidR="00727542" w:rsidRDefault="00727542" w:rsidP="00727542">
      <w:pPr>
        <w:pStyle w:val="References"/>
      </w:pPr>
      <w:r>
        <w:t>AER (Australian Energy Regulator) (2017) State of the energy market, May 2017. Viewed 16/01/2018, &lt;</w:t>
      </w:r>
      <w:hyperlink r:id="rId440" w:history="1">
        <w:r w:rsidRPr="00165029">
          <w:rPr>
            <w:rStyle w:val="Hyperlink"/>
          </w:rPr>
          <w:t>https://www.aer.gov.au/publications/state-of-the-energy-market-reports/state-of-the-energy-market-may-2017</w:t>
        </w:r>
      </w:hyperlink>
      <w:r>
        <w:t>&gt;.</w:t>
      </w:r>
    </w:p>
    <w:p w14:paraId="3FAADB28" w14:textId="77777777" w:rsidR="00727542" w:rsidRDefault="00727542" w:rsidP="00727542">
      <w:pPr>
        <w:pStyle w:val="References"/>
      </w:pPr>
      <w:r>
        <w:t>AERA (Australian Energy Resources Assessment) (2018) Australian Energy Resources Assessment interim report, Geoscience Australia, Canberra. Viewed 16/01/2018, &lt;</w:t>
      </w:r>
      <w:hyperlink r:id="rId441" w:history="1">
        <w:r w:rsidRPr="00C40D71">
          <w:rPr>
            <w:rStyle w:val="Hyperlink"/>
          </w:rPr>
          <w:t>http://www.ga.gov.au/aera</w:t>
        </w:r>
      </w:hyperlink>
      <w:r w:rsidRPr="00727542">
        <w:t xml:space="preserve">&gt;. </w:t>
      </w:r>
      <w:r>
        <w:t xml:space="preserve">  </w:t>
      </w:r>
    </w:p>
    <w:p w14:paraId="6B1C935C" w14:textId="77777777" w:rsidR="00727542" w:rsidRDefault="00727542" w:rsidP="00727542">
      <w:pPr>
        <w:pStyle w:val="References"/>
      </w:pPr>
      <w:r>
        <w:t>APPEA (2017) Shale g</w:t>
      </w:r>
      <w:r w:rsidRPr="00985702">
        <w:t>as in Australia</w:t>
      </w:r>
      <w:r>
        <w:t>. Viewed 15/01/2018,</w:t>
      </w:r>
      <w:r w:rsidRPr="00985702">
        <w:t xml:space="preserve"> </w:t>
      </w:r>
      <w:r>
        <w:t>&lt;</w:t>
      </w:r>
      <w:hyperlink r:id="rId442" w:history="1">
        <w:r w:rsidRPr="000E4EFC">
          <w:rPr>
            <w:rStyle w:val="Hyperlink"/>
          </w:rPr>
          <w:t>https://www.shale-gas.com.au/environment/regulation-and-licensing/</w:t>
        </w:r>
      </w:hyperlink>
      <w:r>
        <w:t>&gt;.</w:t>
      </w:r>
    </w:p>
    <w:p w14:paraId="639B958A" w14:textId="767F2A6E" w:rsidR="005868B3" w:rsidRDefault="005868B3" w:rsidP="008B38C1">
      <w:pPr>
        <w:pStyle w:val="References"/>
      </w:pPr>
      <w:r>
        <w:t xml:space="preserve">Armour Energy </w:t>
      </w:r>
      <w:r w:rsidR="003462EE">
        <w:t>(</w:t>
      </w:r>
      <w:r>
        <w:t>2012</w:t>
      </w:r>
      <w:r w:rsidR="003462EE">
        <w:t>)</w:t>
      </w:r>
      <w:r>
        <w:t xml:space="preserve"> Replacement prospectus 2012</w:t>
      </w:r>
      <w:r w:rsidR="006B0C28">
        <w:t>.</w:t>
      </w:r>
      <w:r>
        <w:t xml:space="preserve"> </w:t>
      </w:r>
      <w:r w:rsidR="003462EE">
        <w:t>Viewed 08/07/2017, &lt;</w:t>
      </w:r>
      <w:hyperlink r:id="rId443" w:history="1">
        <w:r w:rsidRPr="00051CBC">
          <w:rPr>
            <w:rStyle w:val="Hyperlink"/>
          </w:rPr>
          <w:t>http://www.armourenergy.com.au/assets/downloads/prospectus/armour-energy-limited-prospectus_with-apps_20120320.pdf</w:t>
        </w:r>
      </w:hyperlink>
      <w:r w:rsidR="003462EE">
        <w:t>&gt;.</w:t>
      </w:r>
    </w:p>
    <w:p w14:paraId="62C4B1F6" w14:textId="049EE6AD" w:rsidR="005868B3" w:rsidRDefault="005868B3" w:rsidP="008B38C1">
      <w:pPr>
        <w:pStyle w:val="References"/>
      </w:pPr>
      <w:r>
        <w:t xml:space="preserve">Armour Energy </w:t>
      </w:r>
      <w:r w:rsidR="003462EE">
        <w:t>(</w:t>
      </w:r>
      <w:r>
        <w:t>2017</w:t>
      </w:r>
      <w:r w:rsidR="003462EE">
        <w:t>)</w:t>
      </w:r>
      <w:r>
        <w:t xml:space="preserve"> Northern Territory</w:t>
      </w:r>
      <w:r w:rsidR="006B0C28">
        <w:t>.</w:t>
      </w:r>
      <w:r>
        <w:t xml:space="preserve"> </w:t>
      </w:r>
      <w:r w:rsidR="003462EE">
        <w:t>Viewed 22/01/2018, &lt;</w:t>
      </w:r>
      <w:hyperlink r:id="rId444" w:history="1">
        <w:r w:rsidR="003462EE" w:rsidRPr="00F14B0E">
          <w:rPr>
            <w:rStyle w:val="Hyperlink"/>
          </w:rPr>
          <w:t>https://www.armourenergy.com.au/northern-territory/</w:t>
        </w:r>
      </w:hyperlink>
      <w:r w:rsidR="003462EE">
        <w:t>&gt;.</w:t>
      </w:r>
    </w:p>
    <w:p w14:paraId="6452E32B" w14:textId="77777777" w:rsidR="00727542" w:rsidRPr="00150F31" w:rsidRDefault="00727542" w:rsidP="00727542">
      <w:pPr>
        <w:pStyle w:val="References"/>
      </w:pPr>
      <w:r w:rsidRPr="00150F31">
        <w:t>AWT International</w:t>
      </w:r>
      <w:r>
        <w:t xml:space="preserve"> (</w:t>
      </w:r>
      <w:r w:rsidRPr="00150F31">
        <w:t>2013</w:t>
      </w:r>
      <w:r>
        <w:t xml:space="preserve">) </w:t>
      </w:r>
      <w:r w:rsidRPr="00150F31">
        <w:t>Shale Gas Prospectivity Potential Report prepared for the Australian Council of Learned Academies (ACOLA</w:t>
      </w:r>
      <w:r>
        <w:t xml:space="preserve">) </w:t>
      </w:r>
      <w:r w:rsidRPr="00150F31">
        <w:t>54 p.</w:t>
      </w:r>
    </w:p>
    <w:p w14:paraId="1734CE58" w14:textId="77777777" w:rsidR="003462EE" w:rsidRDefault="003462EE" w:rsidP="003462EE">
      <w:pPr>
        <w:pStyle w:val="References"/>
      </w:pPr>
      <w:r>
        <w:t>BoM (Bureau of Meteorology) (2014) Australian Hydrological Geospatial Fabric (“Geofabric”), version 2.1.1. Viewed 02/08/2017, &lt;</w:t>
      </w:r>
      <w:hyperlink r:id="rId445" w:history="1">
        <w:r w:rsidRPr="00DA1EAB">
          <w:rPr>
            <w:rStyle w:val="Hyperlink"/>
          </w:rPr>
          <w:t>http://www.bom.gov.au/water/geofabric/download.shtml</w:t>
        </w:r>
      </w:hyperlink>
      <w:r>
        <w:t>&gt;.</w:t>
      </w:r>
    </w:p>
    <w:p w14:paraId="5FDCC1D6" w14:textId="77777777" w:rsidR="003462EE" w:rsidRDefault="003462EE" w:rsidP="003462EE">
      <w:pPr>
        <w:pStyle w:val="References"/>
      </w:pPr>
      <w:r>
        <w:t>BoM (Bureau of Meteorology) (2016). National Groundwater Information System, v.1.3. Viewed 07/07/2017, &lt;</w:t>
      </w:r>
      <w:hyperlink r:id="rId446" w:history="1">
        <w:r w:rsidRPr="00DA1EAB">
          <w:rPr>
            <w:rStyle w:val="Hyperlink"/>
          </w:rPr>
          <w:t>http://www.bom.gov.au/water/groundwater/ngis/</w:t>
        </w:r>
      </w:hyperlink>
      <w:r>
        <w:t>&gt;.</w:t>
      </w:r>
    </w:p>
    <w:p w14:paraId="310FEF9B" w14:textId="2C5DD6A6" w:rsidR="005868B3" w:rsidRDefault="005868B3" w:rsidP="008B38C1">
      <w:pPr>
        <w:pStyle w:val="References"/>
      </w:pPr>
      <w:r>
        <w:t xml:space="preserve">Bruna PO and Dhu T </w:t>
      </w:r>
      <w:r w:rsidR="003462EE">
        <w:t>(</w:t>
      </w:r>
      <w:r>
        <w:t>2015</w:t>
      </w:r>
      <w:r w:rsidR="003462EE">
        <w:t>)</w:t>
      </w:r>
      <w:r>
        <w:t xml:space="preserve"> 3D model of the greater McArthur Basin, Version 2015.1. Northern Territory Geological Survey, Digital Information Package DIP 012.</w:t>
      </w:r>
    </w:p>
    <w:p w14:paraId="4B67D8C3" w14:textId="4DBE24FC" w:rsidR="005868B3" w:rsidRDefault="005868B3" w:rsidP="008B38C1">
      <w:pPr>
        <w:pStyle w:val="References"/>
      </w:pPr>
      <w:r>
        <w:lastRenderedPageBreak/>
        <w:t xml:space="preserve">Bruwer Q and Tickell SJ </w:t>
      </w:r>
      <w:r w:rsidR="003462EE">
        <w:t>(</w:t>
      </w:r>
      <w:r>
        <w:t>2015</w:t>
      </w:r>
      <w:r w:rsidR="003462EE">
        <w:t>)</w:t>
      </w:r>
      <w:r>
        <w:t xml:space="preserve"> Daly Basin Groundwater Resource Assessment - North Mataranka to Daly Waters, Department of Land Resource Management, Water Resources Report Number 20/2015D</w:t>
      </w:r>
    </w:p>
    <w:p w14:paraId="59BC2740" w14:textId="77777777" w:rsidR="00923F1B" w:rsidRPr="00356E9E" w:rsidRDefault="00923F1B" w:rsidP="00923F1B">
      <w:pPr>
        <w:pStyle w:val="References"/>
      </w:pPr>
      <w:r>
        <w:t xml:space="preserve">CAPAD (2016) </w:t>
      </w:r>
      <w:r w:rsidRPr="00356E9E">
        <w:t>Collaborative Australia</w:t>
      </w:r>
      <w:r>
        <w:t>n Protected Area Database, 2016 S</w:t>
      </w:r>
      <w:r w:rsidRPr="00356E9E">
        <w:t>patial dataset provided from the Departmen</w:t>
      </w:r>
      <w:r>
        <w:t>t of the Environment and Energy.</w:t>
      </w:r>
      <w:r w:rsidRPr="00356E9E">
        <w:t xml:space="preserve"> </w:t>
      </w:r>
      <w:r>
        <w:t>Viewed 18/07/2017, &lt;</w:t>
      </w:r>
      <w:hyperlink r:id="rId447" w:history="1">
        <w:r w:rsidRPr="00456161">
          <w:rPr>
            <w:rStyle w:val="Hyperlink"/>
          </w:rPr>
          <w:t>https://www.environment.gov.au/land/nrs/science/capad/2016</w:t>
        </w:r>
      </w:hyperlink>
      <w:r>
        <w:t>&gt;.</w:t>
      </w:r>
      <w:r w:rsidRPr="00356E9E">
        <w:t xml:space="preserve"> </w:t>
      </w:r>
    </w:p>
    <w:p w14:paraId="700F1765" w14:textId="77777777" w:rsidR="00923F1B" w:rsidRPr="009E7E91" w:rsidRDefault="00923F1B" w:rsidP="00923F1B">
      <w:pPr>
        <w:pStyle w:val="References"/>
        <w:rPr>
          <w:rStyle w:val="Hyperlink"/>
          <w:rFonts w:eastAsia="Times"/>
        </w:rPr>
      </w:pPr>
      <w:r w:rsidRPr="00AA00C4">
        <w:rPr>
          <w:rFonts w:eastAsia="Times"/>
        </w:rPr>
        <w:t>Carr LK</w:t>
      </w:r>
      <w:r>
        <w:rPr>
          <w:rFonts w:eastAsia="Times"/>
        </w:rPr>
        <w:t>,</w:t>
      </w:r>
      <w:r w:rsidRPr="00AA00C4">
        <w:rPr>
          <w:rFonts w:eastAsia="Times"/>
        </w:rPr>
        <w:t xml:space="preserve"> Korsch RJ, Palu </w:t>
      </w:r>
      <w:r>
        <w:rPr>
          <w:rFonts w:eastAsia="Times"/>
        </w:rPr>
        <w:t>T</w:t>
      </w:r>
      <w:r w:rsidRPr="00AA00C4">
        <w:rPr>
          <w:rFonts w:eastAsia="Times"/>
        </w:rPr>
        <w:t xml:space="preserve">J and Reese B </w:t>
      </w:r>
      <w:r>
        <w:rPr>
          <w:rFonts w:eastAsia="Times"/>
        </w:rPr>
        <w:t>(</w:t>
      </w:r>
      <w:r w:rsidRPr="00AA00C4">
        <w:rPr>
          <w:rFonts w:eastAsia="Times"/>
        </w:rPr>
        <w:t>2016</w:t>
      </w:r>
      <w:r>
        <w:rPr>
          <w:rFonts w:eastAsia="Times"/>
        </w:rPr>
        <w:t>)</w:t>
      </w:r>
      <w:r w:rsidRPr="00AA00C4">
        <w:rPr>
          <w:rFonts w:eastAsia="Times"/>
        </w:rPr>
        <w:t xml:space="preserve"> Onshore Basin Inventory: the McArthur, South Nicholson, Georgina, Wiso, Amadeus, Warburton, Cooper and Galilee basins, central Australia. Record 2016/04. Geoscience Australia, Canberra. </w:t>
      </w:r>
      <w:r>
        <w:t>Viewed 22/01/2018, &lt;</w:t>
      </w:r>
      <w:hyperlink r:id="rId448" w:history="1">
        <w:r w:rsidRPr="000E4EFC">
          <w:rPr>
            <w:rStyle w:val="Hyperlink"/>
          </w:rPr>
          <w:t>http://dx.doi.org/10.11636/Record.2016.004</w:t>
        </w:r>
      </w:hyperlink>
      <w:r>
        <w:rPr>
          <w:rStyle w:val="Hyperlink"/>
        </w:rPr>
        <w:t>&gt;.</w:t>
      </w:r>
    </w:p>
    <w:p w14:paraId="6E1A3690" w14:textId="7FAE5F70" w:rsidR="005868B3" w:rsidRDefault="005868B3" w:rsidP="008B38C1">
      <w:pPr>
        <w:pStyle w:val="References"/>
        <w:rPr>
          <w:rFonts w:eastAsia="Times New Roman"/>
        </w:rPr>
      </w:pPr>
      <w:r>
        <w:t xml:space="preserve">CSIRO </w:t>
      </w:r>
      <w:r w:rsidR="003462EE">
        <w:t>(</w:t>
      </w:r>
      <w:r>
        <w:t>2009a</w:t>
      </w:r>
      <w:r w:rsidR="003462EE">
        <w:t>)</w:t>
      </w:r>
      <w:r>
        <w:t xml:space="preserve"> Water in the Arafura region. In: CSIRO (2009) Water in the Timor Sea Drainage Division. A report to the Australian Government from the CSIRO Northern Australia Sustainable Yields Project. CSIRO Water for a Healthy Country Flagship, Australia, 453-507</w:t>
      </w:r>
    </w:p>
    <w:p w14:paraId="7EAC13F1" w14:textId="3B83152F" w:rsidR="005868B3" w:rsidRDefault="003462EE" w:rsidP="008B38C1">
      <w:pPr>
        <w:pStyle w:val="References"/>
      </w:pPr>
      <w:r>
        <w:t>CSIRO (</w:t>
      </w:r>
      <w:r w:rsidR="005868B3">
        <w:t>2009b</w:t>
      </w:r>
      <w:r>
        <w:t>)</w:t>
      </w:r>
      <w:r w:rsidR="005868B3">
        <w:t xml:space="preserve"> Water in the Roper region. In: CSIRO (2009) Water in the Gulf of Carpentaria Drainage Division. A report to the Australian Government from the CSIRO Northern Australia Sustainable Yields Project. CSIRO Water for a Healthy Country Flagship, Australia. 59-120</w:t>
      </w:r>
    </w:p>
    <w:p w14:paraId="2A85F877" w14:textId="4E2EBEFA" w:rsidR="005868B3" w:rsidRDefault="005868B3" w:rsidP="008B38C1">
      <w:pPr>
        <w:pStyle w:val="References"/>
      </w:pPr>
      <w:r>
        <w:t xml:space="preserve">CSIRO </w:t>
      </w:r>
      <w:r w:rsidR="003462EE">
        <w:t>(</w:t>
      </w:r>
      <w:r>
        <w:t>2009c</w:t>
      </w:r>
      <w:r w:rsidR="003462EE">
        <w:t>)</w:t>
      </w:r>
      <w:r>
        <w:t xml:space="preserve"> Water in the South-West Gulf region. In: CSIRO (2009) Water in the Gulf of Carpentaria Drainage Division. A report to the Australian Government from the CSIRO Northern Australia Sustainable Yields Project. CSIRO Water for a Healthy Country Flagship, Australia, 121-185</w:t>
      </w:r>
    </w:p>
    <w:p w14:paraId="7099C711" w14:textId="5C47646B" w:rsidR="005868B3" w:rsidRDefault="005868B3" w:rsidP="008B38C1">
      <w:pPr>
        <w:pStyle w:val="References"/>
      </w:pPr>
      <w:r>
        <w:t xml:space="preserve">Close DF </w:t>
      </w:r>
      <w:r w:rsidR="003462EE">
        <w:t>(</w:t>
      </w:r>
      <w:r>
        <w:t>2014</w:t>
      </w:r>
      <w:r w:rsidR="003462EE">
        <w:t>)</w:t>
      </w:r>
      <w:r>
        <w:t xml:space="preserve"> The McArthur Basin: NTGS’ approach to a frontier petroleum basin with known base metal prospectivity. In: Annual Geoscience Exploration Seminar (AGES) 2014. Record of abstracts. Northern Territory Geological Survey, Record, 2014-001, 85–89.</w:t>
      </w:r>
    </w:p>
    <w:p w14:paraId="4DA7A95D" w14:textId="79087798" w:rsidR="00983C9B" w:rsidRDefault="00983C9B" w:rsidP="00983C9B">
      <w:pPr>
        <w:pStyle w:val="References"/>
      </w:pPr>
      <w:r>
        <w:t>Close D, Côté A, Baruch E, Altmann C, Mohinudeen F, Richards B, Ilett R, Evans R and Stonier S (</w:t>
      </w:r>
      <w:r w:rsidRPr="006B07A3">
        <w:t>2017</w:t>
      </w:r>
      <w:r>
        <w:t xml:space="preserve">) </w:t>
      </w:r>
      <w:r w:rsidRPr="006B07A3">
        <w:t>Exploring the Beetaloo: will Australia’s first viable shale play be sourced by billion yea</w:t>
      </w:r>
      <w:r>
        <w:t>r old gas? The APPEA Journal 57</w:t>
      </w:r>
      <w:r w:rsidRPr="006B07A3">
        <w:t>(2).</w:t>
      </w:r>
    </w:p>
    <w:p w14:paraId="5676CF36" w14:textId="534C8592" w:rsidR="005868B3" w:rsidRPr="00051CBC" w:rsidRDefault="005868B3" w:rsidP="00051CBC">
      <w:pPr>
        <w:pStyle w:val="References"/>
      </w:pPr>
      <w:r w:rsidRPr="00051CBC">
        <w:t xml:space="preserve">Connors K and Krassay A </w:t>
      </w:r>
      <w:r w:rsidR="003462EE">
        <w:t>(</w:t>
      </w:r>
      <w:r w:rsidRPr="00051CBC">
        <w:t>2015</w:t>
      </w:r>
      <w:r w:rsidR="003462EE">
        <w:t>)</w:t>
      </w:r>
      <w:r w:rsidRPr="00051CBC">
        <w:t xml:space="preserve"> </w:t>
      </w:r>
      <w:r w:rsidRPr="00147CAE">
        <w:t>Understanding unconventional petroleum resources of the greater McArthur Basin from potential field, well and seismic data</w:t>
      </w:r>
      <w:r w:rsidRPr="00051CBC">
        <w:t>. In: Annual Geoscience Exploration Seminar (AGES) 2015. Record of abstracts. Northern Territory Geological Survey, Record, 2015-002, 31–33.</w:t>
      </w:r>
    </w:p>
    <w:p w14:paraId="4B15DAB5" w14:textId="77777777" w:rsidR="00983C9B" w:rsidRPr="00CD20C0" w:rsidRDefault="00983C9B" w:rsidP="00983C9B">
      <w:pPr>
        <w:pStyle w:val="References"/>
      </w:pPr>
      <w:r w:rsidRPr="00CD20C0">
        <w:t>DNRM (Department of Natural Resources and Mines)</w:t>
      </w:r>
      <w:r>
        <w:t xml:space="preserve"> (2</w:t>
      </w:r>
      <w:r w:rsidRPr="00CD20C0">
        <w:t>0</w:t>
      </w:r>
      <w:r>
        <w:t>17)</w:t>
      </w:r>
      <w:r w:rsidRPr="00CD20C0">
        <w:t xml:space="preserve"> Queensland’s unconventional petroleum potential – shale oil and gas, tight gas and coal seam gas. Department of Natural </w:t>
      </w:r>
      <w:r>
        <w:t>Resources and Mines, Queensland. Viewed</w:t>
      </w:r>
      <w:r w:rsidRPr="00CD20C0">
        <w:t xml:space="preserve"> </w:t>
      </w:r>
      <w:r>
        <w:t>16/01/2018, &lt;</w:t>
      </w:r>
      <w:hyperlink r:id="rId449" w:history="1">
        <w:r w:rsidRPr="00CD20C0">
          <w:rPr>
            <w:rStyle w:val="Hyperlink"/>
          </w:rPr>
          <w:t>https://www.business.qld.gov.au/industries/invest/mining/resources-potential/petroleum-gas</w:t>
        </w:r>
      </w:hyperlink>
      <w:r>
        <w:t xml:space="preserve">&gt;. </w:t>
      </w:r>
    </w:p>
    <w:p w14:paraId="37A5AAD7" w14:textId="77777777" w:rsidR="00B221F1" w:rsidRDefault="00B221F1" w:rsidP="0006515C">
      <w:pPr>
        <w:pStyle w:val="References"/>
        <w:keepLines/>
      </w:pPr>
      <w:r>
        <w:lastRenderedPageBreak/>
        <w:t>DNRME (Department of Natural Resources, Mines and Energy) (2017a) Petroleum well locations – Queensland. Viewed 23/07/2017, &lt;</w:t>
      </w:r>
      <w:hyperlink r:id="rId450" w:history="1">
        <w:r w:rsidRPr="00E46720">
          <w:rPr>
            <w:rStyle w:val="Hyperlink"/>
          </w:rPr>
          <w:t>http://qldspatial.information.qld.gov.au/catalogue/custom/detail.page?fid=%7bCBBE665F-60A8-4116-87C8-AEBF0D21B97C%7d</w:t>
        </w:r>
      </w:hyperlink>
      <w:r>
        <w:t>&gt;.</w:t>
      </w:r>
    </w:p>
    <w:p w14:paraId="6997C568" w14:textId="77777777" w:rsidR="00B221F1" w:rsidRDefault="00B221F1" w:rsidP="00B221F1">
      <w:pPr>
        <w:pStyle w:val="References"/>
      </w:pPr>
      <w:r>
        <w:t>DNRME (Department of Natural Resources, Mines and Energy) (2017b) Seismic survey 2D – Queensland</w:t>
      </w:r>
      <w:r>
        <w:rPr>
          <w:b/>
        </w:rPr>
        <w:t xml:space="preserve">. </w:t>
      </w:r>
      <w:r>
        <w:t>Viewed 23/07/2017, &lt;</w:t>
      </w:r>
      <w:hyperlink r:id="rId451" w:history="1">
        <w:r w:rsidRPr="0065740D">
          <w:rPr>
            <w:rStyle w:val="Hyperlink"/>
          </w:rPr>
          <w:t>http://qldspatial.information.qld.gov.au/catalogue/custom/index.page</w:t>
        </w:r>
      </w:hyperlink>
      <w:r>
        <w:t>&gt;.</w:t>
      </w:r>
    </w:p>
    <w:p w14:paraId="7E7D15AC" w14:textId="77777777" w:rsidR="00B221F1" w:rsidRDefault="00B221F1" w:rsidP="00B221F1">
      <w:pPr>
        <w:pStyle w:val="References"/>
      </w:pPr>
      <w:r>
        <w:t>DNRME (Department of Natural Resources, Mines and Energy) (2017c) Seismic survey 3D – Queensland. Viewed 23/07/2017, &lt;</w:t>
      </w:r>
      <w:hyperlink r:id="rId452" w:history="1">
        <w:r w:rsidRPr="0065740D">
          <w:rPr>
            <w:rStyle w:val="Hyperlink"/>
          </w:rPr>
          <w:t>http://qldspatial.information.qld.gov.au/catalogue/custom/index.page</w:t>
        </w:r>
      </w:hyperlink>
      <w:r>
        <w:rPr>
          <w:rStyle w:val="Hyperlink"/>
        </w:rPr>
        <w:t>&gt;</w:t>
      </w:r>
      <w:r>
        <w:t>.</w:t>
      </w:r>
    </w:p>
    <w:p w14:paraId="1FB56118" w14:textId="77777777" w:rsidR="00B221F1" w:rsidRDefault="00B221F1" w:rsidP="00B221F1">
      <w:pPr>
        <w:pStyle w:val="References"/>
      </w:pPr>
      <w:r>
        <w:t>DNRME (Department of Natural Resources, Mines and Energy) (2017d) Seismic survey deep – Queensland. Viewed 23/07/2017, &lt;</w:t>
      </w:r>
      <w:hyperlink r:id="rId453" w:history="1">
        <w:r w:rsidRPr="0065740D">
          <w:rPr>
            <w:rStyle w:val="Hyperlink"/>
          </w:rPr>
          <w:t>http://qldspatial.information.qld.gov.au/catalogue/custom/index.page</w:t>
        </w:r>
      </w:hyperlink>
      <w:r>
        <w:rPr>
          <w:rStyle w:val="Hyperlink"/>
        </w:rPr>
        <w:t>&gt;</w:t>
      </w:r>
      <w:r>
        <w:t>.</w:t>
      </w:r>
    </w:p>
    <w:p w14:paraId="26F82402" w14:textId="66D84F3A" w:rsidR="005868B3" w:rsidRDefault="005868B3" w:rsidP="008B38C1">
      <w:pPr>
        <w:pStyle w:val="References"/>
      </w:pPr>
      <w:r>
        <w:t>DSEWPC (Department of Sustainability, Environment, Wate</w:t>
      </w:r>
      <w:r w:rsidR="003462EE">
        <w:t>r, Population and Communities) (</w:t>
      </w:r>
      <w:r>
        <w:t>2012</w:t>
      </w:r>
      <w:r w:rsidR="003462EE">
        <w:t>)</w:t>
      </w:r>
      <w:r>
        <w:t xml:space="preserve"> Kakadu National Park – a distinctive natural and cultural experience. In: Wetlands Australia National Wetlands Update 2012, Issue No. 20, February 2012. Hosted on the website of the Department of the Environment and Energy. </w:t>
      </w:r>
      <w:r w:rsidR="003462EE">
        <w:t>Viewed 09/08/2017, &lt;</w:t>
      </w:r>
      <w:hyperlink r:id="rId454" w:history="1">
        <w:r w:rsidRPr="00D407BA">
          <w:rPr>
            <w:rStyle w:val="Hyperlink"/>
          </w:rPr>
          <w:t>http://www.environment.gov.au/water/wetlands/publications/wetlands-australia/national-wetlands-update-february-2012-</w:t>
        </w:r>
        <w:r>
          <w:rPr>
            <w:rStyle w:val="Hyperlink"/>
            <w:u w:val="single"/>
          </w:rPr>
          <w:t>8</w:t>
        </w:r>
      </w:hyperlink>
      <w:r w:rsidR="003462EE">
        <w:t>&gt;.</w:t>
      </w:r>
      <w:r>
        <w:t xml:space="preserve"> </w:t>
      </w:r>
    </w:p>
    <w:p w14:paraId="7E032031" w14:textId="77777777" w:rsidR="00983C9B" w:rsidRPr="00C03A7D" w:rsidRDefault="00983C9B" w:rsidP="00983C9B">
      <w:pPr>
        <w:pStyle w:val="References"/>
        <w:rPr>
          <w:rStyle w:val="Hyperlink"/>
        </w:rPr>
      </w:pPr>
      <w:r w:rsidRPr="00DD43E4">
        <w:t xml:space="preserve">EIA (Energy Information Administration) </w:t>
      </w:r>
      <w:r>
        <w:t>(</w:t>
      </w:r>
      <w:r w:rsidRPr="00DD43E4">
        <w:t>2013</w:t>
      </w:r>
      <w:r>
        <w:t>)</w:t>
      </w:r>
      <w:r w:rsidRPr="00DD43E4">
        <w:t xml:space="preserve"> Technically Recoverable Shale Oil and Shale Gas Resources: An Assessment of 137 Shale Formations in 41 Countries Outside the United States. United States Energy Information Administration, 730 p. </w:t>
      </w:r>
      <w:r>
        <w:t>Viewed</w:t>
      </w:r>
      <w:r w:rsidRPr="00CD20C0">
        <w:t xml:space="preserve"> </w:t>
      </w:r>
      <w:r>
        <w:t>16/01/2018, &lt;</w:t>
      </w:r>
      <w:hyperlink r:id="rId455" w:history="1">
        <w:r w:rsidRPr="00635952">
          <w:rPr>
            <w:rStyle w:val="Hyperlink"/>
          </w:rPr>
          <w:t>https://www.eia.gov/analysis/studies/worldshalegas/pdf/overview.pdf</w:t>
        </w:r>
      </w:hyperlink>
      <w:r>
        <w:t>&gt;.</w:t>
      </w:r>
    </w:p>
    <w:p w14:paraId="08381266" w14:textId="13A0C4D7" w:rsidR="005868B3" w:rsidRDefault="005868B3" w:rsidP="008B38C1">
      <w:pPr>
        <w:pStyle w:val="References"/>
      </w:pPr>
      <w:r>
        <w:t>Falcon</w:t>
      </w:r>
      <w:r w:rsidR="003462EE">
        <w:t xml:space="preserve"> (</w:t>
      </w:r>
      <w:r>
        <w:t>2017</w:t>
      </w:r>
      <w:r w:rsidR="003462EE">
        <w:t>)</w:t>
      </w:r>
      <w:r>
        <w:t xml:space="preserve"> Beetaloo Basin drilling results indicate material gas resource</w:t>
      </w:r>
      <w:r w:rsidR="003462EE">
        <w:t>. Viewed 22/01/2018, &lt;</w:t>
      </w:r>
      <w:hyperlink r:id="rId456" w:history="1">
        <w:r w:rsidRPr="00D407BA">
          <w:rPr>
            <w:rStyle w:val="Hyperlink"/>
          </w:rPr>
          <w:t>www.falconoilandgas.com/uploads/pdf/Beetaloo_material_gas_resource.pdf</w:t>
        </w:r>
      </w:hyperlink>
      <w:r w:rsidR="003462EE">
        <w:t>&gt;.</w:t>
      </w:r>
    </w:p>
    <w:p w14:paraId="6A2678AB" w14:textId="6AAC943D" w:rsidR="005868B3" w:rsidRDefault="005868B3" w:rsidP="008B38C1">
      <w:pPr>
        <w:pStyle w:val="References"/>
      </w:pPr>
      <w:r>
        <w:t xml:space="preserve">Faulks JJ </w:t>
      </w:r>
      <w:r w:rsidR="003462EE">
        <w:t>(</w:t>
      </w:r>
      <w:r>
        <w:t>2001</w:t>
      </w:r>
      <w:r w:rsidR="003462EE">
        <w:t>)</w:t>
      </w:r>
      <w:r>
        <w:t xml:space="preserve"> An Assessment of the Physical and Ecological Condition of the Roper River and its Major Tributaries. Northern Territory Government Department of Lands, Planning and Environment, Technical Report No. 36/2001, January 2001, Katherine.</w:t>
      </w:r>
    </w:p>
    <w:p w14:paraId="60F01900" w14:textId="52F7932D" w:rsidR="005868B3" w:rsidRDefault="005868B3" w:rsidP="008B38C1">
      <w:pPr>
        <w:pStyle w:val="References"/>
      </w:pPr>
      <w:r>
        <w:t xml:space="preserve">Fulton S and Knapton A </w:t>
      </w:r>
      <w:r w:rsidR="003462EE">
        <w:t>(</w:t>
      </w:r>
      <w:r>
        <w:t>2015</w:t>
      </w:r>
      <w:r w:rsidR="003462EE">
        <w:t>)</w:t>
      </w:r>
      <w:r>
        <w:t xml:space="preserve"> Beetaloo Basin Hydrogeological Assessment. CloudGMS report to the Scientific Inquiry into Hydraulic Fracturing in the Northern Territory. </w:t>
      </w:r>
      <w:r w:rsidR="003462EE">
        <w:t>Viewed 05/07/2017, &lt;</w:t>
      </w:r>
      <w:hyperlink r:id="rId457" w:history="1">
        <w:r w:rsidRPr="00D407BA">
          <w:rPr>
            <w:rStyle w:val="Hyperlink"/>
          </w:rPr>
          <w:t>https://frackinginquiry.nt.gov.au/?a=410609</w:t>
        </w:r>
      </w:hyperlink>
      <w:r w:rsidR="003462EE">
        <w:rPr>
          <w:rStyle w:val="Hyperlink"/>
        </w:rPr>
        <w:t>&gt;.</w:t>
      </w:r>
    </w:p>
    <w:p w14:paraId="4E6266CD" w14:textId="77777777" w:rsidR="00FE4817" w:rsidRDefault="00FE4817" w:rsidP="00FE4817">
      <w:pPr>
        <w:pStyle w:val="References"/>
      </w:pPr>
      <w:r>
        <w:t xml:space="preserve">GA (Geoscience Australia) (2015a) </w:t>
      </w:r>
      <w:r w:rsidRPr="00093164">
        <w:t>Oil and Gas Infrastructure</w:t>
      </w:r>
      <w:r>
        <w:t>. Viewed 16/01/2018, &lt;</w:t>
      </w:r>
      <w:hyperlink r:id="rId458" w:history="1">
        <w:r w:rsidRPr="0065740D">
          <w:rPr>
            <w:rStyle w:val="Hyperlink"/>
          </w:rPr>
          <w:t>http://services.ga.gov.au/site_9/rest/services/Oil_Gas_Infrastructure/MapServer</w:t>
        </w:r>
      </w:hyperlink>
      <w:r>
        <w:rPr>
          <w:rStyle w:val="Hyperlink"/>
        </w:rPr>
        <w:t>&gt;.</w:t>
      </w:r>
    </w:p>
    <w:p w14:paraId="300EB3B8" w14:textId="77777777" w:rsidR="00FE4817" w:rsidRDefault="00FE4817" w:rsidP="00FE4817">
      <w:pPr>
        <w:pStyle w:val="References"/>
      </w:pPr>
      <w:r>
        <w:t xml:space="preserve">GA (Geoscience Australia) (2015b) </w:t>
      </w:r>
      <w:r w:rsidRPr="00093164">
        <w:t xml:space="preserve">Oil and Gas </w:t>
      </w:r>
      <w:r>
        <w:t xml:space="preserve">platforms. </w:t>
      </w:r>
      <w:r w:rsidRPr="000C32BC">
        <w:t>Viewed 16/01/2018</w:t>
      </w:r>
      <w:r>
        <w:t>, &lt;</w:t>
      </w:r>
      <w:hyperlink r:id="rId459" w:anchor="!0a4a79dc-978a-0e89-e054-00144fdd4fa6" w:history="1">
        <w:r w:rsidRPr="00743C84">
          <w:rPr>
            <w:rStyle w:val="Hyperlink"/>
          </w:rPr>
          <w:t>https://ecat.ga.gov.au/geonetwork/srv/eng/search#!0a4a79dc-978a-0e89-e054-00144fdd4fa6</w:t>
        </w:r>
      </w:hyperlink>
      <w:r>
        <w:rPr>
          <w:rStyle w:val="Hyperlink"/>
        </w:rPr>
        <w:t>&gt;.</w:t>
      </w:r>
      <w:r>
        <w:t xml:space="preserve"> </w:t>
      </w:r>
    </w:p>
    <w:p w14:paraId="61FA26BE" w14:textId="2F5D76E7" w:rsidR="005868B3" w:rsidRPr="00D407BA" w:rsidRDefault="005868B3" w:rsidP="00D407BA">
      <w:pPr>
        <w:pStyle w:val="References"/>
      </w:pPr>
      <w:r w:rsidRPr="00D407BA">
        <w:lastRenderedPageBreak/>
        <w:t>Jackson MJ, Muir MD and Plumb KA</w:t>
      </w:r>
      <w:r w:rsidR="00E47FE1">
        <w:t xml:space="preserve"> (</w:t>
      </w:r>
      <w:r w:rsidRPr="00D407BA">
        <w:t>1987</w:t>
      </w:r>
      <w:r w:rsidR="00E47FE1">
        <w:t>)</w:t>
      </w:r>
      <w:r w:rsidRPr="00D407BA">
        <w:t xml:space="preserve"> </w:t>
      </w:r>
      <w:r w:rsidRPr="00147CAE">
        <w:t>Geology of the southern McArthur Basin, Northern Territory</w:t>
      </w:r>
      <w:r w:rsidRPr="00D407BA">
        <w:t>. Bureau of Mineral Resources, Bulletin, 220, 173 pp.</w:t>
      </w:r>
    </w:p>
    <w:p w14:paraId="54AD388A" w14:textId="6D4C3C62" w:rsidR="005868B3" w:rsidRPr="00D407BA" w:rsidRDefault="005868B3" w:rsidP="00D407BA">
      <w:pPr>
        <w:pStyle w:val="References"/>
      </w:pPr>
      <w:r w:rsidRPr="00D407BA">
        <w:t xml:space="preserve">Jackson MJ, Scott DL and Rawlings DJ </w:t>
      </w:r>
      <w:r w:rsidR="00E47FE1">
        <w:t>(</w:t>
      </w:r>
      <w:r w:rsidRPr="00D407BA">
        <w:t>2000</w:t>
      </w:r>
      <w:r w:rsidR="00E47FE1">
        <w:t>)</w:t>
      </w:r>
      <w:r w:rsidRPr="00147CAE">
        <w:t xml:space="preserve"> Stratigraphic framework for the Leichhardt and Calvert superbasins: review and correlation of the pre-1700 ma successions between Mt Isa and McArthur River.</w:t>
      </w:r>
      <w:r w:rsidRPr="00D407BA">
        <w:t xml:space="preserve"> Australian Journal of Earth Sciences, 47, 381–403.</w:t>
      </w:r>
    </w:p>
    <w:p w14:paraId="1D78E8F6" w14:textId="77777777" w:rsidR="00E47FE1" w:rsidRDefault="00E47FE1" w:rsidP="00E47FE1">
      <w:pPr>
        <w:pStyle w:val="References"/>
      </w:pPr>
      <w:r>
        <w:t>Jacobson G and Lau JE (1987) Hydrogeology of Australia, Geoscience Australia. Viewed 10/07/2017, &lt;</w:t>
      </w:r>
      <w:hyperlink r:id="rId460" w:anchor="!a05f7892-72bf-7506-e044-00144fdd4fa6" w:history="1">
        <w:r>
          <w:rPr>
            <w:rStyle w:val="Hyperlink"/>
          </w:rPr>
          <w:t>https://ecat.ga.gov.au/geonetwork/srv/eng/search#!a05f7892-72bf-7506-e044-00144fdd4fa6</w:t>
        </w:r>
      </w:hyperlink>
      <w:r>
        <w:rPr>
          <w:rStyle w:val="Hyperlink"/>
        </w:rPr>
        <w:t>&gt;.</w:t>
      </w:r>
    </w:p>
    <w:p w14:paraId="39898944" w14:textId="77777777" w:rsidR="00E47FE1" w:rsidRDefault="00E47FE1" w:rsidP="00E47FE1">
      <w:pPr>
        <w:pStyle w:val="References"/>
      </w:pPr>
      <w:r>
        <w:t>Jemena (2017) Northern gas pipeline. Viewed 16/01/2018, &lt;</w:t>
      </w:r>
      <w:hyperlink r:id="rId461" w:history="1">
        <w:r>
          <w:rPr>
            <w:rStyle w:val="Hyperlink"/>
          </w:rPr>
          <w:t>http://jemena.com.au/industry/pipelines/northern-gas-pipeline</w:t>
        </w:r>
      </w:hyperlink>
      <w:r>
        <w:rPr>
          <w:rStyle w:val="Hyperlink"/>
        </w:rPr>
        <w:t>&gt;.</w:t>
      </w:r>
    </w:p>
    <w:p w14:paraId="439587FE" w14:textId="391208EE" w:rsidR="005868B3" w:rsidRDefault="005868B3" w:rsidP="00E47FE1">
      <w:pPr>
        <w:pStyle w:val="References"/>
      </w:pPr>
      <w:r>
        <w:t>Knapton A</w:t>
      </w:r>
      <w:r w:rsidR="00E47FE1">
        <w:t xml:space="preserve"> (</w:t>
      </w:r>
      <w:r>
        <w:t>2009a</w:t>
      </w:r>
      <w:r w:rsidR="00E47FE1">
        <w:t>)</w:t>
      </w:r>
      <w:r>
        <w:t xml:space="preserve"> An integrated surface – groundwater model of the Roper River Catchment, Northern Territory: Part A - Coupled Surface – Groundwater model. Gulf Water Study, Northern Territory Government Department of Natural Resources, Environment, the Arts and Sport, Technical Report No. 15/2009D</w:t>
      </w:r>
    </w:p>
    <w:p w14:paraId="5A8EE6BA" w14:textId="45AE6356" w:rsidR="005868B3" w:rsidRDefault="00E47FE1" w:rsidP="008B38C1">
      <w:pPr>
        <w:pStyle w:val="References"/>
      </w:pPr>
      <w:r>
        <w:t xml:space="preserve">Knapton A (2009b) </w:t>
      </w:r>
      <w:r w:rsidR="005868B3">
        <w:t>Integrated Surface - Groundwater Model of the Roper River Catchment: Part B: MIKE11 Surface Water Model. Gulf Water Study, Northern Territory Government Department of Natural Resources, Environment, The Arts and Sport, Technical Report No. 31/2009D</w:t>
      </w:r>
    </w:p>
    <w:p w14:paraId="3736440A" w14:textId="79BDC18A" w:rsidR="005868B3" w:rsidRDefault="00E47FE1" w:rsidP="008B38C1">
      <w:pPr>
        <w:pStyle w:val="References"/>
      </w:pPr>
      <w:r>
        <w:t xml:space="preserve">Knapton A (2009c) </w:t>
      </w:r>
      <w:r w:rsidR="005868B3">
        <w:t>Integrated Surface - Groundwater Model of the Roper River Catchment: Part C: FEFLOW Groundwater Model. Gulf Water Study, Northern Territory Government Department of Natural Resources, Environment, the Arts and Sport, Technical Report No. 32/2009D</w:t>
      </w:r>
    </w:p>
    <w:p w14:paraId="09919A00" w14:textId="77777777" w:rsidR="00A655D8" w:rsidRPr="000E4EFC" w:rsidRDefault="00A655D8" w:rsidP="00A655D8">
      <w:pPr>
        <w:pStyle w:val="References"/>
      </w:pPr>
      <w:r>
        <w:t>Munson TJ (2</w:t>
      </w:r>
      <w:r w:rsidRPr="000E4EFC">
        <w:t>014</w:t>
      </w:r>
      <w:r>
        <w:t xml:space="preserve">) </w:t>
      </w:r>
      <w:r w:rsidRPr="00147CAE">
        <w:t>Petroleum geology and potential of the onshore Northern Territory, 2014</w:t>
      </w:r>
      <w:r w:rsidRPr="000E4EFC">
        <w:t>. Northern Territory Geological Survey, Report 22, 242 pp.</w:t>
      </w:r>
    </w:p>
    <w:p w14:paraId="05278F88" w14:textId="216C0302" w:rsidR="005868B3" w:rsidRDefault="005868B3" w:rsidP="00D15FEC">
      <w:pPr>
        <w:pStyle w:val="References"/>
      </w:pPr>
      <w:r>
        <w:t xml:space="preserve">Northern Territory Government </w:t>
      </w:r>
      <w:r w:rsidR="00E41EC3">
        <w:t>(</w:t>
      </w:r>
      <w:r>
        <w:t>2016</w:t>
      </w:r>
      <w:r w:rsidR="00E41EC3">
        <w:t>)</w:t>
      </w:r>
      <w:r>
        <w:t xml:space="preserve"> "NT Declared Water Control Districts", Map of Water Control Districts in the Northern Territory of Australia. Drawing Ref DENR2016025, November 2016. </w:t>
      </w:r>
      <w:r w:rsidR="00E41EC3">
        <w:t>Viewed 29/09/2017, &lt;</w:t>
      </w:r>
      <w:hyperlink r:id="rId462" w:history="1">
        <w:r w:rsidR="00E41EC3" w:rsidRPr="00F14B0E">
          <w:rPr>
            <w:rStyle w:val="Hyperlink"/>
          </w:rPr>
          <w:t>http://www.ntlis.nt.gov.au/mpds/get_file?file_id=4072</w:t>
        </w:r>
      </w:hyperlink>
      <w:r w:rsidR="00E41EC3">
        <w:t>&gt;.</w:t>
      </w:r>
    </w:p>
    <w:p w14:paraId="59B9FED0" w14:textId="4219B1FB" w:rsidR="005868B3" w:rsidRDefault="005868B3" w:rsidP="00D15FEC">
      <w:pPr>
        <w:pStyle w:val="References"/>
      </w:pPr>
      <w:r w:rsidRPr="002462A9">
        <w:t xml:space="preserve">NT DLRM </w:t>
      </w:r>
      <w:r w:rsidR="00E41EC3">
        <w:t>(</w:t>
      </w:r>
      <w:r w:rsidRPr="002462A9">
        <w:t>2016</w:t>
      </w:r>
      <w:r w:rsidR="00E41EC3">
        <w:t>)</w:t>
      </w:r>
      <w:r w:rsidRPr="002462A9">
        <w:t xml:space="preserve"> "Water Allocation Plan: Tindall Limestone Aquifer, Katherine, 2016-2019". Document No: 08/2016/D. Department of Land Resource Management, Northern Territory Government. Water allocation plan made under the Water Act 1992 (NT). </w:t>
      </w:r>
      <w:r w:rsidR="00E41EC3">
        <w:t>Viewed 29/09/2017, &lt;</w:t>
      </w:r>
      <w:hyperlink r:id="rId463" w:history="1">
        <w:r w:rsidRPr="00495DBB">
          <w:rPr>
            <w:rStyle w:val="Hyperlink"/>
          </w:rPr>
          <w:t>https://denr.nt.gov.au/__data/assets/pdf_file/0020/254612/water-allocation-plan-tindall-2016-2019.pdf</w:t>
        </w:r>
      </w:hyperlink>
      <w:r w:rsidR="00E41EC3">
        <w:t>&gt;.</w:t>
      </w:r>
    </w:p>
    <w:p w14:paraId="0B325F60" w14:textId="77777777" w:rsidR="00A655D8" w:rsidRDefault="00A655D8" w:rsidP="00A655D8">
      <w:pPr>
        <w:pStyle w:val="References"/>
      </w:pPr>
      <w:r w:rsidRPr="000E4EFC">
        <w:t>NTGS (Northern Territory Geological Survey)</w:t>
      </w:r>
      <w:r>
        <w:t xml:space="preserve"> (20</w:t>
      </w:r>
      <w:r w:rsidRPr="000E4EFC">
        <w:t>17</w:t>
      </w:r>
      <w:r>
        <w:t xml:space="preserve">a) </w:t>
      </w:r>
      <w:r w:rsidRPr="000E4EFC">
        <w:t>Geoscience exploration and mining information system (GEMIS) – Petroleum wells</w:t>
      </w:r>
      <w:r>
        <w:t>. Viewed</w:t>
      </w:r>
      <w:r w:rsidRPr="00AA00C4">
        <w:t xml:space="preserve"> </w:t>
      </w:r>
      <w:r>
        <w:t>11/08/2017, &lt;</w:t>
      </w:r>
      <w:hyperlink r:id="rId464" w:history="1">
        <w:r w:rsidRPr="000E4EFC">
          <w:rPr>
            <w:rStyle w:val="Hyperlink"/>
          </w:rPr>
          <w:t>http://www.geoscience.nt.gov.au/gemis/ntgsjspui/handle/1/79187</w:t>
        </w:r>
      </w:hyperlink>
      <w:r>
        <w:rPr>
          <w:rStyle w:val="Hyperlink"/>
        </w:rPr>
        <w:t>&gt;.</w:t>
      </w:r>
      <w:r>
        <w:t xml:space="preserve"> </w:t>
      </w:r>
    </w:p>
    <w:p w14:paraId="26818B6A" w14:textId="77777777" w:rsidR="00A655D8" w:rsidRPr="005C209B" w:rsidRDefault="00A655D8" w:rsidP="00A655D8">
      <w:pPr>
        <w:pStyle w:val="References"/>
      </w:pPr>
      <w:r w:rsidRPr="000E4EFC">
        <w:lastRenderedPageBreak/>
        <w:t>NTGS (Northern Territory Geological Survey)</w:t>
      </w:r>
      <w:r>
        <w:t xml:space="preserve"> (20</w:t>
      </w:r>
      <w:r w:rsidRPr="000E4EFC">
        <w:t>17</w:t>
      </w:r>
      <w:r>
        <w:t>b) Northern Territory Statewide Geophysics – Seismic Lines. Viewed 11/08/2017, &lt;</w:t>
      </w:r>
      <w:hyperlink r:id="rId465" w:history="1">
        <w:r w:rsidRPr="002C6079">
          <w:rPr>
            <w:rStyle w:val="Hyperlink"/>
          </w:rPr>
          <w:t>http://www.ntlis.nt.gov.au/metadata/export_data?type=html&amp;metadata_id=FB25348A02CB16B2E040CD9B2144584B</w:t>
        </w:r>
      </w:hyperlink>
      <w:r>
        <w:rPr>
          <w:rStyle w:val="Hyperlink"/>
        </w:rPr>
        <w:t>&gt;.</w:t>
      </w:r>
      <w:r>
        <w:t xml:space="preserve"> </w:t>
      </w:r>
    </w:p>
    <w:p w14:paraId="4F716A6C" w14:textId="63F0106A" w:rsidR="005868B3" w:rsidRDefault="005868B3" w:rsidP="008B38C1">
      <w:pPr>
        <w:pStyle w:val="References"/>
      </w:pPr>
      <w:r>
        <w:t xml:space="preserve">Origin Energy </w:t>
      </w:r>
      <w:r w:rsidR="00E41EC3">
        <w:t>(</w:t>
      </w:r>
      <w:r>
        <w:t>2016</w:t>
      </w:r>
      <w:r w:rsidR="00E41EC3">
        <w:t>)</w:t>
      </w:r>
      <w:r>
        <w:t xml:space="preserve"> Beetaloo extended production test successfully completed</w:t>
      </w:r>
      <w:r w:rsidR="00E41EC3">
        <w:t>. Viewed 16/01/2018, &lt;</w:t>
      </w:r>
      <w:hyperlink r:id="rId466" w:history="1">
        <w:r w:rsidRPr="001C3BB7">
          <w:rPr>
            <w:rStyle w:val="Hyperlink"/>
          </w:rPr>
          <w:t>https://www.originenergy.com.au/content/origin-ui/en/about/investors-media/media-centre/beetaloo-extended-production-test-successfully-completed.html</w:t>
        </w:r>
      </w:hyperlink>
      <w:r w:rsidR="00E41EC3">
        <w:t>&gt;.</w:t>
      </w:r>
    </w:p>
    <w:p w14:paraId="06F4D73E" w14:textId="77777777" w:rsidR="00E41EC3" w:rsidRDefault="00E41EC3" w:rsidP="00E41EC3">
      <w:pPr>
        <w:pStyle w:val="References"/>
      </w:pPr>
      <w:r>
        <w:t>Origin Energy (2017) Beetaloo Basin drilling results indicate material gas resources. Viewed 16/01/2018, &lt;</w:t>
      </w:r>
      <w:hyperlink r:id="rId467" w:history="1">
        <w:r>
          <w:rPr>
            <w:rStyle w:val="Hyperlink"/>
          </w:rPr>
          <w:t>https://www.originenergy.com.au/about/investors-media/media-centre/beetaloo-basin-drilling-results-indicate-material-gas-resource.html</w:t>
        </w:r>
      </w:hyperlink>
      <w:r>
        <w:rPr>
          <w:rStyle w:val="Hyperlink"/>
        </w:rPr>
        <w:t>&gt;</w:t>
      </w:r>
      <w:r>
        <w:t>.</w:t>
      </w:r>
    </w:p>
    <w:p w14:paraId="39E3C759" w14:textId="77777777" w:rsidR="00CC3EE6" w:rsidRPr="00456161" w:rsidRDefault="00CC3EE6" w:rsidP="00CC3EE6">
      <w:pPr>
        <w:pStyle w:val="References"/>
      </w:pPr>
      <w:r w:rsidRPr="00456161">
        <w:t>Queensland Government</w:t>
      </w:r>
      <w:r>
        <w:t xml:space="preserve"> (2017)</w:t>
      </w:r>
      <w:r w:rsidRPr="00456161">
        <w:t xml:space="preserve"> Drilling, completion and abandonment of petroleum wells. </w:t>
      </w:r>
      <w:r>
        <w:t>Viewed 22/01/2018, &lt;</w:t>
      </w:r>
      <w:hyperlink r:id="rId468" w:history="1">
        <w:r w:rsidRPr="003E47FE">
          <w:rPr>
            <w:rStyle w:val="Hyperlink"/>
          </w:rPr>
          <w:t>https://www.business.qld.gov.au/industries/mining-energy-water/resources/applications-compliance/lodging-statutory-reports/petroleum-gas-reporting/petroleum-wells</w:t>
        </w:r>
      </w:hyperlink>
      <w:r>
        <w:t>&gt;.</w:t>
      </w:r>
    </w:p>
    <w:p w14:paraId="00242DA9" w14:textId="77777777" w:rsidR="00CB0530" w:rsidRPr="00AA00C4" w:rsidRDefault="00CB0530" w:rsidP="00CB0530">
      <w:pPr>
        <w:pStyle w:val="References"/>
      </w:pPr>
      <w:r w:rsidRPr="00AA00C4">
        <w:t>Ra</w:t>
      </w:r>
      <w:r>
        <w:t>ymond</w:t>
      </w:r>
      <w:r w:rsidRPr="009A5D99">
        <w:t xml:space="preserve"> O</w:t>
      </w:r>
      <w:r>
        <w:t>L</w:t>
      </w:r>
      <w:r w:rsidRPr="009A5D99">
        <w:t xml:space="preserve"> (Coordinator)</w:t>
      </w:r>
      <w:r>
        <w:t xml:space="preserve"> (20</w:t>
      </w:r>
      <w:r w:rsidRPr="009A5D99">
        <w:t>09</w:t>
      </w:r>
      <w:r>
        <w:t xml:space="preserve">) </w:t>
      </w:r>
      <w:r w:rsidRPr="009A5D99">
        <w:t>Surface geology of Australia 1:1 million scale digital geology data: Geoscience</w:t>
      </w:r>
      <w:r>
        <w:t xml:space="preserve"> Australia, Digital Geology Map. Viewed 16/01/2018, &lt;</w:t>
      </w:r>
      <w:hyperlink r:id="rId469" w:tooltip="Link to Geoscience Australia website" w:history="1">
        <w:r w:rsidRPr="00AA00C4">
          <w:rPr>
            <w:rStyle w:val="Hyperlink"/>
          </w:rPr>
          <w:t>https://www.ga.gov.au/products/servlet/controller?event=GEOCAT_DETAILS&amp;catno=69455</w:t>
        </w:r>
      </w:hyperlink>
      <w:r>
        <w:rPr>
          <w:rStyle w:val="Hyperlink"/>
        </w:rPr>
        <w:t>&gt;.</w:t>
      </w:r>
      <w:r>
        <w:t xml:space="preserve">   </w:t>
      </w:r>
      <w:r w:rsidRPr="009E7E91">
        <w:rPr>
          <w:rStyle w:val="Hyperlink"/>
        </w:rPr>
        <w:t xml:space="preserve"> </w:t>
      </w:r>
    </w:p>
    <w:p w14:paraId="359AE08F" w14:textId="779615EF" w:rsidR="005868B3" w:rsidRPr="001C3BB7" w:rsidRDefault="005868B3" w:rsidP="001C3BB7">
      <w:pPr>
        <w:pStyle w:val="References"/>
      </w:pPr>
      <w:r w:rsidRPr="001C3BB7">
        <w:t xml:space="preserve">Rawlings DJ </w:t>
      </w:r>
      <w:r w:rsidR="00CC3EE6">
        <w:t>(</w:t>
      </w:r>
      <w:r w:rsidRPr="001C3BB7">
        <w:t>1999</w:t>
      </w:r>
      <w:r w:rsidR="00CC3EE6">
        <w:t>)</w:t>
      </w:r>
      <w:r w:rsidRPr="001C3BB7">
        <w:t xml:space="preserve"> </w:t>
      </w:r>
      <w:r w:rsidRPr="00147CAE">
        <w:t>Stratigraphic resolution of a multiphase intracratonic basin system: the McArthur Basin, northern Australia.</w:t>
      </w:r>
      <w:r w:rsidRPr="001C3BB7">
        <w:t xml:space="preserve"> Australian Journal of Earth Sciences, 46, 703–723.</w:t>
      </w:r>
    </w:p>
    <w:p w14:paraId="11A5998E" w14:textId="6491EDF5" w:rsidR="005868B3" w:rsidRPr="001C3BB7" w:rsidRDefault="005868B3" w:rsidP="001C3BB7">
      <w:pPr>
        <w:pStyle w:val="References"/>
      </w:pPr>
      <w:r w:rsidRPr="001C3BB7">
        <w:t xml:space="preserve">Rawlings DJ, Korsch RJ, Goleby BR, Gibson GM, Johnstone DW and Barlow M </w:t>
      </w:r>
      <w:r w:rsidR="00CC3EE6">
        <w:t>(</w:t>
      </w:r>
      <w:r w:rsidRPr="001C3BB7">
        <w:t>2004</w:t>
      </w:r>
      <w:r w:rsidR="00CC3EE6">
        <w:t>)</w:t>
      </w:r>
      <w:r w:rsidRPr="001C3BB7">
        <w:t xml:space="preserve"> </w:t>
      </w:r>
      <w:r w:rsidRPr="00147CAE">
        <w:t>The 2002 southern McArthur Basin seismic reflection survey.</w:t>
      </w:r>
      <w:r w:rsidRPr="001C3BB7">
        <w:t xml:space="preserve"> Geoscience Australia, Record, 2004/17, 78 pp.</w:t>
      </w:r>
    </w:p>
    <w:p w14:paraId="6AE3E5A4" w14:textId="77777777" w:rsidR="00CC3EE6" w:rsidRDefault="00CC3EE6" w:rsidP="00CC3EE6">
      <w:pPr>
        <w:pStyle w:val="References"/>
      </w:pPr>
      <w:r>
        <w:t>Revie D (2017a) Unconventional petroleum resources of the Roper Group, McArthur Basin. Northern Territory Geological Survey, Record 2017-002.</w:t>
      </w:r>
    </w:p>
    <w:p w14:paraId="43EDA682" w14:textId="77777777" w:rsidR="00CC3EE6" w:rsidRDefault="00CC3EE6" w:rsidP="00CC3EE6">
      <w:pPr>
        <w:pStyle w:val="References"/>
      </w:pPr>
      <w:r>
        <w:t>Revie D (2017b) Volumetric resource assessment of the lower Kyalla and middle Velkerri formations of the McArthur Basin. AGES conference, Alice Springs, March 2017.</w:t>
      </w:r>
    </w:p>
    <w:p w14:paraId="6A59CC04" w14:textId="460C7509" w:rsidR="005868B3" w:rsidRPr="001C3BB7" w:rsidRDefault="005868B3" w:rsidP="001C3BB7">
      <w:pPr>
        <w:pStyle w:val="References"/>
      </w:pPr>
      <w:r w:rsidRPr="001C3BB7">
        <w:t xml:space="preserve">Revie D and Edgoose C </w:t>
      </w:r>
      <w:r w:rsidR="00CC3EE6">
        <w:t>(</w:t>
      </w:r>
      <w:r w:rsidRPr="001C3BB7">
        <w:t>2015a</w:t>
      </w:r>
      <w:r w:rsidR="00CC3EE6">
        <w:t>)</w:t>
      </w:r>
      <w:r w:rsidRPr="00147CAE">
        <w:t xml:space="preserve"> Unlocking potential for unconventional petroleum resources in the frontier McArthur Basin, Northern Territory</w:t>
      </w:r>
      <w:r w:rsidRPr="001C3BB7">
        <w:t>: Annual Geoscience Exploration Seminar (AGES) 2015. Record of abstracts. Northern Territory Geological Survey, Record, 2015-002, 48–50.</w:t>
      </w:r>
    </w:p>
    <w:p w14:paraId="11F4B881" w14:textId="6EA31563" w:rsidR="005868B3" w:rsidRDefault="00CC3EE6" w:rsidP="008B38C1">
      <w:pPr>
        <w:pStyle w:val="References"/>
      </w:pPr>
      <w:r w:rsidRPr="001C3BB7">
        <w:t xml:space="preserve">Revie D and Edgoose C </w:t>
      </w:r>
      <w:r>
        <w:t xml:space="preserve">(2015b) </w:t>
      </w:r>
      <w:r w:rsidR="005868B3">
        <w:t>Unlocking potential for unconventional petroleum resources in the frontier McArthur Basin, Northern Territory, Australia. AAPG/SEG International Conference and Exhibition 2015, 13–16 September, Melbourne, Australia.</w:t>
      </w:r>
    </w:p>
    <w:p w14:paraId="7456FAC9" w14:textId="14691FDF" w:rsidR="005868B3" w:rsidRDefault="005868B3" w:rsidP="0006515C">
      <w:pPr>
        <w:pStyle w:val="References"/>
        <w:keepLines/>
      </w:pPr>
      <w:r>
        <w:lastRenderedPageBreak/>
        <w:t xml:space="preserve">RPS </w:t>
      </w:r>
      <w:r w:rsidR="00CC3EE6">
        <w:t>(</w:t>
      </w:r>
      <w:r>
        <w:t>2013</w:t>
      </w:r>
      <w:r w:rsidR="00CC3EE6">
        <w:t>)</w:t>
      </w:r>
      <w:r>
        <w:t xml:space="preserve"> Evaluation of the hydrocarbon resource potential pertaining to certain acreage interest in the Beetaloo Sub-basin, onshore Australia and Mako Trough, onshore Hungary. Report prepared for Falcon oil and gas. </w:t>
      </w:r>
      <w:r w:rsidR="00CC3EE6">
        <w:t>Viewed 22/01/2018, &lt;</w:t>
      </w:r>
      <w:hyperlink r:id="rId470" w:history="1">
        <w:r w:rsidRPr="001C3BB7">
          <w:rPr>
            <w:rStyle w:val="Hyperlink"/>
          </w:rPr>
          <w:t>http://www.falconoilandgas.com/uploads/pdf/UCV02226_Falcon_Combined_CPR_release_Main_Body.pdf</w:t>
        </w:r>
      </w:hyperlink>
      <w:r w:rsidR="00CC3EE6">
        <w:rPr>
          <w:rStyle w:val="Hyperlink"/>
        </w:rPr>
        <w:t>&gt;.</w:t>
      </w:r>
    </w:p>
    <w:p w14:paraId="74ABEFA9" w14:textId="1F471481" w:rsidR="005868B3" w:rsidRDefault="005868B3" w:rsidP="008B38C1">
      <w:pPr>
        <w:pStyle w:val="References"/>
      </w:pPr>
      <w:r>
        <w:t>Schult</w:t>
      </w:r>
      <w:r w:rsidR="00CC3EE6">
        <w:t xml:space="preserve"> </w:t>
      </w:r>
      <w:r>
        <w:t>J</w:t>
      </w:r>
      <w:r w:rsidR="00CC3EE6">
        <w:t xml:space="preserve"> and</w:t>
      </w:r>
      <w:r>
        <w:t xml:space="preserve"> Novak P </w:t>
      </w:r>
      <w:r w:rsidR="00CC3EE6">
        <w:t>(</w:t>
      </w:r>
      <w:r>
        <w:t>2017</w:t>
      </w:r>
      <w:r w:rsidR="00CC3EE6">
        <w:t>)</w:t>
      </w:r>
      <w:r>
        <w:t xml:space="preserve"> Water Quality of the Roper River 2012-2016. Northern Territory Department of Environment and Natural Resources, Report No. 2/2017D. Palmerston.</w:t>
      </w:r>
    </w:p>
    <w:p w14:paraId="03160CC0" w14:textId="2393D0C5" w:rsidR="005868B3" w:rsidRDefault="005868B3" w:rsidP="008B38C1">
      <w:pPr>
        <w:pStyle w:val="References"/>
      </w:pPr>
      <w:r>
        <w:t xml:space="preserve">Schult J </w:t>
      </w:r>
      <w:r w:rsidR="00CC3EE6">
        <w:t>(</w:t>
      </w:r>
      <w:r>
        <w:t>2014</w:t>
      </w:r>
      <w:r w:rsidR="00CC3EE6">
        <w:t>)</w:t>
      </w:r>
      <w:r>
        <w:t xml:space="preserve"> End of dry season water quality in the Daly and Roper River catchments 2012-2013. Northern Territory Government Department of Land Resource Management, Report No. 03/2014D. Palmerston.</w:t>
      </w:r>
    </w:p>
    <w:p w14:paraId="1793B223" w14:textId="77777777" w:rsidR="00B46F53" w:rsidRDefault="00E41FFC" w:rsidP="008B38C1">
      <w:pPr>
        <w:pStyle w:val="References"/>
      </w:pPr>
      <w:r w:rsidRPr="00E41FFC">
        <w:t xml:space="preserve">Scientific Inquiry into Hydraulic Fracturing in the Northern Territory (2018) Scientific Inquiry into Hydraulic Fracturing in the Northern Territory: Final Report, March 2018. Viewed 23/04/2018, &lt;https://frackinginquiry.nt.gov.au/inquiry-reports?a=494286&gt;. </w:t>
      </w:r>
    </w:p>
    <w:p w14:paraId="48FA1BBA" w14:textId="2448099E" w:rsidR="005868B3" w:rsidRDefault="005868B3" w:rsidP="008B38C1">
      <w:pPr>
        <w:pStyle w:val="References"/>
      </w:pPr>
      <w:r>
        <w:t xml:space="preserve">Silverman MR, Landon SM, Leaver JS, Maher TJ and Berg E </w:t>
      </w:r>
      <w:r w:rsidR="00CC3EE6">
        <w:t>(</w:t>
      </w:r>
      <w:r>
        <w:t>2007</w:t>
      </w:r>
      <w:r w:rsidR="00CC3EE6">
        <w:t>)</w:t>
      </w:r>
      <w:r>
        <w:t xml:space="preserve"> No fuel like an old fuel: Proterozoic oil and gas potential in the Beetaloo Basin, Northern Territory, Australia. In: Munson TJ and Ambrose GJ (eds), Proceedings of the Central Australian Basins Symposium (CABS), Alice Springs, Northern Territory, 16–18 August 2007. Northern Territory Geological Survey Publication, 2, 205–215.</w:t>
      </w:r>
    </w:p>
    <w:p w14:paraId="3E068590" w14:textId="545D6685" w:rsidR="005868B3" w:rsidRDefault="005868B3" w:rsidP="008B38C1">
      <w:pPr>
        <w:pStyle w:val="References"/>
      </w:pPr>
      <w:r>
        <w:t xml:space="preserve">Silverman MR and Ahlbrandt T </w:t>
      </w:r>
      <w:r w:rsidR="00CC3EE6">
        <w:t>(</w:t>
      </w:r>
      <w:r>
        <w:t>2010</w:t>
      </w:r>
      <w:r w:rsidR="00CC3EE6">
        <w:t>)</w:t>
      </w:r>
      <w:r>
        <w:t xml:space="preserve"> Mesoproterozoic unconventional plays in the Beetaloo Basin, Australia: the world’s oldest petroleum systems. In: AAPG International Conference and Exhibition, Calgary, Alberta, 12–15 September 2010. Search and Discovery Article #10295, web posted 21 January 2011), </w:t>
      </w:r>
      <w:r w:rsidR="00CC3EE6">
        <w:t>Viewed 20/01/2015, &lt;</w:t>
      </w:r>
      <w:hyperlink r:id="rId471" w:tooltip="link to paper" w:history="1">
        <w:r w:rsidRPr="001C3BB7">
          <w:rPr>
            <w:rStyle w:val="Hyperlink"/>
          </w:rPr>
          <w:t>http://www.searchanddiscovery.com/documents/2011/10295silverman/ndx_silverman.pdf</w:t>
        </w:r>
      </w:hyperlink>
      <w:r w:rsidR="00CC3EE6">
        <w:t>&gt;.</w:t>
      </w:r>
    </w:p>
    <w:p w14:paraId="1A6E9174" w14:textId="77777777" w:rsidR="00CB0530" w:rsidRPr="00E70BDF" w:rsidRDefault="00CB0530" w:rsidP="00CB0530">
      <w:pPr>
        <w:pStyle w:val="References"/>
        <w:rPr>
          <w:rStyle w:val="Hyperlink"/>
        </w:rPr>
      </w:pPr>
      <w:r>
        <w:t>Stewart AJ, Raymond OL, Totterdell JM, Zhang W and Gallagher R (2013) Australian Geological Provinces, 2013.01 edition, scale 1:2 500 000. Geoscience Australia, Canberra. Viewed 16/01/2018, &lt;</w:t>
      </w:r>
      <w:hyperlink r:id="rId472" w:anchor="!2680f4bb-8494-14fc-e053-10a3070a4107" w:history="1">
        <w:r w:rsidRPr="0065740D">
          <w:rPr>
            <w:rStyle w:val="Hyperlink"/>
          </w:rPr>
          <w:t>https://ecat.ga.gov.au/geonetwork/srv/eng/search#!2680f4bb-8494-14fc-e053-10a3070a4107</w:t>
        </w:r>
      </w:hyperlink>
      <w:r>
        <w:rPr>
          <w:rStyle w:val="Hyperlink"/>
        </w:rPr>
        <w:t>&gt;.</w:t>
      </w:r>
      <w:r>
        <w:t xml:space="preserve"> </w:t>
      </w:r>
    </w:p>
    <w:p w14:paraId="536703DD" w14:textId="77777777" w:rsidR="00DE4DB5" w:rsidRDefault="00DE4DB5" w:rsidP="00DE4DB5">
      <w:pPr>
        <w:pStyle w:val="References"/>
      </w:pPr>
      <w:r w:rsidRPr="00F60394">
        <w:t xml:space="preserve">UPR (Upstream Petroleum Resources Working Group) </w:t>
      </w:r>
      <w:r>
        <w:t>(</w:t>
      </w:r>
      <w:r w:rsidRPr="00F60394">
        <w:t>2015</w:t>
      </w:r>
      <w:r>
        <w:t>)</w:t>
      </w:r>
      <w:r w:rsidRPr="00F60394">
        <w:t xml:space="preserve"> Coal seam, shale and tight gas in Australia: resources assessment and operation overview 2015, Geoscience Australia, Canberra</w:t>
      </w:r>
      <w:r>
        <w:t>. Viewed 16/01/2018,</w:t>
      </w:r>
      <w:r w:rsidRPr="00F60394">
        <w:t xml:space="preserve"> </w:t>
      </w:r>
      <w:r>
        <w:t>&lt;</w:t>
      </w:r>
      <w:r w:rsidRPr="00106DE1">
        <w:rPr>
          <w:rStyle w:val="Hyperlink"/>
        </w:rPr>
        <w:t>http://www.coagenergycouncil.gov.au/sites/prod.energycouncil/files/publications/documents/UPR%20Unconventional%20Resources%20Report%202015%20-%20Final_0.pdf</w:t>
      </w:r>
      <w:r>
        <w:t>&gt;.</w:t>
      </w:r>
    </w:p>
    <w:p w14:paraId="1F4BE14C" w14:textId="77777777" w:rsidR="00CC3EE6" w:rsidRDefault="00CC3EE6" w:rsidP="00CC3EE6">
      <w:pPr>
        <w:pStyle w:val="References"/>
      </w:pPr>
      <w:r>
        <w:t>Weatherford Laboratories (2017) Kyalla and middle Velkerri Resource Assessment: Gorrie, Beetaloo, OT Downs, and Broadmere Sub-basins. Study Project No. AB.74329. Northern Territory Geological Survey, Record 2017.003.</w:t>
      </w:r>
    </w:p>
    <w:p w14:paraId="72BFCF5E" w14:textId="6F1829E1" w:rsidR="009A0A49" w:rsidRPr="009A0A49" w:rsidRDefault="009A0A49" w:rsidP="001B4704">
      <w:pPr>
        <w:pStyle w:val="References"/>
      </w:pPr>
      <w:r>
        <w:t xml:space="preserve">Williams B </w:t>
      </w:r>
      <w:r w:rsidR="003C59B9">
        <w:t>(</w:t>
      </w:r>
      <w:r>
        <w:t>in prep</w:t>
      </w:r>
      <w:r w:rsidR="003C59B9">
        <w:t>)</w:t>
      </w:r>
      <w:r>
        <w:t xml:space="preserve"> Interpretation and definition of the Beetaloo Sub-basin. Northern Territory Geological Survey, Record.</w:t>
      </w:r>
    </w:p>
    <w:p w14:paraId="36C56BC5" w14:textId="5985B896" w:rsidR="005868B3" w:rsidRDefault="005868B3" w:rsidP="000350BE">
      <w:pPr>
        <w:pStyle w:val="References"/>
      </w:pPr>
      <w:r>
        <w:lastRenderedPageBreak/>
        <w:t xml:space="preserve">Zaar U </w:t>
      </w:r>
      <w:r w:rsidR="00CC3EE6">
        <w:t>(</w:t>
      </w:r>
      <w:r>
        <w:t>2003</w:t>
      </w:r>
      <w:r w:rsidR="00CC3EE6">
        <w:t>)</w:t>
      </w:r>
      <w:r>
        <w:t xml:space="preserve"> Water Resources of West Arnhem Land. Northern Territory Department of Infrastructure, Planning and Environment, Report No. 34/2003D. Darwin.</w:t>
      </w:r>
    </w:p>
    <w:p w14:paraId="55BE30F1" w14:textId="11C990C4" w:rsidR="005868B3" w:rsidRDefault="005868B3">
      <w:pPr>
        <w:pStyle w:val="References"/>
      </w:pPr>
      <w:r>
        <w:t>Zaar U</w:t>
      </w:r>
      <w:r w:rsidR="00287450">
        <w:t>,</w:t>
      </w:r>
      <w:r>
        <w:t xml:space="preserve"> Prowse G and Matthews I </w:t>
      </w:r>
      <w:r w:rsidR="00287450">
        <w:t>(</w:t>
      </w:r>
      <w:r>
        <w:t>1999</w:t>
      </w:r>
      <w:r w:rsidR="00287450">
        <w:t>)</w:t>
      </w:r>
      <w:r>
        <w:t xml:space="preserve"> Water Resources of East Arnhem Land. Northern Territory Department of Lands, Planning and Environment, Report No. 02/1999D. Darwin</w:t>
      </w:r>
      <w:r w:rsidR="00207AE3">
        <w:t>.</w:t>
      </w:r>
    </w:p>
    <w:p w14:paraId="6E36ADEC" w14:textId="2B98C635" w:rsidR="0006515C" w:rsidRDefault="0006515C" w:rsidP="0006515C">
      <w:pPr>
        <w:pStyle w:val="BodyText"/>
      </w:pPr>
    </w:p>
    <w:p w14:paraId="1EF8B4E6" w14:textId="77777777" w:rsidR="0006515C" w:rsidRDefault="0006515C">
      <w:pPr>
        <w:spacing w:after="180"/>
      </w:pPr>
      <w:r>
        <w:br w:type="page"/>
      </w:r>
    </w:p>
    <w:p w14:paraId="21433D70" w14:textId="37BA0DB7" w:rsidR="0006515C" w:rsidRDefault="0006515C" w:rsidP="0006515C">
      <w:pPr>
        <w:pStyle w:val="BodyText"/>
      </w:pPr>
    </w:p>
    <w:p w14:paraId="77ACF6A0" w14:textId="77777777" w:rsidR="0006515C" w:rsidRDefault="0006515C">
      <w:pPr>
        <w:spacing w:after="180"/>
      </w:pPr>
      <w:r>
        <w:br w:type="page"/>
      </w:r>
    </w:p>
    <w:p w14:paraId="6B5DDD58" w14:textId="3D0EEC23" w:rsidR="008B38C1" w:rsidRDefault="008B38C1" w:rsidP="009E4E6A">
      <w:pPr>
        <w:pStyle w:val="AppendixHeading2"/>
        <w:keepNext/>
      </w:pPr>
      <w:r>
        <w:lastRenderedPageBreak/>
        <w:t>Otway Basin (Onshore</w:t>
      </w:r>
      <w:bookmarkStart w:id="328" w:name="_Toc517161211"/>
      <w:r>
        <w:t>)</w:t>
      </w:r>
      <w:bookmarkEnd w:id="328"/>
    </w:p>
    <w:p w14:paraId="2F8CD528" w14:textId="186E89B8" w:rsidR="007D3E2E" w:rsidRDefault="007D3E2E" w:rsidP="007D3E2E">
      <w:pPr>
        <w:pStyle w:val="Caption"/>
      </w:pPr>
      <w:bookmarkStart w:id="329" w:name="_Toc508972210"/>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61</w:t>
      </w:r>
      <w:r w:rsidR="008079F1">
        <w:rPr>
          <w:noProof/>
        </w:rPr>
        <w:fldChar w:fldCharType="end"/>
      </w:r>
      <w:r>
        <w:t xml:space="preserve"> Geology and petroleum prospectivity summary.</w:t>
      </w:r>
      <w:bookmarkEnd w:id="329"/>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28" w:type="dxa"/>
          <w:right w:w="57" w:type="dxa"/>
        </w:tblCellMar>
        <w:tblLook w:val="04A0" w:firstRow="1" w:lastRow="0" w:firstColumn="1" w:lastColumn="0" w:noHBand="0" w:noVBand="1"/>
      </w:tblPr>
      <w:tblGrid>
        <w:gridCol w:w="4102"/>
        <w:gridCol w:w="5517"/>
      </w:tblGrid>
      <w:tr w:rsidR="009E4E6A" w14:paraId="5A6B81ED" w14:textId="77777777" w:rsidTr="009E4E6A">
        <w:tc>
          <w:tcPr>
            <w:tcW w:w="9619" w:type="dxa"/>
            <w:gridSpan w:val="2"/>
            <w:shd w:val="clear" w:color="auto" w:fill="146692"/>
          </w:tcPr>
          <w:p w14:paraId="519EF6B6" w14:textId="45EE36FB" w:rsidR="009E4E6A" w:rsidRDefault="009E4E6A" w:rsidP="009E4E6A">
            <w:pPr>
              <w:pStyle w:val="BodyText"/>
              <w:spacing w:beforeLines="20" w:before="48" w:afterLines="20" w:after="48" w:line="120" w:lineRule="atLeast"/>
            </w:pPr>
            <w:r w:rsidRPr="009E4E6A">
              <w:rPr>
                <w:b/>
                <w:color w:val="FFFFFF" w:themeColor="background1"/>
              </w:rPr>
              <w:t>GENERAL</w:t>
            </w:r>
          </w:p>
        </w:tc>
      </w:tr>
      <w:tr w:rsidR="009E4E6A" w14:paraId="1069B423" w14:textId="77777777" w:rsidTr="009E4E6A">
        <w:tc>
          <w:tcPr>
            <w:tcW w:w="4102" w:type="dxa"/>
            <w:shd w:val="clear" w:color="auto" w:fill="146692"/>
          </w:tcPr>
          <w:p w14:paraId="69644AD2" w14:textId="737F1427"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Jurisdiction</w:t>
            </w:r>
          </w:p>
        </w:tc>
        <w:tc>
          <w:tcPr>
            <w:tcW w:w="5517" w:type="dxa"/>
            <w:shd w:val="clear" w:color="auto" w:fill="E1F2FB"/>
          </w:tcPr>
          <w:p w14:paraId="47973F71" w14:textId="6D3510E7" w:rsidR="009E4E6A" w:rsidRDefault="009E4E6A" w:rsidP="009E4E6A">
            <w:pPr>
              <w:pStyle w:val="BodyText"/>
              <w:spacing w:beforeLines="20" w:before="48" w:afterLines="20" w:after="48" w:line="120" w:lineRule="atLeast"/>
            </w:pPr>
            <w:r w:rsidRPr="002F77D1">
              <w:t>South Australia, Victoria</w:t>
            </w:r>
          </w:p>
        </w:tc>
      </w:tr>
      <w:tr w:rsidR="009E4E6A" w14:paraId="7E3E2D5B" w14:textId="77777777" w:rsidTr="009E4E6A">
        <w:tc>
          <w:tcPr>
            <w:tcW w:w="4102" w:type="dxa"/>
            <w:shd w:val="clear" w:color="auto" w:fill="146692"/>
          </w:tcPr>
          <w:p w14:paraId="42304D46" w14:textId="27D66E1F"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Area</w:t>
            </w:r>
          </w:p>
        </w:tc>
        <w:tc>
          <w:tcPr>
            <w:tcW w:w="5517" w:type="dxa"/>
            <w:shd w:val="clear" w:color="auto" w:fill="E1F2FB"/>
          </w:tcPr>
          <w:p w14:paraId="521156DD" w14:textId="684B6D02" w:rsidR="009E4E6A" w:rsidRDefault="009E4E6A" w:rsidP="009E4E6A">
            <w:pPr>
              <w:pStyle w:val="BodyText"/>
              <w:spacing w:beforeLines="20" w:before="48" w:afterLines="20" w:after="48" w:line="120" w:lineRule="atLeast"/>
            </w:pPr>
            <w:r w:rsidRPr="002F77D1">
              <w:t xml:space="preserve">26,460 km2 </w:t>
            </w:r>
          </w:p>
        </w:tc>
      </w:tr>
      <w:tr w:rsidR="009E4E6A" w14:paraId="022F8260" w14:textId="77777777" w:rsidTr="009E4E6A">
        <w:tc>
          <w:tcPr>
            <w:tcW w:w="4102" w:type="dxa"/>
            <w:shd w:val="clear" w:color="auto" w:fill="146692"/>
          </w:tcPr>
          <w:p w14:paraId="325EEA6E" w14:textId="30A1C616"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Max. basin thickness/ sediment thickness</w:t>
            </w:r>
          </w:p>
        </w:tc>
        <w:tc>
          <w:tcPr>
            <w:tcW w:w="5517" w:type="dxa"/>
            <w:shd w:val="clear" w:color="auto" w:fill="E1F2FB"/>
          </w:tcPr>
          <w:p w14:paraId="7E5446DD" w14:textId="49390419" w:rsidR="009E4E6A" w:rsidRDefault="009E4E6A" w:rsidP="009E4E6A">
            <w:pPr>
              <w:pStyle w:val="BodyText"/>
              <w:spacing w:beforeLines="20" w:before="48" w:afterLines="20" w:after="48" w:line="120" w:lineRule="atLeast"/>
            </w:pPr>
            <w:r w:rsidRPr="002F77D1">
              <w:t>&gt; 4,000 m</w:t>
            </w:r>
          </w:p>
        </w:tc>
      </w:tr>
      <w:tr w:rsidR="009E4E6A" w14:paraId="70A56DBE" w14:textId="77777777" w:rsidTr="009E4E6A">
        <w:tc>
          <w:tcPr>
            <w:tcW w:w="4102" w:type="dxa"/>
            <w:shd w:val="clear" w:color="auto" w:fill="146692"/>
          </w:tcPr>
          <w:p w14:paraId="73A95A8A" w14:textId="2B5EFF36"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Age range</w:t>
            </w:r>
          </w:p>
        </w:tc>
        <w:tc>
          <w:tcPr>
            <w:tcW w:w="5517" w:type="dxa"/>
            <w:shd w:val="clear" w:color="auto" w:fill="E1F2FB"/>
          </w:tcPr>
          <w:p w14:paraId="43034CC8" w14:textId="76718312" w:rsidR="009E4E6A" w:rsidRDefault="009E4E6A" w:rsidP="009E4E6A">
            <w:pPr>
              <w:pStyle w:val="BodyText"/>
              <w:spacing w:beforeLines="20" w:before="48" w:afterLines="20" w:after="48" w:line="120" w:lineRule="atLeast"/>
            </w:pPr>
            <w:r w:rsidRPr="002F77D1">
              <w:t>Jurassic–Cenozoic</w:t>
            </w:r>
          </w:p>
        </w:tc>
      </w:tr>
      <w:tr w:rsidR="009E4E6A" w14:paraId="2D6D7A0E" w14:textId="77777777" w:rsidTr="009E4E6A">
        <w:tc>
          <w:tcPr>
            <w:tcW w:w="4102" w:type="dxa"/>
            <w:shd w:val="clear" w:color="auto" w:fill="146692"/>
          </w:tcPr>
          <w:p w14:paraId="1570111B" w14:textId="7BBE3C2D"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Depositional setting</w:t>
            </w:r>
          </w:p>
        </w:tc>
        <w:tc>
          <w:tcPr>
            <w:tcW w:w="5517" w:type="dxa"/>
            <w:shd w:val="clear" w:color="auto" w:fill="E1F2FB"/>
          </w:tcPr>
          <w:p w14:paraId="074CEEB0" w14:textId="4C178741" w:rsidR="009E4E6A" w:rsidRDefault="009E4E6A" w:rsidP="009E4E6A">
            <w:pPr>
              <w:pStyle w:val="BodyText"/>
              <w:spacing w:beforeLines="20" w:before="48" w:afterLines="20" w:after="48" w:line="120" w:lineRule="atLeast"/>
            </w:pPr>
            <w:r w:rsidRPr="002F77D1">
              <w:t>Fluvial-lacustrine overlain by deltaic and marine clastic and carbonate environments; overlying Plio-Pleistocene volcanics</w:t>
            </w:r>
          </w:p>
        </w:tc>
      </w:tr>
      <w:tr w:rsidR="009E4E6A" w14:paraId="62ED811A" w14:textId="77777777" w:rsidTr="009E4E6A">
        <w:tc>
          <w:tcPr>
            <w:tcW w:w="4102" w:type="dxa"/>
            <w:shd w:val="clear" w:color="auto" w:fill="146692"/>
          </w:tcPr>
          <w:p w14:paraId="5BF033B1" w14:textId="3DAC9AA9"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Regional structure</w:t>
            </w:r>
          </w:p>
        </w:tc>
        <w:tc>
          <w:tcPr>
            <w:tcW w:w="5517" w:type="dxa"/>
            <w:shd w:val="clear" w:color="auto" w:fill="E1F2FB"/>
          </w:tcPr>
          <w:p w14:paraId="28FBE784" w14:textId="21B61B44" w:rsidR="009E4E6A" w:rsidRDefault="009E4E6A" w:rsidP="009E4E6A">
            <w:pPr>
              <w:pStyle w:val="BodyText"/>
              <w:spacing w:beforeLines="20" w:before="48" w:afterLines="20" w:after="48" w:line="120" w:lineRule="atLeast"/>
            </w:pPr>
            <w:r w:rsidRPr="002F77D1">
              <w:t>West–east-trending extensional basin with three major compressive phases</w:t>
            </w:r>
          </w:p>
        </w:tc>
      </w:tr>
      <w:tr w:rsidR="009E4E6A" w14:paraId="679FB3EE" w14:textId="77777777" w:rsidTr="009E4E6A">
        <w:tc>
          <w:tcPr>
            <w:tcW w:w="9619" w:type="dxa"/>
            <w:gridSpan w:val="2"/>
            <w:shd w:val="clear" w:color="auto" w:fill="146692"/>
          </w:tcPr>
          <w:p w14:paraId="32D67051" w14:textId="3E341FAB" w:rsidR="009E4E6A" w:rsidRDefault="009E4E6A" w:rsidP="009E4E6A">
            <w:pPr>
              <w:pStyle w:val="BodyText"/>
              <w:spacing w:beforeLines="20" w:before="48" w:afterLines="20" w:after="48" w:line="120" w:lineRule="atLeast"/>
            </w:pPr>
            <w:r w:rsidRPr="009E4E6A">
              <w:rPr>
                <w:b/>
                <w:color w:val="FFFFFF" w:themeColor="background1"/>
              </w:rPr>
              <w:t>EXPLORATION STATUS</w:t>
            </w:r>
          </w:p>
        </w:tc>
      </w:tr>
      <w:tr w:rsidR="009E4E6A" w14:paraId="403CA020" w14:textId="77777777" w:rsidTr="009E4E6A">
        <w:tc>
          <w:tcPr>
            <w:tcW w:w="4102" w:type="dxa"/>
            <w:shd w:val="clear" w:color="auto" w:fill="146692"/>
          </w:tcPr>
          <w:p w14:paraId="74C6AFDD" w14:textId="681272C7"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Seismic lines</w:t>
            </w:r>
          </w:p>
        </w:tc>
        <w:tc>
          <w:tcPr>
            <w:tcW w:w="5517" w:type="dxa"/>
            <w:shd w:val="clear" w:color="auto" w:fill="E1F2FB"/>
          </w:tcPr>
          <w:p w14:paraId="05559B8A" w14:textId="26CA1D07" w:rsidR="009E4E6A" w:rsidRDefault="009E4E6A" w:rsidP="009E4E6A">
            <w:pPr>
              <w:pStyle w:val="BodyText"/>
              <w:spacing w:beforeLines="20" w:before="48" w:afterLines="20" w:after="48" w:line="120" w:lineRule="atLeast"/>
            </w:pPr>
            <w:r w:rsidRPr="002F77D1">
              <w:t>30,000 km 2D seismic; 10 3D surveys</w:t>
            </w:r>
          </w:p>
        </w:tc>
      </w:tr>
      <w:tr w:rsidR="009E4E6A" w14:paraId="0C55A21E" w14:textId="77777777" w:rsidTr="009E4E6A">
        <w:tc>
          <w:tcPr>
            <w:tcW w:w="4102" w:type="dxa"/>
            <w:shd w:val="clear" w:color="auto" w:fill="146692"/>
          </w:tcPr>
          <w:p w14:paraId="70D7BECB" w14:textId="32C85C20"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Number of wells</w:t>
            </w:r>
          </w:p>
        </w:tc>
        <w:tc>
          <w:tcPr>
            <w:tcW w:w="5517" w:type="dxa"/>
            <w:shd w:val="clear" w:color="auto" w:fill="E1F2FB"/>
          </w:tcPr>
          <w:p w14:paraId="1FBF636A" w14:textId="4B831583" w:rsidR="009E4E6A" w:rsidRDefault="009E4E6A" w:rsidP="009E4E6A">
            <w:pPr>
              <w:pStyle w:val="BodyText"/>
              <w:spacing w:beforeLines="20" w:before="48" w:afterLines="20" w:after="48" w:line="120" w:lineRule="atLeast"/>
            </w:pPr>
            <w:r w:rsidRPr="002F77D1">
              <w:t>~270 (157 in Vic; 113 in SA)</w:t>
            </w:r>
          </w:p>
        </w:tc>
      </w:tr>
      <w:tr w:rsidR="009E4E6A" w14:paraId="0FC235B5" w14:textId="77777777" w:rsidTr="009E4E6A">
        <w:tc>
          <w:tcPr>
            <w:tcW w:w="4102" w:type="dxa"/>
            <w:shd w:val="clear" w:color="auto" w:fill="146692"/>
          </w:tcPr>
          <w:p w14:paraId="4C390CC0" w14:textId="7EDD0CEA"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Exploration status - conventional</w:t>
            </w:r>
          </w:p>
        </w:tc>
        <w:tc>
          <w:tcPr>
            <w:tcW w:w="5517" w:type="dxa"/>
            <w:shd w:val="clear" w:color="auto" w:fill="E1F2FB"/>
          </w:tcPr>
          <w:p w14:paraId="43AAEFE6" w14:textId="01457468" w:rsidR="009E4E6A" w:rsidRDefault="009E4E6A" w:rsidP="009E4E6A">
            <w:pPr>
              <w:pStyle w:val="BodyText"/>
              <w:spacing w:beforeLines="20" w:before="48" w:afterLines="20" w:after="48" w:line="120" w:lineRule="atLeast"/>
            </w:pPr>
            <w:r w:rsidRPr="002F77D1">
              <w:t>Mature</w:t>
            </w:r>
          </w:p>
        </w:tc>
      </w:tr>
      <w:tr w:rsidR="009E4E6A" w14:paraId="0682386A" w14:textId="77777777" w:rsidTr="009E4E6A">
        <w:tc>
          <w:tcPr>
            <w:tcW w:w="4102" w:type="dxa"/>
            <w:shd w:val="clear" w:color="auto" w:fill="146692"/>
          </w:tcPr>
          <w:p w14:paraId="28930A7E" w14:textId="608F75F2"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Exploration status – shale/ tight gas</w:t>
            </w:r>
          </w:p>
        </w:tc>
        <w:tc>
          <w:tcPr>
            <w:tcW w:w="5517" w:type="dxa"/>
            <w:shd w:val="clear" w:color="auto" w:fill="E1F2FB"/>
          </w:tcPr>
          <w:p w14:paraId="2C063DEB" w14:textId="7AACBFA5" w:rsidR="009E4E6A" w:rsidRDefault="009E4E6A" w:rsidP="009E4E6A">
            <w:pPr>
              <w:pStyle w:val="BodyText"/>
              <w:spacing w:beforeLines="20" w:before="48" w:afterLines="20" w:after="48" w:line="120" w:lineRule="atLeast"/>
            </w:pPr>
            <w:r w:rsidRPr="002F77D1">
              <w:t>Preliminary exploration</w:t>
            </w:r>
          </w:p>
        </w:tc>
      </w:tr>
      <w:tr w:rsidR="009E4E6A" w14:paraId="678D09C9" w14:textId="77777777" w:rsidTr="009E4E6A">
        <w:tc>
          <w:tcPr>
            <w:tcW w:w="9619" w:type="dxa"/>
            <w:gridSpan w:val="2"/>
            <w:shd w:val="clear" w:color="auto" w:fill="146692"/>
          </w:tcPr>
          <w:p w14:paraId="3CBE31E6" w14:textId="222E88C3" w:rsidR="009E4E6A" w:rsidRDefault="009E4E6A" w:rsidP="009E4E6A">
            <w:pPr>
              <w:pStyle w:val="BodyText"/>
              <w:spacing w:beforeLines="20" w:before="48" w:afterLines="20" w:after="48" w:line="120" w:lineRule="atLeast"/>
            </w:pPr>
            <w:r w:rsidRPr="009E4E6A">
              <w:rPr>
                <w:b/>
                <w:color w:val="FFFFFF" w:themeColor="background1"/>
              </w:rPr>
              <w:t>PETROLEUM PROSPECTIVITY -  GENERAL</w:t>
            </w:r>
          </w:p>
        </w:tc>
      </w:tr>
      <w:tr w:rsidR="009E4E6A" w14:paraId="59F293D0" w14:textId="77777777" w:rsidTr="009E4E6A">
        <w:tc>
          <w:tcPr>
            <w:tcW w:w="4102" w:type="dxa"/>
            <w:shd w:val="clear" w:color="auto" w:fill="146692"/>
          </w:tcPr>
          <w:p w14:paraId="28BD5DEE" w14:textId="6C0811C5"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Petroleum systems</w:t>
            </w:r>
          </w:p>
        </w:tc>
        <w:tc>
          <w:tcPr>
            <w:tcW w:w="5517" w:type="dxa"/>
            <w:shd w:val="clear" w:color="auto" w:fill="E1F2FB"/>
          </w:tcPr>
          <w:p w14:paraId="03C93B3F" w14:textId="0C9EAF67" w:rsidR="009E4E6A" w:rsidRDefault="009E4E6A" w:rsidP="009E4E6A">
            <w:pPr>
              <w:pStyle w:val="BodyText"/>
              <w:spacing w:beforeLines="20" w:before="48" w:afterLines="20" w:after="48" w:line="120" w:lineRule="atLeast"/>
            </w:pPr>
            <w:r w:rsidRPr="002F77D1">
              <w:t>Proven (Austral 1 and 2)</w:t>
            </w:r>
          </w:p>
        </w:tc>
      </w:tr>
      <w:tr w:rsidR="009E4E6A" w14:paraId="007BA5A3" w14:textId="77777777" w:rsidTr="009E4E6A">
        <w:tc>
          <w:tcPr>
            <w:tcW w:w="4102" w:type="dxa"/>
            <w:shd w:val="clear" w:color="auto" w:fill="146692"/>
          </w:tcPr>
          <w:p w14:paraId="4A1D67AE" w14:textId="3EBBA735"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Prospectivity</w:t>
            </w:r>
          </w:p>
        </w:tc>
        <w:tc>
          <w:tcPr>
            <w:tcW w:w="5517" w:type="dxa"/>
            <w:shd w:val="clear" w:color="auto" w:fill="E1F2FB"/>
          </w:tcPr>
          <w:p w14:paraId="651F653C" w14:textId="400A7D36" w:rsidR="009E4E6A" w:rsidRDefault="009E4E6A" w:rsidP="009E4E6A">
            <w:pPr>
              <w:pStyle w:val="BodyText"/>
              <w:spacing w:beforeLines="20" w:before="48" w:afterLines="20" w:after="48" w:line="120" w:lineRule="atLeast"/>
            </w:pPr>
            <w:r w:rsidRPr="002F77D1">
              <w:t>Moderate–high</w:t>
            </w:r>
          </w:p>
        </w:tc>
      </w:tr>
      <w:tr w:rsidR="009E4E6A" w14:paraId="1A0C88C2" w14:textId="77777777" w:rsidTr="009E4E6A">
        <w:tc>
          <w:tcPr>
            <w:tcW w:w="4102" w:type="dxa"/>
            <w:shd w:val="clear" w:color="auto" w:fill="146692"/>
          </w:tcPr>
          <w:p w14:paraId="228E14D7" w14:textId="6D725C1A"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 xml:space="preserve">Conventional discoveries </w:t>
            </w:r>
          </w:p>
        </w:tc>
        <w:tc>
          <w:tcPr>
            <w:tcW w:w="5517" w:type="dxa"/>
            <w:shd w:val="clear" w:color="auto" w:fill="E1F2FB"/>
          </w:tcPr>
          <w:p w14:paraId="3FC23F8B" w14:textId="57444954" w:rsidR="009E4E6A" w:rsidRDefault="009E4E6A" w:rsidP="009E4E6A">
            <w:pPr>
              <w:pStyle w:val="BodyText"/>
              <w:spacing w:beforeLines="20" w:before="48" w:afterLines="20" w:after="48" w:line="120" w:lineRule="atLeast"/>
            </w:pPr>
            <w:r w:rsidRPr="002F77D1">
              <w:t xml:space="preserve">Ladbroke Grove, Katnook, Haselgrove and Redman gas fields ceased production in 2011; Port Campbell gas – e.g. Wallaby Creek, North Paarate, Iona; Caroline and Boggy Creek CO2 fields </w:t>
            </w:r>
          </w:p>
        </w:tc>
      </w:tr>
      <w:tr w:rsidR="009E4E6A" w14:paraId="795A9815" w14:textId="77777777" w:rsidTr="009E4E6A">
        <w:tc>
          <w:tcPr>
            <w:tcW w:w="4102" w:type="dxa"/>
            <w:shd w:val="clear" w:color="auto" w:fill="146692"/>
          </w:tcPr>
          <w:p w14:paraId="6DE740C2" w14:textId="71BE0D54"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Hydrocarbon production – total to date</w:t>
            </w:r>
          </w:p>
        </w:tc>
        <w:tc>
          <w:tcPr>
            <w:tcW w:w="5517" w:type="dxa"/>
            <w:shd w:val="clear" w:color="auto" w:fill="E1F2FB"/>
          </w:tcPr>
          <w:p w14:paraId="5BAC3ADA" w14:textId="23124C59" w:rsidR="009E4E6A" w:rsidRDefault="009E4E6A" w:rsidP="009E4E6A">
            <w:pPr>
              <w:pStyle w:val="BodyText"/>
              <w:spacing w:beforeLines="20" w:before="48" w:afterLines="20" w:after="48" w:line="120" w:lineRule="atLeast"/>
            </w:pPr>
            <w:r w:rsidRPr="002F77D1">
              <w:t>SA ~67 Bcf gas, ~65,800 kL condensate; Vic ~86 Bcf gas (Goldie Divko, 2015); 1.15 Tcf cumulative conventional gas production (includes offshore Otway Basin and Bass Basin; current to 2014; AERA, 2018)</w:t>
            </w:r>
          </w:p>
        </w:tc>
      </w:tr>
      <w:tr w:rsidR="009E4E6A" w14:paraId="1188999E" w14:textId="77777777" w:rsidTr="009E4E6A">
        <w:tc>
          <w:tcPr>
            <w:tcW w:w="4102" w:type="dxa"/>
            <w:shd w:val="clear" w:color="auto" w:fill="146692"/>
          </w:tcPr>
          <w:p w14:paraId="23894422" w14:textId="1007BD7D"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 xml:space="preserve">2P Reserves </w:t>
            </w:r>
          </w:p>
        </w:tc>
        <w:tc>
          <w:tcPr>
            <w:tcW w:w="5517" w:type="dxa"/>
            <w:shd w:val="clear" w:color="auto" w:fill="E1F2FB"/>
          </w:tcPr>
          <w:p w14:paraId="64079268" w14:textId="13FD1F02" w:rsidR="009E4E6A" w:rsidRDefault="009E4E6A" w:rsidP="009E4E6A">
            <w:pPr>
              <w:pStyle w:val="BodyText"/>
              <w:spacing w:beforeLines="20" w:before="48" w:afterLines="20" w:after="48" w:line="120" w:lineRule="atLeast"/>
            </w:pPr>
            <w:r w:rsidRPr="002F77D1">
              <w:t>0.69 Tcf conventional gas (includes offshore Otway Basin and Bass Basin; current to 2014; AERA, 2018)</w:t>
            </w:r>
          </w:p>
        </w:tc>
      </w:tr>
      <w:tr w:rsidR="009E4E6A" w14:paraId="7F329A49" w14:textId="77777777" w:rsidTr="009E4E6A">
        <w:tc>
          <w:tcPr>
            <w:tcW w:w="4102" w:type="dxa"/>
            <w:shd w:val="clear" w:color="auto" w:fill="146692"/>
          </w:tcPr>
          <w:p w14:paraId="407A0336" w14:textId="709B44D9"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Remaining resources (reserves + contingent resources)</w:t>
            </w:r>
          </w:p>
        </w:tc>
        <w:tc>
          <w:tcPr>
            <w:tcW w:w="5517" w:type="dxa"/>
            <w:shd w:val="clear" w:color="auto" w:fill="E1F2FB"/>
          </w:tcPr>
          <w:p w14:paraId="23DA0D07" w14:textId="0FAD30B8" w:rsidR="009E4E6A" w:rsidRDefault="009E4E6A" w:rsidP="009E4E6A">
            <w:pPr>
              <w:pStyle w:val="BodyText"/>
              <w:spacing w:beforeLines="20" w:before="48" w:afterLines="20" w:after="48" w:line="120" w:lineRule="atLeast"/>
            </w:pPr>
            <w:r w:rsidRPr="002F77D1">
              <w:t>1.5 Tcf conventional gas (includes offshore Otway Basin and Bass Basin; current to 2014; AERA, 2018)</w:t>
            </w:r>
          </w:p>
        </w:tc>
      </w:tr>
      <w:tr w:rsidR="009E4E6A" w14:paraId="74355A77" w14:textId="77777777" w:rsidTr="009E4E6A">
        <w:tc>
          <w:tcPr>
            <w:tcW w:w="4102" w:type="dxa"/>
            <w:shd w:val="clear" w:color="auto" w:fill="146692"/>
          </w:tcPr>
          <w:p w14:paraId="5355CD11" w14:textId="0232CE4D"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 xml:space="preserve">Undiscovered resource estimates </w:t>
            </w:r>
          </w:p>
        </w:tc>
        <w:tc>
          <w:tcPr>
            <w:tcW w:w="5517" w:type="dxa"/>
            <w:shd w:val="clear" w:color="auto" w:fill="E1F2FB"/>
          </w:tcPr>
          <w:p w14:paraId="1DA8EA68" w14:textId="72211013" w:rsidR="009E4E6A" w:rsidRDefault="009E4E6A" w:rsidP="009E4E6A">
            <w:pPr>
              <w:pStyle w:val="BodyText"/>
              <w:spacing w:beforeLines="20" w:before="48" w:afterLines="20" w:after="48" w:line="120" w:lineRule="atLeast"/>
            </w:pPr>
            <w:r w:rsidRPr="002F77D1">
              <w:t>900 Bcf in South Australia (DPCSA, 2017e); see below for shale and tight gas</w:t>
            </w:r>
          </w:p>
        </w:tc>
      </w:tr>
      <w:tr w:rsidR="009E4E6A" w14:paraId="7AEFBCEB" w14:textId="77777777" w:rsidTr="009E4E6A">
        <w:tc>
          <w:tcPr>
            <w:tcW w:w="9619" w:type="dxa"/>
            <w:gridSpan w:val="2"/>
            <w:shd w:val="clear" w:color="auto" w:fill="146692"/>
          </w:tcPr>
          <w:p w14:paraId="4E505593" w14:textId="713F158F" w:rsidR="009E4E6A" w:rsidRDefault="009E4E6A" w:rsidP="009E4E6A">
            <w:pPr>
              <w:pStyle w:val="BodyText"/>
              <w:spacing w:beforeLines="20" w:before="48" w:afterLines="20" w:after="48" w:line="120" w:lineRule="atLeast"/>
            </w:pPr>
            <w:r w:rsidRPr="009E4E6A">
              <w:rPr>
                <w:b/>
                <w:color w:val="FFFFFF" w:themeColor="background1"/>
              </w:rPr>
              <w:t>PETROLEUM PROSPECTIVITY – SHALE/ TIGHT GAS</w:t>
            </w:r>
          </w:p>
        </w:tc>
      </w:tr>
      <w:tr w:rsidR="009E4E6A" w14:paraId="238F184A" w14:textId="77777777" w:rsidTr="009E4E6A">
        <w:tc>
          <w:tcPr>
            <w:tcW w:w="4102" w:type="dxa"/>
            <w:shd w:val="clear" w:color="auto" w:fill="146692"/>
          </w:tcPr>
          <w:p w14:paraId="5A2F7F60" w14:textId="3C953317"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Unconventional play types</w:t>
            </w:r>
          </w:p>
        </w:tc>
        <w:tc>
          <w:tcPr>
            <w:tcW w:w="5517" w:type="dxa"/>
            <w:shd w:val="clear" w:color="auto" w:fill="E1F2FB"/>
          </w:tcPr>
          <w:p w14:paraId="6B367764" w14:textId="42D5D418" w:rsidR="009E4E6A" w:rsidRDefault="009E4E6A" w:rsidP="009E4E6A">
            <w:pPr>
              <w:pStyle w:val="BodyText"/>
              <w:spacing w:beforeLines="20" w:before="48" w:afterLines="20" w:after="48" w:line="120" w:lineRule="atLeast"/>
            </w:pPr>
            <w:r w:rsidRPr="002F77D1">
              <w:t>Tight gas; shale gas</w:t>
            </w:r>
          </w:p>
        </w:tc>
      </w:tr>
      <w:tr w:rsidR="009E4E6A" w14:paraId="0DB1C07D" w14:textId="77777777" w:rsidTr="009E4E6A">
        <w:tc>
          <w:tcPr>
            <w:tcW w:w="4102" w:type="dxa"/>
            <w:shd w:val="clear" w:color="auto" w:fill="146692"/>
          </w:tcPr>
          <w:p w14:paraId="43A38428" w14:textId="20367549"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Production – shale/ tight gas</w:t>
            </w:r>
          </w:p>
        </w:tc>
        <w:tc>
          <w:tcPr>
            <w:tcW w:w="5517" w:type="dxa"/>
            <w:shd w:val="clear" w:color="auto" w:fill="E1F2FB"/>
          </w:tcPr>
          <w:p w14:paraId="7311D1FD" w14:textId="643E3FD1" w:rsidR="009E4E6A" w:rsidRDefault="009E4E6A" w:rsidP="009E4E6A">
            <w:pPr>
              <w:pStyle w:val="BodyText"/>
              <w:spacing w:beforeLines="20" w:before="48" w:afterLines="20" w:after="48" w:line="120" w:lineRule="atLeast"/>
            </w:pPr>
            <w:r w:rsidRPr="002F77D1">
              <w:t>None</w:t>
            </w:r>
          </w:p>
        </w:tc>
      </w:tr>
      <w:tr w:rsidR="009E4E6A" w14:paraId="3DDBE3D2" w14:textId="77777777" w:rsidTr="009E4E6A">
        <w:tc>
          <w:tcPr>
            <w:tcW w:w="4102" w:type="dxa"/>
            <w:shd w:val="clear" w:color="auto" w:fill="146692"/>
          </w:tcPr>
          <w:p w14:paraId="77322C56" w14:textId="43232E03"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lastRenderedPageBreak/>
              <w:t>2P Reserves – shale/ tight gas</w:t>
            </w:r>
          </w:p>
        </w:tc>
        <w:tc>
          <w:tcPr>
            <w:tcW w:w="5517" w:type="dxa"/>
            <w:shd w:val="clear" w:color="auto" w:fill="E1F2FB"/>
          </w:tcPr>
          <w:p w14:paraId="5ADBD088" w14:textId="37A8F0F2" w:rsidR="009E4E6A" w:rsidRDefault="009E4E6A" w:rsidP="009E4E6A">
            <w:pPr>
              <w:pStyle w:val="BodyText"/>
              <w:spacing w:beforeLines="20" w:before="48" w:afterLines="20" w:after="48" w:line="120" w:lineRule="atLeast"/>
            </w:pPr>
            <w:r w:rsidRPr="002F77D1">
              <w:t>No reserves booked</w:t>
            </w:r>
          </w:p>
        </w:tc>
      </w:tr>
      <w:tr w:rsidR="009E4E6A" w14:paraId="74F52E56" w14:textId="77777777" w:rsidTr="009E4E6A">
        <w:tc>
          <w:tcPr>
            <w:tcW w:w="4102" w:type="dxa"/>
            <w:shd w:val="clear" w:color="auto" w:fill="146692"/>
          </w:tcPr>
          <w:p w14:paraId="37BFD724" w14:textId="6730552B"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Remaining resources (reserves + contingent resources) – shale/ tight gas</w:t>
            </w:r>
          </w:p>
        </w:tc>
        <w:tc>
          <w:tcPr>
            <w:tcW w:w="5517" w:type="dxa"/>
            <w:shd w:val="clear" w:color="auto" w:fill="E1F2FB"/>
          </w:tcPr>
          <w:p w14:paraId="55AD507A" w14:textId="444049FB" w:rsidR="009E4E6A" w:rsidRDefault="009E4E6A" w:rsidP="009E4E6A">
            <w:pPr>
              <w:pStyle w:val="BodyText"/>
              <w:spacing w:beforeLines="20" w:before="48" w:afterLines="20" w:after="48" w:line="120" w:lineRule="atLeast"/>
            </w:pPr>
            <w:r w:rsidRPr="002F77D1">
              <w:t>None reported (AERA, 2018)</w:t>
            </w:r>
          </w:p>
        </w:tc>
      </w:tr>
      <w:tr w:rsidR="009E4E6A" w14:paraId="374C0926" w14:textId="77777777" w:rsidTr="009E4E6A">
        <w:tc>
          <w:tcPr>
            <w:tcW w:w="4102" w:type="dxa"/>
            <w:shd w:val="clear" w:color="auto" w:fill="146692"/>
          </w:tcPr>
          <w:p w14:paraId="0EDFB9E0" w14:textId="6F491073"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Undiscovered resource estimates – shale/ tight gas</w:t>
            </w:r>
          </w:p>
        </w:tc>
        <w:tc>
          <w:tcPr>
            <w:tcW w:w="5517" w:type="dxa"/>
            <w:shd w:val="clear" w:color="auto" w:fill="E1F2FB"/>
          </w:tcPr>
          <w:p w14:paraId="798EC5BF" w14:textId="77777777" w:rsidR="009E4E6A" w:rsidRDefault="009E4E6A" w:rsidP="009E4E6A">
            <w:pPr>
              <w:pStyle w:val="TableBullet"/>
              <w:spacing w:beforeLines="20" w:before="48" w:afterLines="20" w:after="48"/>
              <w:ind w:left="318"/>
            </w:pPr>
            <w:r>
              <w:t>P</w:t>
            </w:r>
            <w:r w:rsidRPr="005A65EB">
              <w:t>otentially recoverable gas-in-place resources of 5.8</w:t>
            </w:r>
            <w:r>
              <w:t> </w:t>
            </w:r>
            <w:r w:rsidRPr="005A65EB">
              <w:t xml:space="preserve">Tcf </w:t>
            </w:r>
            <w:r>
              <w:t>of tight gas (prospective area 17,233 km</w:t>
            </w:r>
            <w:r w:rsidRPr="00373371">
              <w:rPr>
                <w:vertAlign w:val="superscript"/>
              </w:rPr>
              <w:t>2</w:t>
            </w:r>
            <w:r>
              <w:t xml:space="preserve">) </w:t>
            </w:r>
            <w:r w:rsidRPr="005A65EB">
              <w:t>and 1.6 Tcf</w:t>
            </w:r>
            <w:r>
              <w:t xml:space="preserve"> of shale gas</w:t>
            </w:r>
            <w:r w:rsidRPr="005A65EB">
              <w:t xml:space="preserve"> </w:t>
            </w:r>
            <w:r>
              <w:t>(prospective area wet gas 628 km</w:t>
            </w:r>
            <w:r w:rsidRPr="00373371">
              <w:rPr>
                <w:vertAlign w:val="superscript"/>
              </w:rPr>
              <w:t>2</w:t>
            </w:r>
            <w:r>
              <w:t>; dry gas 369 km</w:t>
            </w:r>
            <w:r w:rsidRPr="00373371">
              <w:rPr>
                <w:vertAlign w:val="superscript"/>
              </w:rPr>
              <w:t>2</w:t>
            </w:r>
            <w:r>
              <w:t>)</w:t>
            </w:r>
            <w:r w:rsidRPr="005A65EB">
              <w:t xml:space="preserve"> (assuming a 5% recovery factor at P50</w:t>
            </w:r>
            <w:r>
              <w:t>) (Table A.3; GA, 2017; AERA, 2018)</w:t>
            </w:r>
          </w:p>
          <w:p w14:paraId="75452319" w14:textId="77777777" w:rsidR="009E4E6A" w:rsidRDefault="009E4E6A" w:rsidP="009E4E6A">
            <w:pPr>
              <w:pStyle w:val="TableBullet"/>
              <w:spacing w:beforeLines="20" w:before="48" w:afterLines="20" w:after="48"/>
              <w:ind w:left="318"/>
            </w:pPr>
            <w:r>
              <w:t>B</w:t>
            </w:r>
            <w:r w:rsidRPr="00321AC5">
              <w:t>est estimate recoverable tight gas resource of 9 Tcf of dry gas in the Eumeralla Formation over a prospective area of 4,109 km</w:t>
            </w:r>
            <w:r w:rsidRPr="00321AC5">
              <w:rPr>
                <w:vertAlign w:val="superscript"/>
              </w:rPr>
              <w:t>2</w:t>
            </w:r>
            <w:r>
              <w:t xml:space="preserve"> (AWT International, 2013)</w:t>
            </w:r>
            <w:r w:rsidRPr="00321AC5">
              <w:t xml:space="preserve"> </w:t>
            </w:r>
          </w:p>
          <w:p w14:paraId="37EA6C5D" w14:textId="786079E1" w:rsidR="009E4E6A" w:rsidRPr="002F77D1" w:rsidRDefault="009E4E6A" w:rsidP="009E4E6A">
            <w:pPr>
              <w:pStyle w:val="BodyText"/>
              <w:numPr>
                <w:ilvl w:val="0"/>
                <w:numId w:val="35"/>
              </w:numPr>
              <w:spacing w:beforeLines="20" w:before="48" w:afterLines="20" w:after="48" w:line="120" w:lineRule="atLeast"/>
              <w:ind w:left="318"/>
            </w:pPr>
            <w:r>
              <w:t>27 Tcf shale gas in the Casterton Formation for Victorian permit PEP 171 Vic (Goldstein et al., 2012)</w:t>
            </w:r>
          </w:p>
        </w:tc>
      </w:tr>
      <w:tr w:rsidR="009E4E6A" w14:paraId="3EF55773" w14:textId="77777777" w:rsidTr="009E4E6A">
        <w:tc>
          <w:tcPr>
            <w:tcW w:w="4102" w:type="dxa"/>
            <w:shd w:val="clear" w:color="auto" w:fill="146692"/>
          </w:tcPr>
          <w:p w14:paraId="6D111C37" w14:textId="04E4462A" w:rsidR="009E4E6A" w:rsidRPr="009E4E6A" w:rsidRDefault="009E4E6A" w:rsidP="009E4E6A">
            <w:pPr>
              <w:pStyle w:val="BodyText"/>
              <w:spacing w:beforeLines="20" w:before="48" w:afterLines="20" w:after="48" w:line="120" w:lineRule="atLeast"/>
              <w:rPr>
                <w:b/>
                <w:color w:val="FFFFFF" w:themeColor="background1"/>
              </w:rPr>
            </w:pPr>
            <w:r w:rsidRPr="009E4E6A">
              <w:rPr>
                <w:b/>
                <w:color w:val="FFFFFF" w:themeColor="background1"/>
              </w:rPr>
              <w:t>Hydrocarbon shows, tests – shale/ tight gas</w:t>
            </w:r>
          </w:p>
        </w:tc>
        <w:tc>
          <w:tcPr>
            <w:tcW w:w="5517" w:type="dxa"/>
            <w:shd w:val="clear" w:color="auto" w:fill="E1F2FB"/>
          </w:tcPr>
          <w:p w14:paraId="44745BDF" w14:textId="44647F51" w:rsidR="009E4E6A" w:rsidRDefault="009E4E6A" w:rsidP="009E4E6A">
            <w:pPr>
              <w:pStyle w:val="TableBullet"/>
              <w:numPr>
                <w:ilvl w:val="0"/>
                <w:numId w:val="0"/>
              </w:numPr>
              <w:spacing w:beforeLines="20" w:before="48" w:afterLines="20" w:after="48"/>
              <w:ind w:left="-42"/>
            </w:pPr>
            <w:r w:rsidRPr="00FA18CD">
              <w:t>Moreys 1 DST flowed gas and condensate from Eumeralla Fm</w:t>
            </w:r>
          </w:p>
        </w:tc>
      </w:tr>
    </w:tbl>
    <w:p w14:paraId="1D9FBFEF" w14:textId="77777777" w:rsidR="008B38C1" w:rsidRDefault="008B38C1" w:rsidP="00035C4A">
      <w:pPr>
        <w:pStyle w:val="AppendixHeading3"/>
      </w:pPr>
      <w:bookmarkStart w:id="330" w:name="_Toc517161212"/>
      <w:r>
        <w:t>Basin Geology</w:t>
      </w:r>
      <w:bookmarkEnd w:id="330"/>
    </w:p>
    <w:p w14:paraId="1493074C" w14:textId="71DD86A0" w:rsidR="008B38C1" w:rsidRPr="00367A93" w:rsidRDefault="008B38C1" w:rsidP="00367A93">
      <w:pPr>
        <w:pStyle w:val="BodyText"/>
      </w:pPr>
      <w:r w:rsidRPr="00367A93">
        <w:t>The Late Jurassic–Cenozoic Otway Basin is a large, northwest trending basin that covers an area of 150,000</w:t>
      </w:r>
      <w:r w:rsidR="008232C9">
        <w:t> km</w:t>
      </w:r>
      <w:r w:rsidRPr="00367A93">
        <w:rPr>
          <w:rStyle w:val="Superscript"/>
        </w:rPr>
        <w:t>2</w:t>
      </w:r>
      <w:r w:rsidRPr="00367A93">
        <w:t>, 80% of which lies offshore on the southern–southeastern Australian margin (</w:t>
      </w:r>
      <w:r w:rsidR="00611607">
        <w:t>Figure C</w:t>
      </w:r>
      <w:r w:rsidR="00367A93" w:rsidRPr="00367A93">
        <w:t>.</w:t>
      </w:r>
      <w:r w:rsidR="00494973">
        <w:t>70</w:t>
      </w:r>
      <w:r w:rsidR="00367A93" w:rsidRPr="00367A93">
        <w:t>).</w:t>
      </w:r>
      <w:r w:rsidRPr="00367A93">
        <w:t xml:space="preserve"> Exploration is mature onshore and immature offshore, with ~270 onshore wells and more than 335 offshore wells. Commercial gas discoveries include industrial grade CO</w:t>
      </w:r>
      <w:r w:rsidRPr="00367A93">
        <w:rPr>
          <w:rStyle w:val="Subscript"/>
        </w:rPr>
        <w:t>2</w:t>
      </w:r>
      <w:r w:rsidRPr="00367A93">
        <w:t>. No commercial oil discoveries have been identified.</w:t>
      </w:r>
    </w:p>
    <w:p w14:paraId="678BAF6C" w14:textId="77777777" w:rsidR="008B38C1" w:rsidRPr="004C16C9" w:rsidRDefault="008B38C1" w:rsidP="004C16C9">
      <w:pPr>
        <w:pStyle w:val="BodyText"/>
      </w:pPr>
      <w:r w:rsidRPr="004C16C9">
        <w:t>The basin is structurally complex and formed by multi-stage rift-sag and inversion phases. Late Jurassic to Early Cretaceous rifting resulted in the roughly east–west-trending inner Otway Basin. Late Cretaceous rifting, culminating in continental breakup in the Maastrichtian, produced northwest–southeast-trending depocentres beneath the outer shelf and slope. Multiple phases of compression during the Cretaceous–Quaternary resulted in inversion and wrenching of pre-existing structures (Krassay et al., 2004).</w:t>
      </w:r>
    </w:p>
    <w:p w14:paraId="74D5A0A4" w14:textId="76B8EC96" w:rsidR="008B38C1" w:rsidRPr="00367A93" w:rsidRDefault="008B38C1" w:rsidP="00367A93">
      <w:pPr>
        <w:pStyle w:val="BodyText"/>
      </w:pPr>
      <w:r w:rsidRPr="004C16C9">
        <w:t>The latest Jurassic–Lower Cretaceous Otway Supergroup comprises up to 8</w:t>
      </w:r>
      <w:r w:rsidR="008232C9">
        <w:t> km</w:t>
      </w:r>
      <w:r w:rsidRPr="004C16C9">
        <w:t xml:space="preserve"> of continental and fluvio-lacustrine sediments that accumulated in graben and half-graben of t</w:t>
      </w:r>
      <w:r w:rsidR="00367A93">
        <w:t xml:space="preserve">he </w:t>
      </w:r>
      <w:r w:rsidR="002E7DEA">
        <w:t xml:space="preserve">initial </w:t>
      </w:r>
      <w:r w:rsidR="00367A93">
        <w:t>rifting event (</w:t>
      </w:r>
      <w:r w:rsidR="00611607">
        <w:t>Figure C</w:t>
      </w:r>
      <w:r w:rsidR="00367A93">
        <w:t>.7</w:t>
      </w:r>
      <w:r w:rsidR="00494973">
        <w:t>1</w:t>
      </w:r>
      <w:r w:rsidRPr="004C16C9">
        <w:t>; Boult and Hibburt, 2002). A thick, post-rift, mudstone-dominated, volcaniclastic succession (Eumeralla Formation) was deposited during a relatively quiescent basin phase in the Aptian and Albian (Krassay et al., 2004). The overlying coastal plain, deltaic and marine sediments of the Upper Cretaceous Sherbrook Group are up to 5</w:t>
      </w:r>
      <w:r w:rsidR="00357C1F">
        <w:t xml:space="preserve"> </w:t>
      </w:r>
      <w:r w:rsidR="008232C9">
        <w:t>km</w:t>
      </w:r>
      <w:r w:rsidRPr="004C16C9">
        <w:t xml:space="preserve"> thick in the offshore basin</w:t>
      </w:r>
      <w:r w:rsidR="007F0FFB">
        <w:t xml:space="preserve"> and less than 200 m thick onshore</w:t>
      </w:r>
      <w:r w:rsidRPr="004C16C9">
        <w:t xml:space="preserve">. The Paleocene–middle Eocene Wangerrip Group sediments were deposited in coastal plain, deltaic and inner shelf settings and are separated from the open-marine, mixed carbonates/siliciclastics of the Eocene–Miocene </w:t>
      </w:r>
      <w:r w:rsidR="00373371">
        <w:t>age</w:t>
      </w:r>
      <w:r w:rsidRPr="004C16C9">
        <w:t xml:space="preserve"> by a major unconformity. Onshore, Pliocene and Pleistocene volcanics intrude and overlie Plio-Pleistocene siliciclastic and carbonate sequence and record a recent </w:t>
      </w:r>
      <w:r w:rsidRPr="00367A93">
        <w:t>period of igneous activity in the Otway Basin (Boult and Hibburt, 2002).</w:t>
      </w:r>
    </w:p>
    <w:p w14:paraId="4280AEAF" w14:textId="663270B6" w:rsidR="008B38C1" w:rsidRPr="004C16C9" w:rsidRDefault="008B38C1" w:rsidP="00367A93">
      <w:pPr>
        <w:pStyle w:val="BodyText"/>
      </w:pPr>
      <w:r w:rsidRPr="00367A93">
        <w:t xml:space="preserve">The main conventional exploration targets in the Otway Basin are the Upper Cretaceous Waarre Sandstone at the base of the Sherbrook Group, and sandstones of the Pretty Hill Formation and Katnook Sandstone/Windermere Sandstone Member in the Lower Cretaceous Crayfish Subgroup. </w:t>
      </w:r>
      <w:r w:rsidRPr="00367A93">
        <w:lastRenderedPageBreak/>
        <w:t xml:space="preserve">The main source rocks </w:t>
      </w:r>
      <w:r w:rsidR="007F0FFB">
        <w:t xml:space="preserve">of mixed lithofacies </w:t>
      </w:r>
      <w:r w:rsidRPr="00367A93">
        <w:t>occur in the Lower Cretaceous succession. Multiple charge histories are evident in the widespread influx of overmature, dry gas (most prominent in the western Otway Basin) and a more recent influx of magmatic</w:t>
      </w:r>
      <w:r w:rsidRPr="004C16C9">
        <w:t xml:space="preserve"> CO</w:t>
      </w:r>
      <w:r w:rsidR="00367A93" w:rsidRPr="00367A93">
        <w:rPr>
          <w:rStyle w:val="Subscript"/>
        </w:rPr>
        <w:t>2</w:t>
      </w:r>
      <w:r w:rsidRPr="004C16C9">
        <w:t>.</w:t>
      </w:r>
    </w:p>
    <w:p w14:paraId="5DBA5A32" w14:textId="77777777" w:rsidR="008B38C1" w:rsidRPr="005450A3" w:rsidRDefault="008B38C1" w:rsidP="00FD6771">
      <w:pPr>
        <w:pStyle w:val="FiguresImagesCentred"/>
      </w:pPr>
      <w:bookmarkStart w:id="331" w:name="_Ref490650452"/>
      <w:r>
        <w:rPr>
          <w:noProof/>
        </w:rPr>
        <w:drawing>
          <wp:inline distT="0" distB="0" distL="0" distR="0" wp14:anchorId="534F7C46" wp14:editId="01F7526D">
            <wp:extent cx="5760000" cy="5256000"/>
            <wp:effectExtent l="0" t="0" r="0" b="190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3" cstate="screen">
                      <a:extLst>
                        <a:ext uri="{28A0092B-C50C-407E-A947-70E740481C1C}">
                          <a14:useLocalDpi xmlns:a14="http://schemas.microsoft.com/office/drawing/2010/main"/>
                        </a:ext>
                      </a:extLst>
                    </a:blip>
                    <a:srcRect/>
                    <a:stretch>
                      <a:fillRect/>
                    </a:stretch>
                  </pic:blipFill>
                  <pic:spPr bwMode="auto">
                    <a:xfrm>
                      <a:off x="0" y="0"/>
                      <a:ext cx="5760000" cy="5256000"/>
                    </a:xfrm>
                    <a:prstGeom prst="rect">
                      <a:avLst/>
                    </a:prstGeom>
                    <a:noFill/>
                    <a:ln>
                      <a:noFill/>
                    </a:ln>
                  </pic:spPr>
                </pic:pic>
              </a:graphicData>
            </a:graphic>
          </wp:inline>
        </w:drawing>
      </w:r>
    </w:p>
    <w:p w14:paraId="51231C36" w14:textId="3E2BE3D9" w:rsidR="008B38C1" w:rsidRDefault="00FD61CA" w:rsidP="009F3E8F">
      <w:pPr>
        <w:pStyle w:val="Caption"/>
        <w:rPr>
          <w:lang w:eastAsia="ja-JP"/>
        </w:rPr>
      </w:pPr>
      <w:bookmarkStart w:id="332" w:name="_Toc508972141"/>
      <w:bookmarkEnd w:id="331"/>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w:instrText>
      </w:r>
      <w:r w:rsidR="008079F1">
        <w:instrText xml:space="preserve"> Apx_Figure \* ARABIC \s 9 </w:instrText>
      </w:r>
      <w:r w:rsidR="008079F1">
        <w:fldChar w:fldCharType="separate"/>
      </w:r>
      <w:r w:rsidR="00640CCB">
        <w:rPr>
          <w:noProof/>
        </w:rPr>
        <w:t>70</w:t>
      </w:r>
      <w:r w:rsidR="008079F1">
        <w:rPr>
          <w:noProof/>
        </w:rPr>
        <w:fldChar w:fldCharType="end"/>
      </w:r>
      <w:r w:rsidRPr="00BA0502">
        <w:t xml:space="preserve"> </w:t>
      </w:r>
      <w:r w:rsidR="008B38C1">
        <w:t xml:space="preserve">Location of the onshore Otway Basin </w:t>
      </w:r>
      <w:r w:rsidR="008B38C1">
        <w:rPr>
          <w:lang w:eastAsia="ja-JP"/>
        </w:rPr>
        <w:t xml:space="preserve">on a base map of 1:2,500,000 scale surface geology (Raymond et al., 2012). </w:t>
      </w:r>
      <w:r w:rsidR="00D407BA">
        <w:rPr>
          <w:lang w:eastAsia="ja-JP"/>
        </w:rPr>
        <w:t>Onshore b</w:t>
      </w:r>
      <w:r w:rsidR="008B38C1">
        <w:rPr>
          <w:lang w:eastAsia="ja-JP"/>
        </w:rPr>
        <w:t xml:space="preserve">asin outline from </w:t>
      </w:r>
      <w:r w:rsidR="00D407BA">
        <w:rPr>
          <w:lang w:eastAsia="ja-JP"/>
        </w:rPr>
        <w:t>Stewart</w:t>
      </w:r>
      <w:r w:rsidR="00D15FEC">
        <w:rPr>
          <w:lang w:eastAsia="ja-JP"/>
        </w:rPr>
        <w:t xml:space="preserve"> </w:t>
      </w:r>
      <w:r w:rsidR="008B38C1">
        <w:rPr>
          <w:lang w:eastAsia="ja-JP"/>
        </w:rPr>
        <w:t>et al. (2013).</w:t>
      </w:r>
      <w:bookmarkEnd w:id="332"/>
    </w:p>
    <w:p w14:paraId="4AFE1A9C" w14:textId="77777777" w:rsidR="004C16C9" w:rsidRDefault="004C16C9" w:rsidP="004C16C9">
      <w:pPr>
        <w:pStyle w:val="BodyText"/>
        <w:rPr>
          <w:rStyle w:val="Superscript"/>
        </w:rPr>
      </w:pPr>
    </w:p>
    <w:p w14:paraId="114FA818" w14:textId="77777777" w:rsidR="008B38C1" w:rsidRPr="005450A3" w:rsidRDefault="008B38C1" w:rsidP="008B38C1">
      <w:pPr>
        <w:pStyle w:val="FiguresImagesCentred"/>
      </w:pPr>
      <w:r>
        <w:rPr>
          <w:noProof/>
        </w:rPr>
        <w:lastRenderedPageBreak/>
        <w:drawing>
          <wp:inline distT="0" distB="0" distL="0" distR="0" wp14:anchorId="04AF8868" wp14:editId="5D10B860">
            <wp:extent cx="5593715" cy="8229600"/>
            <wp:effectExtent l="0" t="0" r="698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4">
                      <a:extLst>
                        <a:ext uri="{28A0092B-C50C-407E-A947-70E740481C1C}">
                          <a14:useLocalDpi xmlns:a14="http://schemas.microsoft.com/office/drawing/2010/main"/>
                        </a:ext>
                      </a:extLst>
                    </a:blip>
                    <a:srcRect/>
                    <a:stretch>
                      <a:fillRect/>
                    </a:stretch>
                  </pic:blipFill>
                  <pic:spPr bwMode="auto">
                    <a:xfrm>
                      <a:off x="0" y="0"/>
                      <a:ext cx="5593715" cy="8229600"/>
                    </a:xfrm>
                    <a:prstGeom prst="rect">
                      <a:avLst/>
                    </a:prstGeom>
                    <a:noFill/>
                    <a:ln>
                      <a:noFill/>
                    </a:ln>
                  </pic:spPr>
                </pic:pic>
              </a:graphicData>
            </a:graphic>
          </wp:inline>
        </w:drawing>
      </w:r>
    </w:p>
    <w:p w14:paraId="37F056E5" w14:textId="77777777" w:rsidR="008B38C1" w:rsidRDefault="00FD61CA" w:rsidP="009F3E8F">
      <w:pPr>
        <w:pStyle w:val="Caption"/>
      </w:pPr>
      <w:bookmarkStart w:id="333" w:name="_Toc508972142"/>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\s 9 </w:instrText>
      </w:r>
      <w:r w:rsidR="008079F1">
        <w:fldChar w:fldCharType="separate"/>
      </w:r>
      <w:r w:rsidR="00640CCB">
        <w:rPr>
          <w:noProof/>
        </w:rPr>
        <w:t>71</w:t>
      </w:r>
      <w:r w:rsidR="008079F1">
        <w:rPr>
          <w:noProof/>
        </w:rPr>
        <w:fldChar w:fldCharType="end"/>
      </w:r>
      <w:r w:rsidRPr="00BA0502">
        <w:t xml:space="preserve"> </w:t>
      </w:r>
      <w:r w:rsidR="008B38C1">
        <w:t>Stratigraphic chart of the Otway Basin and petroleum discovery wells (from Goldstein et al., 2012)</w:t>
      </w:r>
      <w:bookmarkEnd w:id="333"/>
      <w:r w:rsidR="008B38C1">
        <w:t xml:space="preserve"> </w:t>
      </w:r>
    </w:p>
    <w:p w14:paraId="1A424F2F" w14:textId="77777777" w:rsidR="008B38C1" w:rsidRDefault="008B38C1" w:rsidP="00035C4A">
      <w:pPr>
        <w:pStyle w:val="AppendixHeading3"/>
      </w:pPr>
      <w:bookmarkStart w:id="334" w:name="_Toc517161213"/>
      <w:r>
        <w:lastRenderedPageBreak/>
        <w:t>Petroleum data coverage</w:t>
      </w:r>
      <w:bookmarkEnd w:id="334"/>
    </w:p>
    <w:p w14:paraId="7CE47631" w14:textId="574D1C43" w:rsidR="008B38C1" w:rsidRDefault="008B38C1" w:rsidP="004C16C9">
      <w:pPr>
        <w:pStyle w:val="BodyText"/>
      </w:pPr>
      <w:r>
        <w:t>The onshore Otway Basin has a long history of petroleum exploration. About 157 wells have been drilled in Victoria (Mehin and Kamel, 2002; Goldie Divko, 2015) and 113 in South Australia (</w:t>
      </w:r>
      <w:r w:rsidR="00611607">
        <w:t>Figure C</w:t>
      </w:r>
      <w:r w:rsidR="00367A93">
        <w:t>.7</w:t>
      </w:r>
      <w:r w:rsidR="00494973">
        <w:t>2</w:t>
      </w:r>
      <w:r>
        <w:t>; DPCSA, 2017a; GSV, 2017a). The majority of these wells targeted conventional petroleum in the Lower Cretaceous Otway Group and Upper Cretaceous Waarre Formation. There is about 30,000 line</w:t>
      </w:r>
      <w:r w:rsidR="008232C9">
        <w:t> km</w:t>
      </w:r>
      <w:r>
        <w:t xml:space="preserve"> of 2D seismic in the onshore part of the basin; 3D seismic surveys are concentrated in the western part of the basin and around Port Campbell</w:t>
      </w:r>
      <w:r w:rsidR="005023A3">
        <w:t xml:space="preserve"> (DPCSA, 2017</w:t>
      </w:r>
      <w:r w:rsidR="00DC0970">
        <w:t>c</w:t>
      </w:r>
      <w:r w:rsidR="005023A3">
        <w:t>, c; GSV, 2009, 2017b)</w:t>
      </w:r>
      <w:r>
        <w:t xml:space="preserve">. </w:t>
      </w:r>
    </w:p>
    <w:p w14:paraId="639737E0" w14:textId="16D6AC64" w:rsidR="008B38C1" w:rsidRDefault="008B38C1" w:rsidP="004C16C9">
      <w:pPr>
        <w:pStyle w:val="BodyText"/>
      </w:pPr>
      <w:r>
        <w:t>There is complete coverage of gravity data across the basin with a station spacing varying, but usually of 4</w:t>
      </w:r>
      <w:r w:rsidR="008232C9">
        <w:t> km</w:t>
      </w:r>
      <w:r>
        <w:t xml:space="preserve"> or less. In addition, the basin is covered by airborne magnetics data at line spacing of 40</w:t>
      </w:r>
      <w:r w:rsidR="004C01AB">
        <w:t>0 m</w:t>
      </w:r>
      <w:r>
        <w:t xml:space="preserve"> or less (Jorand et al., 2010). There is currently no production of conventional gas or CO</w:t>
      </w:r>
      <w:r w:rsidRPr="000350BE">
        <w:rPr>
          <w:rStyle w:val="Subscript"/>
        </w:rPr>
        <w:t>2</w:t>
      </w:r>
      <w:r>
        <w:t xml:space="preserve"> from ~30 small gas fields in the onshore part of the basin</w:t>
      </w:r>
      <w:r w:rsidR="00882981">
        <w:t>, except for Boggy Creek 1 CO</w:t>
      </w:r>
      <w:r w:rsidR="00882981" w:rsidRPr="005962FF">
        <w:rPr>
          <w:rStyle w:val="Subscript"/>
        </w:rPr>
        <w:t>2</w:t>
      </w:r>
      <w:r w:rsidR="00882981">
        <w:t xml:space="preserve"> field</w:t>
      </w:r>
      <w:r>
        <w:t xml:space="preserve">, </w:t>
      </w:r>
      <w:r w:rsidR="00882981">
        <w:t>and</w:t>
      </w:r>
      <w:r>
        <w:t xml:space="preserve"> ongoing production from large offshore conventional gas fields.</w:t>
      </w:r>
    </w:p>
    <w:p w14:paraId="3B4772CD" w14:textId="77777777" w:rsidR="008B38C1" w:rsidRPr="005450A3" w:rsidRDefault="008B38C1" w:rsidP="008B38C1">
      <w:pPr>
        <w:pStyle w:val="FiguresImagesCentred"/>
      </w:pPr>
      <w:r>
        <w:rPr>
          <w:noProof/>
        </w:rPr>
        <w:drawing>
          <wp:inline distT="0" distB="0" distL="0" distR="0" wp14:anchorId="657E165C" wp14:editId="59430EC0">
            <wp:extent cx="5389399" cy="4856990"/>
            <wp:effectExtent l="0" t="0" r="1905" b="127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5" cstate="screen">
                      <a:extLst>
                        <a:ext uri="{28A0092B-C50C-407E-A947-70E740481C1C}">
                          <a14:useLocalDpi xmlns:a14="http://schemas.microsoft.com/office/drawing/2010/main"/>
                        </a:ext>
                      </a:extLst>
                    </a:blip>
                    <a:srcRect/>
                    <a:stretch>
                      <a:fillRect/>
                    </a:stretch>
                  </pic:blipFill>
                  <pic:spPr bwMode="auto">
                    <a:xfrm>
                      <a:off x="0" y="0"/>
                      <a:ext cx="5389683" cy="4857246"/>
                    </a:xfrm>
                    <a:prstGeom prst="rect">
                      <a:avLst/>
                    </a:prstGeom>
                    <a:noFill/>
                    <a:ln>
                      <a:noFill/>
                    </a:ln>
                  </pic:spPr>
                </pic:pic>
              </a:graphicData>
            </a:graphic>
          </wp:inline>
        </w:drawing>
      </w:r>
    </w:p>
    <w:p w14:paraId="3F0C07ED" w14:textId="0C5D47EA" w:rsidR="008B38C1" w:rsidRDefault="00FD61CA" w:rsidP="009F3E8F">
      <w:pPr>
        <w:pStyle w:val="Caption"/>
      </w:pPr>
      <w:bookmarkStart w:id="335" w:name="_Toc508972143"/>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\s 9 </w:instrText>
      </w:r>
      <w:r w:rsidR="008079F1">
        <w:fldChar w:fldCharType="separate"/>
      </w:r>
      <w:r w:rsidR="00640CCB">
        <w:rPr>
          <w:noProof/>
        </w:rPr>
        <w:t>72</w:t>
      </w:r>
      <w:r w:rsidR="008079F1">
        <w:rPr>
          <w:noProof/>
        </w:rPr>
        <w:fldChar w:fldCharType="end"/>
      </w:r>
      <w:r w:rsidRPr="00BA0502">
        <w:t xml:space="preserve"> </w:t>
      </w:r>
      <w:r w:rsidR="008B38C1">
        <w:t xml:space="preserve">Otway Basin petroleum exploration wells and seismic data coverage. </w:t>
      </w:r>
      <w:r w:rsidR="00D407BA">
        <w:t>Onshore b</w:t>
      </w:r>
      <w:r w:rsidR="008B38C1">
        <w:t>asin outline from Stewart et al. (2013). Petroleum well data from DPCSA (2017a)</w:t>
      </w:r>
      <w:r w:rsidR="0085437E">
        <w:t xml:space="preserve"> and</w:t>
      </w:r>
      <w:r w:rsidR="008B38C1">
        <w:t xml:space="preserve"> GSV (2017a). Seismic data coverage from DPCSA (2017</w:t>
      </w:r>
      <w:r w:rsidR="00DC0970">
        <w:t>c</w:t>
      </w:r>
      <w:r w:rsidR="008B38C1">
        <w:t xml:space="preserve">, </w:t>
      </w:r>
      <w:r w:rsidR="00DC0970">
        <w:t>d</w:t>
      </w:r>
      <w:r w:rsidR="008B38C1">
        <w:t>) and GSV (2009; 2017b).</w:t>
      </w:r>
      <w:bookmarkEnd w:id="335"/>
    </w:p>
    <w:p w14:paraId="2E9E7CB7" w14:textId="77777777" w:rsidR="00F27BC3" w:rsidRPr="00F27BC3" w:rsidRDefault="00F27BC3" w:rsidP="00F27BC3">
      <w:pPr>
        <w:pStyle w:val="BodyText"/>
      </w:pPr>
    </w:p>
    <w:p w14:paraId="4B98E6B0" w14:textId="77777777" w:rsidR="008B38C1" w:rsidRDefault="008B38C1" w:rsidP="00035C4A">
      <w:pPr>
        <w:pStyle w:val="AppendixHeading3"/>
      </w:pPr>
      <w:bookmarkStart w:id="336" w:name="_Toc517161214"/>
      <w:r>
        <w:lastRenderedPageBreak/>
        <w:t>Shale and tight gas prospectivity</w:t>
      </w:r>
      <w:bookmarkEnd w:id="336"/>
    </w:p>
    <w:p w14:paraId="43D6D4BD" w14:textId="77777777" w:rsidR="008B38C1" w:rsidRDefault="008B38C1" w:rsidP="004C16C9">
      <w:pPr>
        <w:pStyle w:val="BodyText"/>
      </w:pPr>
      <w:r>
        <w:t xml:space="preserve">The hydrocarbon prospectivity of the Otway Basin is summarised in </w:t>
      </w:r>
      <w:r w:rsidR="00611607">
        <w:t>Table C</w:t>
      </w:r>
      <w:r w:rsidR="00A24684">
        <w:t>.61</w:t>
      </w:r>
      <w:r w:rsidR="006971A5">
        <w:t>.</w:t>
      </w:r>
    </w:p>
    <w:p w14:paraId="23AC3898" w14:textId="77777777" w:rsidR="008B38C1" w:rsidRDefault="008B38C1" w:rsidP="004C16C9">
      <w:pPr>
        <w:pStyle w:val="BodyText"/>
      </w:pPr>
      <w:r>
        <w:t>The Otway Basin is a well-established gas producing region, but discoveries have been confined to onshore and shallow water offshore areas of the basin; there has been relatively little unconventional exploration. From the late 1970s (particularly between 1986 and 2006), the Port Campbell Embayment and Penola Trough in South Australia were active onshore gas producing regions until the commercially viable gas was depleted (Goldie Divko 2015).</w:t>
      </w:r>
    </w:p>
    <w:p w14:paraId="2103E235" w14:textId="362643BA" w:rsidR="008B38C1" w:rsidRPr="003739CA" w:rsidRDefault="008B38C1" w:rsidP="003739CA">
      <w:pPr>
        <w:pStyle w:val="BodyText"/>
      </w:pPr>
      <w:r>
        <w:t xml:space="preserve">Natural gases and oils from the western Otway Basin have an Upper Jurassic–Lower Cretaceous Casterton Formation–Crayfish Group (Austral 1) source, compared to a Lower Cretaceous Eumeralla Formation (Austral 2) source for those from the eastern Otway Basin. Gases and oils in the central Otway Basin are, to varying degrees, the products of mixing </w:t>
      </w:r>
      <w:r w:rsidRPr="003739CA">
        <w:t xml:space="preserve">from Crayfish and Eumeralla </w:t>
      </w:r>
      <w:r w:rsidR="006F0198">
        <w:t>f</w:t>
      </w:r>
      <w:r w:rsidR="006F0198" w:rsidRPr="003739CA">
        <w:t xml:space="preserve">ormation </w:t>
      </w:r>
      <w:r w:rsidRPr="003739CA">
        <w:t>sources within local depocentres (Boreham et al., 2004; Edwards et al., 1999).</w:t>
      </w:r>
    </w:p>
    <w:p w14:paraId="2D09CD91" w14:textId="534F6662" w:rsidR="008B38C1" w:rsidRPr="00367A93" w:rsidRDefault="008B38C1" w:rsidP="00367A93">
      <w:pPr>
        <w:pStyle w:val="BodyText"/>
      </w:pPr>
      <w:r w:rsidRPr="003739CA">
        <w:t xml:space="preserve">In the Otway Basin, the main tight and shale gas targets are within the Lower Cretaceous Otway Group in the lacustrine Casterton Formation, fluvio-lacustrine Crayfish </w:t>
      </w:r>
      <w:r w:rsidR="00A902C0">
        <w:t>G</w:t>
      </w:r>
      <w:r w:rsidRPr="003739CA">
        <w:t xml:space="preserve">roup and the fluvial intra-Eumeralla Formation (Jorand et al., 2010; Goldie Divko, 2015). Maturity modelling indicates that the Casterton Formation and Crayfish Group lie within the dry gas window at depths in excess of </w:t>
      </w:r>
      <w:r w:rsidRPr="00367A93">
        <w:t>3</w:t>
      </w:r>
      <w:r w:rsidR="00C21751">
        <w:t>,</w:t>
      </w:r>
      <w:r w:rsidRPr="00367A93">
        <w:t>80</w:t>
      </w:r>
      <w:r w:rsidR="004C01AB">
        <w:t>0 m</w:t>
      </w:r>
      <w:r w:rsidRPr="00367A93">
        <w:t xml:space="preserve"> in the Penola and Robe troughs. Source rocks in the eastern Otway Basin are much more mature (dry gas window ~1</w:t>
      </w:r>
      <w:r w:rsidR="00C21751">
        <w:t>,</w:t>
      </w:r>
      <w:r w:rsidRPr="00367A93">
        <w:t>80</w:t>
      </w:r>
      <w:r w:rsidR="004C01AB">
        <w:t>0 m</w:t>
      </w:r>
      <w:r w:rsidRPr="00367A93">
        <w:t>) than their western Otway counterparts at similar depths due to higher erosion rates in the eastern part of the basin (Tassone et al., 2014). Drilling has shown that there is gas present within the Eumeralla Formation but commercial quantities of tight or shale gas are yet to be produced from the region.</w:t>
      </w:r>
    </w:p>
    <w:p w14:paraId="6C2003FF" w14:textId="040538CD" w:rsidR="008B38C1" w:rsidRPr="003739CA" w:rsidRDefault="008B38C1" w:rsidP="00367A93">
      <w:pPr>
        <w:pStyle w:val="BodyText"/>
      </w:pPr>
      <w:r w:rsidRPr="00367A93">
        <w:t>The first test of a deeper unconventional play in the Western Otway Basin was carried out in 2014 by Beach Energy and Cooper Energy, who drilled two wells—Jolly 1 and Bungaloo 1 (Beach Energy, 2014; Cooper Energy, 2014); these wells followed up on encouraging gas shows in Sawpit 2 (</w:t>
      </w:r>
      <w:r w:rsidR="00611607">
        <w:t>Figure C</w:t>
      </w:r>
      <w:r w:rsidR="00367A93" w:rsidRPr="00367A93">
        <w:t>.7</w:t>
      </w:r>
      <w:r w:rsidR="00494973">
        <w:t>3</w:t>
      </w:r>
      <w:r w:rsidRPr="00367A93">
        <w:t>; Cooper Energy, 2013). The two wells were drilled to a total depth of just over 4</w:t>
      </w:r>
      <w:r w:rsidR="00C21751">
        <w:t>,</w:t>
      </w:r>
      <w:r w:rsidRPr="00367A93">
        <w:t>00</w:t>
      </w:r>
      <w:r w:rsidR="004C01AB">
        <w:t>0 m</w:t>
      </w:r>
      <w:r w:rsidRPr="00367A93">
        <w:t xml:space="preserve"> in the South Australian portion of the Penola Trough and confirmed the presence of two plays within the Crayfish</w:t>
      </w:r>
      <w:r w:rsidRPr="003739CA">
        <w:t xml:space="preserve"> Subgroup—an unconventional shale gas play in the Casterton Formation and an overlying conventional play in the “Sawpit Sandstone”.</w:t>
      </w:r>
    </w:p>
    <w:p w14:paraId="2346430D" w14:textId="77777777" w:rsidR="008B38C1" w:rsidRPr="003739CA" w:rsidRDefault="008B38C1" w:rsidP="003739CA">
      <w:pPr>
        <w:pStyle w:val="BodyText"/>
      </w:pPr>
      <w:r w:rsidRPr="003739CA">
        <w:t>Somerton Energy (now Cooper Energy) estimated that Victorian permit PEP 171 covering the eastern Penola Trough could contain more than 25 Tcf of shale gas in the Casterton Formation (Goldstein et al., 2012). The prospective shale units have yet to be fully penetrated in the centre of the Penola Trough so an understanding of gas saturation and likelihood of water drive is yet to be established (Goldstein et al., 2012).</w:t>
      </w:r>
    </w:p>
    <w:p w14:paraId="59871579" w14:textId="3D531957" w:rsidR="008B38C1" w:rsidRPr="003739CA" w:rsidRDefault="008B38C1" w:rsidP="003739CA">
      <w:pPr>
        <w:pStyle w:val="BodyText"/>
      </w:pPr>
      <w:r w:rsidRPr="003739CA">
        <w:t>AWT International (2013) has determined a best estimate recoverable tight gas resource of 9 Tcf of dry gas in</w:t>
      </w:r>
      <w:r w:rsidR="00321AC5">
        <w:t xml:space="preserve"> the Eumeralla Formation over a prospective</w:t>
      </w:r>
      <w:r w:rsidRPr="003739CA">
        <w:t xml:space="preserve"> area of 4</w:t>
      </w:r>
      <w:r w:rsidR="00C21751">
        <w:t>,</w:t>
      </w:r>
      <w:r w:rsidRPr="003739CA">
        <w:t>109</w:t>
      </w:r>
      <w:r w:rsidR="008232C9">
        <w:t> km</w:t>
      </w:r>
      <w:r w:rsidRPr="000350BE">
        <w:rPr>
          <w:rStyle w:val="Superscript"/>
        </w:rPr>
        <w:t>2</w:t>
      </w:r>
      <w:r w:rsidRPr="003739CA">
        <w:t xml:space="preserve"> (roughly between Portland and Port Campbell). In 2012, Moreys 1 encountered multiple tight gas sands with condensate in the Eumeralla Formation in the Port Campbell Embayment (Lakes Oil NL, 2016; Armour Energy, 2012). The resource has not been fully evaluated</w:t>
      </w:r>
      <w:r w:rsidR="00040680">
        <w:t>.</w:t>
      </w:r>
    </w:p>
    <w:p w14:paraId="2E4FB54D" w14:textId="5A12A187" w:rsidR="008B38C1" w:rsidRPr="003739CA" w:rsidRDefault="008B38C1" w:rsidP="003739CA">
      <w:pPr>
        <w:pStyle w:val="BodyText"/>
      </w:pPr>
      <w:r w:rsidRPr="003739CA">
        <w:lastRenderedPageBreak/>
        <w:t xml:space="preserve">A recent volumetric study by Geoscience Australia based on publically available data assessed the </w:t>
      </w:r>
      <w:r w:rsidR="00AB7CF8">
        <w:t>undiscovered</w:t>
      </w:r>
      <w:r w:rsidRPr="003739CA">
        <w:t xml:space="preserve"> tight and shale gas resources </w:t>
      </w:r>
      <w:r w:rsidR="00AB7CF8">
        <w:t>of the</w:t>
      </w:r>
      <w:r w:rsidRPr="003739CA">
        <w:t xml:space="preserve"> Eumeralla Formation, Crayfish Subgroup and Casterton Formation. Results indicated total </w:t>
      </w:r>
      <w:r w:rsidR="00AC5BC0" w:rsidRPr="00AC5BC0">
        <w:t>potentially recoverable gas-in-place resources of 5.8</w:t>
      </w:r>
      <w:r w:rsidR="00AC5BC0">
        <w:t> </w:t>
      </w:r>
      <w:r w:rsidR="00AC5BC0" w:rsidRPr="00AC5BC0">
        <w:t>Tcf of tight gas (</w:t>
      </w:r>
      <w:r w:rsidR="00F34EB2">
        <w:t xml:space="preserve">maximum </w:t>
      </w:r>
      <w:r w:rsidR="00AC5BC0" w:rsidRPr="00AC5BC0">
        <w:t>prospective area 17,233 km</w:t>
      </w:r>
      <w:r w:rsidR="00AC5BC0" w:rsidRPr="00AC5BC0">
        <w:rPr>
          <w:vertAlign w:val="superscript"/>
        </w:rPr>
        <w:t>2</w:t>
      </w:r>
      <w:r w:rsidR="00AC5BC0" w:rsidRPr="00AC5BC0">
        <w:t>) and 1.6 Tcf of shale gas (prospective area wet gas 628 km</w:t>
      </w:r>
      <w:r w:rsidR="00AC5BC0" w:rsidRPr="00AC5BC0">
        <w:rPr>
          <w:vertAlign w:val="superscript"/>
        </w:rPr>
        <w:t>2</w:t>
      </w:r>
      <w:r w:rsidR="00AC5BC0" w:rsidRPr="00AC5BC0">
        <w:t>; dry gas 369 km</w:t>
      </w:r>
      <w:r w:rsidR="00AC5BC0" w:rsidRPr="00AC5BC0">
        <w:rPr>
          <w:vertAlign w:val="superscript"/>
        </w:rPr>
        <w:t>2</w:t>
      </w:r>
      <w:r w:rsidR="00AC5BC0" w:rsidRPr="00AC5BC0">
        <w:t xml:space="preserve">) </w:t>
      </w:r>
      <w:r w:rsidRPr="003739CA">
        <w:t>(</w:t>
      </w:r>
      <w:r w:rsidR="007C31AF">
        <w:t xml:space="preserve">assuming a 5% recovery factor at P50; </w:t>
      </w:r>
      <w:r w:rsidR="00983C9B">
        <w:t>GA</w:t>
      </w:r>
      <w:r w:rsidRPr="003739CA">
        <w:t>, 2017</w:t>
      </w:r>
      <w:r w:rsidR="007C31AF">
        <w:t>; AERA 2018</w:t>
      </w:r>
      <w:r w:rsidRPr="003739CA">
        <w:t xml:space="preserve">). </w:t>
      </w:r>
      <w:r w:rsidR="005476C5">
        <w:t>A</w:t>
      </w:r>
      <w:r w:rsidR="005476C5" w:rsidRPr="003739CA">
        <w:t xml:space="preserve">nalogues </w:t>
      </w:r>
      <w:r w:rsidRPr="003739CA">
        <w:t>and geologically reasonable assumptions</w:t>
      </w:r>
      <w:r w:rsidR="005476C5">
        <w:t xml:space="preserve"> were used to characterise the Otway Basin shale and tight resource plays</w:t>
      </w:r>
      <w:r w:rsidRPr="003739CA">
        <w:t xml:space="preserve">. </w:t>
      </w:r>
      <w:r w:rsidR="001036E4">
        <w:t>I</w:t>
      </w:r>
      <w:r w:rsidR="001036E4" w:rsidRPr="001036E4">
        <w:t>n the medium term (10</w:t>
      </w:r>
      <w:r w:rsidR="001036E4">
        <w:t xml:space="preserve"> to</w:t>
      </w:r>
      <w:r w:rsidR="001036E4" w:rsidRPr="001036E4">
        <w:t xml:space="preserve"> 15 years) only a small amount of the gas-in-place could be extracted because of the </w:t>
      </w:r>
      <w:r w:rsidR="001036E4">
        <w:t>very early</w:t>
      </w:r>
      <w:r w:rsidR="001036E4" w:rsidRPr="001036E4">
        <w:t xml:space="preserve"> stage of exploration and the time needed to better define resources prior to production</w:t>
      </w:r>
      <w:r w:rsidR="001036E4">
        <w:t xml:space="preserve"> (AERA, 2018)</w:t>
      </w:r>
      <w:r w:rsidR="001036E4" w:rsidRPr="001036E4">
        <w:t>.</w:t>
      </w:r>
    </w:p>
    <w:p w14:paraId="42EB057E" w14:textId="77777777" w:rsidR="008B38C1" w:rsidRPr="003739CA" w:rsidRDefault="008B38C1" w:rsidP="003739CA">
      <w:pPr>
        <w:pStyle w:val="BodyText"/>
      </w:pPr>
      <w:r w:rsidRPr="003739CA">
        <w:t xml:space="preserve">Data for the key unconventional hydrocarbon targets in the onshore Otway Basin are summarised in </w:t>
      </w:r>
      <w:r w:rsidR="00611607">
        <w:t>Table C</w:t>
      </w:r>
      <w:r w:rsidR="00A24684">
        <w:t>.62</w:t>
      </w:r>
      <w:r w:rsidR="006971A5">
        <w:t>.</w:t>
      </w:r>
    </w:p>
    <w:p w14:paraId="4D3E874B" w14:textId="77777777" w:rsidR="008B38C1" w:rsidRPr="005450A3" w:rsidRDefault="008B38C1" w:rsidP="008B38C1">
      <w:pPr>
        <w:pStyle w:val="FiguresImagesCentred"/>
      </w:pPr>
      <w:r>
        <w:rPr>
          <w:noProof/>
        </w:rPr>
        <w:drawing>
          <wp:inline distT="0" distB="0" distL="0" distR="0" wp14:anchorId="1CB40528" wp14:editId="16CC5AF0">
            <wp:extent cx="5010912" cy="5233271"/>
            <wp:effectExtent l="0" t="0" r="0" b="571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6" cstate="screen">
                      <a:extLst>
                        <a:ext uri="{28A0092B-C50C-407E-A947-70E740481C1C}">
                          <a14:useLocalDpi xmlns:a14="http://schemas.microsoft.com/office/drawing/2010/main"/>
                        </a:ext>
                      </a:extLst>
                    </a:blip>
                    <a:srcRect/>
                    <a:stretch>
                      <a:fillRect/>
                    </a:stretch>
                  </pic:blipFill>
                  <pic:spPr bwMode="auto">
                    <a:xfrm>
                      <a:off x="0" y="0"/>
                      <a:ext cx="5027591" cy="5250690"/>
                    </a:xfrm>
                    <a:prstGeom prst="rect">
                      <a:avLst/>
                    </a:prstGeom>
                    <a:noFill/>
                    <a:ln>
                      <a:noFill/>
                    </a:ln>
                  </pic:spPr>
                </pic:pic>
              </a:graphicData>
            </a:graphic>
          </wp:inline>
        </w:drawing>
      </w:r>
    </w:p>
    <w:p w14:paraId="72D91DE3" w14:textId="05632626" w:rsidR="008B38C1" w:rsidRPr="004C16C9" w:rsidRDefault="00FD61CA" w:rsidP="009F3E8F">
      <w:pPr>
        <w:pStyle w:val="Caption"/>
      </w:pPr>
      <w:bookmarkStart w:id="337" w:name="_Toc508972144"/>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\s 9 </w:instrText>
      </w:r>
      <w:r w:rsidR="008079F1">
        <w:fldChar w:fldCharType="separate"/>
      </w:r>
      <w:r w:rsidR="00640CCB">
        <w:rPr>
          <w:noProof/>
        </w:rPr>
        <w:t>73</w:t>
      </w:r>
      <w:r w:rsidR="008079F1">
        <w:rPr>
          <w:noProof/>
        </w:rPr>
        <w:fldChar w:fldCharType="end"/>
      </w:r>
      <w:r w:rsidRPr="00BA0502">
        <w:t xml:space="preserve"> </w:t>
      </w:r>
      <w:r w:rsidR="008B38C1" w:rsidRPr="004C16C9">
        <w:t xml:space="preserve">Wells </w:t>
      </w:r>
      <w:r w:rsidR="008B38C1" w:rsidRPr="005450A3">
        <w:t xml:space="preserve">targeting shale or tight gas plays and approximate play extents modified from </w:t>
      </w:r>
      <w:r w:rsidR="00983C9B">
        <w:t xml:space="preserve">GA </w:t>
      </w:r>
      <w:r w:rsidR="008B38C1" w:rsidRPr="005450A3">
        <w:t>(2017).</w:t>
      </w:r>
      <w:r w:rsidR="00FA0108">
        <w:t xml:space="preserve"> </w:t>
      </w:r>
      <w:r w:rsidR="008B38C1" w:rsidRPr="005450A3">
        <w:t>Field outlines are provided from Encom GPInfo, a Pitney Bowes Software (PBS) Pty Ltd product. Whilst all care is taken in compilation of the field outlines by PBS, no warranty is provided regarding the accuracy or completeness of the information. It is</w:t>
      </w:r>
      <w:r w:rsidR="008B38C1" w:rsidRPr="004C16C9">
        <w:t xml:space="preserve"> the responsibility of the customer to ensure, by independent means, that those parts of the information used by it are correct before any reliable is placed on them.</w:t>
      </w:r>
      <w:bookmarkEnd w:id="337"/>
    </w:p>
    <w:p w14:paraId="0E5C7EE9" w14:textId="77777777" w:rsidR="008B38C1" w:rsidRPr="000350BE" w:rsidRDefault="008B38C1" w:rsidP="009F3E8F">
      <w:pPr>
        <w:pStyle w:val="Caption"/>
        <w:sectPr w:rsidR="008B38C1" w:rsidRPr="000350BE" w:rsidSect="005E271C">
          <w:headerReference w:type="default" r:id="rId477"/>
          <w:pgSz w:w="11907" w:h="16840"/>
          <w:pgMar w:top="1418" w:right="1134" w:bottom="1418" w:left="1134" w:header="510" w:footer="624" w:gutter="0"/>
          <w:cols w:space="720"/>
          <w:docGrid w:linePitch="326"/>
        </w:sectPr>
      </w:pPr>
    </w:p>
    <w:p w14:paraId="0D7D646C" w14:textId="77777777" w:rsidR="008B38C1" w:rsidRDefault="006971A5" w:rsidP="009F3E8F">
      <w:pPr>
        <w:pStyle w:val="Caption"/>
      </w:pPr>
      <w:bookmarkStart w:id="338" w:name="_Toc508972211"/>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62</w:t>
      </w:r>
      <w:r w:rsidR="008079F1">
        <w:rPr>
          <w:noProof/>
        </w:rPr>
        <w:fldChar w:fldCharType="end"/>
      </w:r>
      <w:r>
        <w:t xml:space="preserve"> </w:t>
      </w:r>
      <w:r w:rsidR="008B38C1">
        <w:t>Summary of shale and tight gas plays.</w:t>
      </w:r>
      <w:bookmarkEnd w:id="338"/>
    </w:p>
    <w:tbl>
      <w:tblPr>
        <w:tblStyle w:val="TableBAHeaderRow"/>
        <w:tblW w:w="5000" w:type="pct"/>
        <w:tblLook w:val="04A0" w:firstRow="1" w:lastRow="0" w:firstColumn="1" w:lastColumn="0" w:noHBand="0" w:noVBand="1"/>
      </w:tblPr>
      <w:tblGrid>
        <w:gridCol w:w="1186"/>
        <w:gridCol w:w="1129"/>
        <w:gridCol w:w="1266"/>
        <w:gridCol w:w="977"/>
        <w:gridCol w:w="1123"/>
        <w:gridCol w:w="1840"/>
        <w:gridCol w:w="1120"/>
        <w:gridCol w:w="983"/>
        <w:gridCol w:w="1683"/>
        <w:gridCol w:w="2697"/>
      </w:tblGrid>
      <w:tr w:rsidR="008B38C1" w14:paraId="2207A4C2" w14:textId="77777777" w:rsidTr="00DC345C">
        <w:trPr>
          <w:cnfStyle w:val="100000000000" w:firstRow="1" w:lastRow="0" w:firstColumn="0" w:lastColumn="0" w:oddVBand="0" w:evenVBand="0" w:oddHBand="0" w:evenHBand="0" w:firstRowFirstColumn="0" w:firstRowLastColumn="0" w:lastRowFirstColumn="0" w:lastRowLastColumn="0"/>
        </w:trPr>
        <w:tc>
          <w:tcPr>
            <w:tcW w:w="423" w:type="pct"/>
            <w:hideMark/>
          </w:tcPr>
          <w:p w14:paraId="1E824A6B" w14:textId="77777777" w:rsidR="008B38C1" w:rsidRDefault="008B38C1">
            <w:pPr>
              <w:pStyle w:val="TableTextLeft"/>
            </w:pPr>
            <w:r>
              <w:t>Formation</w:t>
            </w:r>
          </w:p>
        </w:tc>
        <w:tc>
          <w:tcPr>
            <w:tcW w:w="403" w:type="pct"/>
            <w:hideMark/>
          </w:tcPr>
          <w:p w14:paraId="076DB3C8" w14:textId="77777777" w:rsidR="008B38C1" w:rsidRDefault="008B38C1">
            <w:pPr>
              <w:pStyle w:val="TableTextLeft"/>
            </w:pPr>
            <w:r>
              <w:t>Age</w:t>
            </w:r>
          </w:p>
        </w:tc>
        <w:tc>
          <w:tcPr>
            <w:tcW w:w="452" w:type="pct"/>
            <w:hideMark/>
          </w:tcPr>
          <w:p w14:paraId="1696A905" w14:textId="77777777" w:rsidR="008B38C1" w:rsidRDefault="008B38C1">
            <w:pPr>
              <w:pStyle w:val="TableTextLeft"/>
            </w:pPr>
            <w:r>
              <w:t>Environment</w:t>
            </w:r>
          </w:p>
        </w:tc>
        <w:tc>
          <w:tcPr>
            <w:tcW w:w="349" w:type="pct"/>
            <w:hideMark/>
          </w:tcPr>
          <w:p w14:paraId="2CDEE27C" w14:textId="77777777" w:rsidR="008B38C1" w:rsidRDefault="008B38C1">
            <w:pPr>
              <w:pStyle w:val="TableTextLeft"/>
            </w:pPr>
            <w:r>
              <w:t>Top depth</w:t>
            </w:r>
          </w:p>
          <w:p w14:paraId="7DA37554" w14:textId="77777777" w:rsidR="008B38C1" w:rsidRDefault="008B38C1">
            <w:pPr>
              <w:pStyle w:val="TableTextLeft"/>
            </w:pPr>
            <w:r>
              <w:t>(m)</w:t>
            </w:r>
          </w:p>
        </w:tc>
        <w:tc>
          <w:tcPr>
            <w:tcW w:w="401" w:type="pct"/>
            <w:hideMark/>
          </w:tcPr>
          <w:p w14:paraId="02D8FFE5" w14:textId="77777777" w:rsidR="008B38C1" w:rsidRDefault="008B38C1">
            <w:pPr>
              <w:pStyle w:val="TableTextLeft"/>
            </w:pPr>
            <w:r>
              <w:t>Thickness (m)</w:t>
            </w:r>
          </w:p>
        </w:tc>
        <w:tc>
          <w:tcPr>
            <w:tcW w:w="657" w:type="pct"/>
            <w:hideMark/>
          </w:tcPr>
          <w:p w14:paraId="59DDA8B7" w14:textId="77777777" w:rsidR="008B38C1" w:rsidRDefault="008B38C1">
            <w:pPr>
              <w:pStyle w:val="TableTextLeft"/>
            </w:pPr>
            <w:r>
              <w:t>Source rocks(s)</w:t>
            </w:r>
          </w:p>
        </w:tc>
        <w:tc>
          <w:tcPr>
            <w:tcW w:w="400" w:type="pct"/>
            <w:hideMark/>
          </w:tcPr>
          <w:p w14:paraId="279E5AFD" w14:textId="77777777" w:rsidR="008B38C1" w:rsidRDefault="008B38C1">
            <w:pPr>
              <w:pStyle w:val="TableTextLeft"/>
            </w:pPr>
            <w:r>
              <w:t>Source rock TOC (%)</w:t>
            </w:r>
          </w:p>
        </w:tc>
        <w:tc>
          <w:tcPr>
            <w:tcW w:w="351" w:type="pct"/>
            <w:hideMark/>
          </w:tcPr>
          <w:p w14:paraId="0115529D" w14:textId="77777777" w:rsidR="008B38C1" w:rsidRDefault="008B38C1">
            <w:pPr>
              <w:pStyle w:val="TableTextLeft"/>
            </w:pPr>
            <w:r>
              <w:t>Source rock maturity (Rv)</w:t>
            </w:r>
          </w:p>
        </w:tc>
        <w:tc>
          <w:tcPr>
            <w:tcW w:w="601" w:type="pct"/>
            <w:hideMark/>
          </w:tcPr>
          <w:p w14:paraId="2A0EF514" w14:textId="77777777" w:rsidR="008B38C1" w:rsidRDefault="008B38C1">
            <w:pPr>
              <w:pStyle w:val="TableTextLeft"/>
            </w:pPr>
            <w:r>
              <w:t>Play type</w:t>
            </w:r>
          </w:p>
        </w:tc>
        <w:tc>
          <w:tcPr>
            <w:tcW w:w="963" w:type="pct"/>
            <w:hideMark/>
          </w:tcPr>
          <w:p w14:paraId="1ADCC1E8" w14:textId="77777777" w:rsidR="008B38C1" w:rsidRDefault="008B38C1">
            <w:pPr>
              <w:pStyle w:val="TableTextLeft"/>
            </w:pPr>
            <w:r>
              <w:t>Exploration status</w:t>
            </w:r>
          </w:p>
        </w:tc>
      </w:tr>
      <w:tr w:rsidR="008B38C1" w14:paraId="0CC2C472" w14:textId="77777777" w:rsidTr="00DC345C">
        <w:trPr>
          <w:cnfStyle w:val="000000100000" w:firstRow="0" w:lastRow="0" w:firstColumn="0" w:lastColumn="0" w:oddVBand="0" w:evenVBand="0" w:oddHBand="1" w:evenHBand="0" w:firstRowFirstColumn="0" w:firstRowLastColumn="0" w:lastRowFirstColumn="0" w:lastRowLastColumn="0"/>
        </w:trPr>
        <w:tc>
          <w:tcPr>
            <w:tcW w:w="423" w:type="pct"/>
            <w:hideMark/>
          </w:tcPr>
          <w:p w14:paraId="1A485C8A" w14:textId="77777777" w:rsidR="008B38C1" w:rsidRDefault="008B38C1">
            <w:pPr>
              <w:pStyle w:val="TableTextLeft"/>
            </w:pPr>
            <w:r>
              <w:t>Eumeralla Formation</w:t>
            </w:r>
          </w:p>
        </w:tc>
        <w:tc>
          <w:tcPr>
            <w:tcW w:w="403" w:type="pct"/>
            <w:hideMark/>
          </w:tcPr>
          <w:p w14:paraId="6512E2D9" w14:textId="77777777" w:rsidR="008B38C1" w:rsidRDefault="008B38C1">
            <w:pPr>
              <w:pStyle w:val="TableTextLeft"/>
            </w:pPr>
            <w:r>
              <w:t>Early Cretaceous</w:t>
            </w:r>
          </w:p>
        </w:tc>
        <w:tc>
          <w:tcPr>
            <w:tcW w:w="452" w:type="pct"/>
            <w:hideMark/>
          </w:tcPr>
          <w:p w14:paraId="209596AF" w14:textId="77777777" w:rsidR="008B38C1" w:rsidRDefault="008B38C1">
            <w:pPr>
              <w:pStyle w:val="TableTextLeft"/>
            </w:pPr>
            <w:r>
              <w:t>Fluvial–lacustrine</w:t>
            </w:r>
          </w:p>
        </w:tc>
        <w:tc>
          <w:tcPr>
            <w:tcW w:w="349" w:type="pct"/>
            <w:hideMark/>
          </w:tcPr>
          <w:p w14:paraId="25C26C53" w14:textId="77777777" w:rsidR="008B38C1" w:rsidRDefault="008B38C1">
            <w:pPr>
              <w:pStyle w:val="TableTextLeft"/>
            </w:pPr>
            <w:r>
              <w:t>1</w:t>
            </w:r>
            <w:r w:rsidR="001F259B">
              <w:t>,</w:t>
            </w:r>
            <w:r>
              <w:t>500</w:t>
            </w:r>
          </w:p>
        </w:tc>
        <w:tc>
          <w:tcPr>
            <w:tcW w:w="401" w:type="pct"/>
            <w:hideMark/>
          </w:tcPr>
          <w:p w14:paraId="2EC28133" w14:textId="77777777" w:rsidR="008B38C1" w:rsidRDefault="008B38C1">
            <w:pPr>
              <w:pStyle w:val="TableTextLeft"/>
            </w:pPr>
            <w:r>
              <w:t>~2</w:t>
            </w:r>
            <w:r w:rsidR="001F259B">
              <w:t>,</w:t>
            </w:r>
            <w:r>
              <w:t>000</w:t>
            </w:r>
          </w:p>
        </w:tc>
        <w:tc>
          <w:tcPr>
            <w:tcW w:w="657" w:type="pct"/>
            <w:hideMark/>
          </w:tcPr>
          <w:p w14:paraId="76E33B38" w14:textId="77777777" w:rsidR="008B38C1" w:rsidRDefault="008B38C1">
            <w:pPr>
              <w:pStyle w:val="TableTextLeft"/>
            </w:pPr>
            <w:r>
              <w:rPr>
                <w:szCs w:val="18"/>
              </w:rPr>
              <w:t xml:space="preserve">Type II/III to Type III; coal, DOM </w:t>
            </w:r>
            <w:r>
              <w:t>(Austral 2)</w:t>
            </w:r>
          </w:p>
        </w:tc>
        <w:tc>
          <w:tcPr>
            <w:tcW w:w="400" w:type="pct"/>
            <w:hideMark/>
          </w:tcPr>
          <w:p w14:paraId="0663CE4E" w14:textId="77777777" w:rsidR="008B38C1" w:rsidRDefault="008B38C1">
            <w:pPr>
              <w:pStyle w:val="TableTextLeft"/>
            </w:pPr>
            <w:r>
              <w:t>0.1–67.5 (includes coal); average 5.73</w:t>
            </w:r>
          </w:p>
        </w:tc>
        <w:tc>
          <w:tcPr>
            <w:tcW w:w="351" w:type="pct"/>
            <w:hideMark/>
          </w:tcPr>
          <w:p w14:paraId="3DEE3CA9" w14:textId="77777777" w:rsidR="008B38C1" w:rsidRDefault="008B38C1">
            <w:pPr>
              <w:pStyle w:val="TableTextLeft"/>
            </w:pPr>
            <w:r>
              <w:t>Immature-dry gas; 0.2–2.5%</w:t>
            </w:r>
          </w:p>
        </w:tc>
        <w:tc>
          <w:tcPr>
            <w:tcW w:w="601" w:type="pct"/>
            <w:hideMark/>
          </w:tcPr>
          <w:p w14:paraId="7799ED51" w14:textId="77777777" w:rsidR="008B38C1" w:rsidRDefault="008B38C1">
            <w:pPr>
              <w:pStyle w:val="TableTextLeft"/>
            </w:pPr>
            <w:r>
              <w:t>Tight gas</w:t>
            </w:r>
          </w:p>
        </w:tc>
        <w:tc>
          <w:tcPr>
            <w:tcW w:w="963" w:type="pct"/>
            <w:hideMark/>
          </w:tcPr>
          <w:p w14:paraId="67323908" w14:textId="77777777" w:rsidR="008B38C1" w:rsidRDefault="008B38C1">
            <w:pPr>
              <w:pStyle w:val="TableTextLeft"/>
            </w:pPr>
            <w:r>
              <w:t xml:space="preserve">Preliminary </w:t>
            </w:r>
            <w:r>
              <w:rPr>
                <w:szCs w:val="18"/>
              </w:rPr>
              <w:t>exploration</w:t>
            </w:r>
          </w:p>
        </w:tc>
      </w:tr>
      <w:tr w:rsidR="008B38C1" w14:paraId="7FDC8060" w14:textId="77777777" w:rsidTr="00DC345C">
        <w:trPr>
          <w:cnfStyle w:val="000000010000" w:firstRow="0" w:lastRow="0" w:firstColumn="0" w:lastColumn="0" w:oddVBand="0" w:evenVBand="0" w:oddHBand="0" w:evenHBand="1" w:firstRowFirstColumn="0" w:firstRowLastColumn="0" w:lastRowFirstColumn="0" w:lastRowLastColumn="0"/>
        </w:trPr>
        <w:tc>
          <w:tcPr>
            <w:tcW w:w="423" w:type="pct"/>
            <w:hideMark/>
          </w:tcPr>
          <w:p w14:paraId="26F70968" w14:textId="77777777" w:rsidR="008B38C1" w:rsidRDefault="008B38C1">
            <w:pPr>
              <w:pStyle w:val="TableTextLeft"/>
            </w:pPr>
            <w:r>
              <w:t>Crayfish Subgroup</w:t>
            </w:r>
          </w:p>
        </w:tc>
        <w:tc>
          <w:tcPr>
            <w:tcW w:w="403" w:type="pct"/>
            <w:hideMark/>
          </w:tcPr>
          <w:p w14:paraId="6E3092E6" w14:textId="77777777" w:rsidR="008B38C1" w:rsidRDefault="008B38C1">
            <w:pPr>
              <w:pStyle w:val="TableTextLeft"/>
            </w:pPr>
            <w:r>
              <w:t>Early Cretaceous</w:t>
            </w:r>
          </w:p>
        </w:tc>
        <w:tc>
          <w:tcPr>
            <w:tcW w:w="452" w:type="pct"/>
            <w:hideMark/>
          </w:tcPr>
          <w:p w14:paraId="588083A1" w14:textId="77777777" w:rsidR="008B38C1" w:rsidRDefault="008B38C1">
            <w:pPr>
              <w:pStyle w:val="TableTextLeft"/>
            </w:pPr>
            <w:r>
              <w:t>Fluvial–lacustrine</w:t>
            </w:r>
          </w:p>
        </w:tc>
        <w:tc>
          <w:tcPr>
            <w:tcW w:w="349" w:type="pct"/>
            <w:hideMark/>
          </w:tcPr>
          <w:p w14:paraId="55469DEA" w14:textId="77777777" w:rsidR="008B38C1" w:rsidRDefault="008B38C1">
            <w:pPr>
              <w:pStyle w:val="TableTextLeft"/>
            </w:pPr>
            <w:r>
              <w:t>1</w:t>
            </w:r>
            <w:r w:rsidR="001F259B">
              <w:t>,</w:t>
            </w:r>
            <w:r>
              <w:t>700</w:t>
            </w:r>
          </w:p>
        </w:tc>
        <w:tc>
          <w:tcPr>
            <w:tcW w:w="401" w:type="pct"/>
            <w:hideMark/>
          </w:tcPr>
          <w:p w14:paraId="1124FF77" w14:textId="77777777" w:rsidR="008B38C1" w:rsidRDefault="008B38C1">
            <w:pPr>
              <w:pStyle w:val="TableTextLeft"/>
            </w:pPr>
            <w:r>
              <w:t>3</w:t>
            </w:r>
            <w:r w:rsidR="001F259B">
              <w:t>,</w:t>
            </w:r>
            <w:r>
              <w:t>500+</w:t>
            </w:r>
          </w:p>
        </w:tc>
        <w:tc>
          <w:tcPr>
            <w:tcW w:w="657" w:type="pct"/>
            <w:hideMark/>
          </w:tcPr>
          <w:p w14:paraId="53692975" w14:textId="77777777" w:rsidR="008B38C1" w:rsidRDefault="008B38C1">
            <w:pPr>
              <w:pStyle w:val="TableTextLeft"/>
            </w:pPr>
            <w:r>
              <w:rPr>
                <w:szCs w:val="18"/>
              </w:rPr>
              <w:t xml:space="preserve">Type II/III to Type III; coal, DOM </w:t>
            </w:r>
            <w:r>
              <w:t>(Austral 2)</w:t>
            </w:r>
          </w:p>
        </w:tc>
        <w:tc>
          <w:tcPr>
            <w:tcW w:w="400" w:type="pct"/>
            <w:hideMark/>
          </w:tcPr>
          <w:p w14:paraId="0468544F" w14:textId="77777777" w:rsidR="008B38C1" w:rsidRDefault="008B38C1">
            <w:pPr>
              <w:pStyle w:val="TableTextLeft"/>
            </w:pPr>
            <w:r>
              <w:t>0.37–2.6</w:t>
            </w:r>
          </w:p>
        </w:tc>
        <w:tc>
          <w:tcPr>
            <w:tcW w:w="351" w:type="pct"/>
            <w:hideMark/>
          </w:tcPr>
          <w:p w14:paraId="31771645" w14:textId="77777777" w:rsidR="008B38C1" w:rsidRDefault="008B38C1">
            <w:pPr>
              <w:pStyle w:val="TableTextLeft"/>
            </w:pPr>
            <w:r>
              <w:t>Immature-wet gas; 0.3–1.8%</w:t>
            </w:r>
          </w:p>
        </w:tc>
        <w:tc>
          <w:tcPr>
            <w:tcW w:w="601" w:type="pct"/>
            <w:hideMark/>
          </w:tcPr>
          <w:p w14:paraId="409E180D" w14:textId="77777777" w:rsidR="008B38C1" w:rsidRDefault="008B38C1">
            <w:pPr>
              <w:pStyle w:val="TableTextLeft"/>
            </w:pPr>
            <w:r>
              <w:rPr>
                <w:szCs w:val="18"/>
              </w:rPr>
              <w:t>Shale/tight gas</w:t>
            </w:r>
          </w:p>
        </w:tc>
        <w:tc>
          <w:tcPr>
            <w:tcW w:w="963" w:type="pct"/>
            <w:hideMark/>
          </w:tcPr>
          <w:p w14:paraId="0C0D9367" w14:textId="77777777" w:rsidR="008B38C1" w:rsidRDefault="008B38C1">
            <w:pPr>
              <w:pStyle w:val="TableTextLeft"/>
            </w:pPr>
            <w:r>
              <w:t xml:space="preserve">Preliminary </w:t>
            </w:r>
            <w:r>
              <w:rPr>
                <w:szCs w:val="18"/>
              </w:rPr>
              <w:t>exploration</w:t>
            </w:r>
          </w:p>
        </w:tc>
      </w:tr>
      <w:tr w:rsidR="008B38C1" w14:paraId="47C185C7" w14:textId="77777777" w:rsidTr="00DC345C">
        <w:trPr>
          <w:cnfStyle w:val="000000100000" w:firstRow="0" w:lastRow="0" w:firstColumn="0" w:lastColumn="0" w:oddVBand="0" w:evenVBand="0" w:oddHBand="1" w:evenHBand="0" w:firstRowFirstColumn="0" w:firstRowLastColumn="0" w:lastRowFirstColumn="0" w:lastRowLastColumn="0"/>
        </w:trPr>
        <w:tc>
          <w:tcPr>
            <w:tcW w:w="423" w:type="pct"/>
            <w:hideMark/>
          </w:tcPr>
          <w:p w14:paraId="4935D84A" w14:textId="77777777" w:rsidR="008B38C1" w:rsidRDefault="008B38C1">
            <w:pPr>
              <w:pStyle w:val="TableTextLeft"/>
            </w:pPr>
            <w:r>
              <w:t>Casterton Formation</w:t>
            </w:r>
          </w:p>
        </w:tc>
        <w:tc>
          <w:tcPr>
            <w:tcW w:w="403" w:type="pct"/>
            <w:hideMark/>
          </w:tcPr>
          <w:p w14:paraId="31B75AA3" w14:textId="77777777" w:rsidR="008B38C1" w:rsidRDefault="008B38C1">
            <w:pPr>
              <w:pStyle w:val="TableTextLeft"/>
            </w:pPr>
            <w:r>
              <w:t>Late Jurassic–Early Cretaceous</w:t>
            </w:r>
          </w:p>
        </w:tc>
        <w:tc>
          <w:tcPr>
            <w:tcW w:w="452" w:type="pct"/>
            <w:hideMark/>
          </w:tcPr>
          <w:p w14:paraId="621CEB31" w14:textId="77777777" w:rsidR="008B38C1" w:rsidRDefault="008B38C1">
            <w:pPr>
              <w:pStyle w:val="TableTextLeft"/>
            </w:pPr>
            <w:r>
              <w:t>Lacustrine</w:t>
            </w:r>
          </w:p>
        </w:tc>
        <w:tc>
          <w:tcPr>
            <w:tcW w:w="349" w:type="pct"/>
            <w:hideMark/>
          </w:tcPr>
          <w:p w14:paraId="0A7797B0" w14:textId="77777777" w:rsidR="008B38C1" w:rsidRDefault="008B38C1">
            <w:pPr>
              <w:pStyle w:val="TableTextLeft"/>
            </w:pPr>
            <w:r>
              <w:t>2</w:t>
            </w:r>
            <w:r w:rsidR="001F259B">
              <w:t>,</w:t>
            </w:r>
            <w:r>
              <w:t>500</w:t>
            </w:r>
          </w:p>
        </w:tc>
        <w:tc>
          <w:tcPr>
            <w:tcW w:w="401" w:type="pct"/>
            <w:hideMark/>
          </w:tcPr>
          <w:p w14:paraId="2902E918" w14:textId="77777777" w:rsidR="008B38C1" w:rsidRDefault="008B38C1">
            <w:pPr>
              <w:pStyle w:val="TableTextLeft"/>
            </w:pPr>
            <w:r>
              <w:t>45-500</w:t>
            </w:r>
          </w:p>
        </w:tc>
        <w:tc>
          <w:tcPr>
            <w:tcW w:w="657" w:type="pct"/>
            <w:hideMark/>
          </w:tcPr>
          <w:p w14:paraId="6FB5135C" w14:textId="77777777" w:rsidR="008B38C1" w:rsidRDefault="008B38C1">
            <w:pPr>
              <w:pStyle w:val="TableTextLeft"/>
            </w:pPr>
            <w:r>
              <w:t>Type II/III (Austral 1)</w:t>
            </w:r>
          </w:p>
        </w:tc>
        <w:tc>
          <w:tcPr>
            <w:tcW w:w="400" w:type="pct"/>
            <w:hideMark/>
          </w:tcPr>
          <w:p w14:paraId="10B4A1DE" w14:textId="77777777" w:rsidR="008B38C1" w:rsidRDefault="008B38C1">
            <w:pPr>
              <w:pStyle w:val="TableTextLeft"/>
            </w:pPr>
            <w:r>
              <w:t>0.4–9</w:t>
            </w:r>
          </w:p>
        </w:tc>
        <w:tc>
          <w:tcPr>
            <w:tcW w:w="351" w:type="pct"/>
            <w:hideMark/>
          </w:tcPr>
          <w:p w14:paraId="7CB2756C" w14:textId="77777777" w:rsidR="008B38C1" w:rsidRDefault="008B38C1">
            <w:pPr>
              <w:pStyle w:val="TableTextLeft"/>
            </w:pPr>
            <w:r>
              <w:t>Immature-dry gas; 0.4–2.0%</w:t>
            </w:r>
          </w:p>
        </w:tc>
        <w:tc>
          <w:tcPr>
            <w:tcW w:w="601" w:type="pct"/>
            <w:hideMark/>
          </w:tcPr>
          <w:p w14:paraId="654F9DC7" w14:textId="77777777" w:rsidR="008B38C1" w:rsidRDefault="008B38C1">
            <w:pPr>
              <w:pStyle w:val="TableTextLeft"/>
            </w:pPr>
            <w:r>
              <w:rPr>
                <w:szCs w:val="18"/>
              </w:rPr>
              <w:t>Shale  gas</w:t>
            </w:r>
          </w:p>
        </w:tc>
        <w:tc>
          <w:tcPr>
            <w:tcW w:w="963" w:type="pct"/>
            <w:hideMark/>
          </w:tcPr>
          <w:p w14:paraId="3A64CAB6" w14:textId="77777777" w:rsidR="008B38C1" w:rsidRDefault="008B38C1">
            <w:pPr>
              <w:pStyle w:val="TableTextLeft"/>
            </w:pPr>
            <w:r>
              <w:t xml:space="preserve">Preliminary </w:t>
            </w:r>
            <w:r>
              <w:rPr>
                <w:szCs w:val="18"/>
              </w:rPr>
              <w:t>exploration</w:t>
            </w:r>
          </w:p>
        </w:tc>
      </w:tr>
    </w:tbl>
    <w:p w14:paraId="6635FF14" w14:textId="77777777" w:rsidR="008B38C1" w:rsidRDefault="008B38C1" w:rsidP="000520F9">
      <w:pPr>
        <w:pStyle w:val="BodyText"/>
      </w:pPr>
    </w:p>
    <w:p w14:paraId="40878FA9" w14:textId="77777777" w:rsidR="008B38C1" w:rsidRDefault="008B38C1" w:rsidP="000350BE">
      <w:pPr>
        <w:pStyle w:val="BodyText"/>
        <w:sectPr w:rsidR="008B38C1" w:rsidSect="005E271C">
          <w:headerReference w:type="default" r:id="rId478"/>
          <w:pgSz w:w="16840" w:h="11907" w:orient="landscape"/>
          <w:pgMar w:top="1418" w:right="1418" w:bottom="1418" w:left="1418" w:header="510" w:footer="624" w:gutter="0"/>
          <w:cols w:space="720"/>
          <w:docGrid w:linePitch="326"/>
        </w:sectPr>
      </w:pPr>
    </w:p>
    <w:p w14:paraId="2B9F27BA" w14:textId="77777777" w:rsidR="008B38C1" w:rsidRDefault="008B38C1" w:rsidP="00035C4A">
      <w:pPr>
        <w:pStyle w:val="AppendixHeading3"/>
      </w:pPr>
      <w:bookmarkStart w:id="339" w:name="_Toc517161215"/>
      <w:r>
        <w:lastRenderedPageBreak/>
        <w:t>Gas market access and infrastructure</w:t>
      </w:r>
      <w:bookmarkEnd w:id="339"/>
    </w:p>
    <w:p w14:paraId="13C3E28A" w14:textId="07880D82" w:rsidR="008B38C1" w:rsidRPr="003739CA" w:rsidRDefault="008B38C1" w:rsidP="003739CA">
      <w:pPr>
        <w:pStyle w:val="BodyText"/>
      </w:pPr>
      <w:r w:rsidRPr="003739CA">
        <w:t xml:space="preserve">The offshore Otway Basin is a major supplier of gas to Australia’s </w:t>
      </w:r>
      <w:r w:rsidR="006A6AF0">
        <w:t>East Coast Gas Market</w:t>
      </w:r>
      <w:r w:rsidRPr="003739CA">
        <w:t>. As a result, there is significant existing pipeline infrastructure in place across the basin, connecting the region to Adelaide and Melbourne (AER, 2017). The basin is very well serviced in terms of road and rail access.</w:t>
      </w:r>
    </w:p>
    <w:p w14:paraId="5CD6850C" w14:textId="35FC7671" w:rsidR="008B38C1" w:rsidRDefault="00611607" w:rsidP="003739CA">
      <w:pPr>
        <w:pStyle w:val="BodyText"/>
      </w:pPr>
      <w:r>
        <w:t>Figure C</w:t>
      </w:r>
      <w:r w:rsidR="00367A93">
        <w:t>.7</w:t>
      </w:r>
      <w:r w:rsidR="00494973">
        <w:t>4</w:t>
      </w:r>
      <w:r w:rsidR="008B38C1" w:rsidRPr="003739CA">
        <w:t xml:space="preserve"> shows the location of major oil and gas infrastructure in the basin, including oil and gas pipelines and gas </w:t>
      </w:r>
      <w:r w:rsidR="00363539">
        <w:t xml:space="preserve">storage and </w:t>
      </w:r>
      <w:r w:rsidR="008B38C1" w:rsidRPr="003739CA">
        <w:t xml:space="preserve">processing facilities, along with the distribution of major road and rail networks. Further details are summarised in </w:t>
      </w:r>
      <w:r>
        <w:t>Table C</w:t>
      </w:r>
      <w:r w:rsidR="00A24684">
        <w:t>.63</w:t>
      </w:r>
      <w:r w:rsidR="006971A5">
        <w:t>.</w:t>
      </w:r>
    </w:p>
    <w:p w14:paraId="4367AF9A" w14:textId="77777777" w:rsidR="00F27BC3" w:rsidRDefault="00F27BC3" w:rsidP="003739CA">
      <w:pPr>
        <w:pStyle w:val="BodyText"/>
      </w:pPr>
    </w:p>
    <w:p w14:paraId="5F5DAF33" w14:textId="71E09749" w:rsidR="00D407BA" w:rsidRDefault="00D407BA" w:rsidP="00D407BA">
      <w:pPr>
        <w:pStyle w:val="Caption"/>
      </w:pPr>
      <w:bookmarkStart w:id="340" w:name="_Toc508972212"/>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63</w:t>
      </w:r>
      <w:r w:rsidR="008079F1">
        <w:rPr>
          <w:noProof/>
        </w:rPr>
        <w:fldChar w:fldCharType="end"/>
      </w:r>
      <w:r>
        <w:t xml:space="preserve"> Summary of market access and infrastructure. Pipeline information from AER (2017).</w:t>
      </w:r>
      <w:r w:rsidR="009825ED">
        <w:t xml:space="preserve"> Processing facilities from GA (2015b)</w:t>
      </w:r>
      <w:r w:rsidR="009825ED" w:rsidRPr="00495D8B">
        <w:t>.</w:t>
      </w:r>
      <w:bookmarkEnd w:id="340"/>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466"/>
        <w:gridCol w:w="6172"/>
      </w:tblGrid>
      <w:tr w:rsidR="00D407BA" w14:paraId="18F389F6"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281717AA" w14:textId="77777777" w:rsidR="00D407BA" w:rsidRDefault="00D407BA" w:rsidP="001C3BB7">
            <w:pPr>
              <w:pStyle w:val="TableTextLeft"/>
            </w:pPr>
            <w:r>
              <w:t>INFRASTRUCTURE</w:t>
            </w:r>
          </w:p>
        </w:tc>
      </w:tr>
      <w:tr w:rsidR="00D407BA" w14:paraId="7AACF96F"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5200547E" w14:textId="77777777" w:rsidR="00D407BA" w:rsidRDefault="00D407BA" w:rsidP="001C3BB7">
            <w:pPr>
              <w:pStyle w:val="TableTextLeft"/>
            </w:pPr>
            <w:r>
              <w:t>Gas market</w:t>
            </w:r>
          </w:p>
        </w:tc>
        <w:tc>
          <w:tcPr>
            <w:tcW w:w="3202" w:type="pct"/>
            <w:hideMark/>
          </w:tcPr>
          <w:p w14:paraId="71B65377" w14:textId="49E14408" w:rsidR="00D407BA" w:rsidRDefault="00D407BA" w:rsidP="001C3BB7">
            <w:pPr>
              <w:pStyle w:val="TableTextLeft"/>
              <w:cnfStyle w:val="100000000000" w:firstRow="1" w:lastRow="0" w:firstColumn="0" w:lastColumn="0" w:oddVBand="0" w:evenVBand="0" w:oddHBand="0" w:evenHBand="0" w:firstRowFirstColumn="0" w:firstRowLastColumn="0" w:lastRowFirstColumn="0" w:lastRowLastColumn="0"/>
            </w:pPr>
            <w:r>
              <w:t xml:space="preserve">Currently supplies to the </w:t>
            </w:r>
            <w:r w:rsidR="006A6AF0">
              <w:t>East Coast Gas Market</w:t>
            </w:r>
          </w:p>
        </w:tc>
      </w:tr>
      <w:tr w:rsidR="00D407BA" w14:paraId="76F021A6"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58EA053E" w14:textId="77777777" w:rsidR="00D407BA" w:rsidRDefault="00D407BA" w:rsidP="001C3BB7">
            <w:pPr>
              <w:pStyle w:val="TableTextLeft"/>
            </w:pPr>
            <w:r>
              <w:t>Gas pipelines</w:t>
            </w:r>
          </w:p>
        </w:tc>
        <w:tc>
          <w:tcPr>
            <w:tcW w:w="3202" w:type="pct"/>
            <w:hideMark/>
          </w:tcPr>
          <w:p w14:paraId="24D80759" w14:textId="77777777" w:rsidR="00D407BA" w:rsidRDefault="00D407BA" w:rsidP="001C3BB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 xml:space="preserve">SEA Gas Pipeline  (Port Campbell to Adelaide) - capacity 314 TJ/ Day </w:t>
            </w:r>
          </w:p>
          <w:p w14:paraId="0E9EA36C" w14:textId="77777777" w:rsidR="00D407BA" w:rsidRDefault="00D407BA" w:rsidP="001C3BB7">
            <w:pPr>
              <w:pStyle w:val="TableTextBulletL1"/>
              <w:numPr>
                <w:ilvl w:val="0"/>
                <w:numId w:val="26"/>
              </w:numPr>
              <w:cnfStyle w:val="100000000000" w:firstRow="1" w:lastRow="0" w:firstColumn="0" w:lastColumn="0" w:oddVBand="0" w:evenVBand="0" w:oddHBand="0" w:evenHBand="0" w:firstRowFirstColumn="0" w:firstRowLastColumn="0" w:lastRowFirstColumn="0" w:lastRowLastColumn="0"/>
            </w:pPr>
            <w:r>
              <w:t>Victorian Transmission System (GasNet) - capacity 1030 TJ/ Day</w:t>
            </w:r>
          </w:p>
        </w:tc>
      </w:tr>
      <w:tr w:rsidR="00D407BA" w14:paraId="538F21B9"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7547DF14" w14:textId="77777777" w:rsidR="00D407BA" w:rsidRDefault="00D407BA" w:rsidP="001C3BB7">
            <w:pPr>
              <w:pStyle w:val="TableTextLeft"/>
            </w:pPr>
            <w:r>
              <w:t>Gas processing facilities</w:t>
            </w:r>
          </w:p>
        </w:tc>
        <w:tc>
          <w:tcPr>
            <w:tcW w:w="3202" w:type="pct"/>
            <w:hideMark/>
          </w:tcPr>
          <w:p w14:paraId="6145F32E" w14:textId="77777777" w:rsidR="00D407BA" w:rsidRDefault="00D407BA" w:rsidP="001C3BB7">
            <w:pPr>
              <w:pStyle w:val="TableTextLeft"/>
              <w:cnfStyle w:val="100000000000" w:firstRow="1" w:lastRow="0" w:firstColumn="0" w:lastColumn="0" w:oddVBand="0" w:evenVBand="0" w:oddHBand="0" w:evenHBand="0" w:firstRowFirstColumn="0" w:firstRowLastColumn="0" w:lastRowFirstColumn="0" w:lastRowLastColumn="0"/>
            </w:pPr>
            <w:r>
              <w:t>Katnook; Otway; Heytesbury; Iona; Minerva</w:t>
            </w:r>
          </w:p>
        </w:tc>
      </w:tr>
      <w:tr w:rsidR="00D407BA" w14:paraId="3B9B4B98"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350D9345" w14:textId="77777777" w:rsidR="00D407BA" w:rsidRDefault="00D407BA" w:rsidP="001C3BB7">
            <w:pPr>
              <w:pStyle w:val="TableTextLeft"/>
            </w:pPr>
            <w:r>
              <w:t>Approx. distance from existing pipelines to area prospective for shale and/or tight gas</w:t>
            </w:r>
          </w:p>
        </w:tc>
        <w:tc>
          <w:tcPr>
            <w:tcW w:w="3202" w:type="pct"/>
            <w:hideMark/>
          </w:tcPr>
          <w:p w14:paraId="64D78878" w14:textId="77777777" w:rsidR="00D407BA" w:rsidRDefault="00D407BA" w:rsidP="001C3BB7">
            <w:pPr>
              <w:pStyle w:val="TableTextLeft"/>
              <w:cnfStyle w:val="100000000000" w:firstRow="1" w:lastRow="0" w:firstColumn="0" w:lastColumn="0" w:oddVBand="0" w:evenVBand="0" w:oddHBand="0" w:evenHBand="0" w:firstRowFirstColumn="0" w:firstRowLastColumn="0" w:lastRowFirstColumn="0" w:lastRowLastColumn="0"/>
            </w:pPr>
            <w:r>
              <w:t>&lt;100 km</w:t>
            </w:r>
          </w:p>
        </w:tc>
      </w:tr>
      <w:tr w:rsidR="00D407BA" w14:paraId="0E085D18"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4FAFE48E" w14:textId="77777777" w:rsidR="00D407BA" w:rsidRDefault="00D407BA" w:rsidP="001C3BB7">
            <w:pPr>
              <w:pStyle w:val="TableTextLeft"/>
            </w:pPr>
            <w:r>
              <w:t>Road and rail access</w:t>
            </w:r>
          </w:p>
        </w:tc>
        <w:tc>
          <w:tcPr>
            <w:tcW w:w="3202" w:type="pct"/>
            <w:hideMark/>
          </w:tcPr>
          <w:p w14:paraId="29DFE95D" w14:textId="77777777" w:rsidR="00D407BA" w:rsidRDefault="00D407BA" w:rsidP="001C3BB7">
            <w:pPr>
              <w:pStyle w:val="TableTextLeft"/>
              <w:cnfStyle w:val="100000000000" w:firstRow="1" w:lastRow="0" w:firstColumn="0" w:lastColumn="0" w:oddVBand="0" w:evenVBand="0" w:oddHBand="0" w:evenHBand="0" w:firstRowFirstColumn="0" w:firstRowLastColumn="0" w:lastRowFirstColumn="0" w:lastRowLastColumn="0"/>
            </w:pPr>
            <w:r>
              <w:t>Very well serviced</w:t>
            </w:r>
          </w:p>
        </w:tc>
      </w:tr>
      <w:tr w:rsidR="00D407BA" w14:paraId="5CE3155A"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98" w:type="pct"/>
            <w:hideMark/>
          </w:tcPr>
          <w:p w14:paraId="71E8200E" w14:textId="77777777" w:rsidR="00D407BA" w:rsidRDefault="00D407BA" w:rsidP="001C3BB7">
            <w:pPr>
              <w:pStyle w:val="TableTextLeft"/>
            </w:pPr>
            <w:r>
              <w:t>Approximate development timeframe</w:t>
            </w:r>
          </w:p>
        </w:tc>
        <w:tc>
          <w:tcPr>
            <w:tcW w:w="3202" w:type="pct"/>
            <w:hideMark/>
          </w:tcPr>
          <w:p w14:paraId="7122BE15" w14:textId="77777777" w:rsidR="00D407BA" w:rsidRDefault="00D407BA" w:rsidP="001C3BB7">
            <w:pPr>
              <w:pStyle w:val="TableTextLeft"/>
              <w:cnfStyle w:val="100000000000" w:firstRow="1" w:lastRow="0" w:firstColumn="0" w:lastColumn="0" w:oddVBand="0" w:evenVBand="0" w:oddHBand="0" w:evenHBand="0" w:firstRowFirstColumn="0" w:firstRowLastColumn="0" w:lastRowFirstColumn="0" w:lastRowLastColumn="0"/>
            </w:pPr>
            <w:r>
              <w:t>5–10 years</w:t>
            </w:r>
          </w:p>
        </w:tc>
      </w:tr>
    </w:tbl>
    <w:p w14:paraId="06074138" w14:textId="77777777" w:rsidR="00D407BA" w:rsidRPr="003739CA" w:rsidRDefault="00D407BA" w:rsidP="003739CA">
      <w:pPr>
        <w:pStyle w:val="BodyText"/>
      </w:pPr>
    </w:p>
    <w:p w14:paraId="2CBB110D" w14:textId="77777777" w:rsidR="008B38C1" w:rsidRPr="005450A3" w:rsidRDefault="008B38C1" w:rsidP="008B38C1">
      <w:pPr>
        <w:pStyle w:val="FiguresImagesCentred"/>
      </w:pPr>
      <w:r>
        <w:rPr>
          <w:noProof/>
        </w:rPr>
        <w:lastRenderedPageBreak/>
        <w:drawing>
          <wp:inline distT="0" distB="0" distL="0" distR="0" wp14:anchorId="62CB5B37" wp14:editId="10F64E1A">
            <wp:extent cx="5760000" cy="5976000"/>
            <wp:effectExtent l="0" t="0" r="0" b="571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9" cstate="screen">
                      <a:extLst>
                        <a:ext uri="{28A0092B-C50C-407E-A947-70E740481C1C}">
                          <a14:useLocalDpi xmlns:a14="http://schemas.microsoft.com/office/drawing/2010/main"/>
                        </a:ext>
                      </a:extLst>
                    </a:blip>
                    <a:srcRect/>
                    <a:stretch>
                      <a:fillRect/>
                    </a:stretch>
                  </pic:blipFill>
                  <pic:spPr bwMode="auto">
                    <a:xfrm>
                      <a:off x="0" y="0"/>
                      <a:ext cx="5760000" cy="5976000"/>
                    </a:xfrm>
                    <a:prstGeom prst="rect">
                      <a:avLst/>
                    </a:prstGeom>
                    <a:noFill/>
                    <a:ln>
                      <a:noFill/>
                    </a:ln>
                  </pic:spPr>
                </pic:pic>
              </a:graphicData>
            </a:graphic>
          </wp:inline>
        </w:drawing>
      </w:r>
    </w:p>
    <w:p w14:paraId="1F89E496" w14:textId="22195CB0" w:rsidR="008B38C1" w:rsidRDefault="00FD61CA" w:rsidP="009F3E8F">
      <w:pPr>
        <w:pStyle w:val="Caption"/>
      </w:pPr>
      <w:bookmarkStart w:id="341" w:name="_Toc508972145"/>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\s 9 </w:instrText>
      </w:r>
      <w:r w:rsidR="008079F1">
        <w:fldChar w:fldCharType="separate"/>
      </w:r>
      <w:r w:rsidR="00640CCB">
        <w:rPr>
          <w:noProof/>
        </w:rPr>
        <w:t>74</w:t>
      </w:r>
      <w:r w:rsidR="008079F1">
        <w:rPr>
          <w:noProof/>
        </w:rPr>
        <w:fldChar w:fldCharType="end"/>
      </w:r>
      <w:r w:rsidRPr="00BA0502">
        <w:t xml:space="preserve"> </w:t>
      </w:r>
      <w:r w:rsidR="008B38C1">
        <w:t xml:space="preserve">Otway Basin petroleum fields, pipelines and production facilities. </w:t>
      </w:r>
      <w:r w:rsidR="006B212F">
        <w:t xml:space="preserve">Basin outline from Stewart et al. (2013). </w:t>
      </w:r>
      <w:r w:rsidR="008B38C1">
        <w:t>Oil and gas infrastructure from GA (2015</w:t>
      </w:r>
      <w:r w:rsidR="00AF7FF4">
        <w:t>a</w:t>
      </w:r>
      <w:r w:rsidR="008B38C1">
        <w:t>).</w:t>
      </w:r>
      <w:r w:rsidR="00AF7FF4">
        <w:t xml:space="preserve"> Processing facilities from GA (2015b). </w:t>
      </w:r>
      <w:r w:rsidR="008B38C1">
        <w:t xml:space="preserve"> Field outlines are provided from Encom GPInfo, a Pitney Bowes Software (PBS) Pty Ltd product. Whilst all care is taken in compilation of the field outlines by PBS, no warranty is provided regarding the accuracy or completeness of the information. It is the responsibility of the customer to ensure, by independent means, that those parts of the information used by it are correct before any reliable is placed on them.</w:t>
      </w:r>
      <w:bookmarkEnd w:id="341"/>
    </w:p>
    <w:p w14:paraId="0812FF33" w14:textId="77777777" w:rsidR="004C16C9" w:rsidRPr="004C16C9" w:rsidRDefault="004C16C9" w:rsidP="004C16C9">
      <w:pPr>
        <w:pStyle w:val="BodyText"/>
      </w:pPr>
    </w:p>
    <w:p w14:paraId="7FC1E826" w14:textId="77777777" w:rsidR="008B38C1" w:rsidRDefault="008B38C1" w:rsidP="00035C4A">
      <w:pPr>
        <w:pStyle w:val="AppendixHeading3"/>
      </w:pPr>
      <w:bookmarkStart w:id="342" w:name="_Toc517161216"/>
      <w:r>
        <w:t>Regulatory environment impacting shale and tight gas exploration</w:t>
      </w:r>
      <w:bookmarkEnd w:id="342"/>
    </w:p>
    <w:p w14:paraId="475AAA02" w14:textId="66905706" w:rsidR="008B38C1" w:rsidRDefault="008B38C1" w:rsidP="004C16C9">
      <w:pPr>
        <w:pStyle w:val="BodyText"/>
      </w:pPr>
      <w:r>
        <w:t xml:space="preserve">All Australian states and territories have regulatory frameworks in place to manage impacts of petroleum exploration and production. In all Australian jurisdictions, companies intending to carry out drilling and stimulation operations must submit several applications to the relevant departments, including a drilling application, an environment plan and a safety management plan (APPEA, 2017). </w:t>
      </w:r>
    </w:p>
    <w:p w14:paraId="4CDF20B5" w14:textId="77777777" w:rsidR="003920EA" w:rsidRDefault="008B38C1" w:rsidP="004C16C9">
      <w:pPr>
        <w:pStyle w:val="BodyText"/>
      </w:pPr>
      <w:r>
        <w:lastRenderedPageBreak/>
        <w:t xml:space="preserve">Regulation is overseen by different government departments across Australia. </w:t>
      </w:r>
    </w:p>
    <w:p w14:paraId="7C38E0D8" w14:textId="618C2F14" w:rsidR="008B38C1" w:rsidRDefault="003920EA" w:rsidP="004C16C9">
      <w:pPr>
        <w:pStyle w:val="BodyText"/>
      </w:pPr>
      <w:r>
        <w:t>T</w:t>
      </w:r>
      <w:r w:rsidR="008B38C1">
        <w:t>here is a permanent ban on onshore unconventional gas exploration and development in Victoria</w:t>
      </w:r>
      <w:r w:rsidRPr="003920EA">
        <w:t xml:space="preserve"> </w:t>
      </w:r>
      <w:r w:rsidR="00937309">
        <w:t xml:space="preserve">and </w:t>
      </w:r>
      <w:r>
        <w:t xml:space="preserve">a ban on hydraulic fracturing has been implemented in </w:t>
      </w:r>
      <w:r w:rsidRPr="003920EA">
        <w:t>South Australia</w:t>
      </w:r>
      <w:r w:rsidR="008B38C1">
        <w:t>. Further details regarding regulatory environment for each state are summarised below.</w:t>
      </w:r>
    </w:p>
    <w:p w14:paraId="2D16C1AB" w14:textId="77777777" w:rsidR="008B38C1" w:rsidRDefault="008B38C1" w:rsidP="00E34CDE">
      <w:pPr>
        <w:pStyle w:val="AppendixHeading4"/>
      </w:pPr>
      <w:r>
        <w:t>South Australia</w:t>
      </w:r>
    </w:p>
    <w:p w14:paraId="5D10990F" w14:textId="0962AFB6" w:rsidR="008B38C1" w:rsidRDefault="001A233E" w:rsidP="004C16C9">
      <w:pPr>
        <w:pStyle w:val="BodyText"/>
      </w:pPr>
      <w:r>
        <w:t xml:space="preserve">In </w:t>
      </w:r>
      <w:r w:rsidR="003920EA" w:rsidRPr="003920EA">
        <w:t>April 2018, the South Australian Government implemented the 10-year moratorium on hydraulic fracturing in the southeast of the state effectively stopping exploration for unconventional gas in the Otway Basin</w:t>
      </w:r>
      <w:r w:rsidR="003920EA">
        <w:t>.</w:t>
      </w:r>
    </w:p>
    <w:p w14:paraId="60CCA96B" w14:textId="77777777" w:rsidR="008B38C1" w:rsidRDefault="008B38C1" w:rsidP="00E34CDE">
      <w:pPr>
        <w:pStyle w:val="AppendixHeading4"/>
      </w:pPr>
      <w:r>
        <w:t>Victoria</w:t>
      </w:r>
    </w:p>
    <w:p w14:paraId="268C46F6" w14:textId="7C1CDB2F" w:rsidR="008B38C1" w:rsidRDefault="008B38C1" w:rsidP="004C16C9">
      <w:pPr>
        <w:pStyle w:val="BodyText"/>
      </w:pPr>
      <w:r>
        <w:t>In March 2017, the Resources Legislation Amendment (Fracking Ban) Bill 2016 passed the Victoria</w:t>
      </w:r>
      <w:r w:rsidR="00363539">
        <w:t>n</w:t>
      </w:r>
      <w:r>
        <w:t xml:space="preserve"> Parliament (Victorian Government, 2017). This bill permanently bans all onshore unconventional gas exploration and development, including hydraulic fracturing and coal seam gas and extends the moratorium on conventional onshore gas exploration and development to 30 June 2020. </w:t>
      </w:r>
    </w:p>
    <w:p w14:paraId="6E8B2414" w14:textId="77777777" w:rsidR="008B38C1" w:rsidRPr="00147CAE" w:rsidRDefault="008B38C1" w:rsidP="00147CAE">
      <w:pPr>
        <w:pStyle w:val="BodyText"/>
      </w:pPr>
      <w:r>
        <w:br w:type="page"/>
      </w:r>
    </w:p>
    <w:p w14:paraId="6AF415DD" w14:textId="77777777" w:rsidR="008B38C1" w:rsidRDefault="008B38C1" w:rsidP="00035C4A">
      <w:pPr>
        <w:pStyle w:val="AppendixHeading3"/>
      </w:pPr>
      <w:bookmarkStart w:id="343" w:name="_Toc517161217"/>
      <w:r>
        <w:lastRenderedPageBreak/>
        <w:t>Hydrogeology and groundwater</w:t>
      </w:r>
      <w:bookmarkEnd w:id="343"/>
      <w:r>
        <w:t xml:space="preserve"> </w:t>
      </w:r>
    </w:p>
    <w:p w14:paraId="30F7B034" w14:textId="77777777" w:rsidR="008B38C1" w:rsidRDefault="008B38C1" w:rsidP="00E34CDE">
      <w:pPr>
        <w:pStyle w:val="AppendixHeading4"/>
      </w:pPr>
      <w:r>
        <w:t>Groundwater systems</w:t>
      </w:r>
    </w:p>
    <w:p w14:paraId="31392DDB" w14:textId="54302B34" w:rsidR="000142C0" w:rsidRDefault="000142C0" w:rsidP="004C16C9">
      <w:pPr>
        <w:pStyle w:val="BodyText"/>
      </w:pPr>
      <w:r>
        <w:t xml:space="preserve">A number of studies (Bush, 2009; Clark et al., 2015; DELWP and GSV, 2015) have detailed the geology and hydrogeology of the Otway Basin. This overview synthesises the existing knowledge of the hydrogeology of the Otway Basin. </w:t>
      </w:r>
    </w:p>
    <w:p w14:paraId="79A0E620" w14:textId="77777777" w:rsidR="000142C0" w:rsidRDefault="000142C0" w:rsidP="004C16C9">
      <w:pPr>
        <w:pStyle w:val="BodyText"/>
      </w:pPr>
      <w:r>
        <w:t>The stratigraphic distribution of aquifers and aquitards in the Otway Basin succession is shown in Table C.64. There are two major and regionally extensive aquifer systems in the Otway Basin: these have been classified as the Upper Mid-Tertiary Aquifer (UMTA) and Lower Tertiary Aquifer (LTA) in the Victorian Aquifer Framework (GHD, 2012). These aquifers are used to extract large volumes of low salinity groundwater and are widely used for agriculture and town water supplies. Although the term ‘Tertiary’ is now obsolete and replaced with the use of ‘Paleogene’ and ‘Neogene’, this report retains the term ‘Tertiary’ as per its use in the reviewed literature and its use in the Victorian Aquifer Framework.</w:t>
      </w:r>
    </w:p>
    <w:p w14:paraId="2CA942FA" w14:textId="77777777" w:rsidR="000142C0" w:rsidRPr="000C5BAD" w:rsidRDefault="000142C0" w:rsidP="000C5BAD">
      <w:pPr>
        <w:pStyle w:val="BodyText"/>
        <w:rPr>
          <w:rStyle w:val="Bold"/>
        </w:rPr>
      </w:pPr>
      <w:r w:rsidRPr="000C5BAD">
        <w:rPr>
          <w:rStyle w:val="Bold"/>
        </w:rPr>
        <w:t>Upper Mid-Tertiary Aquifer (UMTA)</w:t>
      </w:r>
    </w:p>
    <w:p w14:paraId="747B3321" w14:textId="77777777" w:rsidR="000142C0" w:rsidRDefault="000142C0" w:rsidP="004C16C9">
      <w:pPr>
        <w:pStyle w:val="BodyText"/>
      </w:pPr>
      <w:r>
        <w:t>The UMTA system includes the Gambier Limestone in the Gambier Embayment in the western (mostly South Australian) part of the basin. Karst porosity is also extensive and well-developed in the Gambier Limestone, as well as excellent intergranular porosity. The Port Campbell Limestone, which is similar in age and composition to the Gambier Limestone and occurs in the central and eastern parts of the basin around Portland and Warrnambool in Victoria, is correlated as part of the same aquifer. At the regional scale, the UMTA is commonly the unconfined (water table) aquifer, although local variations mean that it may also be semi-confined by younger rock layers such as basalt flows of the Newer Volcanics Province.</w:t>
      </w:r>
    </w:p>
    <w:p w14:paraId="35656FAD" w14:textId="77777777" w:rsidR="000142C0" w:rsidRPr="000C5BAD" w:rsidRDefault="000142C0" w:rsidP="000C5BAD">
      <w:pPr>
        <w:pStyle w:val="BodyText"/>
        <w:rPr>
          <w:rStyle w:val="Bold"/>
        </w:rPr>
      </w:pPr>
      <w:r w:rsidRPr="000C5BAD">
        <w:rPr>
          <w:rStyle w:val="Bold"/>
        </w:rPr>
        <w:t>Lower Tertiary Aquifer (LTA)</w:t>
      </w:r>
    </w:p>
    <w:p w14:paraId="0F7A0EE6" w14:textId="77777777" w:rsidR="000142C0" w:rsidRPr="006971A5" w:rsidRDefault="000142C0" w:rsidP="006971A5">
      <w:pPr>
        <w:pStyle w:val="BodyText"/>
      </w:pPr>
      <w:r w:rsidRPr="006971A5">
        <w:t>The LTA, commonly known as the confined sandy aquifer, is dominated by the Dilwyn Formation (Leonard, 2003). It consists mainly of sand and carbonaceous clay. The Dilwyn Formation is locally continuous with the overlying Mepunga Formation across the intra-Eocene disconformity, although the Mepunga Formation is of minor significance as a regional aquifer, and is normally included with the Dilwyn Formation.</w:t>
      </w:r>
    </w:p>
    <w:p w14:paraId="589A593B" w14:textId="77777777" w:rsidR="000142C0" w:rsidRPr="000C5BAD" w:rsidRDefault="000142C0" w:rsidP="000C5BAD">
      <w:pPr>
        <w:pStyle w:val="BodyText"/>
        <w:rPr>
          <w:rStyle w:val="Bold"/>
        </w:rPr>
      </w:pPr>
      <w:r w:rsidRPr="000C5BAD">
        <w:rPr>
          <w:rStyle w:val="Bold"/>
        </w:rPr>
        <w:t>Other Cenozoic aquifers</w:t>
      </w:r>
    </w:p>
    <w:p w14:paraId="345E17CF" w14:textId="77777777" w:rsidR="000142C0" w:rsidRPr="006971A5" w:rsidRDefault="000142C0" w:rsidP="006971A5">
      <w:pPr>
        <w:pStyle w:val="BodyText"/>
      </w:pPr>
      <w:r w:rsidRPr="006971A5">
        <w:t>In some parts of the Otway Basin, groundwater is also extracted from relatively shallow aquifers associated with local to intermediate-scale flow systems. These include fractured and weathered basalts in the Newer Volcanics Province that forms the widespread the basalt plains of western Victoria. These local aquifers are generally interconnected with the UMTA and form the water table aquifer in most areas where present.</w:t>
      </w:r>
    </w:p>
    <w:p w14:paraId="18C41ED8" w14:textId="77777777" w:rsidR="000142C0" w:rsidRDefault="000142C0"/>
    <w:p w14:paraId="631E0186" w14:textId="77777777" w:rsidR="008B38C1" w:rsidRDefault="006971A5" w:rsidP="009F3E8F">
      <w:pPr>
        <w:pStyle w:val="Caption"/>
        <w:rPr>
          <w:noProof/>
        </w:rPr>
      </w:pPr>
      <w:bookmarkStart w:id="344" w:name="_Toc508972213"/>
      <w:r w:rsidRPr="006971A5">
        <w:lastRenderedPageBreak/>
        <w:t xml:space="preserve">Table </w:t>
      </w:r>
      <w:r w:rsidR="008079F1">
        <w:fldChar w:fldCharType="begin"/>
      </w:r>
      <w:r w:rsidR="008079F1">
        <w:instrText xml:space="preserve"> S</w:instrText>
      </w:r>
      <w:r w:rsidR="008079F1">
        <w:instrText xml:space="preserve">TYLEREF 9 \s </w:instrText>
      </w:r>
      <w:r w:rsidR="008079F1">
        <w:fldChar w:fldCharType="separate"/>
      </w:r>
      <w:r w:rsidR="00640CCB">
        <w:rPr>
          <w:noProof/>
        </w:rPr>
        <w:t>C</w:t>
      </w:r>
      <w:r w:rsidR="008079F1">
        <w:rPr>
          <w:noProof/>
        </w:rPr>
        <w:fldChar w:fldCharType="end"/>
      </w:r>
      <w:r w:rsidRPr="006971A5">
        <w:t>.</w:t>
      </w:r>
      <w:r w:rsidR="008079F1">
        <w:fldChar w:fldCharType="begin"/>
      </w:r>
      <w:r w:rsidR="008079F1">
        <w:instrText xml:space="preserve"> SEQ Apx_Table \* ARABIC \s 9 </w:instrText>
      </w:r>
      <w:r w:rsidR="008079F1">
        <w:fldChar w:fldCharType="separate"/>
      </w:r>
      <w:r w:rsidR="00640CCB">
        <w:rPr>
          <w:noProof/>
        </w:rPr>
        <w:t>64</w:t>
      </w:r>
      <w:r w:rsidR="008079F1">
        <w:rPr>
          <w:noProof/>
        </w:rPr>
        <w:fldChar w:fldCharType="end"/>
      </w:r>
      <w:r w:rsidRPr="006971A5">
        <w:t xml:space="preserve"> </w:t>
      </w:r>
      <w:r w:rsidR="008B38C1" w:rsidRPr="006971A5">
        <w:t xml:space="preserve">Hydrostratigraphy of the Otway Basin based on the Victorian Aquifer Framework </w:t>
      </w:r>
      <w:r w:rsidR="008B38C1" w:rsidRPr="006971A5">
        <w:br/>
        <w:t>(Source: Clarke et al., 2015</w:t>
      </w:r>
      <w:r w:rsidR="008B38C1">
        <w:t>).</w:t>
      </w:r>
      <w:bookmarkEnd w:id="344"/>
    </w:p>
    <w:p w14:paraId="112D5B55" w14:textId="77777777" w:rsidR="000C5BAD" w:rsidRPr="000C5BAD" w:rsidRDefault="000C5BAD" w:rsidP="000C5BAD">
      <w:pPr>
        <w:pStyle w:val="FiguresImagesCentred"/>
      </w:pPr>
      <w:r>
        <w:rPr>
          <w:noProof/>
        </w:rPr>
        <w:drawing>
          <wp:inline distT="0" distB="0" distL="0" distR="0" wp14:anchorId="30D34184" wp14:editId="71682531">
            <wp:extent cx="5760000" cy="6951600"/>
            <wp:effectExtent l="0" t="0" r="0" b="190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0" cstate="screen">
                      <a:extLst>
                        <a:ext uri="{28A0092B-C50C-407E-A947-70E740481C1C}">
                          <a14:useLocalDpi xmlns:a14="http://schemas.microsoft.com/office/drawing/2010/main"/>
                        </a:ext>
                      </a:extLst>
                    </a:blip>
                    <a:srcRect/>
                    <a:stretch>
                      <a:fillRect/>
                    </a:stretch>
                  </pic:blipFill>
                  <pic:spPr bwMode="auto">
                    <a:xfrm>
                      <a:off x="0" y="0"/>
                      <a:ext cx="5760000" cy="6951600"/>
                    </a:xfrm>
                    <a:prstGeom prst="rect">
                      <a:avLst/>
                    </a:prstGeom>
                    <a:noFill/>
                    <a:ln>
                      <a:noFill/>
                    </a:ln>
                  </pic:spPr>
                </pic:pic>
              </a:graphicData>
            </a:graphic>
          </wp:inline>
        </w:drawing>
      </w:r>
    </w:p>
    <w:p w14:paraId="141583B4" w14:textId="77777777" w:rsidR="008B38C1" w:rsidRPr="000C5BAD" w:rsidRDefault="008B38C1" w:rsidP="000C5BAD">
      <w:pPr>
        <w:pStyle w:val="BodyText"/>
        <w:rPr>
          <w:rStyle w:val="Bold"/>
        </w:rPr>
      </w:pPr>
      <w:r w:rsidRPr="000C5BAD">
        <w:rPr>
          <w:rStyle w:val="Bold"/>
        </w:rPr>
        <w:t>Mesozoic aquifers</w:t>
      </w:r>
    </w:p>
    <w:p w14:paraId="60F35E03" w14:textId="77777777" w:rsidR="000142C0" w:rsidRDefault="000142C0" w:rsidP="004C16C9">
      <w:pPr>
        <w:pStyle w:val="BodyText"/>
      </w:pPr>
      <w:r>
        <w:t>The Mesozoic sedimentary rocks of the Otway Basin consist of the Upper Cretaceous Sherbrook Group and the Jurassic to Lower Cretaceous Otway Group.</w:t>
      </w:r>
    </w:p>
    <w:p w14:paraId="736A874E" w14:textId="2F16A73D" w:rsidR="000142C0" w:rsidRDefault="000142C0" w:rsidP="004C16C9">
      <w:pPr>
        <w:pStyle w:val="BodyText"/>
      </w:pPr>
      <w:r>
        <w:t xml:space="preserve">The rocks of the Upper Cretaceous Sherbrook Group unconformably overlie the Otway Group. In descending order, the Sherbrook Group consists of the Timboon Sand (which is also included as the basal unit of the LTA aquifer), Paaratte Formation, the Nullawarre Greensand/Belfast </w:t>
      </w:r>
      <w:r>
        <w:lastRenderedPageBreak/>
        <w:t xml:space="preserve">Mudstone/Mt Salt Formations, Flaxman Formation, and Waarre Formation (see </w:t>
      </w:r>
      <w:r w:rsidR="007A32FB">
        <w:t xml:space="preserve">Table </w:t>
      </w:r>
      <w:r>
        <w:t>C.64). Yield, porosity and permeability data is sparse for the rocks of the Sherbrook Group, although the Timboon, Paaratte, Flaxman and Waarre may all function as aquifers (Bush, 2009). However, only the Timboon Sand and the Paaratte Formation contain significant groundwater resources that are currently extracted in the basin. These aquifers are often separated by aquitards such as the Belfast Mudstone and Mount Salt Formation, which are lower confining aquitards of the Paaratte aquifer and the Flaxman Formation (Table C.6</w:t>
      </w:r>
      <w:r w:rsidR="007A32FB">
        <w:t>4</w:t>
      </w:r>
      <w:r>
        <w:t>).</w:t>
      </w:r>
    </w:p>
    <w:p w14:paraId="58D5C2F4" w14:textId="2134A406" w:rsidR="000142C0" w:rsidRDefault="000142C0" w:rsidP="004C16C9">
      <w:pPr>
        <w:pStyle w:val="BodyText"/>
      </w:pPr>
      <w:r>
        <w:t xml:space="preserve">The main aquifers of the Otway Group, in descending order, are the Pretty Hill and Laira Formations, Katnook Sandstone (in the Penola Sub-basin), and Casterton Formation (see </w:t>
      </w:r>
      <w:r w:rsidR="007A32FB">
        <w:t xml:space="preserve">Table </w:t>
      </w:r>
      <w:r>
        <w:t xml:space="preserve"> C.64). In other areas, the Katnook Sandstone and Laira Formation are treated as aquitards and, like the Eumeralla Formation, provide a confining layer over the Pretty Hill aquifer.</w:t>
      </w:r>
    </w:p>
    <w:p w14:paraId="4D6FB064" w14:textId="77777777" w:rsidR="008B38C1" w:rsidRDefault="008B38C1" w:rsidP="00E34CDE">
      <w:pPr>
        <w:pStyle w:val="AppendixHeading4"/>
      </w:pPr>
      <w:r>
        <w:t>Groundwater quality</w:t>
      </w:r>
    </w:p>
    <w:p w14:paraId="6C5CC704" w14:textId="3BFFFA47" w:rsidR="000142C0" w:rsidRDefault="000142C0" w:rsidP="004C16C9">
      <w:pPr>
        <w:pStyle w:val="BodyText"/>
      </w:pPr>
      <w:r>
        <w:t xml:space="preserve">In the UMTA, groundwater salinity ranges from 500 to 7,000 mg/L total dissolved solids (TDS), but mostly less than 1,500 mg/L TDS, making it suitable for many uses (Leonard, 2003). The UMTA is the most commonly targeted aquifer in the Otway Basin, due to its relatively shallow nature, high yields and good quality groundwater. Groundwater in the Port Campbell aquifer (UMTA) has higher salinity than the underlying Dilwyn Formation aquifer (de Caritat et al., 2012) </w:t>
      </w:r>
    </w:p>
    <w:p w14:paraId="3E4BDA17" w14:textId="77777777" w:rsidR="000142C0" w:rsidRDefault="000142C0" w:rsidP="004C16C9">
      <w:pPr>
        <w:pStyle w:val="BodyText"/>
      </w:pPr>
      <w:r>
        <w:t xml:space="preserve">Groundwater salinity in the LTA increases from less than 500 mg/L TDS in the recharge areas along the basin margins, to about 1000 mg/L TDS near the coast (Leonard, 2003). Near Warrnambool the salinity has a maximum TDS concentration of 5600 mg/L. </w:t>
      </w:r>
    </w:p>
    <w:p w14:paraId="7EFA84EF" w14:textId="77777777" w:rsidR="000142C0" w:rsidRDefault="000142C0" w:rsidP="004C16C9">
      <w:pPr>
        <w:pStyle w:val="BodyText"/>
      </w:pPr>
      <w:r>
        <w:t>Groundwater quality data for the Mesozoic aquifers are very limited. Existing data is mainly derived from petroleum exploration wells and may be of low reliability. In general, higher salinity groundwater (&gt;10,000 mg/L TDS) is found in the Upper Cretaceous Sherbrook Group and the Jurassic to Lower Cretaceous Otway Group.</w:t>
      </w:r>
    </w:p>
    <w:p w14:paraId="6BC8FE33" w14:textId="77777777" w:rsidR="008B38C1" w:rsidRDefault="008B38C1" w:rsidP="00E34CDE">
      <w:pPr>
        <w:pStyle w:val="AppendixHeading4"/>
      </w:pPr>
      <w:r>
        <w:t>Groundwater flow</w:t>
      </w:r>
    </w:p>
    <w:p w14:paraId="69B0D687" w14:textId="306371DF" w:rsidR="000142C0" w:rsidRDefault="000142C0" w:rsidP="004C16C9">
      <w:pPr>
        <w:pStyle w:val="BodyText"/>
      </w:pPr>
      <w:r>
        <w:t>Groundwater flow is controlled by the basin topography, with general flow in a south to southwesterly direction, towards the ocean (Figure C.7</w:t>
      </w:r>
      <w:r w:rsidR="00494973">
        <w:t>5</w:t>
      </w:r>
      <w:r>
        <w:t>). The groundwater flow systems approach undertaken by Dahlhaus et al. (2002a, b) supports the data from other studies (e.g. Bush, 2009; SKM, 2009) which shows that regional flow systems exist in the Upper Mid-Tertiary Aquifer and Lower Tertiary Aquifer, and only local flow systems occur within the Lower Cretaceous rocks in near-surface environments.</w:t>
      </w:r>
    </w:p>
    <w:p w14:paraId="4022FAAB" w14:textId="77777777" w:rsidR="000142C0" w:rsidRDefault="000142C0"/>
    <w:p w14:paraId="0422CA0D" w14:textId="77777777" w:rsidR="008B38C1" w:rsidRDefault="008B38C1" w:rsidP="00FD6771">
      <w:pPr>
        <w:pStyle w:val="FiguresImagesCentred"/>
      </w:pPr>
      <w:r>
        <w:rPr>
          <w:noProof/>
        </w:rPr>
        <w:lastRenderedPageBreak/>
        <w:drawing>
          <wp:inline distT="0" distB="0" distL="0" distR="0" wp14:anchorId="186AF312" wp14:editId="59FBAC7D">
            <wp:extent cx="5723255" cy="276479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1" cstate="screen">
                      <a:extLst>
                        <a:ext uri="{28A0092B-C50C-407E-A947-70E740481C1C}">
                          <a14:useLocalDpi xmlns:a14="http://schemas.microsoft.com/office/drawing/2010/main"/>
                        </a:ext>
                      </a:extLst>
                    </a:blip>
                    <a:srcRect/>
                    <a:stretch>
                      <a:fillRect/>
                    </a:stretch>
                  </pic:blipFill>
                  <pic:spPr bwMode="auto">
                    <a:xfrm>
                      <a:off x="0" y="0"/>
                      <a:ext cx="5723255" cy="2764790"/>
                    </a:xfrm>
                    <a:prstGeom prst="rect">
                      <a:avLst/>
                    </a:prstGeom>
                    <a:noFill/>
                    <a:ln>
                      <a:noFill/>
                    </a:ln>
                  </pic:spPr>
                </pic:pic>
              </a:graphicData>
            </a:graphic>
          </wp:inline>
        </w:drawing>
      </w:r>
    </w:p>
    <w:p w14:paraId="79B45F7B" w14:textId="0D24C763" w:rsidR="000142C0" w:rsidRDefault="000142C0" w:rsidP="003739CA">
      <w:pPr>
        <w:pStyle w:val="Caption"/>
        <w:rPr>
          <w:rFonts w:eastAsia="Times New Roman"/>
        </w:rPr>
      </w:pPr>
      <w:bookmarkStart w:id="345" w:name="_Toc499547634"/>
      <w:bookmarkStart w:id="346" w:name="_Toc508972146"/>
      <w:r w:rsidRPr="00BA0502">
        <w:t xml:space="preserve">Figure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BA0502">
        <w:t>.</w:t>
      </w:r>
      <w:r w:rsidR="008079F1">
        <w:fldChar w:fldCharType="begin"/>
      </w:r>
      <w:r w:rsidR="008079F1">
        <w:instrText xml:space="preserve"> SEQ Apx_Figure \* ARABIC \s 9 </w:instrText>
      </w:r>
      <w:r w:rsidR="008079F1">
        <w:fldChar w:fldCharType="separate"/>
      </w:r>
      <w:r w:rsidR="00640CCB">
        <w:rPr>
          <w:noProof/>
        </w:rPr>
        <w:t>75</w:t>
      </w:r>
      <w:r w:rsidR="008079F1">
        <w:rPr>
          <w:noProof/>
        </w:rPr>
        <w:fldChar w:fldCharType="end"/>
      </w:r>
      <w:r w:rsidRPr="00BA0502">
        <w:t xml:space="preserve"> </w:t>
      </w:r>
      <w:r>
        <w:t>Depth to water table in the Otway Basin, and regional groundwater flow lines (Source: Clarke et al., 2015).</w:t>
      </w:r>
      <w:bookmarkEnd w:id="345"/>
      <w:bookmarkEnd w:id="346"/>
    </w:p>
    <w:p w14:paraId="427A274F" w14:textId="77777777" w:rsidR="008B38C1" w:rsidRDefault="008B38C1" w:rsidP="00E34CDE">
      <w:pPr>
        <w:pStyle w:val="AppendixHeading4"/>
      </w:pPr>
      <w:r>
        <w:t>Groundwater planning and use</w:t>
      </w:r>
    </w:p>
    <w:p w14:paraId="2AD0F94F" w14:textId="5701E992" w:rsidR="000142C0" w:rsidRDefault="000142C0" w:rsidP="003739CA">
      <w:pPr>
        <w:pStyle w:val="BodyText"/>
      </w:pPr>
      <w:r>
        <w:t>Groundwater is managed within groundwater management units (GMUs) in the Otway Basin. There are about 16 GMUs in the Victorian portion of the basin and only one in South Australia, the Lower Limestone Coast Prescribed Wells Area (PWA). The Victorian GMUs are divided into two types, the Groundwater Management Areas (GMAs) and Water Supply Protection Areas (WSPAs), which have different rules for managing water resources.</w:t>
      </w:r>
    </w:p>
    <w:p w14:paraId="2DF91E0C" w14:textId="7E62030F" w:rsidR="000142C0" w:rsidRDefault="000142C0" w:rsidP="003739CA">
      <w:pPr>
        <w:pStyle w:val="BodyText"/>
      </w:pPr>
      <w:r>
        <w:t>Groundwater in the Otway Basin is used for irrigation, salinity control, stock and domestic, urban and power generation purposes. The Lower Limestone Coast PWA in South Australia has the greatest volume of groundwater extraction in the Otway Basin, with nearly 160,000 ML during 2010–2011. In comparison, there are only three GMUs (Glenelg WSPA, Nullawarre WSPA and Gerangamete GMA) in Victoria where the annual extraction exceeded 10,000 ML in the same period.</w:t>
      </w:r>
    </w:p>
    <w:p w14:paraId="7F9E8B28" w14:textId="03B478B4" w:rsidR="000142C0" w:rsidRDefault="000142C0" w:rsidP="003739CA">
      <w:pPr>
        <w:pStyle w:val="BodyText"/>
      </w:pPr>
      <w:r>
        <w:t xml:space="preserve">Table C.65 below presents information from the National Groundwater Information System (BoM, 2016) showing summary information of registered bores in the basin. </w:t>
      </w:r>
    </w:p>
    <w:p w14:paraId="7C3ED1A9" w14:textId="77777777" w:rsidR="000142C0" w:rsidRDefault="000142C0" w:rsidP="003739CA">
      <w:pPr>
        <w:pStyle w:val="Caption"/>
      </w:pPr>
      <w:bookmarkStart w:id="347" w:name="_Toc499547535"/>
      <w:bookmarkStart w:id="348" w:name="_Toc508972214"/>
      <w:r>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65</w:t>
      </w:r>
      <w:r w:rsidR="008079F1">
        <w:rPr>
          <w:noProof/>
        </w:rPr>
        <w:fldChar w:fldCharType="end"/>
      </w:r>
      <w:r>
        <w:t xml:space="preserve"> Summary of groundwater bores and level of groundwater and surface water developments.</w:t>
      </w:r>
      <w:bookmarkEnd w:id="347"/>
      <w:bookmarkEnd w:id="348"/>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1"/>
        <w:gridCol w:w="4667"/>
      </w:tblGrid>
      <w:tr w:rsidR="000142C0" w14:paraId="02E77771"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10FE3297" w14:textId="3D8749F6" w:rsidR="000142C0" w:rsidRDefault="000142C0">
            <w:pPr>
              <w:pStyle w:val="TableTextLeft"/>
              <w:rPr>
                <w:rFonts w:eastAsiaTheme="minorHAnsi"/>
                <w:lang w:eastAsia="en-US"/>
              </w:rPr>
            </w:pPr>
            <w:r>
              <w:rPr>
                <w:rFonts w:eastAsiaTheme="minorHAnsi"/>
                <w:lang w:eastAsia="en-US"/>
              </w:rPr>
              <w:t>GROUNDWATER BORES AND WATER USE</w:t>
            </w:r>
          </w:p>
        </w:tc>
      </w:tr>
      <w:tr w:rsidR="000142C0" w14:paraId="2C075F9B"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04DDE074" w14:textId="77777777" w:rsidR="000142C0" w:rsidRDefault="000142C0">
            <w:pPr>
              <w:pStyle w:val="TableTextLeft"/>
              <w:rPr>
                <w:rFonts w:eastAsiaTheme="minorHAnsi"/>
                <w:szCs w:val="18"/>
                <w:lang w:eastAsia="en-US"/>
              </w:rPr>
            </w:pPr>
            <w:r>
              <w:rPr>
                <w:rFonts w:eastAsiaTheme="minorHAnsi"/>
                <w:szCs w:val="18"/>
                <w:lang w:eastAsia="en-US"/>
              </w:rPr>
              <w:t>Number of bores (Density of Registered Bores - bores/km</w:t>
            </w:r>
            <w:r>
              <w:rPr>
                <w:rFonts w:eastAsiaTheme="minorHAnsi"/>
                <w:szCs w:val="18"/>
                <w:vertAlign w:val="superscript"/>
                <w:lang w:eastAsia="en-US"/>
              </w:rPr>
              <w:t>2</w:t>
            </w:r>
            <w:r>
              <w:rPr>
                <w:rFonts w:eastAsiaTheme="minorHAnsi"/>
                <w:szCs w:val="18"/>
                <w:lang w:eastAsia="en-US"/>
              </w:rPr>
              <w:t>)</w:t>
            </w:r>
          </w:p>
        </w:tc>
        <w:tc>
          <w:tcPr>
            <w:tcW w:w="2421" w:type="pct"/>
            <w:hideMark/>
          </w:tcPr>
          <w:p w14:paraId="4EF870AC" w14:textId="77777777" w:rsidR="000142C0" w:rsidRDefault="000142C0">
            <w:pPr>
              <w:pStyle w:val="TableTextLeft"/>
              <w:cnfStyle w:val="100000000000" w:firstRow="1" w:lastRow="0" w:firstColumn="0" w:lastColumn="0" w:oddVBand="0" w:evenVBand="0" w:oddHBand="0" w:evenHBand="0" w:firstRowFirstColumn="0" w:firstRowLastColumn="0" w:lastRowFirstColumn="0" w:lastRowLastColumn="0"/>
              <w:rPr>
                <w:rFonts w:eastAsiaTheme="minorHAnsi"/>
                <w:szCs w:val="18"/>
                <w:lang w:eastAsia="en-US"/>
              </w:rPr>
            </w:pPr>
            <w:r>
              <w:rPr>
                <w:rFonts w:eastAsiaTheme="minorHAnsi"/>
                <w:szCs w:val="18"/>
                <w:lang w:eastAsia="en-US"/>
              </w:rPr>
              <w:t>51,458 (1.94)</w:t>
            </w:r>
          </w:p>
        </w:tc>
      </w:tr>
      <w:tr w:rsidR="000142C0" w14:paraId="7AEEBA2B"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31EB8970" w14:textId="77777777" w:rsidR="000142C0" w:rsidRDefault="000142C0">
            <w:pPr>
              <w:pStyle w:val="TableTextLeft"/>
              <w:rPr>
                <w:rFonts w:eastAsiaTheme="minorHAnsi"/>
                <w:szCs w:val="18"/>
                <w:lang w:eastAsia="en-US"/>
              </w:rPr>
            </w:pPr>
            <w:r>
              <w:rPr>
                <w:rFonts w:eastAsiaTheme="minorHAnsi"/>
                <w:szCs w:val="18"/>
                <w:lang w:eastAsia="en-US"/>
              </w:rPr>
              <w:t>Purposes of registered bores</w:t>
            </w:r>
          </w:p>
          <w:p w14:paraId="34045625" w14:textId="77777777" w:rsidR="000142C0" w:rsidRDefault="000142C0">
            <w:pPr>
              <w:pStyle w:val="TableTextLeft"/>
              <w:rPr>
                <w:rFonts w:eastAsiaTheme="minorHAnsi"/>
                <w:szCs w:val="18"/>
                <w:lang w:eastAsia="en-US"/>
              </w:rPr>
            </w:pPr>
            <w:r>
              <w:rPr>
                <w:rFonts w:eastAsiaTheme="minorHAnsi"/>
                <w:szCs w:val="18"/>
                <w:lang w:eastAsia="en-US"/>
              </w:rPr>
              <w:t xml:space="preserve">(Top 5, </w:t>
            </w:r>
            <w:r>
              <w:rPr>
                <w:rFonts w:eastAsiaTheme="minorHAnsi"/>
                <w:iCs/>
                <w:szCs w:val="18"/>
                <w:lang w:eastAsia="en-US"/>
              </w:rPr>
              <w:t>number)</w:t>
            </w:r>
          </w:p>
        </w:tc>
        <w:tc>
          <w:tcPr>
            <w:tcW w:w="2421" w:type="pct"/>
            <w:hideMark/>
          </w:tcPr>
          <w:tbl>
            <w:tblPr>
              <w:tblW w:w="4200" w:type="dxa"/>
              <w:tblLook w:val="04A0" w:firstRow="1" w:lastRow="0" w:firstColumn="1" w:lastColumn="0" w:noHBand="0" w:noVBand="1"/>
            </w:tblPr>
            <w:tblGrid>
              <w:gridCol w:w="2781"/>
              <w:gridCol w:w="1419"/>
            </w:tblGrid>
            <w:tr w:rsidR="000142C0" w14:paraId="76410A31" w14:textId="77777777" w:rsidTr="00F27BC3">
              <w:trPr>
                <w:trHeight w:val="300"/>
              </w:trPr>
              <w:tc>
                <w:tcPr>
                  <w:tcW w:w="2778" w:type="dxa"/>
                  <w:noWrap/>
                  <w:vAlign w:val="bottom"/>
                  <w:hideMark/>
                </w:tcPr>
                <w:p w14:paraId="256995B8" w14:textId="77777777" w:rsidR="000142C0" w:rsidRPr="000350BE" w:rsidRDefault="000142C0" w:rsidP="000350BE">
                  <w:pPr>
                    <w:pStyle w:val="TableTextLeft"/>
                  </w:pPr>
                  <w:r w:rsidRPr="000350BE">
                    <w:t>Stock</w:t>
                  </w:r>
                </w:p>
              </w:tc>
              <w:tc>
                <w:tcPr>
                  <w:tcW w:w="1418" w:type="dxa"/>
                  <w:noWrap/>
                  <w:vAlign w:val="bottom"/>
                  <w:hideMark/>
                </w:tcPr>
                <w:p w14:paraId="5EA18A3C" w14:textId="77777777" w:rsidR="000142C0" w:rsidRDefault="000142C0" w:rsidP="000350BE">
                  <w:pPr>
                    <w:pStyle w:val="TableTextRight0"/>
                  </w:pPr>
                  <w:r>
                    <w:t>18,540</w:t>
                  </w:r>
                </w:p>
              </w:tc>
            </w:tr>
            <w:tr w:rsidR="000142C0" w14:paraId="26B69078" w14:textId="77777777" w:rsidTr="00F27BC3">
              <w:trPr>
                <w:trHeight w:val="300"/>
              </w:trPr>
              <w:tc>
                <w:tcPr>
                  <w:tcW w:w="2778" w:type="dxa"/>
                  <w:noWrap/>
                  <w:vAlign w:val="bottom"/>
                  <w:hideMark/>
                </w:tcPr>
                <w:p w14:paraId="3830F74E" w14:textId="77777777" w:rsidR="000142C0" w:rsidRPr="000350BE" w:rsidRDefault="000142C0" w:rsidP="000350BE">
                  <w:pPr>
                    <w:pStyle w:val="TableTextLeft"/>
                  </w:pPr>
                  <w:r w:rsidRPr="000350BE">
                    <w:t>Unknown</w:t>
                  </w:r>
                </w:p>
              </w:tc>
              <w:tc>
                <w:tcPr>
                  <w:tcW w:w="1418" w:type="dxa"/>
                  <w:noWrap/>
                  <w:vAlign w:val="bottom"/>
                  <w:hideMark/>
                </w:tcPr>
                <w:p w14:paraId="498C4EC4" w14:textId="77777777" w:rsidR="000142C0" w:rsidRDefault="000142C0" w:rsidP="000350BE">
                  <w:pPr>
                    <w:pStyle w:val="TableTextRight0"/>
                  </w:pPr>
                  <w:r>
                    <w:t>11,225</w:t>
                  </w:r>
                </w:p>
              </w:tc>
            </w:tr>
            <w:tr w:rsidR="000142C0" w14:paraId="603992AA" w14:textId="77777777" w:rsidTr="00F27BC3">
              <w:trPr>
                <w:trHeight w:val="300"/>
              </w:trPr>
              <w:tc>
                <w:tcPr>
                  <w:tcW w:w="2778" w:type="dxa"/>
                  <w:noWrap/>
                  <w:vAlign w:val="bottom"/>
                  <w:hideMark/>
                </w:tcPr>
                <w:p w14:paraId="44D10836" w14:textId="77777777" w:rsidR="000142C0" w:rsidRPr="000350BE" w:rsidRDefault="000142C0" w:rsidP="000350BE">
                  <w:pPr>
                    <w:pStyle w:val="TableTextLeft"/>
                  </w:pPr>
                  <w:r w:rsidRPr="000350BE">
                    <w:t>Domestic Household</w:t>
                  </w:r>
                </w:p>
              </w:tc>
              <w:tc>
                <w:tcPr>
                  <w:tcW w:w="1418" w:type="dxa"/>
                  <w:noWrap/>
                  <w:vAlign w:val="bottom"/>
                  <w:hideMark/>
                </w:tcPr>
                <w:p w14:paraId="2234D76F" w14:textId="77777777" w:rsidR="000142C0" w:rsidRDefault="000142C0" w:rsidP="000350BE">
                  <w:pPr>
                    <w:pStyle w:val="TableTextRight0"/>
                  </w:pPr>
                  <w:r>
                    <w:t>7,308</w:t>
                  </w:r>
                </w:p>
              </w:tc>
            </w:tr>
            <w:tr w:rsidR="000142C0" w14:paraId="7F213340" w14:textId="77777777" w:rsidTr="00F27BC3">
              <w:trPr>
                <w:trHeight w:val="300"/>
              </w:trPr>
              <w:tc>
                <w:tcPr>
                  <w:tcW w:w="2778" w:type="dxa"/>
                  <w:noWrap/>
                  <w:vAlign w:val="bottom"/>
                  <w:hideMark/>
                </w:tcPr>
                <w:p w14:paraId="1BBC7FB1" w14:textId="77777777" w:rsidR="000142C0" w:rsidRPr="000350BE" w:rsidRDefault="000142C0" w:rsidP="000350BE">
                  <w:pPr>
                    <w:pStyle w:val="TableTextLeft"/>
                  </w:pPr>
                  <w:r w:rsidRPr="000350BE">
                    <w:t>Irrigated Agriculture</w:t>
                  </w:r>
                </w:p>
              </w:tc>
              <w:tc>
                <w:tcPr>
                  <w:tcW w:w="1418" w:type="dxa"/>
                  <w:noWrap/>
                  <w:vAlign w:val="bottom"/>
                  <w:hideMark/>
                </w:tcPr>
                <w:p w14:paraId="297B6D6A" w14:textId="77777777" w:rsidR="000142C0" w:rsidRDefault="000142C0" w:rsidP="000350BE">
                  <w:pPr>
                    <w:pStyle w:val="TableTextRight0"/>
                  </w:pPr>
                  <w:r>
                    <w:t>6,089</w:t>
                  </w:r>
                </w:p>
              </w:tc>
            </w:tr>
            <w:tr w:rsidR="000142C0" w14:paraId="043CC1F4" w14:textId="77777777" w:rsidTr="00F27BC3">
              <w:trPr>
                <w:trHeight w:val="300"/>
              </w:trPr>
              <w:tc>
                <w:tcPr>
                  <w:tcW w:w="2778" w:type="dxa"/>
                  <w:noWrap/>
                  <w:vAlign w:val="bottom"/>
                  <w:hideMark/>
                </w:tcPr>
                <w:p w14:paraId="37B823D9" w14:textId="77777777" w:rsidR="000142C0" w:rsidRPr="000350BE" w:rsidRDefault="000142C0" w:rsidP="000350BE">
                  <w:pPr>
                    <w:pStyle w:val="TableTextLeft"/>
                  </w:pPr>
                  <w:r w:rsidRPr="000350BE">
                    <w:t>Exploration</w:t>
                  </w:r>
                </w:p>
              </w:tc>
              <w:tc>
                <w:tcPr>
                  <w:tcW w:w="1418" w:type="dxa"/>
                  <w:noWrap/>
                  <w:vAlign w:val="bottom"/>
                  <w:hideMark/>
                </w:tcPr>
                <w:p w14:paraId="2E441094" w14:textId="77777777" w:rsidR="000142C0" w:rsidRDefault="000142C0" w:rsidP="000350BE">
                  <w:pPr>
                    <w:pStyle w:val="TableTextRight0"/>
                  </w:pPr>
                  <w:r>
                    <w:t>3,342</w:t>
                  </w:r>
                </w:p>
              </w:tc>
            </w:tr>
          </w:tbl>
          <w:p w14:paraId="29E96C5B" w14:textId="77777777" w:rsidR="000142C0" w:rsidRDefault="000142C0">
            <w:pPr>
              <w:pStyle w:val="TableTextLeft"/>
              <w:cnfStyle w:val="100000000000" w:firstRow="1" w:lastRow="0" w:firstColumn="0" w:lastColumn="0" w:oddVBand="0" w:evenVBand="0" w:oddHBand="0" w:evenHBand="0" w:firstRowFirstColumn="0" w:firstRowLastColumn="0" w:lastRowFirstColumn="0" w:lastRowLastColumn="0"/>
              <w:rPr>
                <w:rFonts w:eastAsiaTheme="minorHAnsi"/>
                <w:szCs w:val="18"/>
                <w:lang w:eastAsia="en-US"/>
              </w:rPr>
            </w:pPr>
          </w:p>
        </w:tc>
      </w:tr>
      <w:tr w:rsidR="000142C0" w14:paraId="6090CB8B"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3368FF07" w14:textId="77777777" w:rsidR="000142C0" w:rsidRDefault="000142C0">
            <w:pPr>
              <w:pStyle w:val="TableTextLeft"/>
              <w:rPr>
                <w:rFonts w:eastAsiaTheme="minorHAnsi"/>
                <w:szCs w:val="18"/>
                <w:lang w:eastAsia="en-US"/>
              </w:rPr>
            </w:pPr>
            <w:r>
              <w:rPr>
                <w:rFonts w:eastAsiaTheme="minorHAnsi"/>
                <w:szCs w:val="18"/>
                <w:lang w:eastAsia="en-US"/>
              </w:rPr>
              <w:t>Depth (m) of registered bores below ground level (10</w:t>
            </w:r>
            <w:r>
              <w:rPr>
                <w:rFonts w:eastAsiaTheme="minorHAnsi"/>
                <w:szCs w:val="18"/>
                <w:vertAlign w:val="superscript"/>
                <w:lang w:eastAsia="en-US"/>
              </w:rPr>
              <w:t>th</w:t>
            </w:r>
            <w:r>
              <w:rPr>
                <w:rFonts w:eastAsiaTheme="minorHAnsi"/>
                <w:szCs w:val="18"/>
                <w:lang w:eastAsia="en-US"/>
              </w:rPr>
              <w:t xml:space="preserve"> and 90</w:t>
            </w:r>
            <w:r>
              <w:rPr>
                <w:rFonts w:eastAsiaTheme="minorHAnsi"/>
                <w:szCs w:val="18"/>
                <w:vertAlign w:val="superscript"/>
                <w:lang w:eastAsia="en-US"/>
              </w:rPr>
              <w:t>th</w:t>
            </w:r>
            <w:r>
              <w:rPr>
                <w:rFonts w:eastAsiaTheme="minorHAnsi"/>
                <w:szCs w:val="18"/>
                <w:lang w:eastAsia="en-US"/>
              </w:rPr>
              <w:t xml:space="preserve"> Percentile and median)</w:t>
            </w:r>
          </w:p>
        </w:tc>
        <w:tc>
          <w:tcPr>
            <w:tcW w:w="2421" w:type="pct"/>
            <w:hideMark/>
          </w:tcPr>
          <w:p w14:paraId="5E0C8FAD" w14:textId="0A2D4188" w:rsidR="000142C0" w:rsidRDefault="000142C0">
            <w:pPr>
              <w:pStyle w:val="TableTextLeft"/>
              <w:cnfStyle w:val="100000000000" w:firstRow="1" w:lastRow="0" w:firstColumn="0" w:lastColumn="0" w:oddVBand="0" w:evenVBand="0" w:oddHBand="0" w:evenHBand="0" w:firstRowFirstColumn="0" w:firstRowLastColumn="0" w:lastRowFirstColumn="0" w:lastRowLastColumn="0"/>
              <w:rPr>
                <w:rFonts w:eastAsiaTheme="minorHAnsi"/>
                <w:szCs w:val="18"/>
                <w:lang w:eastAsia="en-US"/>
              </w:rPr>
            </w:pPr>
            <w:r>
              <w:rPr>
                <w:rFonts w:eastAsiaTheme="minorHAnsi"/>
                <w:szCs w:val="18"/>
                <w:lang w:eastAsia="en-US"/>
              </w:rPr>
              <w:t>10</w:t>
            </w:r>
            <w:r w:rsidRPr="000350BE">
              <w:rPr>
                <w:rStyle w:val="Superscript"/>
                <w:rFonts w:eastAsiaTheme="minorHAnsi"/>
              </w:rPr>
              <w:t>th</w:t>
            </w:r>
            <w:r>
              <w:rPr>
                <w:rFonts w:eastAsiaTheme="minorHAnsi"/>
                <w:szCs w:val="18"/>
                <w:lang w:eastAsia="en-US"/>
              </w:rPr>
              <w:t xml:space="preserve"> Percentile</w:t>
            </w:r>
            <w:r w:rsidRPr="004059C5">
              <w:rPr>
                <w:rFonts w:eastAsiaTheme="minorHAnsi"/>
                <w:szCs w:val="18"/>
                <w:lang w:eastAsia="en-US"/>
              </w:rPr>
              <w:t xml:space="preserve">: </w:t>
            </w:r>
            <w:r w:rsidRPr="004059C5">
              <w:rPr>
                <w:rFonts w:eastAsiaTheme="minorHAnsi"/>
                <w:szCs w:val="18"/>
                <w:lang w:eastAsia="en-US"/>
              </w:rPr>
              <w:tab/>
            </w:r>
            <w:r>
              <w:rPr>
                <w:rFonts w:eastAsiaTheme="minorHAnsi"/>
                <w:szCs w:val="18"/>
                <w:lang w:eastAsia="en-US"/>
              </w:rPr>
              <w:t xml:space="preserve">    6.7</w:t>
            </w:r>
          </w:p>
          <w:p w14:paraId="22F0BB6A" w14:textId="0537A5BF" w:rsidR="000142C0" w:rsidRDefault="000142C0">
            <w:pPr>
              <w:pStyle w:val="TableTextLeft"/>
              <w:cnfStyle w:val="100000000000" w:firstRow="1" w:lastRow="0" w:firstColumn="0" w:lastColumn="0" w:oddVBand="0" w:evenVBand="0" w:oddHBand="0" w:evenHBand="0" w:firstRowFirstColumn="0" w:firstRowLastColumn="0" w:lastRowFirstColumn="0" w:lastRowLastColumn="0"/>
              <w:rPr>
                <w:rFonts w:eastAsiaTheme="minorHAnsi"/>
                <w:szCs w:val="18"/>
                <w:lang w:eastAsia="en-US"/>
              </w:rPr>
            </w:pPr>
            <w:r>
              <w:rPr>
                <w:rFonts w:eastAsiaTheme="minorHAnsi"/>
                <w:szCs w:val="18"/>
                <w:lang w:eastAsia="en-US"/>
              </w:rPr>
              <w:t>Median</w:t>
            </w:r>
            <w:r w:rsidRPr="004059C5">
              <w:rPr>
                <w:rFonts w:eastAsiaTheme="minorHAnsi"/>
                <w:szCs w:val="18"/>
                <w:lang w:eastAsia="en-US"/>
              </w:rPr>
              <w:t xml:space="preserve">: </w:t>
            </w:r>
            <w:r w:rsidRPr="004059C5">
              <w:rPr>
                <w:rFonts w:eastAsiaTheme="minorHAnsi"/>
                <w:szCs w:val="18"/>
                <w:lang w:eastAsia="en-US"/>
              </w:rPr>
              <w:tab/>
            </w:r>
            <w:r w:rsidRPr="004059C5">
              <w:rPr>
                <w:rFonts w:eastAsiaTheme="minorHAnsi"/>
                <w:szCs w:val="18"/>
                <w:lang w:eastAsia="en-US"/>
              </w:rPr>
              <w:tab/>
            </w:r>
            <w:r>
              <w:rPr>
                <w:rFonts w:eastAsiaTheme="minorHAnsi"/>
                <w:szCs w:val="18"/>
                <w:lang w:eastAsia="en-US"/>
              </w:rPr>
              <w:t xml:space="preserve">  19.6</w:t>
            </w:r>
          </w:p>
          <w:p w14:paraId="085283A3" w14:textId="42DE51B9" w:rsidR="000142C0" w:rsidRDefault="000142C0">
            <w:pPr>
              <w:pStyle w:val="TableTextLeft"/>
              <w:cnfStyle w:val="100000000000" w:firstRow="1" w:lastRow="0" w:firstColumn="0" w:lastColumn="0" w:oddVBand="0" w:evenVBand="0" w:oddHBand="0" w:evenHBand="0" w:firstRowFirstColumn="0" w:firstRowLastColumn="0" w:lastRowFirstColumn="0" w:lastRowLastColumn="0"/>
              <w:rPr>
                <w:rFonts w:eastAsiaTheme="minorHAnsi"/>
                <w:szCs w:val="18"/>
                <w:lang w:eastAsia="en-US"/>
              </w:rPr>
            </w:pPr>
            <w:r>
              <w:rPr>
                <w:rFonts w:eastAsiaTheme="minorHAnsi"/>
                <w:szCs w:val="18"/>
                <w:lang w:eastAsia="en-US"/>
              </w:rPr>
              <w:t>90</w:t>
            </w:r>
            <w:r w:rsidRPr="000350BE">
              <w:rPr>
                <w:rStyle w:val="Superscript"/>
                <w:rFonts w:eastAsiaTheme="minorHAnsi"/>
              </w:rPr>
              <w:t>th</w:t>
            </w:r>
            <w:r>
              <w:rPr>
                <w:rFonts w:eastAsiaTheme="minorHAnsi"/>
                <w:szCs w:val="18"/>
                <w:lang w:eastAsia="en-US"/>
              </w:rPr>
              <w:t xml:space="preserve"> Percentile</w:t>
            </w:r>
            <w:r w:rsidRPr="004059C5">
              <w:rPr>
                <w:rFonts w:eastAsiaTheme="minorHAnsi"/>
                <w:szCs w:val="18"/>
                <w:lang w:eastAsia="en-US"/>
              </w:rPr>
              <w:t xml:space="preserve">: </w:t>
            </w:r>
            <w:r w:rsidRPr="004059C5">
              <w:rPr>
                <w:rFonts w:eastAsiaTheme="minorHAnsi"/>
                <w:szCs w:val="18"/>
                <w:lang w:eastAsia="en-US"/>
              </w:rPr>
              <w:tab/>
            </w:r>
            <w:r>
              <w:rPr>
                <w:rFonts w:eastAsiaTheme="minorHAnsi"/>
                <w:szCs w:val="18"/>
                <w:lang w:eastAsia="en-US"/>
              </w:rPr>
              <w:t>122</w:t>
            </w:r>
          </w:p>
        </w:tc>
      </w:tr>
    </w:tbl>
    <w:p w14:paraId="0C07DA84" w14:textId="77777777" w:rsidR="008B38C1" w:rsidRDefault="008B38C1" w:rsidP="00035C4A">
      <w:pPr>
        <w:pStyle w:val="AppendixHeading3"/>
      </w:pPr>
      <w:bookmarkStart w:id="349" w:name="_Toc517161218"/>
      <w:r>
        <w:lastRenderedPageBreak/>
        <w:t>Surface water hydrology</w:t>
      </w:r>
      <w:bookmarkEnd w:id="349"/>
    </w:p>
    <w:p w14:paraId="2456A2A4" w14:textId="77777777" w:rsidR="008B38C1" w:rsidRDefault="008B38C1" w:rsidP="00E34CDE">
      <w:pPr>
        <w:pStyle w:val="AppendixHeading4"/>
      </w:pPr>
      <w:r>
        <w:t>Surface water systems</w:t>
      </w:r>
    </w:p>
    <w:p w14:paraId="1E0D36D0" w14:textId="66F2B2D4" w:rsidR="00BB172C" w:rsidRDefault="00BB172C" w:rsidP="003739CA">
      <w:pPr>
        <w:pStyle w:val="BodyText"/>
      </w:pPr>
      <w:r>
        <w:t>There are eight river regions in the Otway Basin according to the Bureau of Meteorology Geofabric dataset (BoM, 2014). These are presented in Figure B.19 and include substantial portions and most of the coastline of the Millicent Coast, Glenelg River, Portland Coast, Hopkins River, Otway Coast, and Barwon River–Lake Corangamite catchments, as well as small portions of the Moorabool River region in the suburbs of Geelong and the Bunyip River region at Point Nepean. Connected drainage systems that flow dominantly south to south-west towards Bass Strait are typical of most river systems in the Victorian part of the Otway Basin, except for the eastern part of the Barwon River–Lake Corangamite system which empties into Port Phillip Bay. There are no permanent river systems in the South Australian part of the Otway Basin, due to the extensive near-surface limestone cover across this region.</w:t>
      </w:r>
    </w:p>
    <w:p w14:paraId="5F635DFC" w14:textId="77777777" w:rsidR="008B38C1" w:rsidRDefault="008B38C1" w:rsidP="00E34CDE">
      <w:pPr>
        <w:pStyle w:val="AppendixHeading4"/>
      </w:pPr>
      <w:r>
        <w:t>Surface water quality</w:t>
      </w:r>
    </w:p>
    <w:p w14:paraId="703A6683" w14:textId="0E136E4C" w:rsidR="00BB172C" w:rsidRDefault="00BB172C" w:rsidP="003739CA">
      <w:pPr>
        <w:pStyle w:val="BodyText"/>
      </w:pPr>
      <w:r>
        <w:t>A number of river reaches were tested regularly for various water quality parameters in the Otway Basin; however there is not a complete coverage. Water quality tested at 24 of the 138 river reaches across the Corangamite River region ranged from excellent (7%) to poor (35%), with almost half (45%) of the assessed reaches in moderate condition and 13% in good condition based on salinity and turbidity. Water quality in the Moorabool, Barwon and Corangamite catchments was generally moderate, despite the heavily modified environment. Many of the sites assessed had elevated levels of phosphorus.</w:t>
      </w:r>
    </w:p>
    <w:p w14:paraId="2526025E" w14:textId="77777777" w:rsidR="008B38C1" w:rsidRDefault="008B38C1" w:rsidP="00E34CDE">
      <w:pPr>
        <w:pStyle w:val="AppendixHeading4"/>
      </w:pPr>
      <w:r>
        <w:t>Surface water flow</w:t>
      </w:r>
    </w:p>
    <w:p w14:paraId="22888CB1" w14:textId="1E311CDC" w:rsidR="00BB172C" w:rsidRDefault="00BB172C" w:rsidP="003739CA">
      <w:pPr>
        <w:pStyle w:val="BodyText"/>
      </w:pPr>
      <w:r>
        <w:t>The level of information available on streamflow varies between rivers in the Otway Basin. Rivers where regulation for water supply has had effects on their ecology have had some studies into hydrology as well as surface-water quality conducted. The Glenelg River has a high flow season during July–October, and previously experienced cease-to-flow at times in February to April; however, due to regulation, this pattern has evened out somewhat, although some seasonality remains. The annual streamflow since building the Rocklands Reservoir has decreased from 113,000 ML/yr to 43,000 ML/yr, by reducing the frequency of large flushing flows in late winter (Glenelg Hopkins CMA, 2016).</w:t>
      </w:r>
    </w:p>
    <w:p w14:paraId="6B8A37B7" w14:textId="77777777" w:rsidR="00BB172C" w:rsidRPr="000C5BAD" w:rsidRDefault="00BB172C" w:rsidP="000C5BAD">
      <w:pPr>
        <w:pStyle w:val="BodyText"/>
      </w:pPr>
      <w:r>
        <w:t>The Barwon River streamflow is seasonal: maximum flows occur during August–September, while very low flows occur during December–April, when the river declines to baseflow. Some 60% of annual flow occurs from July to September, while only 5% occurs from January to March. Annual discharge increases downstream, but this has been altered by the dams and diversions; the Barwon is a major source of supply for Geelong and other centres as well as agriculture. Some summer cease-to-flow days occur in the upper catchment, but not in the lower catchment. The streamflow is being managed by Corangamite Catchment Management Authority so that sufficient flow variation and quantity is maintained to support ecological targets. The median summer baseflow on the lower Barwon River is 43 ML/day (Corangamite CMA, 2005).</w:t>
      </w:r>
    </w:p>
    <w:p w14:paraId="34328CCD" w14:textId="77777777" w:rsidR="008B38C1" w:rsidRDefault="008B38C1" w:rsidP="00E34CDE">
      <w:pPr>
        <w:pStyle w:val="AppendixHeading4"/>
      </w:pPr>
      <w:r>
        <w:lastRenderedPageBreak/>
        <w:t>Surface water planning and use</w:t>
      </w:r>
    </w:p>
    <w:p w14:paraId="50ACE607" w14:textId="36070A30" w:rsidR="00BB172C" w:rsidRDefault="00BB172C" w:rsidP="003739CA">
      <w:pPr>
        <w:pStyle w:val="BodyText"/>
      </w:pPr>
      <w:r>
        <w:t>Surface water in the basin is used for irrigation, stock and domestic, urban, commercial and power generation purposes. Irrigation accounted for 79% of consumptive use in 2014–2015 (DELWP, 2016). Urban and commercial use accounted for 15% of consumptive use for the period, and domestic and stock and power generation accounted for 4% and 2%, respectively. The majority of surface water entitlements and usage occur in the Otway Coast, Barwon and Moorabool catchments.</w:t>
      </w:r>
    </w:p>
    <w:p w14:paraId="30857D2E" w14:textId="77777777" w:rsidR="008B38C1" w:rsidRDefault="008B38C1" w:rsidP="00035C4A">
      <w:pPr>
        <w:pStyle w:val="AppendixHeading3"/>
      </w:pPr>
      <w:bookmarkStart w:id="350" w:name="_Toc517161219"/>
      <w:r>
        <w:t>Groundwater – surface water interactions</w:t>
      </w:r>
      <w:bookmarkEnd w:id="350"/>
    </w:p>
    <w:p w14:paraId="2ADFA3C9" w14:textId="30D8A8AC" w:rsidR="00BB172C" w:rsidRDefault="00BB172C" w:rsidP="003739CA">
      <w:pPr>
        <w:pStyle w:val="BodyText"/>
      </w:pPr>
      <w:r>
        <w:t>Connectivity exists between the shallow aquifers and surface water in a number of river reaches across the Otway Basin. GHD (2014) calculated the baseflow contributions to streamflow, and the gaining and losing nature of a number of rivers and streams in the Otway Basin. These results show that the Barwon River transitions from generally losing in the upland river reaches to gaining through the mid-reaches, and variably gaining and losing throughout its lower reaches. The lower Glenelg and Gellibrand rivers are generally gaining rivers and the lower Hopkins River is variably gaining and losing. The proportion of baseflow throughout western Victoria in the Barwon, Gellibrand, Glenelg and Hopkins river catchments ranges from 26 to 34%.</w:t>
      </w:r>
    </w:p>
    <w:p w14:paraId="4486ACD7" w14:textId="77777777" w:rsidR="008B38C1" w:rsidRDefault="008B38C1" w:rsidP="00035C4A">
      <w:pPr>
        <w:pStyle w:val="AppendixHeading3"/>
      </w:pPr>
      <w:bookmarkStart w:id="351" w:name="_Toc517161220"/>
      <w:r>
        <w:t>Environmental assets</w:t>
      </w:r>
      <w:bookmarkEnd w:id="351"/>
      <w:r>
        <w:t xml:space="preserve"> </w:t>
      </w:r>
    </w:p>
    <w:p w14:paraId="76DE2BBB" w14:textId="66712E58" w:rsidR="00E8067C" w:rsidRDefault="00BB172C" w:rsidP="006971A5">
      <w:pPr>
        <w:pStyle w:val="BodyText"/>
      </w:pPr>
      <w:r w:rsidRPr="006971A5">
        <w:t>Within the Otway Basin there are 505</w:t>
      </w:r>
      <w:r>
        <w:t> km</w:t>
      </w:r>
      <w:r w:rsidRPr="000350BE">
        <w:rPr>
          <w:rStyle w:val="Superscript"/>
        </w:rPr>
        <w:t>2</w:t>
      </w:r>
      <w:r w:rsidRPr="006971A5">
        <w:t xml:space="preserve"> of Listed Nationally Important Wetlands, 1</w:t>
      </w:r>
      <w:r w:rsidR="00147CAE">
        <w:t>,</w:t>
      </w:r>
      <w:r w:rsidRPr="006971A5">
        <w:t>500</w:t>
      </w:r>
      <w:r>
        <w:t> km</w:t>
      </w:r>
      <w:r w:rsidRPr="000350BE">
        <w:rPr>
          <w:rStyle w:val="Superscript"/>
        </w:rPr>
        <w:t>2</w:t>
      </w:r>
      <w:r w:rsidRPr="006971A5">
        <w:t xml:space="preserve"> of Groundwater Dependant Ecosystems (of at least moderate potential) and a number of Ramsar wetlands. A total of 2963</w:t>
      </w:r>
      <w:r>
        <w:t> km</w:t>
      </w:r>
      <w:r w:rsidRPr="005962FF">
        <w:rPr>
          <w:rStyle w:val="Superscript"/>
        </w:rPr>
        <w:t>2</w:t>
      </w:r>
      <w:r w:rsidRPr="006971A5">
        <w:t xml:space="preserve"> of protected areas (such as national parks) are listed (</w:t>
      </w:r>
      <w:r>
        <w:t>Table C.66</w:t>
      </w:r>
      <w:r w:rsidRPr="006971A5">
        <w:t>).</w:t>
      </w:r>
    </w:p>
    <w:p w14:paraId="6E6CFEA0" w14:textId="77777777" w:rsidR="00147CAE" w:rsidRDefault="00147CAE" w:rsidP="006971A5">
      <w:pPr>
        <w:pStyle w:val="BodyText"/>
      </w:pPr>
    </w:p>
    <w:p w14:paraId="41D3AFB9" w14:textId="77777777" w:rsidR="00BB172C" w:rsidRDefault="00BB172C" w:rsidP="003739CA">
      <w:pPr>
        <w:pStyle w:val="Caption"/>
      </w:pPr>
      <w:bookmarkStart w:id="352" w:name="_Toc499547536"/>
      <w:bookmarkStart w:id="353" w:name="_Toc508972215"/>
      <w:r>
        <w:lastRenderedPageBreak/>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t>.</w:t>
      </w:r>
      <w:r w:rsidR="008079F1">
        <w:fldChar w:fldCharType="begin"/>
      </w:r>
      <w:r w:rsidR="008079F1">
        <w:instrText xml:space="preserve"> SEQ Apx_Table \* ARABIC \s 9 </w:instrText>
      </w:r>
      <w:r w:rsidR="008079F1">
        <w:fldChar w:fldCharType="separate"/>
      </w:r>
      <w:r w:rsidR="00640CCB">
        <w:rPr>
          <w:noProof/>
        </w:rPr>
        <w:t>66</w:t>
      </w:r>
      <w:r w:rsidR="008079F1">
        <w:rPr>
          <w:noProof/>
        </w:rPr>
        <w:fldChar w:fldCharType="end"/>
      </w:r>
      <w:r>
        <w:t xml:space="preserve"> Summary of environmental assets.</w:t>
      </w:r>
      <w:bookmarkEnd w:id="352"/>
      <w:bookmarkEnd w:id="353"/>
    </w:p>
    <w:tbl>
      <w:tblPr>
        <w:tblStyle w:val="TableBAHeaderColumn"/>
        <w:tblW w:w="5000" w:type="pct"/>
        <w:tblInd w:w="0" w:type="dxa"/>
        <w:tblLook w:val="04A0" w:firstRow="1" w:lastRow="0" w:firstColumn="1" w:lastColumn="0" w:noHBand="0" w:noVBand="1"/>
      </w:tblPr>
      <w:tblGrid>
        <w:gridCol w:w="4971"/>
        <w:gridCol w:w="4667"/>
      </w:tblGrid>
      <w:tr w:rsidR="00BB172C" w14:paraId="089D99AC"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710930AF" w14:textId="77777777" w:rsidR="00BB172C" w:rsidRDefault="00BB172C">
            <w:pPr>
              <w:pStyle w:val="TableTextLeft"/>
            </w:pPr>
            <w:r>
              <w:t>Environmental Assets</w:t>
            </w:r>
          </w:p>
        </w:tc>
      </w:tr>
      <w:tr w:rsidR="00BB172C" w14:paraId="7813A5DE"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11D04C6" w14:textId="77777777" w:rsidR="00BB172C" w:rsidRDefault="00BB172C">
            <w:pPr>
              <w:pStyle w:val="TableTextLeft"/>
              <w:rPr>
                <w:szCs w:val="18"/>
              </w:rPr>
            </w:pPr>
            <w:r>
              <w:rPr>
                <w:szCs w:val="18"/>
              </w:rPr>
              <w:t>Ramsar Wetlands</w:t>
            </w:r>
          </w:p>
        </w:tc>
        <w:tc>
          <w:tcPr>
            <w:tcW w:w="2421" w:type="pct"/>
            <w:hideMark/>
          </w:tcPr>
          <w:tbl>
            <w:tblPr>
              <w:tblW w:w="4200" w:type="dxa"/>
              <w:tblLook w:val="04A0" w:firstRow="1" w:lastRow="0" w:firstColumn="1" w:lastColumn="0" w:noHBand="0" w:noVBand="1"/>
            </w:tblPr>
            <w:tblGrid>
              <w:gridCol w:w="4200"/>
            </w:tblGrid>
            <w:tr w:rsidR="00BB172C" w14:paraId="2BD2A8E5" w14:textId="77777777" w:rsidTr="00F27BC3">
              <w:trPr>
                <w:trHeight w:val="300"/>
              </w:trPr>
              <w:tc>
                <w:tcPr>
                  <w:tcW w:w="4196" w:type="dxa"/>
                  <w:vAlign w:val="center"/>
                  <w:hideMark/>
                </w:tcPr>
                <w:p w14:paraId="714CD6A0" w14:textId="77777777" w:rsidR="00BB172C" w:rsidRDefault="00BB172C">
                  <w:pPr>
                    <w:pStyle w:val="TableTextLeft"/>
                    <w:rPr>
                      <w:szCs w:val="18"/>
                    </w:rPr>
                  </w:pPr>
                  <w:r>
                    <w:rPr>
                      <w:szCs w:val="18"/>
                    </w:rPr>
                    <w:t>Western District Lakes</w:t>
                  </w:r>
                </w:p>
              </w:tc>
            </w:tr>
            <w:tr w:rsidR="00BB172C" w14:paraId="3E62F539" w14:textId="77777777" w:rsidTr="00F27BC3">
              <w:trPr>
                <w:trHeight w:val="600"/>
              </w:trPr>
              <w:tc>
                <w:tcPr>
                  <w:tcW w:w="4196" w:type="dxa"/>
                  <w:vAlign w:val="center"/>
                  <w:hideMark/>
                </w:tcPr>
                <w:p w14:paraId="4BA61AE7" w14:textId="77777777" w:rsidR="00BB172C" w:rsidRDefault="00BB172C">
                  <w:pPr>
                    <w:pStyle w:val="TableTextLeft"/>
                    <w:rPr>
                      <w:szCs w:val="18"/>
                    </w:rPr>
                  </w:pPr>
                  <w:r>
                    <w:rPr>
                      <w:szCs w:val="18"/>
                    </w:rPr>
                    <w:t>Port Phillip Bay (Western Shoreline) and Bellarine Peninsula - Lake Connewarre</w:t>
                  </w:r>
                </w:p>
              </w:tc>
            </w:tr>
            <w:tr w:rsidR="00BB172C" w14:paraId="71E59976" w14:textId="77777777" w:rsidTr="00F27BC3">
              <w:trPr>
                <w:trHeight w:val="300"/>
              </w:trPr>
              <w:tc>
                <w:tcPr>
                  <w:tcW w:w="4196" w:type="dxa"/>
                  <w:vAlign w:val="center"/>
                  <w:hideMark/>
                </w:tcPr>
                <w:p w14:paraId="7566555C" w14:textId="77777777" w:rsidR="00BB172C" w:rsidRDefault="00BB172C">
                  <w:pPr>
                    <w:pStyle w:val="TableTextLeft"/>
                    <w:rPr>
                      <w:szCs w:val="18"/>
                    </w:rPr>
                  </w:pPr>
                  <w:r>
                    <w:rPr>
                      <w:szCs w:val="18"/>
                    </w:rPr>
                    <w:t>Bool and Hacks Lagoons</w:t>
                  </w:r>
                </w:p>
              </w:tc>
            </w:tr>
            <w:tr w:rsidR="00BB172C" w14:paraId="1A82EB9D" w14:textId="77777777" w:rsidTr="00F27BC3">
              <w:trPr>
                <w:trHeight w:val="300"/>
              </w:trPr>
              <w:tc>
                <w:tcPr>
                  <w:tcW w:w="4196" w:type="dxa"/>
                  <w:vAlign w:val="center"/>
                  <w:hideMark/>
                </w:tcPr>
                <w:p w14:paraId="103D4B6A" w14:textId="77777777" w:rsidR="00BB172C" w:rsidRDefault="00BB172C">
                  <w:pPr>
                    <w:pStyle w:val="TableTextLeft"/>
                    <w:rPr>
                      <w:szCs w:val="18"/>
                    </w:rPr>
                  </w:pPr>
                  <w:r>
                    <w:rPr>
                      <w:szCs w:val="18"/>
                    </w:rPr>
                    <w:t>Piccaninnie Ponds Karst Wetlands</w:t>
                  </w:r>
                </w:p>
              </w:tc>
            </w:tr>
            <w:tr w:rsidR="00BB172C" w14:paraId="28E0BDB7" w14:textId="77777777" w:rsidTr="00F27BC3">
              <w:trPr>
                <w:trHeight w:val="600"/>
              </w:trPr>
              <w:tc>
                <w:tcPr>
                  <w:tcW w:w="4196" w:type="dxa"/>
                  <w:vAlign w:val="center"/>
                  <w:hideMark/>
                </w:tcPr>
                <w:p w14:paraId="2B95B22A" w14:textId="77777777" w:rsidR="00BB172C" w:rsidRDefault="00BB172C">
                  <w:pPr>
                    <w:pStyle w:val="TableTextLeft"/>
                    <w:rPr>
                      <w:szCs w:val="18"/>
                    </w:rPr>
                  </w:pPr>
                  <w:r>
                    <w:rPr>
                      <w:szCs w:val="18"/>
                    </w:rPr>
                    <w:t>Port Phillip Bay (Western Shoreline) and Bellarine Peninsula - Swan Bay</w:t>
                  </w:r>
                </w:p>
              </w:tc>
            </w:tr>
          </w:tbl>
          <w:p w14:paraId="50DAE1C2" w14:textId="77777777" w:rsidR="00BB172C" w:rsidRDefault="00BB172C">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BB172C" w14:paraId="1055FF13"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4CF200C" w14:textId="77777777" w:rsidR="00BB172C" w:rsidRDefault="00BB172C">
            <w:pPr>
              <w:pStyle w:val="TableTextLeft"/>
              <w:rPr>
                <w:szCs w:val="18"/>
              </w:rPr>
            </w:pPr>
            <w:r>
              <w:rPr>
                <w:szCs w:val="18"/>
              </w:rPr>
              <w:t>Nationally Important Wetlands</w:t>
            </w:r>
          </w:p>
          <w:p w14:paraId="390D4380" w14:textId="77777777" w:rsidR="00BB172C" w:rsidRDefault="00BB172C">
            <w:pPr>
              <w:pStyle w:val="TableTextLeft"/>
              <w:rPr>
                <w:szCs w:val="18"/>
              </w:rPr>
            </w:pPr>
            <w:r>
              <w:rPr>
                <w:szCs w:val="18"/>
              </w:rPr>
              <w:t>Top 5 by area</w:t>
            </w:r>
          </w:p>
          <w:p w14:paraId="4CE368DB" w14:textId="77777777" w:rsidR="00BB172C" w:rsidRDefault="00BB172C">
            <w:pPr>
              <w:pStyle w:val="TableTextLeft"/>
              <w:rPr>
                <w:szCs w:val="18"/>
              </w:rPr>
            </w:pPr>
            <w:r>
              <w:rPr>
                <w:iCs/>
                <w:szCs w:val="18"/>
              </w:rPr>
              <w:t>(area km</w:t>
            </w:r>
            <w:r>
              <w:rPr>
                <w:iCs/>
                <w:szCs w:val="18"/>
                <w:vertAlign w:val="superscript"/>
              </w:rPr>
              <w:t>2</w:t>
            </w:r>
            <w:r>
              <w:rPr>
                <w:iCs/>
                <w:szCs w:val="18"/>
              </w:rPr>
              <w:t>)</w:t>
            </w:r>
          </w:p>
        </w:tc>
        <w:tc>
          <w:tcPr>
            <w:tcW w:w="2421" w:type="pct"/>
            <w:hideMark/>
          </w:tcPr>
          <w:tbl>
            <w:tblPr>
              <w:tblW w:w="4200" w:type="dxa"/>
              <w:tblLook w:val="04A0" w:firstRow="1" w:lastRow="0" w:firstColumn="1" w:lastColumn="0" w:noHBand="0" w:noVBand="1"/>
            </w:tblPr>
            <w:tblGrid>
              <w:gridCol w:w="3490"/>
              <w:gridCol w:w="710"/>
            </w:tblGrid>
            <w:tr w:rsidR="00BB172C" w14:paraId="44AADA0D" w14:textId="77777777" w:rsidTr="00F27BC3">
              <w:trPr>
                <w:trHeight w:val="300"/>
              </w:trPr>
              <w:tc>
                <w:tcPr>
                  <w:tcW w:w="3487" w:type="dxa"/>
                  <w:vAlign w:val="center"/>
                  <w:hideMark/>
                </w:tcPr>
                <w:p w14:paraId="4B3A6DDA" w14:textId="77777777" w:rsidR="00BB172C" w:rsidRDefault="00BB172C">
                  <w:pPr>
                    <w:pStyle w:val="TableTextLeft"/>
                    <w:rPr>
                      <w:szCs w:val="18"/>
                    </w:rPr>
                  </w:pPr>
                  <w:r>
                    <w:rPr>
                      <w:szCs w:val="18"/>
                    </w:rPr>
                    <w:t>South East Coastal Salt Lakes</w:t>
                  </w:r>
                </w:p>
              </w:tc>
              <w:tc>
                <w:tcPr>
                  <w:tcW w:w="709" w:type="dxa"/>
                  <w:noWrap/>
                  <w:vAlign w:val="center"/>
                  <w:hideMark/>
                </w:tcPr>
                <w:p w14:paraId="1B952B4D" w14:textId="77777777" w:rsidR="00BB172C" w:rsidRDefault="00BB172C" w:rsidP="000350BE">
                  <w:pPr>
                    <w:pStyle w:val="TableTextRight0"/>
                  </w:pPr>
                  <w:r>
                    <w:t>148</w:t>
                  </w:r>
                </w:p>
              </w:tc>
            </w:tr>
            <w:tr w:rsidR="00BB172C" w14:paraId="56FC5B5B" w14:textId="77777777" w:rsidTr="00F27BC3">
              <w:trPr>
                <w:trHeight w:val="300"/>
              </w:trPr>
              <w:tc>
                <w:tcPr>
                  <w:tcW w:w="3487" w:type="dxa"/>
                  <w:vAlign w:val="center"/>
                  <w:hideMark/>
                </w:tcPr>
                <w:p w14:paraId="697BFD96" w14:textId="77777777" w:rsidR="00BB172C" w:rsidRDefault="00BB172C">
                  <w:pPr>
                    <w:pStyle w:val="TableTextLeft"/>
                    <w:rPr>
                      <w:szCs w:val="18"/>
                    </w:rPr>
                  </w:pPr>
                  <w:r>
                    <w:rPr>
                      <w:szCs w:val="18"/>
                    </w:rPr>
                    <w:t>Lake Corangamite</w:t>
                  </w:r>
                </w:p>
              </w:tc>
              <w:tc>
                <w:tcPr>
                  <w:tcW w:w="709" w:type="dxa"/>
                  <w:noWrap/>
                  <w:vAlign w:val="center"/>
                  <w:hideMark/>
                </w:tcPr>
                <w:p w14:paraId="54BC4DAA" w14:textId="77777777" w:rsidR="00BB172C" w:rsidRDefault="00BB172C" w:rsidP="000350BE">
                  <w:pPr>
                    <w:pStyle w:val="TableTextRight0"/>
                  </w:pPr>
                  <w:r>
                    <w:t>51</w:t>
                  </w:r>
                </w:p>
              </w:tc>
            </w:tr>
            <w:tr w:rsidR="00BB172C" w14:paraId="7CC6FA88" w14:textId="77777777" w:rsidTr="00F27BC3">
              <w:trPr>
                <w:trHeight w:val="300"/>
              </w:trPr>
              <w:tc>
                <w:tcPr>
                  <w:tcW w:w="3487" w:type="dxa"/>
                  <w:vAlign w:val="center"/>
                  <w:hideMark/>
                </w:tcPr>
                <w:p w14:paraId="2A49A1C7" w14:textId="77777777" w:rsidR="00BB172C" w:rsidRDefault="00BB172C">
                  <w:pPr>
                    <w:pStyle w:val="TableTextLeft"/>
                    <w:rPr>
                      <w:szCs w:val="18"/>
                    </w:rPr>
                  </w:pPr>
                  <w:r>
                    <w:rPr>
                      <w:szCs w:val="18"/>
                    </w:rPr>
                    <w:t>Mundi-Selkirk Wetlands</w:t>
                  </w:r>
                </w:p>
              </w:tc>
              <w:tc>
                <w:tcPr>
                  <w:tcW w:w="709" w:type="dxa"/>
                  <w:noWrap/>
                  <w:vAlign w:val="center"/>
                  <w:hideMark/>
                </w:tcPr>
                <w:p w14:paraId="65D02276" w14:textId="77777777" w:rsidR="00BB172C" w:rsidRDefault="00BB172C" w:rsidP="000350BE">
                  <w:pPr>
                    <w:pStyle w:val="TableTextRight0"/>
                  </w:pPr>
                  <w:r>
                    <w:t>41</w:t>
                  </w:r>
                </w:p>
              </w:tc>
            </w:tr>
            <w:tr w:rsidR="00BB172C" w14:paraId="1727B1B1" w14:textId="77777777" w:rsidTr="00F27BC3">
              <w:trPr>
                <w:trHeight w:val="300"/>
              </w:trPr>
              <w:tc>
                <w:tcPr>
                  <w:tcW w:w="3487" w:type="dxa"/>
                  <w:vAlign w:val="center"/>
                  <w:hideMark/>
                </w:tcPr>
                <w:p w14:paraId="7886224C" w14:textId="77777777" w:rsidR="00BB172C" w:rsidRDefault="00BB172C">
                  <w:pPr>
                    <w:pStyle w:val="TableTextLeft"/>
                    <w:rPr>
                      <w:szCs w:val="18"/>
                    </w:rPr>
                  </w:pPr>
                  <w:r>
                    <w:rPr>
                      <w:szCs w:val="18"/>
                    </w:rPr>
                    <w:t>Lake Connewarre State Wildlife Reserve</w:t>
                  </w:r>
                </w:p>
              </w:tc>
              <w:tc>
                <w:tcPr>
                  <w:tcW w:w="709" w:type="dxa"/>
                  <w:noWrap/>
                  <w:vAlign w:val="center"/>
                  <w:hideMark/>
                </w:tcPr>
                <w:p w14:paraId="4CDEB738" w14:textId="77777777" w:rsidR="00BB172C" w:rsidRDefault="00BB172C" w:rsidP="000350BE">
                  <w:pPr>
                    <w:pStyle w:val="TableTextRight0"/>
                  </w:pPr>
                  <w:r>
                    <w:t>36</w:t>
                  </w:r>
                </w:p>
              </w:tc>
            </w:tr>
            <w:tr w:rsidR="00BB172C" w14:paraId="5E8E3D3D" w14:textId="77777777" w:rsidTr="00F27BC3">
              <w:trPr>
                <w:trHeight w:val="300"/>
              </w:trPr>
              <w:tc>
                <w:tcPr>
                  <w:tcW w:w="3487" w:type="dxa"/>
                  <w:vAlign w:val="center"/>
                  <w:hideMark/>
                </w:tcPr>
                <w:p w14:paraId="68D89EAD" w14:textId="77777777" w:rsidR="00BB172C" w:rsidRDefault="00BB172C">
                  <w:pPr>
                    <w:pStyle w:val="TableTextLeft"/>
                    <w:rPr>
                      <w:szCs w:val="18"/>
                    </w:rPr>
                  </w:pPr>
                  <w:r>
                    <w:rPr>
                      <w:szCs w:val="18"/>
                    </w:rPr>
                    <w:t>Bool and Hacks Lagoon</w:t>
                  </w:r>
                </w:p>
              </w:tc>
              <w:tc>
                <w:tcPr>
                  <w:tcW w:w="709" w:type="dxa"/>
                  <w:noWrap/>
                  <w:vAlign w:val="center"/>
                  <w:hideMark/>
                </w:tcPr>
                <w:p w14:paraId="594C48B5" w14:textId="77777777" w:rsidR="00BB172C" w:rsidRDefault="00BB172C" w:rsidP="000350BE">
                  <w:pPr>
                    <w:pStyle w:val="TableTextRight0"/>
                  </w:pPr>
                  <w:r>
                    <w:t>32</w:t>
                  </w:r>
                </w:p>
              </w:tc>
            </w:tr>
            <w:tr w:rsidR="00BB172C" w14:paraId="4A7A3E64" w14:textId="77777777" w:rsidTr="00F27BC3">
              <w:trPr>
                <w:trHeight w:val="300"/>
              </w:trPr>
              <w:tc>
                <w:tcPr>
                  <w:tcW w:w="3487" w:type="dxa"/>
                  <w:vAlign w:val="center"/>
                  <w:hideMark/>
                </w:tcPr>
                <w:p w14:paraId="11D0462C" w14:textId="77777777" w:rsidR="00BB172C" w:rsidRDefault="00BB172C">
                  <w:pPr>
                    <w:pStyle w:val="TableTextLeft"/>
                    <w:rPr>
                      <w:szCs w:val="18"/>
                    </w:rPr>
                  </w:pPr>
                  <w:r>
                    <w:rPr>
                      <w:szCs w:val="18"/>
                    </w:rPr>
                    <w:t>TOTAL WETLAND AREA</w:t>
                  </w:r>
                </w:p>
              </w:tc>
              <w:tc>
                <w:tcPr>
                  <w:tcW w:w="709" w:type="dxa"/>
                  <w:noWrap/>
                  <w:vAlign w:val="center"/>
                  <w:hideMark/>
                </w:tcPr>
                <w:p w14:paraId="7E20C6DE" w14:textId="77777777" w:rsidR="00BB172C" w:rsidRDefault="00BB172C" w:rsidP="000350BE">
                  <w:pPr>
                    <w:pStyle w:val="TableTextRight0"/>
                  </w:pPr>
                  <w:r>
                    <w:t>505</w:t>
                  </w:r>
                </w:p>
              </w:tc>
            </w:tr>
          </w:tbl>
          <w:p w14:paraId="4EB85306" w14:textId="77777777" w:rsidR="00BB172C" w:rsidRDefault="00BB172C">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BB172C" w14:paraId="613F9882"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4E2732F9" w14:textId="77777777" w:rsidR="00BB172C" w:rsidRDefault="00BB172C">
            <w:pPr>
              <w:pStyle w:val="TableTextLeft"/>
              <w:rPr>
                <w:szCs w:val="18"/>
              </w:rPr>
            </w:pPr>
            <w:r>
              <w:rPr>
                <w:szCs w:val="18"/>
              </w:rPr>
              <w:t>Protected areas (CAPAD 2016)</w:t>
            </w:r>
          </w:p>
          <w:p w14:paraId="50DB67B4" w14:textId="77777777" w:rsidR="00BB172C" w:rsidRDefault="00BB172C">
            <w:pPr>
              <w:pStyle w:val="TableTextLeft"/>
              <w:rPr>
                <w:szCs w:val="18"/>
              </w:rPr>
            </w:pPr>
            <w:r>
              <w:rPr>
                <w:szCs w:val="18"/>
              </w:rPr>
              <w:t xml:space="preserve">Top 5 by area </w:t>
            </w:r>
            <w:r>
              <w:rPr>
                <w:iCs/>
                <w:szCs w:val="18"/>
              </w:rPr>
              <w:t>(area km</w:t>
            </w:r>
            <w:r>
              <w:rPr>
                <w:iCs/>
                <w:szCs w:val="18"/>
                <w:vertAlign w:val="superscript"/>
              </w:rPr>
              <w:t>2</w:t>
            </w:r>
            <w:r>
              <w:rPr>
                <w:iCs/>
                <w:szCs w:val="18"/>
              </w:rPr>
              <w:t>)</w:t>
            </w:r>
          </w:p>
        </w:tc>
        <w:tc>
          <w:tcPr>
            <w:tcW w:w="2421" w:type="pct"/>
            <w:hideMark/>
          </w:tcPr>
          <w:tbl>
            <w:tblPr>
              <w:tblW w:w="4200" w:type="dxa"/>
              <w:tblLook w:val="04A0" w:firstRow="1" w:lastRow="0" w:firstColumn="1" w:lastColumn="0" w:noHBand="0" w:noVBand="1"/>
            </w:tblPr>
            <w:tblGrid>
              <w:gridCol w:w="3348"/>
              <w:gridCol w:w="852"/>
            </w:tblGrid>
            <w:tr w:rsidR="00BB172C" w14:paraId="252A659A" w14:textId="77777777" w:rsidTr="00F27BC3">
              <w:trPr>
                <w:trHeight w:val="300"/>
              </w:trPr>
              <w:tc>
                <w:tcPr>
                  <w:tcW w:w="3345" w:type="dxa"/>
                  <w:noWrap/>
                  <w:vAlign w:val="bottom"/>
                  <w:hideMark/>
                </w:tcPr>
                <w:p w14:paraId="0C2637CA" w14:textId="77777777" w:rsidR="00BB172C" w:rsidRDefault="00BB172C">
                  <w:pPr>
                    <w:pStyle w:val="TableTextLeft"/>
                    <w:rPr>
                      <w:szCs w:val="18"/>
                    </w:rPr>
                  </w:pPr>
                  <w:r>
                    <w:rPr>
                      <w:szCs w:val="18"/>
                    </w:rPr>
                    <w:t>National Park</w:t>
                  </w:r>
                </w:p>
              </w:tc>
              <w:tc>
                <w:tcPr>
                  <w:tcW w:w="851" w:type="dxa"/>
                  <w:noWrap/>
                  <w:vAlign w:val="bottom"/>
                  <w:hideMark/>
                </w:tcPr>
                <w:p w14:paraId="3136FA3B" w14:textId="77777777" w:rsidR="00BB172C" w:rsidRDefault="00BB172C" w:rsidP="000350BE">
                  <w:pPr>
                    <w:pStyle w:val="TableTextRight0"/>
                  </w:pPr>
                  <w:r>
                    <w:t>1,748</w:t>
                  </w:r>
                </w:p>
              </w:tc>
            </w:tr>
            <w:tr w:rsidR="00BB172C" w14:paraId="27366BAC" w14:textId="77777777" w:rsidTr="00F27BC3">
              <w:trPr>
                <w:trHeight w:val="300"/>
              </w:trPr>
              <w:tc>
                <w:tcPr>
                  <w:tcW w:w="3345" w:type="dxa"/>
                  <w:noWrap/>
                  <w:vAlign w:val="bottom"/>
                  <w:hideMark/>
                </w:tcPr>
                <w:p w14:paraId="66889950" w14:textId="77777777" w:rsidR="00BB172C" w:rsidRDefault="00BB172C">
                  <w:pPr>
                    <w:pStyle w:val="TableTextLeft"/>
                    <w:rPr>
                      <w:szCs w:val="18"/>
                    </w:rPr>
                  </w:pPr>
                  <w:r>
                    <w:rPr>
                      <w:szCs w:val="18"/>
                    </w:rPr>
                    <w:t>Conservation Park</w:t>
                  </w:r>
                </w:p>
              </w:tc>
              <w:tc>
                <w:tcPr>
                  <w:tcW w:w="851" w:type="dxa"/>
                  <w:noWrap/>
                  <w:vAlign w:val="bottom"/>
                  <w:hideMark/>
                </w:tcPr>
                <w:p w14:paraId="216E8022" w14:textId="77777777" w:rsidR="00BB172C" w:rsidRDefault="00BB172C" w:rsidP="000350BE">
                  <w:pPr>
                    <w:pStyle w:val="TableTextRight0"/>
                  </w:pPr>
                  <w:r>
                    <w:t>263</w:t>
                  </w:r>
                </w:p>
              </w:tc>
            </w:tr>
            <w:tr w:rsidR="00BB172C" w14:paraId="6EE77CEA" w14:textId="77777777" w:rsidTr="00F27BC3">
              <w:trPr>
                <w:trHeight w:val="300"/>
              </w:trPr>
              <w:tc>
                <w:tcPr>
                  <w:tcW w:w="3345" w:type="dxa"/>
                  <w:noWrap/>
                  <w:vAlign w:val="bottom"/>
                  <w:hideMark/>
                </w:tcPr>
                <w:p w14:paraId="6DCD7EB9" w14:textId="77777777" w:rsidR="00BB172C" w:rsidRDefault="00BB172C">
                  <w:pPr>
                    <w:pStyle w:val="TableTextLeft"/>
                    <w:rPr>
                      <w:szCs w:val="18"/>
                    </w:rPr>
                  </w:pPr>
                  <w:r>
                    <w:rPr>
                      <w:szCs w:val="18"/>
                    </w:rPr>
                    <w:t>Natural Features Reserve</w:t>
                  </w:r>
                </w:p>
              </w:tc>
              <w:tc>
                <w:tcPr>
                  <w:tcW w:w="851" w:type="dxa"/>
                  <w:noWrap/>
                  <w:vAlign w:val="bottom"/>
                  <w:hideMark/>
                </w:tcPr>
                <w:p w14:paraId="7F8365DB" w14:textId="77777777" w:rsidR="00BB172C" w:rsidRDefault="00BB172C" w:rsidP="000350BE">
                  <w:pPr>
                    <w:pStyle w:val="TableTextRight0"/>
                  </w:pPr>
                  <w:r>
                    <w:t>223</w:t>
                  </w:r>
                </w:p>
              </w:tc>
            </w:tr>
            <w:tr w:rsidR="00BB172C" w14:paraId="369CFB5B" w14:textId="77777777" w:rsidTr="00F27BC3">
              <w:trPr>
                <w:trHeight w:val="300"/>
              </w:trPr>
              <w:tc>
                <w:tcPr>
                  <w:tcW w:w="3345" w:type="dxa"/>
                  <w:noWrap/>
                  <w:vAlign w:val="bottom"/>
                  <w:hideMark/>
                </w:tcPr>
                <w:p w14:paraId="41B00EAD" w14:textId="77777777" w:rsidR="00BB172C" w:rsidRDefault="00BB172C">
                  <w:pPr>
                    <w:pStyle w:val="TableTextLeft"/>
                    <w:rPr>
                      <w:szCs w:val="18"/>
                    </w:rPr>
                  </w:pPr>
                  <w:r>
                    <w:rPr>
                      <w:szCs w:val="18"/>
                    </w:rPr>
                    <w:t>Marine National Park</w:t>
                  </w:r>
                </w:p>
              </w:tc>
              <w:tc>
                <w:tcPr>
                  <w:tcW w:w="851" w:type="dxa"/>
                  <w:noWrap/>
                  <w:vAlign w:val="bottom"/>
                  <w:hideMark/>
                </w:tcPr>
                <w:p w14:paraId="1A2FCB75" w14:textId="77777777" w:rsidR="00BB172C" w:rsidRDefault="00BB172C" w:rsidP="000350BE">
                  <w:pPr>
                    <w:pStyle w:val="TableTextRight0"/>
                  </w:pPr>
                  <w:r>
                    <w:t>185</w:t>
                  </w:r>
                </w:p>
              </w:tc>
            </w:tr>
            <w:tr w:rsidR="00BB172C" w14:paraId="3CB0CB84" w14:textId="77777777" w:rsidTr="00F27BC3">
              <w:trPr>
                <w:trHeight w:val="300"/>
              </w:trPr>
              <w:tc>
                <w:tcPr>
                  <w:tcW w:w="3345" w:type="dxa"/>
                  <w:noWrap/>
                  <w:vAlign w:val="bottom"/>
                  <w:hideMark/>
                </w:tcPr>
                <w:p w14:paraId="3F63A036" w14:textId="77777777" w:rsidR="00BB172C" w:rsidRDefault="00BB172C">
                  <w:pPr>
                    <w:pStyle w:val="TableTextLeft"/>
                    <w:rPr>
                      <w:szCs w:val="18"/>
                    </w:rPr>
                  </w:pPr>
                  <w:r>
                    <w:rPr>
                      <w:szCs w:val="18"/>
                    </w:rPr>
                    <w:t>Forest Reserve</w:t>
                  </w:r>
                </w:p>
              </w:tc>
              <w:tc>
                <w:tcPr>
                  <w:tcW w:w="851" w:type="dxa"/>
                  <w:noWrap/>
                  <w:vAlign w:val="bottom"/>
                  <w:hideMark/>
                </w:tcPr>
                <w:p w14:paraId="6C05FC66" w14:textId="77777777" w:rsidR="00BB172C" w:rsidRDefault="00BB172C" w:rsidP="000350BE">
                  <w:pPr>
                    <w:pStyle w:val="TableTextRight0"/>
                  </w:pPr>
                  <w:r>
                    <w:t>113</w:t>
                  </w:r>
                </w:p>
              </w:tc>
            </w:tr>
            <w:tr w:rsidR="00BB172C" w14:paraId="4B28A56B" w14:textId="77777777" w:rsidTr="00F27BC3">
              <w:trPr>
                <w:trHeight w:val="129"/>
              </w:trPr>
              <w:tc>
                <w:tcPr>
                  <w:tcW w:w="3345" w:type="dxa"/>
                  <w:noWrap/>
                  <w:vAlign w:val="center"/>
                  <w:hideMark/>
                </w:tcPr>
                <w:p w14:paraId="657C6789" w14:textId="77777777" w:rsidR="00BB172C" w:rsidRDefault="00BB172C">
                  <w:pPr>
                    <w:pStyle w:val="TableTextLeft"/>
                    <w:rPr>
                      <w:szCs w:val="18"/>
                    </w:rPr>
                  </w:pPr>
                  <w:r>
                    <w:rPr>
                      <w:szCs w:val="18"/>
                    </w:rPr>
                    <w:t>TOTAL PROTECTED AREA</w:t>
                  </w:r>
                </w:p>
              </w:tc>
              <w:tc>
                <w:tcPr>
                  <w:tcW w:w="851" w:type="dxa"/>
                  <w:noWrap/>
                  <w:vAlign w:val="center"/>
                  <w:hideMark/>
                </w:tcPr>
                <w:p w14:paraId="709CD1C7" w14:textId="77777777" w:rsidR="00BB172C" w:rsidRDefault="00BB172C" w:rsidP="000350BE">
                  <w:pPr>
                    <w:pStyle w:val="TableTextRight0"/>
                  </w:pPr>
                  <w:r>
                    <w:t>2,963</w:t>
                  </w:r>
                </w:p>
              </w:tc>
            </w:tr>
          </w:tbl>
          <w:p w14:paraId="715EE9E3" w14:textId="77777777" w:rsidR="00BB172C" w:rsidRDefault="00BB172C">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BB172C" w14:paraId="61A66581"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tcPr>
          <w:p w14:paraId="5FCA9468" w14:textId="77777777" w:rsidR="00BB172C" w:rsidRDefault="00BB172C">
            <w:pPr>
              <w:pStyle w:val="TableTextLeft"/>
              <w:rPr>
                <w:szCs w:val="18"/>
              </w:rPr>
            </w:pPr>
            <w:r>
              <w:rPr>
                <w:szCs w:val="18"/>
              </w:rPr>
              <w:t xml:space="preserve">Aquatic and Terrestrial Groundwater Dependant Ecosystems, of known, high potential and moderate potential </w:t>
            </w:r>
            <w:r>
              <w:rPr>
                <w:iCs/>
                <w:szCs w:val="18"/>
              </w:rPr>
              <w:t>(area km</w:t>
            </w:r>
            <w:r>
              <w:rPr>
                <w:iCs/>
                <w:szCs w:val="18"/>
                <w:vertAlign w:val="superscript"/>
              </w:rPr>
              <w:t>2</w:t>
            </w:r>
            <w:r>
              <w:rPr>
                <w:iCs/>
                <w:szCs w:val="18"/>
              </w:rPr>
              <w:t>).</w:t>
            </w:r>
          </w:p>
        </w:tc>
        <w:tc>
          <w:tcPr>
            <w:tcW w:w="2421" w:type="pct"/>
            <w:hideMark/>
          </w:tcPr>
          <w:p w14:paraId="79AC4A2C" w14:textId="77777777" w:rsidR="00BB172C" w:rsidRDefault="00BB172C">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1,500</w:t>
            </w:r>
          </w:p>
        </w:tc>
      </w:tr>
    </w:tbl>
    <w:p w14:paraId="4FCAFCDE" w14:textId="77777777" w:rsidR="00E8067C" w:rsidRDefault="00E8067C" w:rsidP="00E8067C">
      <w:pPr>
        <w:pStyle w:val="BodyText"/>
      </w:pPr>
    </w:p>
    <w:p w14:paraId="38FF74EB" w14:textId="77777777" w:rsidR="008B38C1" w:rsidRDefault="008B38C1" w:rsidP="00035C4A">
      <w:pPr>
        <w:pStyle w:val="AppendixHeading3"/>
      </w:pPr>
      <w:bookmarkStart w:id="354" w:name="_Toc517161221"/>
      <w:r>
        <w:t>Social considerations</w:t>
      </w:r>
      <w:bookmarkEnd w:id="354"/>
    </w:p>
    <w:p w14:paraId="31F38A89" w14:textId="77777777" w:rsidR="00BB172C" w:rsidRPr="005450A3" w:rsidRDefault="00BB172C" w:rsidP="006971A5">
      <w:pPr>
        <w:pStyle w:val="BodyText"/>
      </w:pPr>
      <w:r w:rsidRPr="006971A5">
        <w:t xml:space="preserve">Information on population, land use type and areas listed as either Indigenous Protected Areas (CAPAD, 2016) or where Native Title exists is presented in </w:t>
      </w:r>
      <w:r>
        <w:t>Table C.67</w:t>
      </w:r>
      <w:r w:rsidRPr="005450A3">
        <w:t>.</w:t>
      </w:r>
    </w:p>
    <w:p w14:paraId="671682A2" w14:textId="77777777" w:rsidR="00BB172C" w:rsidRPr="006971A5" w:rsidRDefault="00BB172C" w:rsidP="006971A5">
      <w:pPr>
        <w:pStyle w:val="Caption"/>
      </w:pPr>
      <w:bookmarkStart w:id="355" w:name="_Toc499547537"/>
      <w:bookmarkStart w:id="356" w:name="_Toc508972216"/>
      <w:r w:rsidRPr="006971A5">
        <w:t xml:space="preserve">Table </w:t>
      </w:r>
      <w:r w:rsidR="008079F1">
        <w:fldChar w:fldCharType="begin"/>
      </w:r>
      <w:r w:rsidR="008079F1">
        <w:instrText xml:space="preserve"> STYLEREF 9 \s </w:instrText>
      </w:r>
      <w:r w:rsidR="008079F1">
        <w:fldChar w:fldCharType="separate"/>
      </w:r>
      <w:r w:rsidR="00640CCB">
        <w:rPr>
          <w:noProof/>
        </w:rPr>
        <w:t>C</w:t>
      </w:r>
      <w:r w:rsidR="008079F1">
        <w:rPr>
          <w:noProof/>
        </w:rPr>
        <w:fldChar w:fldCharType="end"/>
      </w:r>
      <w:r w:rsidRPr="006971A5">
        <w:t>.</w:t>
      </w:r>
      <w:r w:rsidR="008079F1">
        <w:fldChar w:fldCharType="begin"/>
      </w:r>
      <w:r w:rsidR="008079F1">
        <w:instrText xml:space="preserve"> SEQ Apx_Table \* ARABIC \s 9 </w:instrText>
      </w:r>
      <w:r w:rsidR="008079F1">
        <w:fldChar w:fldCharType="separate"/>
      </w:r>
      <w:r w:rsidR="00640CCB">
        <w:rPr>
          <w:noProof/>
        </w:rPr>
        <w:t>67</w:t>
      </w:r>
      <w:r w:rsidR="008079F1">
        <w:rPr>
          <w:noProof/>
        </w:rPr>
        <w:fldChar w:fldCharType="end"/>
      </w:r>
      <w:r w:rsidRPr="006971A5">
        <w:t xml:space="preserve"> Summary of population, land use and aboriginal protected area.</w:t>
      </w:r>
      <w:bookmarkEnd w:id="355"/>
      <w:bookmarkEnd w:id="356"/>
    </w:p>
    <w:tbl>
      <w:tblPr>
        <w:tblStyle w:val="TableBAHeaderColumn"/>
        <w:tblW w:w="5000" w:type="pct"/>
        <w:tblInd w:w="0" w:type="dxa"/>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971"/>
        <w:gridCol w:w="4667"/>
      </w:tblGrid>
      <w:tr w:rsidR="00BB172C" w14:paraId="097CADC9"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hideMark/>
          </w:tcPr>
          <w:p w14:paraId="659E6B06" w14:textId="77777777" w:rsidR="00BB172C" w:rsidRDefault="00BB172C">
            <w:pPr>
              <w:pStyle w:val="TableTextLeft"/>
            </w:pPr>
            <w:r>
              <w:t>GENERAL CHARACTERISTICS</w:t>
            </w:r>
          </w:p>
        </w:tc>
      </w:tr>
      <w:tr w:rsidR="00BB172C" w14:paraId="38B0F6A5"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0F239B04" w14:textId="77777777" w:rsidR="00BB172C" w:rsidRDefault="00BB172C">
            <w:pPr>
              <w:pStyle w:val="TableTextLeft"/>
              <w:rPr>
                <w:szCs w:val="18"/>
              </w:rPr>
            </w:pPr>
            <w:r>
              <w:rPr>
                <w:szCs w:val="18"/>
              </w:rPr>
              <w:t>Population</w:t>
            </w:r>
          </w:p>
        </w:tc>
        <w:tc>
          <w:tcPr>
            <w:tcW w:w="2421" w:type="pct"/>
            <w:hideMark/>
          </w:tcPr>
          <w:p w14:paraId="63FE9542" w14:textId="77777777" w:rsidR="00BB172C" w:rsidRDefault="00BB172C">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358,407</w:t>
            </w:r>
          </w:p>
        </w:tc>
      </w:tr>
      <w:tr w:rsidR="00BB172C" w14:paraId="2AC37E3D"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77F2E078" w14:textId="77777777" w:rsidR="00BB172C" w:rsidRDefault="00BB172C">
            <w:pPr>
              <w:pStyle w:val="TableTextLeft"/>
              <w:rPr>
                <w:szCs w:val="18"/>
              </w:rPr>
            </w:pPr>
            <w:r>
              <w:rPr>
                <w:szCs w:val="18"/>
              </w:rPr>
              <w:t>Major population centres (Top two)</w:t>
            </w:r>
          </w:p>
        </w:tc>
        <w:tc>
          <w:tcPr>
            <w:tcW w:w="2421" w:type="pct"/>
            <w:hideMark/>
          </w:tcPr>
          <w:p w14:paraId="3B9A5534" w14:textId="77777777" w:rsidR="00BB172C" w:rsidRDefault="00BB172C">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Geelong, Mt Gambier</w:t>
            </w:r>
          </w:p>
        </w:tc>
      </w:tr>
      <w:tr w:rsidR="00BB172C" w14:paraId="6C3A3301"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28CEB58A" w14:textId="77777777" w:rsidR="00BB172C" w:rsidRDefault="00BB172C">
            <w:pPr>
              <w:pStyle w:val="TableTextLeft"/>
              <w:rPr>
                <w:szCs w:val="18"/>
              </w:rPr>
            </w:pPr>
            <w:r>
              <w:rPr>
                <w:szCs w:val="18"/>
              </w:rPr>
              <w:t>Land use types</w:t>
            </w:r>
          </w:p>
          <w:p w14:paraId="1D173EA2" w14:textId="77777777" w:rsidR="00BB172C" w:rsidRDefault="00BB172C">
            <w:pPr>
              <w:pStyle w:val="TableTextLeft"/>
              <w:rPr>
                <w:szCs w:val="18"/>
              </w:rPr>
            </w:pPr>
            <w:r>
              <w:rPr>
                <w:szCs w:val="18"/>
              </w:rPr>
              <w:t>Top 5 by area</w:t>
            </w:r>
          </w:p>
          <w:p w14:paraId="1FCA9BFA" w14:textId="77777777" w:rsidR="00BB172C" w:rsidRDefault="00BB172C">
            <w:pPr>
              <w:pStyle w:val="TableTextLeft"/>
              <w:rPr>
                <w:szCs w:val="18"/>
              </w:rPr>
            </w:pPr>
            <w:r>
              <w:rPr>
                <w:szCs w:val="18"/>
              </w:rPr>
              <w:t>(area km</w:t>
            </w:r>
            <w:r>
              <w:rPr>
                <w:szCs w:val="18"/>
                <w:vertAlign w:val="superscript"/>
              </w:rPr>
              <w:t>2</w:t>
            </w:r>
            <w:r>
              <w:rPr>
                <w:szCs w:val="18"/>
              </w:rPr>
              <w:t>)</w:t>
            </w:r>
          </w:p>
        </w:tc>
        <w:tc>
          <w:tcPr>
            <w:tcW w:w="2421" w:type="pct"/>
            <w:hideMark/>
          </w:tcPr>
          <w:tbl>
            <w:tblPr>
              <w:tblW w:w="4200" w:type="dxa"/>
              <w:tblLook w:val="04A0" w:firstRow="1" w:lastRow="0" w:firstColumn="1" w:lastColumn="0" w:noHBand="0" w:noVBand="1"/>
            </w:tblPr>
            <w:tblGrid>
              <w:gridCol w:w="2622"/>
              <w:gridCol w:w="1578"/>
            </w:tblGrid>
            <w:tr w:rsidR="00BB172C" w14:paraId="1F9EF810" w14:textId="77777777" w:rsidTr="00F27BC3">
              <w:trPr>
                <w:trHeight w:val="300"/>
              </w:trPr>
              <w:tc>
                <w:tcPr>
                  <w:tcW w:w="2620" w:type="dxa"/>
                  <w:noWrap/>
                  <w:vAlign w:val="center"/>
                  <w:hideMark/>
                </w:tcPr>
                <w:p w14:paraId="3ACE9878" w14:textId="77777777" w:rsidR="00BB172C" w:rsidRDefault="00BB172C">
                  <w:pPr>
                    <w:pStyle w:val="TableTextLeft"/>
                    <w:rPr>
                      <w:szCs w:val="18"/>
                    </w:rPr>
                  </w:pPr>
                  <w:r>
                    <w:rPr>
                      <w:szCs w:val="18"/>
                    </w:rPr>
                    <w:t>Grazing modified pastures</w:t>
                  </w:r>
                </w:p>
              </w:tc>
              <w:tc>
                <w:tcPr>
                  <w:tcW w:w="1576" w:type="dxa"/>
                  <w:noWrap/>
                  <w:vAlign w:val="center"/>
                  <w:hideMark/>
                </w:tcPr>
                <w:p w14:paraId="22BBF47C" w14:textId="77777777" w:rsidR="00BB172C" w:rsidRDefault="00BB172C" w:rsidP="000350BE">
                  <w:pPr>
                    <w:pStyle w:val="TableTextRight0"/>
                  </w:pPr>
                  <w:r>
                    <w:t>13,833</w:t>
                  </w:r>
                </w:p>
              </w:tc>
            </w:tr>
            <w:tr w:rsidR="00BB172C" w14:paraId="536AC971" w14:textId="77777777" w:rsidTr="00F27BC3">
              <w:trPr>
                <w:trHeight w:val="300"/>
              </w:trPr>
              <w:tc>
                <w:tcPr>
                  <w:tcW w:w="2620" w:type="dxa"/>
                  <w:noWrap/>
                  <w:vAlign w:val="center"/>
                  <w:hideMark/>
                </w:tcPr>
                <w:p w14:paraId="309F4E70" w14:textId="77777777" w:rsidR="00BB172C" w:rsidRDefault="00BB172C">
                  <w:pPr>
                    <w:pStyle w:val="TableTextLeft"/>
                    <w:rPr>
                      <w:szCs w:val="18"/>
                    </w:rPr>
                  </w:pPr>
                  <w:r>
                    <w:rPr>
                      <w:szCs w:val="18"/>
                    </w:rPr>
                    <w:t>Plantation forestry</w:t>
                  </w:r>
                </w:p>
              </w:tc>
              <w:tc>
                <w:tcPr>
                  <w:tcW w:w="1576" w:type="dxa"/>
                  <w:noWrap/>
                  <w:vAlign w:val="center"/>
                  <w:hideMark/>
                </w:tcPr>
                <w:p w14:paraId="6A90E33F" w14:textId="77777777" w:rsidR="00BB172C" w:rsidRDefault="00BB172C" w:rsidP="000350BE">
                  <w:pPr>
                    <w:pStyle w:val="TableTextRight0"/>
                  </w:pPr>
                  <w:r>
                    <w:t>4,883</w:t>
                  </w:r>
                </w:p>
              </w:tc>
            </w:tr>
            <w:tr w:rsidR="00BB172C" w14:paraId="169E991F" w14:textId="77777777" w:rsidTr="00F27BC3">
              <w:trPr>
                <w:trHeight w:val="300"/>
              </w:trPr>
              <w:tc>
                <w:tcPr>
                  <w:tcW w:w="2620" w:type="dxa"/>
                  <w:noWrap/>
                  <w:vAlign w:val="center"/>
                  <w:hideMark/>
                </w:tcPr>
                <w:p w14:paraId="42BEE0EC" w14:textId="77777777" w:rsidR="00BB172C" w:rsidRDefault="00BB172C">
                  <w:pPr>
                    <w:pStyle w:val="TableTextLeft"/>
                    <w:rPr>
                      <w:szCs w:val="18"/>
                    </w:rPr>
                  </w:pPr>
                  <w:r>
                    <w:rPr>
                      <w:szCs w:val="18"/>
                    </w:rPr>
                    <w:t>Nature Conservation</w:t>
                  </w:r>
                </w:p>
              </w:tc>
              <w:tc>
                <w:tcPr>
                  <w:tcW w:w="1576" w:type="dxa"/>
                  <w:noWrap/>
                  <w:vAlign w:val="center"/>
                  <w:hideMark/>
                </w:tcPr>
                <w:p w14:paraId="2FC794A7" w14:textId="77777777" w:rsidR="00BB172C" w:rsidRDefault="00BB172C" w:rsidP="000350BE">
                  <w:pPr>
                    <w:pStyle w:val="TableTextRight0"/>
                  </w:pPr>
                  <w:r>
                    <w:t>2,590</w:t>
                  </w:r>
                </w:p>
              </w:tc>
            </w:tr>
            <w:tr w:rsidR="00BB172C" w14:paraId="71A26351" w14:textId="77777777" w:rsidTr="00F27BC3">
              <w:trPr>
                <w:trHeight w:val="300"/>
              </w:trPr>
              <w:tc>
                <w:tcPr>
                  <w:tcW w:w="2620" w:type="dxa"/>
                  <w:noWrap/>
                  <w:vAlign w:val="center"/>
                  <w:hideMark/>
                </w:tcPr>
                <w:p w14:paraId="5D64F48E" w14:textId="77777777" w:rsidR="00BB172C" w:rsidRDefault="00BB172C">
                  <w:pPr>
                    <w:pStyle w:val="TableTextLeft"/>
                    <w:rPr>
                      <w:szCs w:val="18"/>
                    </w:rPr>
                  </w:pPr>
                  <w:r>
                    <w:rPr>
                      <w:szCs w:val="18"/>
                    </w:rPr>
                    <w:t>Urban intensive uses</w:t>
                  </w:r>
                </w:p>
              </w:tc>
              <w:tc>
                <w:tcPr>
                  <w:tcW w:w="1576" w:type="dxa"/>
                  <w:noWrap/>
                  <w:vAlign w:val="center"/>
                  <w:hideMark/>
                </w:tcPr>
                <w:p w14:paraId="0506D191" w14:textId="77777777" w:rsidR="00BB172C" w:rsidRDefault="00BB172C" w:rsidP="000350BE">
                  <w:pPr>
                    <w:pStyle w:val="TableTextRight0"/>
                  </w:pPr>
                  <w:r>
                    <w:t>990</w:t>
                  </w:r>
                </w:p>
              </w:tc>
            </w:tr>
            <w:tr w:rsidR="00BB172C" w14:paraId="42358169" w14:textId="77777777" w:rsidTr="00F27BC3">
              <w:trPr>
                <w:trHeight w:val="300"/>
              </w:trPr>
              <w:tc>
                <w:tcPr>
                  <w:tcW w:w="2620" w:type="dxa"/>
                  <w:noWrap/>
                  <w:vAlign w:val="center"/>
                  <w:hideMark/>
                </w:tcPr>
                <w:p w14:paraId="7DC90ABD" w14:textId="77777777" w:rsidR="00BB172C" w:rsidRDefault="00BB172C">
                  <w:pPr>
                    <w:pStyle w:val="TableTextLeft"/>
                    <w:rPr>
                      <w:szCs w:val="18"/>
                    </w:rPr>
                  </w:pPr>
                  <w:r>
                    <w:rPr>
                      <w:szCs w:val="18"/>
                    </w:rPr>
                    <w:t>Dryland cropping</w:t>
                  </w:r>
                </w:p>
              </w:tc>
              <w:tc>
                <w:tcPr>
                  <w:tcW w:w="1576" w:type="dxa"/>
                  <w:noWrap/>
                  <w:vAlign w:val="center"/>
                  <w:hideMark/>
                </w:tcPr>
                <w:p w14:paraId="24ADFFA7" w14:textId="77777777" w:rsidR="00BB172C" w:rsidRDefault="00BB172C" w:rsidP="000350BE">
                  <w:pPr>
                    <w:pStyle w:val="TableTextRight0"/>
                  </w:pPr>
                  <w:r>
                    <w:t>938</w:t>
                  </w:r>
                </w:p>
              </w:tc>
            </w:tr>
          </w:tbl>
          <w:p w14:paraId="19B26786" w14:textId="77777777" w:rsidR="00BB172C" w:rsidRDefault="00BB172C">
            <w:pPr>
              <w:pStyle w:val="TableTextLeft"/>
              <w:cnfStyle w:val="100000000000" w:firstRow="1" w:lastRow="0" w:firstColumn="0" w:lastColumn="0" w:oddVBand="0" w:evenVBand="0" w:oddHBand="0" w:evenHBand="0" w:firstRowFirstColumn="0" w:firstRowLastColumn="0" w:lastRowFirstColumn="0" w:lastRowLastColumn="0"/>
              <w:rPr>
                <w:szCs w:val="18"/>
              </w:rPr>
            </w:pPr>
          </w:p>
        </w:tc>
      </w:tr>
      <w:tr w:rsidR="00BB172C" w14:paraId="122B7B9F" w14:textId="77777777" w:rsidTr="00F27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9" w:type="pct"/>
            <w:hideMark/>
          </w:tcPr>
          <w:p w14:paraId="0FC39777" w14:textId="77777777" w:rsidR="00BB172C" w:rsidRDefault="00BB172C">
            <w:pPr>
              <w:pStyle w:val="TableTextLeft"/>
              <w:rPr>
                <w:szCs w:val="18"/>
              </w:rPr>
            </w:pPr>
            <w:r>
              <w:rPr>
                <w:szCs w:val="18"/>
              </w:rPr>
              <w:t>Aboriginal Protected Area (CAPAD 2016) and Native title (area km</w:t>
            </w:r>
            <w:r>
              <w:rPr>
                <w:szCs w:val="18"/>
                <w:vertAlign w:val="superscript"/>
              </w:rPr>
              <w:t>2</w:t>
            </w:r>
            <w:r>
              <w:rPr>
                <w:szCs w:val="18"/>
              </w:rPr>
              <w:t>)</w:t>
            </w:r>
          </w:p>
        </w:tc>
        <w:tc>
          <w:tcPr>
            <w:tcW w:w="2421" w:type="pct"/>
          </w:tcPr>
          <w:p w14:paraId="5D966B7F" w14:textId="5717E83C" w:rsidR="00BB172C" w:rsidRDefault="00BB172C">
            <w:pPr>
              <w:pStyle w:val="TableTextLeft"/>
              <w:cnfStyle w:val="100000000000" w:firstRow="1" w:lastRow="0" w:firstColumn="0" w:lastColumn="0" w:oddVBand="0" w:evenVBand="0" w:oddHBand="0" w:evenHBand="0" w:firstRowFirstColumn="0" w:firstRowLastColumn="0" w:lastRowFirstColumn="0" w:lastRowLastColumn="0"/>
              <w:rPr>
                <w:szCs w:val="18"/>
              </w:rPr>
            </w:pPr>
            <w:r>
              <w:rPr>
                <w:szCs w:val="18"/>
              </w:rPr>
              <w:t>1</w:t>
            </w:r>
            <w:r w:rsidR="00D407BA">
              <w:rPr>
                <w:szCs w:val="18"/>
              </w:rPr>
              <w:t>,</w:t>
            </w:r>
            <w:r>
              <w:rPr>
                <w:szCs w:val="18"/>
              </w:rPr>
              <w:t>366</w:t>
            </w:r>
          </w:p>
          <w:p w14:paraId="6EA6DAF9" w14:textId="77777777" w:rsidR="00BB172C" w:rsidRDefault="00BB172C">
            <w:pPr>
              <w:pStyle w:val="TableTextLeft"/>
              <w:cnfStyle w:val="100000000000" w:firstRow="1" w:lastRow="0" w:firstColumn="0" w:lastColumn="0" w:oddVBand="0" w:evenVBand="0" w:oddHBand="0" w:evenHBand="0" w:firstRowFirstColumn="0" w:firstRowLastColumn="0" w:lastRowFirstColumn="0" w:lastRowLastColumn="0"/>
              <w:rPr>
                <w:szCs w:val="18"/>
              </w:rPr>
            </w:pPr>
          </w:p>
        </w:tc>
      </w:tr>
    </w:tbl>
    <w:p w14:paraId="29322B4D" w14:textId="77777777" w:rsidR="00BB172C" w:rsidRDefault="00BB172C"/>
    <w:p w14:paraId="2077BA98" w14:textId="77777777" w:rsidR="008B38C1" w:rsidRDefault="008B38C1" w:rsidP="00035C4A">
      <w:pPr>
        <w:pStyle w:val="Heading3notnumbered"/>
      </w:pPr>
      <w:bookmarkStart w:id="357" w:name="_Toc517161222"/>
      <w:r>
        <w:lastRenderedPageBreak/>
        <w:t>Key references</w:t>
      </w:r>
      <w:bookmarkEnd w:id="357"/>
    </w:p>
    <w:p w14:paraId="18A6681F" w14:textId="77777777" w:rsidR="00727542" w:rsidRDefault="00727542" w:rsidP="00727542">
      <w:pPr>
        <w:pStyle w:val="References"/>
      </w:pPr>
      <w:r>
        <w:t>AER (Australian Energy Regulator) (2017) State of the energy market, May 2017. Viewed 16/01/2018, &lt;</w:t>
      </w:r>
      <w:hyperlink r:id="rId482" w:history="1">
        <w:r w:rsidRPr="00165029">
          <w:rPr>
            <w:rStyle w:val="Hyperlink"/>
          </w:rPr>
          <w:t>https://www.aer.gov.au/publications/state-of-the-energy-market-reports/state-of-the-energy-market-may-2017</w:t>
        </w:r>
      </w:hyperlink>
      <w:r>
        <w:t>&gt;.</w:t>
      </w:r>
    </w:p>
    <w:p w14:paraId="5AE1C4DB" w14:textId="77777777" w:rsidR="00727542" w:rsidRDefault="00727542" w:rsidP="00727542">
      <w:pPr>
        <w:pStyle w:val="References"/>
      </w:pPr>
      <w:r>
        <w:t>APPEA (2017) Shale g</w:t>
      </w:r>
      <w:r w:rsidRPr="00985702">
        <w:t>as in Australia</w:t>
      </w:r>
      <w:r>
        <w:t>. Viewed 15/01/2018,</w:t>
      </w:r>
      <w:r w:rsidRPr="00985702">
        <w:t xml:space="preserve"> </w:t>
      </w:r>
      <w:r>
        <w:t>&lt;</w:t>
      </w:r>
      <w:hyperlink r:id="rId483" w:history="1">
        <w:r w:rsidRPr="000E4EFC">
          <w:rPr>
            <w:rStyle w:val="Hyperlink"/>
          </w:rPr>
          <w:t>https://www.shale-gas.com.au/environment/regulation-and-licensing/</w:t>
        </w:r>
      </w:hyperlink>
      <w:r>
        <w:t>&gt;.</w:t>
      </w:r>
    </w:p>
    <w:p w14:paraId="7E2A9665" w14:textId="4EFEBE81" w:rsidR="00727542" w:rsidRDefault="00727542" w:rsidP="00727542">
      <w:pPr>
        <w:pStyle w:val="References"/>
      </w:pPr>
      <w:r>
        <w:t xml:space="preserve">Armour Energy </w:t>
      </w:r>
      <w:r w:rsidR="00165B39">
        <w:t>(</w:t>
      </w:r>
      <w:r>
        <w:t>2012</w:t>
      </w:r>
      <w:r w:rsidR="00165B39">
        <w:t>)</w:t>
      </w:r>
      <w:r>
        <w:t xml:space="preserve"> Moreys 1 encounters tight gas and condensate. Armour Energy report to ASX. </w:t>
      </w:r>
      <w:r w:rsidR="00165B39">
        <w:t>Viewed 22/01/2018, &lt;</w:t>
      </w:r>
      <w:hyperlink r:id="rId484" w:history="1">
        <w:r w:rsidRPr="00D407BA">
          <w:rPr>
            <w:rStyle w:val="Hyperlink"/>
          </w:rPr>
          <w:t>http://www.asx.com.au/asxpdf/20120510/pdf/4265z4bqyh37mz.pdf</w:t>
        </w:r>
      </w:hyperlink>
      <w:r w:rsidR="00165B39">
        <w:rPr>
          <w:rStyle w:val="Hyperlink"/>
        </w:rPr>
        <w:t>&gt;.</w:t>
      </w:r>
    </w:p>
    <w:p w14:paraId="2249F667" w14:textId="77777777" w:rsidR="00727542" w:rsidRPr="00150F31" w:rsidRDefault="00727542" w:rsidP="00727542">
      <w:pPr>
        <w:pStyle w:val="References"/>
      </w:pPr>
      <w:r w:rsidRPr="00150F31">
        <w:t>AWT International</w:t>
      </w:r>
      <w:r>
        <w:t xml:space="preserve"> (</w:t>
      </w:r>
      <w:r w:rsidRPr="00150F31">
        <w:t>2013</w:t>
      </w:r>
      <w:r>
        <w:t xml:space="preserve">) </w:t>
      </w:r>
      <w:r w:rsidRPr="00150F31">
        <w:t>Shale Gas Prospectivity Potential Report prepared for the Australian Council of Learned Academies (ACOLA</w:t>
      </w:r>
      <w:r>
        <w:t xml:space="preserve">) </w:t>
      </w:r>
      <w:r w:rsidRPr="00150F31">
        <w:t>54 p.</w:t>
      </w:r>
    </w:p>
    <w:p w14:paraId="693B7222" w14:textId="7C3697CE" w:rsidR="00A6553D" w:rsidRDefault="00A6553D" w:rsidP="008B38C1">
      <w:pPr>
        <w:pStyle w:val="References"/>
      </w:pPr>
      <w:r>
        <w:t xml:space="preserve">Beach Energy </w:t>
      </w:r>
      <w:r w:rsidR="00165B39">
        <w:t>(</w:t>
      </w:r>
      <w:r>
        <w:t>2014</w:t>
      </w:r>
      <w:r w:rsidR="00165B39">
        <w:t>)</w:t>
      </w:r>
      <w:r>
        <w:t xml:space="preserve"> Beach completes Otway basin well. Beach Energy media release. </w:t>
      </w:r>
      <w:r w:rsidR="00165B39">
        <w:t>Viewed 22/01/2018, &lt;</w:t>
      </w:r>
      <w:hyperlink r:id="rId485" w:history="1">
        <w:r w:rsidRPr="005C3B9B">
          <w:rPr>
            <w:rStyle w:val="Hyperlink"/>
          </w:rPr>
          <w:t>http://www.beachenergy.com.au/irm/PDF/3361_0/BeachcompletesOtwayBasinwell</w:t>
        </w:r>
      </w:hyperlink>
      <w:r w:rsidR="00165B39">
        <w:rPr>
          <w:rStyle w:val="Hyperlink"/>
        </w:rPr>
        <w:t>&gt;.</w:t>
      </w:r>
    </w:p>
    <w:p w14:paraId="28966A94" w14:textId="408B661C" w:rsidR="00A6553D" w:rsidRDefault="00A6553D" w:rsidP="008B38C1">
      <w:pPr>
        <w:pStyle w:val="References"/>
      </w:pPr>
      <w:r>
        <w:t>Boreham CJ, Hope JM, Jackson P, Davenport R, Earl KL, Edwards DS, Logan GA and Krassay AA</w:t>
      </w:r>
      <w:r w:rsidR="00165B39">
        <w:t xml:space="preserve"> (20</w:t>
      </w:r>
      <w:r>
        <w:t>04</w:t>
      </w:r>
      <w:r w:rsidR="00165B39">
        <w:t>)</w:t>
      </w:r>
      <w:r>
        <w:t xml:space="preserve"> Gas-oil-source correlations in the Otway Basin, southern Australia. In: Boult PJ, Johns DR </w:t>
      </w:r>
      <w:r w:rsidR="00644D9C">
        <w:t xml:space="preserve">and </w:t>
      </w:r>
      <w:r>
        <w:t xml:space="preserve">Lang SC </w:t>
      </w:r>
      <w:r w:rsidR="00165B39">
        <w:t>(ed</w:t>
      </w:r>
      <w:r>
        <w:t>s), Eastern Australasian Basins Symposium II. Petroleum Exploration Society of Australia, Special Publication, 603–627.</w:t>
      </w:r>
    </w:p>
    <w:p w14:paraId="2D837CA5" w14:textId="30FD6A80" w:rsidR="00A6553D" w:rsidRDefault="00A6553D" w:rsidP="008B38C1">
      <w:pPr>
        <w:pStyle w:val="References"/>
      </w:pPr>
      <w:r>
        <w:t>Boult PJ and Hibburt JE (</w:t>
      </w:r>
      <w:r w:rsidR="004217CD">
        <w:t>e</w:t>
      </w:r>
      <w:r>
        <w:t>ds)</w:t>
      </w:r>
      <w:r w:rsidR="00165B39">
        <w:t xml:space="preserve"> (20</w:t>
      </w:r>
      <w:r>
        <w:t>02</w:t>
      </w:r>
      <w:r w:rsidR="00165B39">
        <w:t>)</w:t>
      </w:r>
      <w:r>
        <w:t xml:space="preserve"> The petroleum geology of South Australia. Vol. 1: Otway Basin. 2nd edition. South Australia. Department of Primary Industries and Resources. Petroleum Geology of South Australia Series, Vol. 1.</w:t>
      </w:r>
    </w:p>
    <w:p w14:paraId="05711A99" w14:textId="77777777" w:rsidR="00B221F1" w:rsidRDefault="00B221F1" w:rsidP="00B221F1">
      <w:pPr>
        <w:pStyle w:val="References"/>
      </w:pPr>
      <w:r>
        <w:t>BoM (Bureau of Meteorology) (2014) Australian Hydrological Geospatial Fabric (“Geofabric”), version 2.1.1. Viewed 02/08/2017, &lt;</w:t>
      </w:r>
      <w:hyperlink r:id="rId486" w:history="1">
        <w:r w:rsidRPr="00DA1EAB">
          <w:rPr>
            <w:rStyle w:val="Hyperlink"/>
          </w:rPr>
          <w:t>http://www.bom.gov.au/water/geofabric/download.shtml</w:t>
        </w:r>
      </w:hyperlink>
      <w:r>
        <w:t>&gt;.</w:t>
      </w:r>
    </w:p>
    <w:p w14:paraId="59FBF8AA" w14:textId="5E5C74E6" w:rsidR="00B221F1" w:rsidRDefault="00B221F1" w:rsidP="00B221F1">
      <w:pPr>
        <w:pStyle w:val="References"/>
      </w:pPr>
      <w:r>
        <w:t>BoM</w:t>
      </w:r>
      <w:r w:rsidR="006B4EAA">
        <w:t xml:space="preserve"> (Bureau of Meteorology) (2016)</w:t>
      </w:r>
      <w:r>
        <w:t xml:space="preserve"> National Groundwater Information System, v.1.3. Viewed 07/07/2017, &lt;</w:t>
      </w:r>
      <w:hyperlink r:id="rId487" w:history="1">
        <w:r w:rsidRPr="00DA1EAB">
          <w:rPr>
            <w:rStyle w:val="Hyperlink"/>
          </w:rPr>
          <w:t>http://www.bom.gov.au/water/groundwater/ngis/</w:t>
        </w:r>
      </w:hyperlink>
      <w:r>
        <w:t>&gt;.</w:t>
      </w:r>
    </w:p>
    <w:p w14:paraId="61DD9F44" w14:textId="77777777" w:rsidR="00B221F1" w:rsidRDefault="00B221F1" w:rsidP="00B221F1">
      <w:pPr>
        <w:pStyle w:val="References"/>
      </w:pPr>
      <w:r>
        <w:rPr>
          <w:rFonts w:eastAsiaTheme="minorHAnsi"/>
          <w:lang w:eastAsia="en-US"/>
        </w:rPr>
        <w:t>Bush AL (2009) Physical and chemical hydrogeology of the Otway Basin, southeast Australia. Unpublished PhD thesis, School of Earth Sciences, University of Melbourne.</w:t>
      </w:r>
    </w:p>
    <w:p w14:paraId="223AA66E" w14:textId="47073DAD" w:rsidR="00923F1B" w:rsidRPr="00356E9E" w:rsidRDefault="00923F1B" w:rsidP="00923F1B">
      <w:pPr>
        <w:pStyle w:val="References"/>
      </w:pPr>
      <w:r>
        <w:t xml:space="preserve">CAPAD (2016) </w:t>
      </w:r>
      <w:r w:rsidRPr="00356E9E">
        <w:t>Collaborative Australia</w:t>
      </w:r>
      <w:r>
        <w:t>n Protected Area Database</w:t>
      </w:r>
      <w:r w:rsidR="00165B39">
        <w:t xml:space="preserve"> (20</w:t>
      </w:r>
      <w:r>
        <w:t>16 S</w:t>
      </w:r>
      <w:r w:rsidRPr="00356E9E">
        <w:t>patial dataset provided from the Departmen</w:t>
      </w:r>
      <w:r>
        <w:t>t of the Environment and Energy.</w:t>
      </w:r>
      <w:r w:rsidRPr="00356E9E">
        <w:t xml:space="preserve"> </w:t>
      </w:r>
      <w:r>
        <w:t>Viewed 18/07/2017, &lt;</w:t>
      </w:r>
      <w:hyperlink r:id="rId488" w:history="1">
        <w:r w:rsidRPr="00456161">
          <w:rPr>
            <w:rStyle w:val="Hyperlink"/>
          </w:rPr>
          <w:t>https://www.environment.gov.au/land/nrs/science/capad/2016</w:t>
        </w:r>
      </w:hyperlink>
      <w:r>
        <w:t>&gt;.</w:t>
      </w:r>
      <w:r w:rsidRPr="00356E9E">
        <w:t xml:space="preserve"> </w:t>
      </w:r>
    </w:p>
    <w:p w14:paraId="7532F5B9" w14:textId="7AA5B9E0" w:rsidR="00B221F1" w:rsidRDefault="00B221F1" w:rsidP="00B221F1">
      <w:pPr>
        <w:pStyle w:val="References"/>
      </w:pPr>
      <w:r>
        <w:t xml:space="preserve">Clarke JDA, Lewis SJ, Fontaine K, Kilgour PL and Stewart G (2015) </w:t>
      </w:r>
      <w:r>
        <w:rPr>
          <w:iCs/>
        </w:rPr>
        <w:t>Regional Hydrogeological Characterisation of the Otway Basin, Victoria and South Australia: Technical report for the National Collaboration Framework Regional Hydrogeology Project</w:t>
      </w:r>
      <w:r>
        <w:t>. Record 2015/12. Geoscience Australia, Canberra.</w:t>
      </w:r>
    </w:p>
    <w:p w14:paraId="51FA8DA9" w14:textId="742A08B2" w:rsidR="00A6553D" w:rsidRDefault="00A6553D" w:rsidP="008B38C1">
      <w:pPr>
        <w:pStyle w:val="References"/>
      </w:pPr>
      <w:r>
        <w:lastRenderedPageBreak/>
        <w:t>Corangamite CMA</w:t>
      </w:r>
      <w:r w:rsidR="00165B39">
        <w:t xml:space="preserve"> (20</w:t>
      </w:r>
      <w:r>
        <w:t>05</w:t>
      </w:r>
      <w:r w:rsidR="00165B39">
        <w:t>)</w:t>
      </w:r>
      <w:r>
        <w:t xml:space="preserve"> The Environmental Flow Determination for the Barwon River – Issues Paper, August 2005.</w:t>
      </w:r>
      <w:r w:rsidR="00165B39">
        <w:t xml:space="preserve"> Viewed 17/08/2017, &lt;</w:t>
      </w:r>
      <w:hyperlink r:id="rId489" w:history="1">
        <w:r w:rsidRPr="00D407BA">
          <w:rPr>
            <w:rStyle w:val="Hyperlink"/>
          </w:rPr>
          <w:t>www.yoursay.barwonwater.vic.gov.au/27010/documents/60176</w:t>
        </w:r>
      </w:hyperlink>
      <w:r w:rsidR="00165B39">
        <w:t>&gt;.</w:t>
      </w:r>
    </w:p>
    <w:p w14:paraId="5646CB95" w14:textId="380D9205" w:rsidR="00923F1B" w:rsidRDefault="00923F1B" w:rsidP="00923F1B">
      <w:pPr>
        <w:pStyle w:val="References"/>
      </w:pPr>
      <w:r>
        <w:t>Core (2014) Gas reserves and resources, eastern and southeastern Australia. Core Energy Group report to the Australian Energy Marke</w:t>
      </w:r>
      <w:r w:rsidR="00165B39">
        <w:t xml:space="preserve">t Operator. Viewed 09/08/2017, </w:t>
      </w:r>
      <w:r>
        <w:t>&lt;</w:t>
      </w:r>
      <w:hyperlink r:id="rId490" w:history="1">
        <w:r w:rsidRPr="003E47FE">
          <w:rPr>
            <w:rStyle w:val="Hyperlink"/>
          </w:rPr>
          <w:t>https://www.aemo.com.au/-/media/Files/Gas/National_Planning_and_Forecasting/GSOO/2015/Core--Gas-Reserves-and-Resources.pdf</w:t>
        </w:r>
      </w:hyperlink>
      <w:r>
        <w:rPr>
          <w:rStyle w:val="Hyperlink"/>
        </w:rPr>
        <w:t>&gt;.</w:t>
      </w:r>
    </w:p>
    <w:p w14:paraId="1419706D" w14:textId="379C682A" w:rsidR="00A6553D" w:rsidRDefault="00A6553D" w:rsidP="008B38C1">
      <w:pPr>
        <w:pStyle w:val="References"/>
      </w:pPr>
      <w:r>
        <w:rPr>
          <w:lang w:val="en-US"/>
        </w:rPr>
        <w:t>Cooper Energy</w:t>
      </w:r>
      <w:r w:rsidR="00165B39">
        <w:rPr>
          <w:lang w:val="en-US"/>
        </w:rPr>
        <w:t xml:space="preserve"> (20</w:t>
      </w:r>
      <w:r>
        <w:rPr>
          <w:lang w:val="en-US"/>
        </w:rPr>
        <w:t>13</w:t>
      </w:r>
      <w:r w:rsidR="00165B39">
        <w:rPr>
          <w:lang w:val="en-US"/>
        </w:rPr>
        <w:t>)</w:t>
      </w:r>
      <w:r>
        <w:rPr>
          <w:lang w:val="en-US"/>
        </w:rPr>
        <w:t xml:space="preserve"> Sawpit-2 results. </w:t>
      </w:r>
      <w:r>
        <w:t xml:space="preserve">Armour Energy report to ASX. </w:t>
      </w:r>
      <w:r w:rsidR="00165B39">
        <w:t>Viewed 22/01/2018, &lt;</w:t>
      </w:r>
      <w:hyperlink r:id="rId491" w:history="1">
        <w:r w:rsidRPr="00D407BA">
          <w:rPr>
            <w:rStyle w:val="Hyperlink"/>
          </w:rPr>
          <w:t>http://www.cooperenergy.com.au/archive/images/files/2013/2013_03_06_Sawpit-2_Update.pdf</w:t>
        </w:r>
      </w:hyperlink>
      <w:r w:rsidR="00165B39">
        <w:rPr>
          <w:rStyle w:val="Hyperlink"/>
        </w:rPr>
        <w:t>&gt;.</w:t>
      </w:r>
    </w:p>
    <w:p w14:paraId="2EFACBE2" w14:textId="00673541" w:rsidR="00A6553D" w:rsidRDefault="00A6553D" w:rsidP="008B38C1">
      <w:pPr>
        <w:pStyle w:val="References"/>
        <w:rPr>
          <w:lang w:val="en-US"/>
        </w:rPr>
      </w:pPr>
      <w:r>
        <w:rPr>
          <w:lang w:val="en-US"/>
        </w:rPr>
        <w:t>Cooper Energy</w:t>
      </w:r>
      <w:r w:rsidR="00165B39">
        <w:rPr>
          <w:lang w:val="en-US"/>
        </w:rPr>
        <w:t xml:space="preserve"> (20</w:t>
      </w:r>
      <w:r>
        <w:rPr>
          <w:lang w:val="en-US"/>
        </w:rPr>
        <w:t>14</w:t>
      </w:r>
      <w:r w:rsidR="00165B39">
        <w:rPr>
          <w:lang w:val="en-US"/>
        </w:rPr>
        <w:t>)</w:t>
      </w:r>
      <w:r>
        <w:rPr>
          <w:lang w:val="en-US"/>
        </w:rPr>
        <w:t xml:space="preserve"> Bungaloo-1 spudded in Penola Trough, Otway Basin. Cooper Energy ASX Announcement/Media release. </w:t>
      </w:r>
      <w:r w:rsidR="00165B39">
        <w:t>Viewed 22/01/2018, &lt;</w:t>
      </w:r>
      <w:hyperlink r:id="rId492" w:history="1">
        <w:r w:rsidRPr="00D407BA">
          <w:rPr>
            <w:rStyle w:val="Hyperlink"/>
          </w:rPr>
          <w:t>http://www.cooperenergy.com.au/Upload/Documents/AnnouncementsItem/Bungaloo-1-spudded-in-Penola-Trough,-Otway-Basin.pdf</w:t>
        </w:r>
      </w:hyperlink>
      <w:r w:rsidR="00165B39">
        <w:rPr>
          <w:rStyle w:val="Hyperlink"/>
        </w:rPr>
        <w:t>&gt;.</w:t>
      </w:r>
    </w:p>
    <w:p w14:paraId="666C5F1D" w14:textId="689FE32B" w:rsidR="00A6553D" w:rsidRDefault="00A6553D" w:rsidP="008B38C1">
      <w:pPr>
        <w:pStyle w:val="References"/>
        <w:rPr>
          <w:rFonts w:eastAsiaTheme="minorHAnsi"/>
          <w:lang w:eastAsia="en-US"/>
        </w:rPr>
      </w:pPr>
      <w:r>
        <w:rPr>
          <w:rFonts w:eastAsiaTheme="minorHAnsi"/>
          <w:lang w:eastAsia="en-US"/>
        </w:rPr>
        <w:t>Dahlhaus P, Heislers D and Dyson P</w:t>
      </w:r>
      <w:r w:rsidR="00165B39">
        <w:rPr>
          <w:rFonts w:eastAsiaTheme="minorHAnsi"/>
          <w:lang w:eastAsia="en-US"/>
        </w:rPr>
        <w:t xml:space="preserve"> (20</w:t>
      </w:r>
      <w:r>
        <w:rPr>
          <w:rFonts w:eastAsiaTheme="minorHAnsi"/>
          <w:lang w:eastAsia="en-US"/>
        </w:rPr>
        <w:t>02a</w:t>
      </w:r>
      <w:r w:rsidR="00165B39">
        <w:rPr>
          <w:rFonts w:eastAsiaTheme="minorHAnsi"/>
          <w:lang w:eastAsia="en-US"/>
        </w:rPr>
        <w:t>)</w:t>
      </w:r>
      <w:r>
        <w:rPr>
          <w:rFonts w:eastAsiaTheme="minorHAnsi"/>
          <w:lang w:eastAsia="en-US"/>
        </w:rPr>
        <w:t xml:space="preserve"> Corangamite Catchment Management Authority Groundwater Flow Systems.</w:t>
      </w:r>
    </w:p>
    <w:p w14:paraId="6689B659" w14:textId="62D8FB4B" w:rsidR="00A6553D" w:rsidRDefault="00A6553D" w:rsidP="008B38C1">
      <w:pPr>
        <w:pStyle w:val="References"/>
        <w:rPr>
          <w:rFonts w:eastAsiaTheme="minorHAnsi"/>
          <w:lang w:eastAsia="en-US"/>
        </w:rPr>
      </w:pPr>
      <w:r>
        <w:rPr>
          <w:rFonts w:eastAsiaTheme="minorHAnsi"/>
          <w:lang w:eastAsia="en-US"/>
        </w:rPr>
        <w:t>Dahlhaus</w:t>
      </w:r>
      <w:r w:rsidR="00165B39">
        <w:rPr>
          <w:rFonts w:eastAsiaTheme="minorHAnsi"/>
          <w:lang w:eastAsia="en-US"/>
        </w:rPr>
        <w:t xml:space="preserve"> </w:t>
      </w:r>
      <w:r>
        <w:rPr>
          <w:rFonts w:eastAsiaTheme="minorHAnsi"/>
          <w:lang w:eastAsia="en-US"/>
        </w:rPr>
        <w:t>P</w:t>
      </w:r>
      <w:r w:rsidR="00165B39">
        <w:rPr>
          <w:rFonts w:eastAsiaTheme="minorHAnsi"/>
          <w:lang w:eastAsia="en-US"/>
        </w:rPr>
        <w:t>,</w:t>
      </w:r>
      <w:r>
        <w:rPr>
          <w:rFonts w:eastAsiaTheme="minorHAnsi"/>
          <w:lang w:eastAsia="en-US"/>
        </w:rPr>
        <w:t xml:space="preserve"> Heislers D and Dyson P</w:t>
      </w:r>
      <w:r w:rsidR="00165B39">
        <w:rPr>
          <w:rFonts w:eastAsiaTheme="minorHAnsi"/>
          <w:lang w:eastAsia="en-US"/>
        </w:rPr>
        <w:t xml:space="preserve"> (20</w:t>
      </w:r>
      <w:r>
        <w:rPr>
          <w:rFonts w:eastAsiaTheme="minorHAnsi"/>
          <w:lang w:eastAsia="en-US"/>
        </w:rPr>
        <w:t>02b</w:t>
      </w:r>
      <w:r w:rsidR="00165B39">
        <w:rPr>
          <w:rFonts w:eastAsiaTheme="minorHAnsi"/>
          <w:lang w:eastAsia="en-US"/>
        </w:rPr>
        <w:t>)</w:t>
      </w:r>
      <w:r>
        <w:rPr>
          <w:rFonts w:eastAsiaTheme="minorHAnsi"/>
          <w:lang w:eastAsia="en-US"/>
        </w:rPr>
        <w:t xml:space="preserve"> Glenelg-Hopkins Catchment Management Authority Groundwater Flow Systems</w:t>
      </w:r>
      <w:r w:rsidR="00165B39">
        <w:rPr>
          <w:rFonts w:eastAsiaTheme="minorHAnsi"/>
          <w:lang w:eastAsia="en-US"/>
        </w:rPr>
        <w:t>.</w:t>
      </w:r>
    </w:p>
    <w:p w14:paraId="4C2553DD" w14:textId="7467DB7B" w:rsidR="00A6553D" w:rsidRDefault="00A6553D" w:rsidP="008B38C1">
      <w:pPr>
        <w:pStyle w:val="References"/>
        <w:rPr>
          <w:rFonts w:eastAsiaTheme="minorHAnsi"/>
          <w:lang w:eastAsia="en-US"/>
        </w:rPr>
      </w:pPr>
      <w:r>
        <w:rPr>
          <w:rFonts w:eastAsiaTheme="minorHAnsi"/>
          <w:lang w:eastAsia="en-US"/>
        </w:rPr>
        <w:t>De Caritat P, Hortle A, Raistrick M, Stalvies C</w:t>
      </w:r>
      <w:r w:rsidR="00165B39">
        <w:rPr>
          <w:rFonts w:eastAsiaTheme="minorHAnsi"/>
          <w:lang w:eastAsia="en-US"/>
        </w:rPr>
        <w:t xml:space="preserve"> and</w:t>
      </w:r>
      <w:r>
        <w:rPr>
          <w:rFonts w:eastAsiaTheme="minorHAnsi"/>
          <w:lang w:eastAsia="en-US"/>
        </w:rPr>
        <w:t xml:space="preserve"> Jenkins C</w:t>
      </w:r>
      <w:r w:rsidR="00165B39">
        <w:rPr>
          <w:rFonts w:eastAsiaTheme="minorHAnsi"/>
          <w:lang w:eastAsia="en-US"/>
        </w:rPr>
        <w:t xml:space="preserve"> (20</w:t>
      </w:r>
      <w:r>
        <w:rPr>
          <w:rFonts w:eastAsiaTheme="minorHAnsi"/>
          <w:lang w:eastAsia="en-US"/>
        </w:rPr>
        <w:t>12</w:t>
      </w:r>
      <w:r w:rsidR="00165B39">
        <w:rPr>
          <w:rFonts w:eastAsiaTheme="minorHAnsi"/>
          <w:lang w:eastAsia="en-US"/>
        </w:rPr>
        <w:t>)</w:t>
      </w:r>
      <w:r>
        <w:rPr>
          <w:rFonts w:eastAsiaTheme="minorHAnsi"/>
          <w:lang w:eastAsia="en-US"/>
        </w:rPr>
        <w:t xml:space="preserve"> Monitoring groundwater flow and chemical and isotopic composition at a demonstration site for carbon dioxide storage in a depleted natural gas reservoir, Applied Geochemistry, 30, p.16-32.</w:t>
      </w:r>
    </w:p>
    <w:p w14:paraId="1C773266" w14:textId="29913AE0" w:rsidR="00B221F1" w:rsidRDefault="00B221F1" w:rsidP="00B221F1">
      <w:pPr>
        <w:pStyle w:val="References"/>
        <w:rPr>
          <w:rFonts w:eastAsiaTheme="minorHAnsi"/>
          <w:lang w:eastAsia="en-US"/>
        </w:rPr>
      </w:pPr>
      <w:r>
        <w:rPr>
          <w:rFonts w:eastAsiaTheme="minorHAnsi"/>
          <w:lang w:eastAsia="en-US"/>
        </w:rPr>
        <w:t>DELWP (Department of Environment,</w:t>
      </w:r>
      <w:r w:rsidR="00006EB0">
        <w:rPr>
          <w:rFonts w:eastAsiaTheme="minorHAnsi"/>
          <w:lang w:eastAsia="en-US"/>
        </w:rPr>
        <w:t xml:space="preserve"> Land, Water and Planning) and </w:t>
      </w:r>
      <w:r>
        <w:rPr>
          <w:rFonts w:eastAsiaTheme="minorHAnsi"/>
          <w:lang w:eastAsia="en-US"/>
        </w:rPr>
        <w:t xml:space="preserve">GSV </w:t>
      </w:r>
      <w:r w:rsidR="00006EB0">
        <w:rPr>
          <w:rFonts w:eastAsiaTheme="minorHAnsi"/>
          <w:lang w:eastAsia="en-US"/>
        </w:rPr>
        <w:t>(</w:t>
      </w:r>
      <w:r>
        <w:rPr>
          <w:rFonts w:eastAsiaTheme="minorHAnsi"/>
          <w:lang w:eastAsia="en-US"/>
        </w:rPr>
        <w:t>Geological Survey of Victoria</w:t>
      </w:r>
      <w:r w:rsidR="00006EB0">
        <w:rPr>
          <w:rFonts w:eastAsiaTheme="minorHAnsi"/>
          <w:lang w:eastAsia="en-US"/>
        </w:rPr>
        <w:t>)</w:t>
      </w:r>
      <w:r>
        <w:rPr>
          <w:rFonts w:eastAsiaTheme="minorHAnsi"/>
          <w:lang w:eastAsia="en-US"/>
        </w:rPr>
        <w:t xml:space="preserve"> (2015a) Onshore natural gas water science studies — Otway region assessment of potential impacts on water resources. Department of Environment, Land, Water and Planning and Department of Economic Development, Jobs, Transport and Resources, Melbourne, June 2015.</w:t>
      </w:r>
    </w:p>
    <w:p w14:paraId="1590D91D" w14:textId="00A7A1E5" w:rsidR="00A6553D" w:rsidRDefault="00A6553D" w:rsidP="008B38C1">
      <w:pPr>
        <w:pStyle w:val="References"/>
        <w:rPr>
          <w:rFonts w:eastAsiaTheme="minorHAnsi"/>
          <w:lang w:eastAsia="en-US"/>
        </w:rPr>
      </w:pPr>
      <w:r>
        <w:rPr>
          <w:rFonts w:eastAsiaTheme="minorHAnsi"/>
          <w:lang w:eastAsia="en-US"/>
        </w:rPr>
        <w:t>DELWP</w:t>
      </w:r>
      <w:r w:rsidR="00B221F1">
        <w:rPr>
          <w:rFonts w:eastAsiaTheme="minorHAnsi"/>
          <w:lang w:eastAsia="en-US"/>
        </w:rPr>
        <w:t xml:space="preserve"> (Department of Environment, Land, Water and Planning)</w:t>
      </w:r>
      <w:r>
        <w:rPr>
          <w:rFonts w:eastAsiaTheme="minorHAnsi"/>
          <w:lang w:eastAsia="en-US"/>
        </w:rPr>
        <w:t xml:space="preserve"> </w:t>
      </w:r>
      <w:r w:rsidR="00165B39">
        <w:rPr>
          <w:rFonts w:eastAsiaTheme="minorHAnsi"/>
          <w:lang w:eastAsia="en-US"/>
        </w:rPr>
        <w:t>(</w:t>
      </w:r>
      <w:r>
        <w:rPr>
          <w:rFonts w:eastAsiaTheme="minorHAnsi"/>
          <w:lang w:eastAsia="en-US"/>
        </w:rPr>
        <w:t>2016</w:t>
      </w:r>
      <w:r w:rsidR="00165B39">
        <w:rPr>
          <w:rFonts w:eastAsiaTheme="minorHAnsi"/>
          <w:lang w:eastAsia="en-US"/>
        </w:rPr>
        <w:t xml:space="preserve">) </w:t>
      </w:r>
      <w:r>
        <w:rPr>
          <w:rFonts w:eastAsiaTheme="minorHAnsi"/>
          <w:lang w:eastAsia="en-US"/>
        </w:rPr>
        <w:t xml:space="preserve">Victorian Water Accounts 2014-15 – A statement of Victorian water resources. Department of Environment, Land, Water &amp; Planning, Victoria. </w:t>
      </w:r>
    </w:p>
    <w:p w14:paraId="22605427" w14:textId="77777777" w:rsidR="00165B39" w:rsidRDefault="00165B39" w:rsidP="00165B39">
      <w:pPr>
        <w:pStyle w:val="References"/>
        <w:rPr>
          <w:rStyle w:val="Hyperlink"/>
        </w:rPr>
      </w:pPr>
      <w:r>
        <w:t>DPCSA (Department of Premier and Cabinet, South Australia) (2017a) 3D Seismic Survey Areas lines. Viewed 23/07/2017, &lt;</w:t>
      </w:r>
      <w:hyperlink r:id="rId493" w:history="1">
        <w:r>
          <w:rPr>
            <w:rStyle w:val="Hyperlink"/>
          </w:rPr>
          <w:t>https://map.sarig.sa.gov.au/</w:t>
        </w:r>
      </w:hyperlink>
      <w:r>
        <w:rPr>
          <w:rStyle w:val="Hyperlink"/>
        </w:rPr>
        <w:t>&gt;.</w:t>
      </w:r>
    </w:p>
    <w:p w14:paraId="64892299" w14:textId="77777777" w:rsidR="00165B39" w:rsidRDefault="00165B39" w:rsidP="00165B39">
      <w:pPr>
        <w:pStyle w:val="References"/>
        <w:rPr>
          <w:lang w:val="en-US"/>
        </w:rPr>
      </w:pPr>
      <w:r>
        <w:rPr>
          <w:lang w:val="en-US"/>
        </w:rPr>
        <w:t xml:space="preserve">DPCSA (Department of Premier and Cabinet, South Australia) (2017b) PACE Gas. </w:t>
      </w:r>
      <w:r>
        <w:t>Viewed</w:t>
      </w:r>
      <w:r>
        <w:rPr>
          <w:lang w:val="en-US"/>
        </w:rPr>
        <w:t xml:space="preserve"> </w:t>
      </w:r>
      <w:r>
        <w:t xml:space="preserve">16/01/2018, </w:t>
      </w:r>
      <w:r>
        <w:rPr>
          <w:lang w:val="en-US"/>
        </w:rPr>
        <w:t>&lt;</w:t>
      </w:r>
      <w:hyperlink r:id="rId494" w:history="1">
        <w:r>
          <w:rPr>
            <w:rStyle w:val="Hyperlink"/>
            <w:lang w:val="en-US"/>
          </w:rPr>
          <w:t>h</w:t>
        </w:r>
        <w:r>
          <w:rPr>
            <w:rStyle w:val="Hyperlink"/>
          </w:rPr>
          <w:t>ttp://petroleum.statedevelopment.sa.gov.au/latest_updates/pace_gas</w:t>
        </w:r>
      </w:hyperlink>
      <w:r>
        <w:rPr>
          <w:rStyle w:val="Hyperlink"/>
        </w:rPr>
        <w:t>&gt;</w:t>
      </w:r>
      <w:r>
        <w:t>.</w:t>
      </w:r>
    </w:p>
    <w:p w14:paraId="7C013DE4" w14:textId="77777777" w:rsidR="00165B39" w:rsidRDefault="00165B39" w:rsidP="00165B39">
      <w:pPr>
        <w:pStyle w:val="References"/>
        <w:rPr>
          <w:rStyle w:val="Hyperlink"/>
          <w:rFonts w:eastAsia="Times New Roman"/>
        </w:rPr>
      </w:pPr>
      <w:r>
        <w:rPr>
          <w:lang w:val="en-US"/>
        </w:rPr>
        <w:t xml:space="preserve">DPCSA (Department of Premier and Cabinet, South Australia) (2017c) Petroleum well. </w:t>
      </w:r>
      <w:r>
        <w:t>Viewed</w:t>
      </w:r>
      <w:r>
        <w:rPr>
          <w:lang w:val="en-US"/>
        </w:rPr>
        <w:t xml:space="preserve"> </w:t>
      </w:r>
      <w:r>
        <w:t xml:space="preserve">16/01/2018, </w:t>
      </w:r>
      <w:r>
        <w:rPr>
          <w:lang w:val="en-US"/>
        </w:rPr>
        <w:t>&lt;</w:t>
      </w:r>
      <w:hyperlink r:id="rId495" w:history="1">
        <w:r>
          <w:rPr>
            <w:rStyle w:val="Hyperlink"/>
          </w:rPr>
          <w:t>https://map.sarig.sa.gov.au/</w:t>
        </w:r>
      </w:hyperlink>
      <w:r>
        <w:rPr>
          <w:rStyle w:val="Hyperlink"/>
        </w:rPr>
        <w:t>&gt;</w:t>
      </w:r>
      <w:r>
        <w:t>.</w:t>
      </w:r>
    </w:p>
    <w:p w14:paraId="56B04CC3" w14:textId="77777777" w:rsidR="00165B39" w:rsidRDefault="00165B39" w:rsidP="00165B39">
      <w:pPr>
        <w:pStyle w:val="References"/>
        <w:rPr>
          <w:rStyle w:val="Hyperlink"/>
        </w:rPr>
      </w:pPr>
      <w:r>
        <w:t>DPCSA (Department of Premier and Cabinet, South Australia) (2017d) Seismic lines. Viewed</w:t>
      </w:r>
      <w:r>
        <w:rPr>
          <w:lang w:val="en-US"/>
        </w:rPr>
        <w:t xml:space="preserve"> </w:t>
      </w:r>
      <w:r>
        <w:t>16/01/2018, &lt;</w:t>
      </w:r>
      <w:hyperlink r:id="rId496" w:history="1">
        <w:r>
          <w:rPr>
            <w:rStyle w:val="Hyperlink"/>
          </w:rPr>
          <w:t>https://map.sarig.sa.gov.au/</w:t>
        </w:r>
      </w:hyperlink>
      <w:r>
        <w:rPr>
          <w:rStyle w:val="Hyperlink"/>
        </w:rPr>
        <w:t>&gt;</w:t>
      </w:r>
      <w:r>
        <w:t xml:space="preserve">. </w:t>
      </w:r>
    </w:p>
    <w:p w14:paraId="4AE8CE42" w14:textId="493148DD" w:rsidR="00A6553D" w:rsidRPr="000350BE" w:rsidRDefault="00A6553D" w:rsidP="008B38C1">
      <w:pPr>
        <w:pStyle w:val="References"/>
      </w:pPr>
      <w:r>
        <w:rPr>
          <w:lang w:val="en-US"/>
        </w:rPr>
        <w:lastRenderedPageBreak/>
        <w:t>DPCSA (Department of Premier and Cabinet, South Australia)</w:t>
      </w:r>
      <w:r w:rsidR="00165B39">
        <w:rPr>
          <w:lang w:val="en-US"/>
        </w:rPr>
        <w:t xml:space="preserve"> (20</w:t>
      </w:r>
      <w:r>
        <w:rPr>
          <w:lang w:val="en-US"/>
        </w:rPr>
        <w:t>17e</w:t>
      </w:r>
      <w:r w:rsidR="00165B39">
        <w:rPr>
          <w:lang w:val="en-US"/>
        </w:rPr>
        <w:t>)</w:t>
      </w:r>
      <w:r>
        <w:rPr>
          <w:lang w:val="en-US"/>
        </w:rPr>
        <w:t xml:space="preserve">. South Australia Otway Basin Acreage Release OT2017-A. </w:t>
      </w:r>
      <w:r w:rsidR="00DC0970">
        <w:t>Viewed</w:t>
      </w:r>
      <w:r w:rsidR="00DC0970">
        <w:rPr>
          <w:lang w:val="en-US"/>
        </w:rPr>
        <w:t xml:space="preserve"> </w:t>
      </w:r>
      <w:r w:rsidR="00DC0970">
        <w:t>16/01/2018, &lt;</w:t>
      </w:r>
      <w:hyperlink r:id="rId497" w:history="1">
        <w:r w:rsidRPr="00D407BA">
          <w:rPr>
            <w:rStyle w:val="Hyperlink"/>
          </w:rPr>
          <w:t>https://sarigbasis.pir.sa.gov.au/WebtopEw/ws/samref/sarig1/image/DDD/PEDP012BROCHURE.pdf</w:t>
        </w:r>
      </w:hyperlink>
      <w:r w:rsidR="00DC0970">
        <w:rPr>
          <w:rStyle w:val="Hyperlink"/>
        </w:rPr>
        <w:t>&gt;</w:t>
      </w:r>
    </w:p>
    <w:p w14:paraId="603D87FA" w14:textId="7295003B" w:rsidR="00A6553D" w:rsidRDefault="00A6553D" w:rsidP="008B38C1">
      <w:pPr>
        <w:pStyle w:val="References"/>
        <w:rPr>
          <w:lang w:val="en-US"/>
        </w:rPr>
      </w:pPr>
      <w:r>
        <w:rPr>
          <w:lang w:val="en-US"/>
        </w:rPr>
        <w:t xml:space="preserve">Edwards DS, Struckmeyer HIM, Bradshaw MT and Skinner JE </w:t>
      </w:r>
      <w:r w:rsidR="00DC0970">
        <w:rPr>
          <w:lang w:val="en-US"/>
        </w:rPr>
        <w:t>(</w:t>
      </w:r>
      <w:r>
        <w:rPr>
          <w:lang w:val="en-US"/>
        </w:rPr>
        <w:t>1999</w:t>
      </w:r>
      <w:r w:rsidR="00DC0970">
        <w:rPr>
          <w:lang w:val="en-US"/>
        </w:rPr>
        <w:t>)</w:t>
      </w:r>
      <w:r>
        <w:rPr>
          <w:lang w:val="en-US"/>
        </w:rPr>
        <w:t xml:space="preserve"> Geochemical characteristics of Australia’s southern margin petroleum systems. </w:t>
      </w:r>
      <w:r>
        <w:t xml:space="preserve">The </w:t>
      </w:r>
      <w:r>
        <w:rPr>
          <w:lang w:val="en-US"/>
        </w:rPr>
        <w:t>APPEA Journal, 39(1), 297–321.</w:t>
      </w:r>
    </w:p>
    <w:p w14:paraId="3F116D3D" w14:textId="77777777" w:rsidR="00FE4817" w:rsidRDefault="00FE4817" w:rsidP="00FE4817">
      <w:pPr>
        <w:pStyle w:val="References"/>
      </w:pPr>
      <w:r>
        <w:t xml:space="preserve">GA (Geoscience Australia) (2015a) </w:t>
      </w:r>
      <w:r w:rsidRPr="00093164">
        <w:t>Oil and Gas Infrastructure</w:t>
      </w:r>
      <w:r>
        <w:t>. Viewed 16/01/2018, &lt;</w:t>
      </w:r>
      <w:hyperlink r:id="rId498" w:history="1">
        <w:r w:rsidRPr="0065740D">
          <w:rPr>
            <w:rStyle w:val="Hyperlink"/>
          </w:rPr>
          <w:t>http://services.ga.gov.au/site_9/rest/services/Oil_Gas_Infrastructure/MapServer</w:t>
        </w:r>
      </w:hyperlink>
      <w:r>
        <w:rPr>
          <w:rStyle w:val="Hyperlink"/>
        </w:rPr>
        <w:t>&gt;.</w:t>
      </w:r>
    </w:p>
    <w:p w14:paraId="1A989D5F" w14:textId="77777777" w:rsidR="00FE4817" w:rsidRDefault="00FE4817" w:rsidP="00FE4817">
      <w:pPr>
        <w:pStyle w:val="References"/>
      </w:pPr>
      <w:r>
        <w:t xml:space="preserve">GA (Geoscience Australia) (2015b) </w:t>
      </w:r>
      <w:r w:rsidRPr="00093164">
        <w:t xml:space="preserve">Oil and Gas </w:t>
      </w:r>
      <w:r>
        <w:t xml:space="preserve">platforms. </w:t>
      </w:r>
      <w:r w:rsidRPr="000C32BC">
        <w:t>Viewed 16/01/2018</w:t>
      </w:r>
      <w:r>
        <w:t>, &lt;</w:t>
      </w:r>
      <w:hyperlink r:id="rId499" w:anchor="!0a4a79dc-978a-0e89-e054-00144fdd4fa6" w:history="1">
        <w:r w:rsidRPr="00743C84">
          <w:rPr>
            <w:rStyle w:val="Hyperlink"/>
          </w:rPr>
          <w:t>https://ecat.ga.gov.au/geonetwork/srv/eng/search#!0a4a79dc-978a-0e89-e054-00144fdd4fa6</w:t>
        </w:r>
      </w:hyperlink>
      <w:r>
        <w:rPr>
          <w:rStyle w:val="Hyperlink"/>
        </w:rPr>
        <w:t>&gt;.</w:t>
      </w:r>
      <w:r>
        <w:t xml:space="preserve"> </w:t>
      </w:r>
    </w:p>
    <w:p w14:paraId="10DC9775" w14:textId="24E2D144" w:rsidR="00983C9B" w:rsidRPr="009B2A2E" w:rsidRDefault="00983C9B" w:rsidP="00983C9B">
      <w:pPr>
        <w:pStyle w:val="References"/>
      </w:pPr>
      <w:r w:rsidRPr="009B2A2E">
        <w:t>GA (</w:t>
      </w:r>
      <w:r>
        <w:t>Geoscience Australia) (2017)</w:t>
      </w:r>
      <w:r w:rsidRPr="009B2A2E">
        <w:t xml:space="preserve"> </w:t>
      </w:r>
      <w:r>
        <w:t xml:space="preserve">Interim </w:t>
      </w:r>
      <w:r w:rsidRPr="009B2A2E">
        <w:t xml:space="preserve">Otway </w:t>
      </w:r>
      <w:r>
        <w:t xml:space="preserve">Basin unconventional </w:t>
      </w:r>
      <w:r w:rsidRPr="009B2A2E">
        <w:t>resource assessment</w:t>
      </w:r>
      <w:r>
        <w:t>. Viewed</w:t>
      </w:r>
      <w:r w:rsidRPr="00CD20C0">
        <w:t xml:space="preserve"> </w:t>
      </w:r>
      <w:r>
        <w:t>16/01/2018, &lt;</w:t>
      </w:r>
      <w:hyperlink r:id="rId500" w:history="1">
        <w:r w:rsidRPr="00C03A7D">
          <w:rPr>
            <w:rStyle w:val="Hyperlink"/>
          </w:rPr>
          <w:t>http://www.ga.gov.au/metadata-gateway/metadata/record/104440</w:t>
        </w:r>
      </w:hyperlink>
      <w:r>
        <w:t>&gt;.</w:t>
      </w:r>
    </w:p>
    <w:p w14:paraId="6B05E6A5" w14:textId="4B5D0271" w:rsidR="00A6553D" w:rsidRDefault="00A6553D" w:rsidP="008B38C1">
      <w:pPr>
        <w:pStyle w:val="References"/>
        <w:rPr>
          <w:rFonts w:eastAsiaTheme="minorHAnsi"/>
          <w:lang w:eastAsia="en-US"/>
        </w:rPr>
      </w:pPr>
      <w:r>
        <w:rPr>
          <w:rFonts w:eastAsiaTheme="minorHAnsi"/>
          <w:lang w:eastAsia="en-US"/>
        </w:rPr>
        <w:t>GHD</w:t>
      </w:r>
      <w:r w:rsidR="00165B39">
        <w:rPr>
          <w:rFonts w:eastAsiaTheme="minorHAnsi"/>
          <w:lang w:eastAsia="en-US"/>
        </w:rPr>
        <w:t xml:space="preserve"> (20</w:t>
      </w:r>
      <w:r>
        <w:rPr>
          <w:rFonts w:eastAsiaTheme="minorHAnsi"/>
          <w:lang w:eastAsia="en-US"/>
        </w:rPr>
        <w:t>12</w:t>
      </w:r>
      <w:r w:rsidR="00DC0970">
        <w:rPr>
          <w:rFonts w:eastAsiaTheme="minorHAnsi"/>
          <w:lang w:eastAsia="en-US"/>
        </w:rPr>
        <w:t>)</w:t>
      </w:r>
      <w:r>
        <w:rPr>
          <w:rFonts w:eastAsiaTheme="minorHAnsi"/>
          <w:lang w:eastAsia="en-US"/>
        </w:rPr>
        <w:t xml:space="preserve"> Victorian Aquifer Framework: Updates for Seamless Mapping of Aquifer Surfaces. Report prepared for the Victorian Department of Sustainability and Environment, May 2012.</w:t>
      </w:r>
    </w:p>
    <w:p w14:paraId="5C6E2706" w14:textId="629784D6" w:rsidR="00A6553D" w:rsidRDefault="00A6553D" w:rsidP="008B38C1">
      <w:pPr>
        <w:pStyle w:val="References"/>
        <w:rPr>
          <w:rFonts w:eastAsia="Times New Roman"/>
        </w:rPr>
      </w:pPr>
      <w:r>
        <w:t>Glenelg Hopkins CMA</w:t>
      </w:r>
      <w:r w:rsidR="00165B39">
        <w:t xml:space="preserve"> (20</w:t>
      </w:r>
      <w:r>
        <w:t>16</w:t>
      </w:r>
      <w:r w:rsidR="00DC0970">
        <w:t>)</w:t>
      </w:r>
      <w:r>
        <w:t xml:space="preserve"> Glenelg River Environmental Water Management Plan 2016. </w:t>
      </w:r>
      <w:r w:rsidR="00DC0970">
        <w:t>Viewed</w:t>
      </w:r>
      <w:r w:rsidR="00DC0970" w:rsidRPr="00CD20C0">
        <w:t xml:space="preserve"> </w:t>
      </w:r>
      <w:r w:rsidR="00DC0970">
        <w:t>17/08/2017, &lt;</w:t>
      </w:r>
      <w:hyperlink r:id="rId501" w:history="1">
        <w:r w:rsidRPr="00D407BA">
          <w:rPr>
            <w:rStyle w:val="Hyperlink"/>
          </w:rPr>
          <w:t>http://www.vewh.vic.gov.au/__data/assets/pdf_file/0004/357529/Glenelg-River-EWMP-FINAL-reduced-size.pdf</w:t>
        </w:r>
      </w:hyperlink>
      <w:r w:rsidR="00DC0970">
        <w:t>&gt;.</w:t>
      </w:r>
    </w:p>
    <w:p w14:paraId="473E42E2" w14:textId="77777777" w:rsidR="00DC0970" w:rsidRDefault="00DC0970" w:rsidP="00DC0970">
      <w:pPr>
        <w:pStyle w:val="References"/>
      </w:pPr>
      <w:r>
        <w:t>Goldie Divko LM (2015) A review of gas prospectivity: Gippsland region. Department of Economic Development, Jobs, Transport and Resources. Melbourne, Victoria.</w:t>
      </w:r>
    </w:p>
    <w:p w14:paraId="42591A0E" w14:textId="77777777" w:rsidR="00263072" w:rsidRDefault="00263072" w:rsidP="00263072">
      <w:pPr>
        <w:pStyle w:val="References"/>
      </w:pPr>
      <w:r>
        <w:t>Goldstein B, Menpes S, Hill A, Wickham A, Alexander E, Jarosz M, Pepicelli D, Malavazos M, Staritski K, Taliangis P, Coda J, Hill D and Webb M (2012) Roadmap for Unconventional Gas Projects in South Australia. Department for Manufacturing, Innovation, Trade, Resources and Energy, 267p. Viewed 18/01/2018, &lt;</w:t>
      </w:r>
      <w:hyperlink r:id="rId502" w:history="1">
        <w:r>
          <w:rPr>
            <w:rStyle w:val="Hyperlink"/>
          </w:rPr>
          <w:t>https://statedevelopment.sa.gov.au/resourcesUNPUBLISHED/unconventional-gas-projects</w:t>
        </w:r>
      </w:hyperlink>
      <w:r>
        <w:t>&gt;.</w:t>
      </w:r>
    </w:p>
    <w:p w14:paraId="10B7EDBB" w14:textId="014FAB65" w:rsidR="00263072" w:rsidRDefault="00263072" w:rsidP="00263072">
      <w:pPr>
        <w:pStyle w:val="References"/>
      </w:pPr>
      <w:r>
        <w:t xml:space="preserve">GSV (Geological Survey Victoria) (2009) The polygons depict the outline of 3D surveys. These outlines illustrate the survey outlines but are not consistently defined. Viewed 11/08/2017, </w:t>
      </w:r>
      <w:hyperlink r:id="rId503" w:history="1">
        <w:r>
          <w:rPr>
            <w:rStyle w:val="Hyperlink"/>
          </w:rPr>
          <w:t>http://services.land.vic.gov.au/SpatialDatamart/viewMetadata.html?anzlicId=ANZVI0803002766&amp;extractionProviderId=1</w:t>
        </w:r>
      </w:hyperlink>
      <w:r>
        <w:rPr>
          <w:rStyle w:val="Hyperlink"/>
        </w:rPr>
        <w:t>&gt;.</w:t>
      </w:r>
    </w:p>
    <w:p w14:paraId="7B27D6C0" w14:textId="77777777" w:rsidR="00263072" w:rsidRDefault="00263072" w:rsidP="00263072">
      <w:pPr>
        <w:pStyle w:val="References"/>
      </w:pPr>
      <w:r>
        <w:t>GSV (Geological Survey Victoria) (2017a) Seismic Survey Lines - for Petroleum Industry Exploration. Viewed 1/08/2017, &lt;</w:t>
      </w:r>
      <w:r>
        <w:rPr>
          <w:rStyle w:val="Hyperlink"/>
        </w:rPr>
        <w:t>https://www.data.vic.gov.au/data/dataset/seismic-survey-lines-for-petroleum-industry-exploration&gt;</w:t>
      </w:r>
      <w:r>
        <w:t>.</w:t>
      </w:r>
    </w:p>
    <w:p w14:paraId="42669051" w14:textId="77777777" w:rsidR="00263072" w:rsidRDefault="00263072" w:rsidP="00263072">
      <w:pPr>
        <w:pStyle w:val="References"/>
      </w:pPr>
      <w:r>
        <w:t>GSV (Geological Survey Victoria) (2017b) Petroleum Wells (from Minerals and Petroleum's DbMap database) Viewed 11/08/2017, &lt;</w:t>
      </w:r>
      <w:hyperlink r:id="rId504" w:history="1">
        <w:r>
          <w:rPr>
            <w:rStyle w:val="Hyperlink"/>
          </w:rPr>
          <w:t>http://services.land.vic.gov.au/SpatialDatamart/viewMetadata.html?anzlicId=ANZVI0803002954&amp;extractionProviderId=1</w:t>
        </w:r>
      </w:hyperlink>
      <w:r>
        <w:rPr>
          <w:rStyle w:val="Hyperlink"/>
        </w:rPr>
        <w:t>&gt;.</w:t>
      </w:r>
    </w:p>
    <w:p w14:paraId="5C1003C9" w14:textId="621E1814" w:rsidR="00A6553D" w:rsidRPr="000350BE" w:rsidRDefault="00A6553D" w:rsidP="00263072">
      <w:pPr>
        <w:pStyle w:val="References"/>
      </w:pPr>
      <w:r>
        <w:lastRenderedPageBreak/>
        <w:t>Jorand C Krassay A and Hall L</w:t>
      </w:r>
      <w:r w:rsidR="00DC0970">
        <w:t xml:space="preserve"> </w:t>
      </w:r>
      <w:r w:rsidR="00165B39">
        <w:t>(20</w:t>
      </w:r>
      <w:r>
        <w:t>10</w:t>
      </w:r>
      <w:r w:rsidR="00DC0970">
        <w:t>)</w:t>
      </w:r>
      <w:r>
        <w:t xml:space="preserve"> Otway Basin Hot Sedimentary Aquifers and SEEBASE Project. Department of Primary Industries and Resources, South Australia. Report Book 2010/00010. </w:t>
      </w:r>
      <w:r w:rsidR="00DC0970">
        <w:t>Viewed 18/01/2018, &lt;</w:t>
      </w:r>
      <w:hyperlink r:id="rId505" w:history="1">
        <w:r w:rsidRPr="00D407BA">
          <w:rPr>
            <w:rStyle w:val="Hyperlink"/>
          </w:rPr>
          <w:t>https://sarigbasis.pir.sa.gov.au/WebtopEw/ws/samref/sarig1/image/DDD/RB201000010.pdf</w:t>
        </w:r>
      </w:hyperlink>
      <w:r w:rsidR="00DC0970">
        <w:rPr>
          <w:rStyle w:val="Hyperlink"/>
        </w:rPr>
        <w:t>&gt;</w:t>
      </w:r>
    </w:p>
    <w:p w14:paraId="772F2B5B" w14:textId="77777777" w:rsidR="00263072" w:rsidRDefault="00263072" w:rsidP="00263072">
      <w:pPr>
        <w:pStyle w:val="References"/>
      </w:pPr>
      <w:r>
        <w:rPr>
          <w:lang w:val="en-US"/>
        </w:rPr>
        <w:t xml:space="preserve">Krassay AA, Cathro DL and Ryan DJ (2004) A regional tectonostratigraphic framework for the Otway Basin. </w:t>
      </w:r>
      <w:r>
        <w:t>In: Boult PJ, Johns DR and Lang SC (eds), Eastern Australasian Basins Symposium II. Petroleum Exploration Society of Australia, Special Publication, 97–116.</w:t>
      </w:r>
    </w:p>
    <w:p w14:paraId="3468A551" w14:textId="297B8E4B" w:rsidR="00A6553D" w:rsidRDefault="00A6553D" w:rsidP="00263072">
      <w:pPr>
        <w:pStyle w:val="References"/>
        <w:rPr>
          <w:rStyle w:val="Hyperlink"/>
        </w:rPr>
      </w:pPr>
      <w:r>
        <w:t>Lakes Oil NL</w:t>
      </w:r>
      <w:r w:rsidR="00165B39">
        <w:t xml:space="preserve"> (20</w:t>
      </w:r>
      <w:r>
        <w:t>16</w:t>
      </w:r>
      <w:r w:rsidR="00DC0970">
        <w:t>)</w:t>
      </w:r>
      <w:r>
        <w:t xml:space="preserve"> Annual report 30 June 2016. </w:t>
      </w:r>
      <w:r w:rsidR="00DC0970">
        <w:t>Viewed 18/01/2018, &lt;</w:t>
      </w:r>
      <w:r w:rsidR="00DC0970" w:rsidRPr="00DC0970">
        <w:rPr>
          <w:rStyle w:val="Hyperlink"/>
        </w:rPr>
        <w:t>http://lakesoil.net.au/announcements/announcements-2016/&gt;.</w:t>
      </w:r>
    </w:p>
    <w:p w14:paraId="2D9AE0EE" w14:textId="3A0A362C" w:rsidR="00A6553D" w:rsidRPr="000350BE" w:rsidRDefault="00A6553D" w:rsidP="008B38C1">
      <w:pPr>
        <w:pStyle w:val="References"/>
      </w:pPr>
      <w:r>
        <w:t>Leonard JG</w:t>
      </w:r>
      <w:r w:rsidR="00165B39">
        <w:t xml:space="preserve"> (20</w:t>
      </w:r>
      <w:r>
        <w:t>03</w:t>
      </w:r>
      <w:r w:rsidR="00DC0970">
        <w:t>)</w:t>
      </w:r>
      <w:r>
        <w:t xml:space="preserve"> Groundwater, In: Birch WD (ed</w:t>
      </w:r>
      <w:r w:rsidR="00165B39">
        <w:t>.</w:t>
      </w:r>
      <w:r>
        <w:t>), Geology of Victoria, Geological Society of Australia, p. 521-531</w:t>
      </w:r>
    </w:p>
    <w:p w14:paraId="29B3CF66" w14:textId="3F3AB94A" w:rsidR="00A6553D" w:rsidRDefault="00A6553D" w:rsidP="008B38C1">
      <w:pPr>
        <w:pStyle w:val="References"/>
      </w:pPr>
      <w:r>
        <w:t>Mehin K and Kamel M</w:t>
      </w:r>
      <w:r w:rsidR="00165B39">
        <w:t xml:space="preserve"> (20</w:t>
      </w:r>
      <w:r>
        <w:t>02</w:t>
      </w:r>
      <w:r w:rsidR="00DC0970">
        <w:t>)</w:t>
      </w:r>
      <w:r>
        <w:t xml:space="preserve"> Gas Resources of the Otway Basin in Victoria. Department of Natural Resources and Environment.</w:t>
      </w:r>
    </w:p>
    <w:p w14:paraId="115562AE" w14:textId="77777777" w:rsidR="00CB0530" w:rsidRDefault="00CB0530" w:rsidP="00CB0530">
      <w:pPr>
        <w:pStyle w:val="References"/>
      </w:pPr>
      <w:r>
        <w:t>Raymond OL, Gallagher R and Highet LM (2012) Surface geology of Australia, 1:2 500 00 scale, 2012 edition. Geoscience Australia, Canberra. Viewed 16/01/2018, &lt;</w:t>
      </w:r>
      <w:hyperlink r:id="rId506" w:anchor="!b4088aa1-f875-2444-e044-00144fdd4fa6" w:history="1">
        <w:r w:rsidRPr="00A576A0">
          <w:rPr>
            <w:rStyle w:val="Hyperlink"/>
          </w:rPr>
          <w:t>https://ecat.ga.gov.au/geonetwork/srv/eng/search#!b4088aa1-f875-2444-e044-00144fdd4fa6</w:t>
        </w:r>
      </w:hyperlink>
      <w:r>
        <w:rPr>
          <w:rStyle w:val="Hyperlink"/>
        </w:rPr>
        <w:t>&gt;.</w:t>
      </w:r>
      <w:r>
        <w:t xml:space="preserve">   </w:t>
      </w:r>
    </w:p>
    <w:p w14:paraId="60587088" w14:textId="0661C4EF" w:rsidR="00A6553D" w:rsidRPr="000350BE" w:rsidRDefault="00A6553D" w:rsidP="008B38C1">
      <w:pPr>
        <w:pStyle w:val="References"/>
      </w:pPr>
      <w:r>
        <w:rPr>
          <w:rFonts w:eastAsiaTheme="minorHAnsi"/>
          <w:lang w:eastAsia="en-US"/>
        </w:rPr>
        <w:t>SKM</w:t>
      </w:r>
      <w:r w:rsidR="00165B39">
        <w:rPr>
          <w:rFonts w:eastAsiaTheme="minorHAnsi"/>
          <w:lang w:eastAsia="en-US"/>
        </w:rPr>
        <w:t xml:space="preserve"> (20</w:t>
      </w:r>
      <w:r>
        <w:rPr>
          <w:rFonts w:eastAsiaTheme="minorHAnsi"/>
          <w:lang w:eastAsia="en-US"/>
        </w:rPr>
        <w:t>09</w:t>
      </w:r>
      <w:r w:rsidR="00DC0970">
        <w:rPr>
          <w:rFonts w:eastAsiaTheme="minorHAnsi"/>
          <w:lang w:eastAsia="en-US"/>
        </w:rPr>
        <w:t>)</w:t>
      </w:r>
      <w:r>
        <w:rPr>
          <w:rFonts w:eastAsiaTheme="minorHAnsi"/>
          <w:lang w:eastAsia="en-US"/>
        </w:rPr>
        <w:t xml:space="preserve"> Hydrogeological Mapping of Southern Victoria. SKM consulting, unpublished report for Southern Rural Water (Victoria).</w:t>
      </w:r>
    </w:p>
    <w:p w14:paraId="1ECEC16B" w14:textId="77777777" w:rsidR="00CB0530" w:rsidRPr="00E70BDF" w:rsidRDefault="00CB0530" w:rsidP="00CB0530">
      <w:pPr>
        <w:pStyle w:val="References"/>
        <w:rPr>
          <w:rStyle w:val="Hyperlink"/>
        </w:rPr>
      </w:pPr>
      <w:r>
        <w:t>Stewart AJ, Raymond OL, Totterdell JM, Zhang W and Gallagher R (2013) Australian Geological Provinces, 2013.01 edition, scale 1:2 500 000. Geoscience Australia, Canberra. Viewed 16/01/2018, &lt;</w:t>
      </w:r>
      <w:hyperlink r:id="rId507" w:anchor="!2680f4bb-8494-14fc-e053-10a3070a4107" w:history="1">
        <w:r w:rsidRPr="0065740D">
          <w:rPr>
            <w:rStyle w:val="Hyperlink"/>
          </w:rPr>
          <w:t>https://ecat.ga.gov.au/geonetwork/srv/eng/search#!2680f4bb-8494-14fc-e053-10a3070a4107</w:t>
        </w:r>
      </w:hyperlink>
      <w:r>
        <w:rPr>
          <w:rStyle w:val="Hyperlink"/>
        </w:rPr>
        <w:t>&gt;.</w:t>
      </w:r>
      <w:r>
        <w:t xml:space="preserve"> </w:t>
      </w:r>
    </w:p>
    <w:p w14:paraId="595E46B1" w14:textId="09A3BFED" w:rsidR="003E19DE" w:rsidRPr="00C03A7D" w:rsidRDefault="00A6553D">
      <w:pPr>
        <w:pStyle w:val="References"/>
      </w:pPr>
      <w:r>
        <w:t xml:space="preserve">Tassone DR, Holford SP, Duddy IR, Green PF and Hillis RR </w:t>
      </w:r>
      <w:r w:rsidR="00DC0970">
        <w:t>(</w:t>
      </w:r>
      <w:r>
        <w:t>2014</w:t>
      </w:r>
      <w:r w:rsidR="00DC0970">
        <w:t>)</w:t>
      </w:r>
      <w:r>
        <w:t xml:space="preserve"> Quantifying Cretaceous–Cenozoic exhumation in the Otway Basin, southeastern Australia, using sonic transit time data: </w:t>
      </w:r>
      <w:r w:rsidRPr="00C03A7D">
        <w:t>Implications for conventional and unconventional hydrocarbon prospectivity. AAPG Bulletin, 98(1), 67–117.</w:t>
      </w:r>
    </w:p>
    <w:p w14:paraId="20B9AE36" w14:textId="77777777" w:rsidR="00263072" w:rsidRDefault="00263072" w:rsidP="00263072">
      <w:pPr>
        <w:pStyle w:val="References"/>
      </w:pPr>
      <w:r>
        <w:t>Victorian Government (2017) Media release March 2017. Viewed 16/01/2018, &lt;</w:t>
      </w:r>
      <w:hyperlink r:id="rId508" w:history="1">
        <w:r>
          <w:rPr>
            <w:rStyle w:val="Hyperlink"/>
          </w:rPr>
          <w:t>http://www.premier.vic.gov.au/fracking-banned-in-victoria-giving-certainty-to-farmers/</w:t>
        </w:r>
      </w:hyperlink>
      <w:r>
        <w:rPr>
          <w:rStyle w:val="Hyperlink"/>
        </w:rPr>
        <w:t>&gt;</w:t>
      </w:r>
      <w:r>
        <w:t xml:space="preserve">.   </w:t>
      </w:r>
    </w:p>
    <w:p w14:paraId="26EA4BCE" w14:textId="649D8D13" w:rsidR="008B38C1" w:rsidRDefault="008B38C1" w:rsidP="008B38C1">
      <w:pPr>
        <w:pStyle w:val="References"/>
      </w:pPr>
      <w:r>
        <w:t xml:space="preserve"> </w:t>
      </w:r>
    </w:p>
    <w:p w14:paraId="056AE672" w14:textId="77777777" w:rsidR="008B38C1" w:rsidRDefault="008B38C1" w:rsidP="008B38C1">
      <w:pPr>
        <w:pStyle w:val="References"/>
      </w:pPr>
    </w:p>
    <w:p w14:paraId="71175743" w14:textId="77777777" w:rsidR="008B38C1" w:rsidRDefault="008B38C1" w:rsidP="008B38C1">
      <w:pPr>
        <w:pStyle w:val="References"/>
      </w:pPr>
    </w:p>
    <w:p w14:paraId="277B99DB" w14:textId="77777777" w:rsidR="008B38C1" w:rsidRDefault="008B38C1" w:rsidP="008B38C1">
      <w:pPr>
        <w:pStyle w:val="BodyText"/>
      </w:pPr>
    </w:p>
    <w:p w14:paraId="4BCA2B6B" w14:textId="77777777" w:rsidR="008B38C1" w:rsidRPr="00A43B22" w:rsidRDefault="008B38C1" w:rsidP="008B38C1">
      <w:pPr>
        <w:pStyle w:val="BodyText"/>
      </w:pPr>
    </w:p>
    <w:bookmarkEnd w:id="6"/>
    <w:bookmarkEnd w:id="7"/>
    <w:p w14:paraId="25F07EF1" w14:textId="1504B7B1" w:rsidR="007225BD" w:rsidRDefault="007225BD" w:rsidP="00D1044D"/>
    <w:p w14:paraId="7107B526" w14:textId="77777777" w:rsidR="007225BD" w:rsidRDefault="007225BD">
      <w:pPr>
        <w:spacing w:after="180"/>
      </w:pPr>
      <w:r>
        <w:lastRenderedPageBreak/>
        <w:br w:type="page"/>
      </w:r>
    </w:p>
    <w:p w14:paraId="3421F019" w14:textId="77777777" w:rsidR="008B4858" w:rsidRDefault="008B4858" w:rsidP="00D1044D">
      <w:pPr>
        <w:sectPr w:rsidR="008B4858" w:rsidSect="005E271C">
          <w:headerReference w:type="even" r:id="rId509"/>
          <w:headerReference w:type="default" r:id="rId510"/>
          <w:pgSz w:w="11906" w:h="16838" w:code="9"/>
          <w:pgMar w:top="1247" w:right="1134" w:bottom="1134" w:left="1134" w:header="510" w:footer="624" w:gutter="0"/>
          <w:cols w:space="284"/>
          <w:docGrid w:linePitch="360"/>
        </w:sectPr>
      </w:pPr>
    </w:p>
    <w:sdt>
      <w:sdtPr>
        <w:id w:val="5606899"/>
        <w:docPartObj>
          <w:docPartGallery w:val="Cover Pages"/>
        </w:docPartObj>
      </w:sdtPr>
      <w:sdtEndPr/>
      <w:sdtContent>
        <w:p w14:paraId="16429994" w14:textId="77777777" w:rsidR="000F047C" w:rsidRDefault="000F047C" w:rsidP="000F047C">
          <w:pPr>
            <w:pStyle w:val="BodyText"/>
          </w:pPr>
          <w:r>
            <w:rPr>
              <w:noProof/>
            </w:rPr>
            <w:drawing>
              <wp:anchor distT="0" distB="0" distL="114300" distR="114300" simplePos="0" relativeHeight="251658255" behindDoc="0" locked="1" layoutInCell="1" allowOverlap="1" wp14:anchorId="27152508" wp14:editId="713A73C7">
                <wp:simplePos x="0" y="0"/>
                <wp:positionH relativeFrom="page">
                  <wp:posOffset>2540</wp:posOffset>
                </wp:positionH>
                <wp:positionV relativeFrom="page">
                  <wp:posOffset>-31115</wp:posOffset>
                </wp:positionV>
                <wp:extent cx="7590790" cy="2353945"/>
                <wp:effectExtent l="0" t="0" r="0" b="825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11" cstate="screen">
                          <a:extLst>
                            <a:ext uri="{28A0092B-C50C-407E-A947-70E740481C1C}">
                              <a14:useLocalDpi xmlns:a14="http://schemas.microsoft.com/office/drawing/2010/main"/>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140A74D2" w14:textId="77777777" w:rsidR="000F047C" w:rsidRPr="000F047C" w:rsidRDefault="008079F1" w:rsidP="000F047C">
      <w:pPr>
        <w:pStyle w:val="BackCoverText"/>
      </w:pPr>
      <w:hyperlink r:id="rId512" w:tooltip="Bioregional Assessments Programme website" w:history="1">
        <w:r w:rsidR="000F047C">
          <w:rPr>
            <w:rStyle w:val="Hyperlink"/>
          </w:rPr>
          <w:t>www.bioregionalassessments.gov.au</w:t>
        </w:r>
      </w:hyperlink>
    </w:p>
    <w:p w14:paraId="70305CA6" w14:textId="77777777" w:rsidR="000F047C" w:rsidRDefault="000F047C" w:rsidP="000F047C">
      <w:pPr>
        <w:pStyle w:val="BodyText"/>
      </w:pPr>
      <w:r>
        <w:rPr>
          <w:noProof/>
        </w:rPr>
        <w:drawing>
          <wp:anchor distT="0" distB="0" distL="114300" distR="114300" simplePos="0" relativeHeight="251658256" behindDoc="0" locked="1" layoutInCell="1" allowOverlap="1" wp14:anchorId="6A788B42" wp14:editId="2D834775">
            <wp:simplePos x="0" y="0"/>
            <wp:positionH relativeFrom="margin">
              <wp:posOffset>-735330</wp:posOffset>
            </wp:positionH>
            <wp:positionV relativeFrom="margin">
              <wp:posOffset>5073015</wp:posOffset>
            </wp:positionV>
            <wp:extent cx="7593965" cy="5629910"/>
            <wp:effectExtent l="0" t="0" r="6985" b="889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13" cstate="screen">
                      <a:extLst>
                        <a:ext uri="{28A0092B-C50C-407E-A947-70E740481C1C}">
                          <a14:useLocalDpi xmlns:a14="http://schemas.microsoft.com/office/drawing/2010/main"/>
                        </a:ext>
                      </a:extLst>
                    </a:blip>
                    <a:stretch>
                      <a:fillRect/>
                    </a:stretch>
                  </pic:blipFill>
                  <pic:spPr bwMode="auto">
                    <a:xfrm>
                      <a:off x="0" y="0"/>
                      <a:ext cx="7593965" cy="5629910"/>
                    </a:xfrm>
                    <a:prstGeom prst="rect">
                      <a:avLst/>
                    </a:prstGeom>
                    <a:noFill/>
                  </pic:spPr>
                </pic:pic>
              </a:graphicData>
            </a:graphic>
          </wp:anchor>
        </w:drawing>
      </w:r>
    </w:p>
    <w:p w14:paraId="0A5F4DA2" w14:textId="77777777" w:rsidR="00952575" w:rsidRPr="00952575" w:rsidRDefault="00CB712C" w:rsidP="0070099A">
      <w:pPr>
        <w:pStyle w:val="BackCoverLogos"/>
        <w:rPr>
          <w:rStyle w:val="Glossaryhyperlink"/>
        </w:rPr>
      </w:pPr>
      <w:r>
        <mc:AlternateContent>
          <mc:Choice Requires="wpg">
            <w:drawing>
              <wp:anchor distT="0" distB="0" distL="114300" distR="114300" simplePos="0" relativeHeight="251658258" behindDoc="1" locked="0" layoutInCell="1" allowOverlap="1" wp14:anchorId="20591D3C" wp14:editId="15C35673">
                <wp:simplePos x="0" y="0"/>
                <wp:positionH relativeFrom="column">
                  <wp:posOffset>-1519555</wp:posOffset>
                </wp:positionH>
                <wp:positionV relativeFrom="page">
                  <wp:posOffset>7427595</wp:posOffset>
                </wp:positionV>
                <wp:extent cx="14799310" cy="397065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60" name=""/>
                        <wps:cNvSpPr/>
                        <wps:spPr>
                          <a:xfrm>
                            <a:off x="0" y="5584169"/>
                            <a:ext cx="14799310" cy="3970655"/>
                          </a:xfrm>
                          <a:prstGeom prst="rect">
                            <a:avLst/>
                          </a:prstGeom>
                          <a:noFill/>
                        </wps:spPr>
                        <wps:bodyPr/>
                      </wps:wsp>
                      <wps:wsp>
                        <wps:cNvPr id="61" name=""/>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604EA3" w14:textId="77777777" w:rsidR="00640CCB" w:rsidRDefault="00640CCB" w:rsidP="000F047C">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591D3C" id="Group 59" o:spid="_x0000_s1032" alt="background image" style="position:absolute;left:0;text-align:left;margin-left:-119.65pt;margin-top:584.85pt;width:1165.3pt;height:312.65pt;z-index:-251658222;mso-position-vertical-relative:page" coordsize="147993,9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">
                <v:rect id="Rectangle 60" o:spid="_x0000_s1033" style="position:absolute;top:55841;width:147993;height:39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EYsIA&#10;AADbAAAADwAAAGRycy9kb3ducmV2LnhtbERPTWuDQBC9F/Iflgn0Upq1OUix2UgQQiQUQk2a8+BO&#10;VeLOqrtV8++zh0KPj/e9SWfTipEG11hW8LaKQBCXVjdcKbic96/vIJxH1thaJgV3cpBuF08bTLSd&#10;+IvGwlcihLBLUEHtfZdI6cqaDLqV7YgD92MHgz7AoZJ6wCmEm1auoyiWBhsODTV2lNVU3opfo2Aq&#10;T+P1/HmQp5drbrnP+6z4Pir1vJx3HyA8zf5f/OfOtYI4rA9fwg+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oRiwgAAANsAAAAPAAAAAAAAAAAAAAAAAJgCAABkcnMvZG93&#10;bnJldi54bWxQSwUGAAAAAAQABAD1AAAAhwMAAAAA&#10;" filled="f" stroked="f"/>
                <v:shape id="Freeform 61" o:spid="_x0000_s1034" style="position:absolute;left:8025;width:136843;height:2806;visibility:visible;mso-wrap-style:square;v-text-anchor:top" coordsize="4233,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70qsUA&#10;AADbAAAADwAAAGRycy9kb3ducmV2LnhtbESPQWvCQBSE74X+h+UVems2tqKSukoJBCqIoLbg8TX7&#10;TILZt+nuGuO/dwsFj8PMfMPMl4NpRU/ON5YVjJIUBHFpdcOVgq998TID4QOyxtYyKbiSh+Xi8WGO&#10;mbYX3lK/C5WIEPYZKqhD6DIpfVmTQZ/Yjjh6R+sMhihdJbXDS4SbVr6m6UQabDgu1NhRXlN52p2N&#10;gt58u0Ox+fktp+e83XYrP7Zva6Wen4aPdxCBhnAP/7c/tYLJCP6+xB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vSqxQAAANsAAAAPAAAAAAAAAAAAAAAAAJgCAABkcnMv&#10;ZG93bnJldi54bWxQSwUGAAAAAAQABAD1AAAAigMAAAAA&#10;" adj="-11796480,,5400" path="m4080,87v93,,127,-28,153,-37c4192,26,4159,,4082,,,,,,,,,87,,87,,87r4080,xe" stroked="f">
                  <v:stroke joinstyle="round"/>
                  <v:formulas/>
                  <v:path arrowok="t" o:connecttype="custom" o:connectlocs="2147483646,905254307;2147483646,520262393;2147483646,0;0,0;0,905254307;2147483646,905254307" o:connectangles="0,0,0,0,0,0" textboxrect="0,0,4233,87"/>
                  <v:textbox>
                    <w:txbxContent>
                      <w:p w14:paraId="2F604EA3" w14:textId="77777777" w:rsidR="00640CCB" w:rsidRDefault="00640CCB" w:rsidP="000F047C">
                        <w:pPr>
                          <w:rPr>
                            <w:rFonts w:eastAsia="Times New Roman"/>
                          </w:rPr>
                        </w:pPr>
                      </w:p>
                    </w:txbxContent>
                  </v:textbox>
                </v:shape>
                <w10:wrap anchory="page"/>
              </v:group>
            </w:pict>
          </mc:Fallback>
        </mc:AlternateContent>
      </w:r>
      <w:r>
        <mc:AlternateContent>
          <mc:Choice Requires="wpc">
            <w:drawing>
              <wp:anchor distT="0" distB="0" distL="114300" distR="114300" simplePos="0" relativeHeight="251658257" behindDoc="1" locked="0" layoutInCell="1" allowOverlap="1" wp14:anchorId="01D8307B" wp14:editId="5DC882B9">
                <wp:simplePos x="0" y="0"/>
                <wp:positionH relativeFrom="column">
                  <wp:posOffset>-1519555</wp:posOffset>
                </wp:positionH>
                <wp:positionV relativeFrom="page">
                  <wp:posOffset>7427595</wp:posOffset>
                </wp:positionV>
                <wp:extent cx="14799310" cy="3970655"/>
                <wp:effectExtent l="0" t="0" r="0" b="0"/>
                <wp:wrapNone/>
                <wp:docPr id="8" name="Canvas 10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E646066" id="Canvas 1072" o:spid="_x0000_s1026" editas="canvas" alt="background image" style="position:absolute;margin-left:-119.65pt;margin-top:584.85pt;width:1165.3pt;height:312.65pt;z-index:-251658223;mso-position-vertical-relative:page" coordsize="147993,3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background image" style="position:absolute;width:147993;height:39706;visibility:visible;mso-wrap-style:square">
                  <v:fill o:detectmouseclick="t"/>
                  <v:path o:connecttype="none"/>
                </v:shape>
                <v:shape id="Freeform 52" o:spid="_x0000_s1028" style="position:absolute;left:31;top:18434;width:136843;height:2806;visibility:visible;mso-wrap-style:square;v-text-anchor:top" coordsize="42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AXMUA&#10;AADbAAAADwAAAGRycy9kb3ducmV2LnhtbESPT2sCMRTE70K/Q3gFb5qtoujWKP5piwcvtYXS2+vm&#10;dbN087Ik0V2/fSMIHoeZ+Q2zWHW2FmfyoXKs4GmYgSAunK64VPD58TqYgQgRWWPtmBRcKMBq+dBb&#10;YK5dy+90PsZSJAiHHBWYGJtcylAYshiGriFO3q/zFmOSvpTaY5vgtpajLJtKixWnBYMNbQ0Vf8eT&#10;VfC1O7xg+7Mt/PdsMm9av9Fva6NU/7FbP4OI1MV7+NbeawXjOVy/pB8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EBcxQAAANsAAAAPAAAAAAAAAAAAAAAAAJgCAABkcnMv&#10;ZG93bnJldi54bWxQSwUGAAAAAAQABAD1AAAAigMAAAAA&#10;" path="m4080,87v93,,127,-28,153,-37c4192,26,4159,,4082,,,,,,,,,87,,87,,87r4080,xe" stroked="f">
                  <v:path arrowok="t" o:connecttype="custom" o:connectlocs="2147483646,905254307;2147483646,520262393;2147483646,0;0,0;0,905254307;2147483646,905254307" o:connectangles="0,0,0,0,0,0"/>
                </v:shape>
                <w10:wrap anchory="page"/>
              </v:group>
            </w:pict>
          </mc:Fallback>
        </mc:AlternateContent>
      </w:r>
    </w:p>
    <w:sectPr w:rsidR="00952575" w:rsidRPr="00952575" w:rsidSect="005E271C">
      <w:headerReference w:type="even" r:id="rId514"/>
      <w:footerReference w:type="even" r:id="rId515"/>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6EBD65" w14:textId="77777777" w:rsidR="00640CCB" w:rsidRDefault="00640CCB" w:rsidP="009964E7">
      <w:r>
        <w:separator/>
      </w:r>
    </w:p>
  </w:endnote>
  <w:endnote w:type="continuationSeparator" w:id="0">
    <w:p w14:paraId="29EC2D94" w14:textId="77777777" w:rsidR="00640CCB" w:rsidRDefault="00640CCB" w:rsidP="009964E7">
      <w:r>
        <w:continuationSeparator/>
      </w:r>
    </w:p>
  </w:endnote>
  <w:endnote w:type="continuationNotice" w:id="1">
    <w:p w14:paraId="03A43697" w14:textId="77777777" w:rsidR="00640CCB" w:rsidRDefault="00640CC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auto"/>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Gotham Light">
    <w:altName w:val="Gotham Light"/>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PSM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EBC95" w14:textId="0DF26AC7" w:rsidR="00640CCB" w:rsidRPr="00F442FC" w:rsidRDefault="00640CCB" w:rsidP="00F442FC">
    <w:pPr>
      <w:pStyle w:val="Footer"/>
      <w:tabs>
        <w:tab w:val="clear" w:pos="4513"/>
        <w:tab w:val="clear" w:pos="902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0469FD" w14:textId="6AB1BE6B" w:rsidR="00640CCB" w:rsidRPr="008B03D8" w:rsidRDefault="00640CCB" w:rsidP="008B03D8">
    <w:pPr>
      <w:pStyle w:val="Footer"/>
      <w:tabs>
        <w:tab w:val="left" w:pos="2370"/>
        <w:tab w:val="right" w:pos="9638"/>
      </w:tabs>
      <w:rPr>
        <w:b/>
        <w:sz w:val="22"/>
        <w:szCs w:val="22"/>
      </w:rPr>
    </w:pPr>
    <w:r w:rsidRPr="008B03D8">
      <w:rPr>
        <w:b/>
        <w:color w:val="FFFFFF" w:themeColor="background1"/>
        <w:sz w:val="22"/>
        <w:szCs w:val="22"/>
      </w:rPr>
      <w:t xml:space="preserve">                                                                                </w:t>
    </w:r>
    <w:r w:rsidRPr="008B03D8">
      <w:rPr>
        <w:b/>
        <w:color w:val="FFFFFF" w:themeColor="background1"/>
        <w:sz w:val="22"/>
        <w:szCs w:val="22"/>
      </w:rPr>
      <w:br/>
      <w:t xml:space="preserve">                        </w:t>
    </w:r>
    <w:r w:rsidRPr="008B03D8">
      <w:rPr>
        <w:b/>
        <w:sz w:val="22"/>
        <w:szCs w:val="22"/>
      </w:rPr>
      <w:tab/>
    </w:r>
    <w:r w:rsidRPr="008B03D8">
      <w:rPr>
        <w:b/>
        <w:sz w:val="22"/>
        <w:szCs w:val="22"/>
      </w:rPr>
      <w:tab/>
    </w:r>
    <w:r w:rsidRPr="008B03D8">
      <w:rPr>
        <w:b/>
        <w:sz w:val="22"/>
        <w:szCs w:val="22"/>
      </w:rPr>
      <w:tab/>
    </w:r>
    <w:r w:rsidRPr="008B03D8">
      <w:rPr>
        <w:b/>
        <w:noProof/>
        <w:sz w:val="22"/>
        <w:szCs w:val="22"/>
      </w:rPr>
      <w:drawing>
        <wp:anchor distT="0" distB="0" distL="114300" distR="114300" simplePos="0" relativeHeight="251671552" behindDoc="1" locked="1" layoutInCell="1" allowOverlap="1" wp14:anchorId="09D85926" wp14:editId="73A89C9C">
          <wp:simplePos x="0" y="0"/>
          <wp:positionH relativeFrom="page">
            <wp:posOffset>0</wp:posOffset>
          </wp:positionH>
          <wp:positionV relativeFrom="page">
            <wp:posOffset>9185910</wp:posOffset>
          </wp:positionV>
          <wp:extent cx="7570470" cy="1838325"/>
          <wp:effectExtent l="0" t="0" r="0" b="9525"/>
          <wp:wrapNone/>
          <wp:docPr id="7200" name="Picture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70470" cy="183832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BB08D7" w14:textId="77777777" w:rsidR="00640CCB" w:rsidRPr="006001FE" w:rsidRDefault="00640CCB" w:rsidP="006001FE">
    <w:pPr>
      <w:pStyle w:val="Footer"/>
      <w:jc w:val="right"/>
    </w:pPr>
    <w:r>
      <w:fldChar w:fldCharType="begin"/>
    </w:r>
    <w:r>
      <w:instrText xml:space="preserve"> STYLEREF  "Heading 1" </w:instrText>
    </w:r>
    <w:r>
      <w:fldChar w:fldCharType="separate"/>
    </w:r>
    <w:r>
      <w:rPr>
        <w:b/>
        <w:bCs/>
        <w:noProof/>
        <w:lang w:val="en-US"/>
      </w:rPr>
      <w:t>Error! No text of specified style in document.</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i</w:t>
    </w:r>
    <w:r w:rsidRPr="00C0099E">
      <w:rPr>
        <w:rStyle w:val="PageNumber"/>
        <w:sz w:val="1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8DFE8B" w14:textId="77777777" w:rsidR="00640CCB" w:rsidRPr="00F442FC" w:rsidRDefault="00640CCB" w:rsidP="00F442FC">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8079F1">
      <w:rPr>
        <w:rStyle w:val="PageNumber"/>
        <w:noProof/>
      </w:rPr>
      <w:t>38</w:t>
    </w:r>
    <w:r>
      <w:rPr>
        <w:rStyle w:val="PageNumber"/>
      </w:rPr>
      <w:fldChar w:fldCharType="end"/>
    </w:r>
    <w:r>
      <w:rPr>
        <w:rStyle w:val="PageNumber"/>
      </w:rPr>
      <w:t xml:space="preserve"> | </w:t>
    </w:r>
    <w:r w:rsidR="008079F1">
      <w:fldChar w:fldCharType="begin"/>
    </w:r>
    <w:r w:rsidR="008079F1">
      <w:instrText xml:space="preserve"> STYLEREF  CoverTitle </w:instrText>
    </w:r>
    <w:r w:rsidR="008079F1">
      <w:fldChar w:fldCharType="separate"/>
    </w:r>
    <w:r w:rsidR="008079F1">
      <w:rPr>
        <w:noProof/>
      </w:rPr>
      <w:t>Rapid regional prioritisation for tight and shale gas potential of eastern and northern Australian basins</w:t>
    </w:r>
    <w:r w:rsidR="008079F1">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D3F888" w14:textId="77777777" w:rsidR="00640CCB" w:rsidRPr="00450EF2" w:rsidRDefault="008079F1" w:rsidP="00450EF2">
    <w:pPr>
      <w:pStyle w:val="Footer"/>
      <w:jc w:val="right"/>
    </w:pPr>
    <w:r>
      <w:fldChar w:fldCharType="begin"/>
    </w:r>
    <w:r>
      <w:instrText xml:space="preserve"> STYLEREF  CoverTitle </w:instrText>
    </w:r>
    <w:r>
      <w:fldChar w:fldCharType="separate"/>
    </w:r>
    <w:r w:rsidR="00C960D8">
      <w:rPr>
        <w:noProof/>
      </w:rPr>
      <w:t>Rapid regional prioritisation for tight and shale gas potential of eastern and northern Australian basins</w:t>
    </w:r>
    <w:r>
      <w:rPr>
        <w:noProof/>
      </w:rPr>
      <w:fldChar w:fldCharType="end"/>
    </w:r>
    <w:r w:rsidR="00640CCB" w:rsidRPr="00C0099E">
      <w:t xml:space="preserve"> | </w:t>
    </w:r>
    <w:r w:rsidR="00640CCB" w:rsidRPr="00C0099E">
      <w:rPr>
        <w:rStyle w:val="PageNumber"/>
        <w:sz w:val="18"/>
      </w:rPr>
      <w:fldChar w:fldCharType="begin"/>
    </w:r>
    <w:r w:rsidR="00640CCB" w:rsidRPr="00C0099E">
      <w:rPr>
        <w:rStyle w:val="PageNumber"/>
        <w:sz w:val="18"/>
      </w:rPr>
      <w:instrText xml:space="preserve"> PAGE </w:instrText>
    </w:r>
    <w:r w:rsidR="00640CCB" w:rsidRPr="00C0099E">
      <w:rPr>
        <w:rStyle w:val="PageNumber"/>
        <w:sz w:val="18"/>
      </w:rPr>
      <w:fldChar w:fldCharType="separate"/>
    </w:r>
    <w:r w:rsidR="00C960D8">
      <w:rPr>
        <w:rStyle w:val="PageNumber"/>
        <w:noProof/>
        <w:sz w:val="18"/>
      </w:rPr>
      <w:t>xvii</w:t>
    </w:r>
    <w:r w:rsidR="00640CCB" w:rsidRPr="00C0099E">
      <w:rPr>
        <w:rStyle w:val="PageNumber"/>
        <w:sz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7AF1C6" w14:textId="77777777" w:rsidR="00640CCB" w:rsidRPr="00F442FC" w:rsidRDefault="008079F1" w:rsidP="00F442FC">
    <w:pPr>
      <w:pStyle w:val="Footer"/>
      <w:jc w:val="right"/>
    </w:pPr>
    <w:r>
      <w:fldChar w:fldCharType="begin"/>
    </w:r>
    <w:r>
      <w:instrText xml:space="preserve"> STYLEREF  CoverTitle </w:instrText>
    </w:r>
    <w:r>
      <w:fldChar w:fldCharType="separate"/>
    </w:r>
    <w:r>
      <w:rPr>
        <w:noProof/>
      </w:rPr>
      <w:t>Rapid regional prioritisation for tight and shale gas potential of eastern and northern Australian basins</w:t>
    </w:r>
    <w:r>
      <w:rPr>
        <w:noProof/>
      </w:rPr>
      <w:fldChar w:fldCharType="end"/>
    </w:r>
    <w:r w:rsidR="00640CCB" w:rsidRPr="00C0099E">
      <w:t xml:space="preserve"> | </w:t>
    </w:r>
    <w:r w:rsidR="00640CCB" w:rsidRPr="00C0099E">
      <w:rPr>
        <w:rStyle w:val="PageNumber"/>
        <w:sz w:val="18"/>
      </w:rPr>
      <w:fldChar w:fldCharType="begin"/>
    </w:r>
    <w:r w:rsidR="00640CCB" w:rsidRPr="00C0099E">
      <w:rPr>
        <w:rStyle w:val="PageNumber"/>
        <w:sz w:val="18"/>
      </w:rPr>
      <w:instrText xml:space="preserve"> PAGE </w:instrText>
    </w:r>
    <w:r w:rsidR="00640CCB" w:rsidRPr="00C0099E">
      <w:rPr>
        <w:rStyle w:val="PageNumber"/>
        <w:sz w:val="18"/>
      </w:rPr>
      <w:fldChar w:fldCharType="separate"/>
    </w:r>
    <w:r>
      <w:rPr>
        <w:rStyle w:val="PageNumber"/>
        <w:noProof/>
        <w:sz w:val="18"/>
      </w:rPr>
      <w:t>37</w:t>
    </w:r>
    <w:r w:rsidR="00640CCB" w:rsidRPr="00C0099E">
      <w:rPr>
        <w:rStyle w:val="PageNumber"/>
        <w:sz w:val="18"/>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BB3CD5" w14:textId="65D6633E" w:rsidR="00640CCB" w:rsidRPr="00851D65" w:rsidRDefault="00640CCB" w:rsidP="00851D65">
    <w:pPr>
      <w:pStyle w:val="Footer"/>
      <w:tabs>
        <w:tab w:val="clear" w:pos="4513"/>
        <w:tab w:val="clear" w:pos="9026"/>
      </w:tabs>
      <w:rPr>
        <w:rStyle w:val="PageNumber"/>
        <w:sz w:val="18"/>
      </w:rPr>
    </w:pPr>
    <w:r>
      <w:rPr>
        <w:rStyle w:val="PageNumber"/>
      </w:rPr>
      <w:fldChar w:fldCharType="begin"/>
    </w:r>
    <w:r>
      <w:rPr>
        <w:rStyle w:val="PageNumber"/>
      </w:rPr>
      <w:instrText xml:space="preserve"> PAGE </w:instrText>
    </w:r>
    <w:r>
      <w:rPr>
        <w:rStyle w:val="PageNumber"/>
      </w:rPr>
      <w:fldChar w:fldCharType="separate"/>
    </w:r>
    <w:r w:rsidR="00C960D8">
      <w:rPr>
        <w:rStyle w:val="PageNumber"/>
        <w:noProof/>
      </w:rPr>
      <w:t>78</w:t>
    </w:r>
    <w:r>
      <w:rPr>
        <w:rStyle w:val="PageNumber"/>
      </w:rPr>
      <w:fldChar w:fldCharType="end"/>
    </w:r>
    <w:r>
      <w:rPr>
        <w:rStyle w:val="PageNumber"/>
      </w:rPr>
      <w:t xml:space="preserve"> | </w:t>
    </w:r>
    <w:r w:rsidR="008079F1">
      <w:fldChar w:fldCharType="begin"/>
    </w:r>
    <w:r w:rsidR="008079F1">
      <w:instrText xml:space="preserve"> STYLEREF  CoverTitle </w:instrText>
    </w:r>
    <w:r w:rsidR="008079F1">
      <w:fldChar w:fldCharType="separate"/>
    </w:r>
    <w:r w:rsidR="00C960D8">
      <w:rPr>
        <w:noProof/>
      </w:rPr>
      <w:t>Rapid regional prioritisation for tight and shale gas potential of eastern and northern Australian basins</w:t>
    </w:r>
    <w:r w:rsidR="008079F1">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014277" w14:textId="23280919" w:rsidR="00640CCB" w:rsidRPr="005C3B9B" w:rsidRDefault="00640CCB" w:rsidP="005C3B9B">
    <w:pPr>
      <w:pStyle w:val="Footer"/>
      <w:tabs>
        <w:tab w:val="clear" w:pos="4513"/>
        <w:tab w:val="clear" w:pos="9026"/>
      </w:tabs>
      <w:rPr>
        <w:rStyle w:val="PageNumber"/>
        <w:sz w:val="18"/>
      </w:rPr>
    </w:pPr>
    <w:r>
      <w:rPr>
        <w:rStyle w:val="PageNumber"/>
      </w:rPr>
      <w:fldChar w:fldCharType="begin"/>
    </w:r>
    <w:r>
      <w:rPr>
        <w:rStyle w:val="PageNumber"/>
      </w:rPr>
      <w:instrText xml:space="preserve"> PAGE </w:instrText>
    </w:r>
    <w:r>
      <w:rPr>
        <w:rStyle w:val="PageNumber"/>
      </w:rPr>
      <w:fldChar w:fldCharType="separate"/>
    </w:r>
    <w:r w:rsidR="008079F1">
      <w:rPr>
        <w:rStyle w:val="PageNumber"/>
        <w:noProof/>
      </w:rPr>
      <w:t>282</w:t>
    </w:r>
    <w:r>
      <w:rPr>
        <w:rStyle w:val="PageNumber"/>
      </w:rPr>
      <w:fldChar w:fldCharType="end"/>
    </w:r>
    <w:r>
      <w:rPr>
        <w:rStyle w:val="PageNumber"/>
      </w:rPr>
      <w:t xml:space="preserve"> | </w:t>
    </w:r>
    <w:r w:rsidR="008079F1">
      <w:fldChar w:fldCharType="begin"/>
    </w:r>
    <w:r w:rsidR="008079F1">
      <w:instrText xml:space="preserve"> STYLEREF  CoverTitle </w:instrText>
    </w:r>
    <w:r w:rsidR="008079F1">
      <w:fldChar w:fldCharType="separate"/>
    </w:r>
    <w:r w:rsidR="008079F1">
      <w:rPr>
        <w:noProof/>
      </w:rPr>
      <w:t>Rapid regional prioritisation for tight and shale gas potential of eastern and northern Australian basins</w:t>
    </w:r>
    <w:r w:rsidR="008079F1">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72C8C" w14:textId="77777777" w:rsidR="00640CCB" w:rsidRDefault="00640CCB" w:rsidP="00AE0D97">
    <w:pPr>
      <w:pStyle w:val="Footer"/>
      <w:tabs>
        <w:tab w:val="clear" w:pos="4513"/>
        <w:tab w:val="clear" w:pos="9026"/>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8369C5" w14:textId="77777777" w:rsidR="00640CCB" w:rsidRDefault="00640CCB">
      <w:r>
        <w:separator/>
      </w:r>
    </w:p>
  </w:footnote>
  <w:footnote w:type="continuationSeparator" w:id="0">
    <w:p w14:paraId="365E6F2B" w14:textId="77777777" w:rsidR="00640CCB" w:rsidRDefault="00640CCB">
      <w:r>
        <w:continuationSeparator/>
      </w:r>
    </w:p>
  </w:footnote>
  <w:footnote w:type="continuationNotice" w:id="1">
    <w:p w14:paraId="061BD4E6" w14:textId="77777777" w:rsidR="00640CCB" w:rsidRDefault="00640CC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9A88BC" w14:textId="77777777" w:rsidR="00640CCB" w:rsidRPr="001F4181" w:rsidRDefault="00640CCB" w:rsidP="001F4181">
    <w:pPr>
      <w:pStyle w:val="HeaderSection"/>
      <w:rPr>
        <w:sz w:val="22"/>
      </w:rPr>
    </w:pPr>
    <w:r>
      <w:rPr>
        <w:noProof/>
      </w:rPr>
      <mc:AlternateContent>
        <mc:Choice Requires="wps">
          <w:drawing>
            <wp:anchor distT="0" distB="0" distL="114300" distR="114300" simplePos="0" relativeHeight="251656192" behindDoc="0" locked="1" layoutInCell="1" allowOverlap="1" wp14:anchorId="27F3D767" wp14:editId="509B5545">
              <wp:simplePos x="0" y="0"/>
              <wp:positionH relativeFrom="column">
                <wp:posOffset>-774065</wp:posOffset>
              </wp:positionH>
              <wp:positionV relativeFrom="margin">
                <wp:posOffset>0</wp:posOffset>
              </wp:positionV>
              <wp:extent cx="683895" cy="7479030"/>
              <wp:effectExtent l="0" t="0" r="0" b="0"/>
              <wp:wrapNone/>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2C203" w14:textId="77777777" w:rsidR="00640CCB" w:rsidRPr="001565E5" w:rsidRDefault="00640CCB" w:rsidP="005629B6">
                          <w:pPr>
                            <w:pStyle w:val="HeaderComponent"/>
                            <w:rPr>
                              <w:color w:val="E87521" w:themeColor="accent3"/>
                            </w:rPr>
                          </w:pPr>
                          <w:r w:rsidRPr="001565E5">
                            <w:rPr>
                              <w:color w:val="E87521" w:themeColor="accent3"/>
                            </w:rPr>
                            <w:t>Stage 1: Rapid regional prioritisation</w:t>
                          </w:r>
                        </w:p>
                        <w:p w14:paraId="7166ABF9" w14:textId="3181597C" w:rsidR="00640CCB" w:rsidRPr="005C0B56" w:rsidRDefault="00640CCB" w:rsidP="00566341">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F3D767" id="_x0000_t202" coordsize="21600,21600" o:spt="202" path="m,l,21600r21600,l21600,xe">
              <v:stroke joinstyle="miter"/>
              <v:path gradientshapeok="t" o:connecttype="rect"/>
            </v:shapetype>
            <v:shape id="Text Box 5" o:spid="_x0000_s1035" type="#_x0000_t202" style="position:absolute;margin-left:-60.95pt;margin-top:0;width:53.85pt;height:588.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" filled="f" stroked="f">
              <v:textbox style="layout-flow:vertical;mso-layout-flow-alt:bottom-to-top">
                <w:txbxContent>
                  <w:p w14:paraId="4A52C203" w14:textId="77777777" w:rsidR="00640CCB" w:rsidRPr="001565E5" w:rsidRDefault="00640CCB" w:rsidP="005629B6">
                    <w:pPr>
                      <w:pStyle w:val="HeaderComponent"/>
                      <w:rPr>
                        <w:color w:val="E87521" w:themeColor="accent3"/>
                      </w:rPr>
                    </w:pPr>
                    <w:r w:rsidRPr="001565E5">
                      <w:rPr>
                        <w:color w:val="E87521" w:themeColor="accent3"/>
                      </w:rPr>
                      <w:t>Stage 1: Rapid regional prioritisation</w:t>
                    </w:r>
                  </w:p>
                  <w:p w14:paraId="7166ABF9" w14:textId="3181597C" w:rsidR="00640CCB" w:rsidRPr="005C0B56" w:rsidRDefault="00640CCB" w:rsidP="00566341">
                    <w:pPr>
                      <w:pStyle w:val="HeaderComponent"/>
                      <w:rPr>
                        <w:color w:val="0093CD" w:themeColor="accent1"/>
                      </w:rPr>
                    </w:pPr>
                  </w:p>
                </w:txbxContent>
              </v:textbox>
              <w10:wrap anchory="margin"/>
              <w10:anchorlock/>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A7F6E2" w14:textId="0C934AF2" w:rsidR="00640CCB" w:rsidRPr="00595095" w:rsidRDefault="008079F1" w:rsidP="008C6954">
    <w:pPr>
      <w:pStyle w:val="HeaderSection"/>
      <w:jc w:val="right"/>
      <w:rPr>
        <w:sz w:val="22"/>
      </w:rPr>
    </w:pPr>
    <w:r>
      <w:fldChar w:fldCharType="begin"/>
    </w:r>
    <w:r>
      <w:instrText xml:space="preserve"> STYLEREF  "Heading 9,Appendix Heading 1,Heading appendix 1" \r  \* MERGEFORMAT </w:instrText>
    </w:r>
    <w:r>
      <w:fldChar w:fldCharType="separate"/>
    </w:r>
    <w:r w:rsidR="00640CCB">
      <w:rPr>
        <w:noProof/>
      </w:rPr>
      <w:t xml:space="preserve">Appendix C </w:t>
    </w:r>
    <w:r>
      <w:rPr>
        <w:noProof/>
      </w:rPr>
      <w:fldChar w:fldCharType="end"/>
    </w:r>
    <w:r>
      <w:fldChar w:fldCharType="begin"/>
    </w:r>
    <w:r>
      <w:instrText xml:space="preserve"> STYLEREF  "Heading 9,Appendix Heading 1,Heading appendix 1" </w:instrText>
    </w:r>
    <w:r>
      <w:fldChar w:fldCharType="separate"/>
    </w:r>
    <w:r w:rsidR="00640CCB">
      <w:rPr>
        <w:noProof/>
      </w:rPr>
      <w:t>Basin Audit</w:t>
    </w:r>
    <w:r>
      <w:rPr>
        <w:noProof/>
      </w:rPr>
      <w:fldChar w:fldCharType="end"/>
    </w:r>
    <w:r w:rsidR="00640CCB">
      <w:rPr>
        <w:noProof/>
      </w:rPr>
      <mc:AlternateContent>
        <mc:Choice Requires="wps">
          <w:drawing>
            <wp:anchor distT="0" distB="0" distL="114300" distR="114300" simplePos="0" relativeHeight="251655168" behindDoc="0" locked="1" layoutInCell="1" allowOverlap="1" wp14:anchorId="1BBBD260" wp14:editId="0F827E41">
              <wp:simplePos x="0" y="0"/>
              <wp:positionH relativeFrom="column">
                <wp:posOffset>8933815</wp:posOffset>
              </wp:positionH>
              <wp:positionV relativeFrom="margin">
                <wp:posOffset>0</wp:posOffset>
              </wp:positionV>
              <wp:extent cx="683895" cy="7479030"/>
              <wp:effectExtent l="0" t="0" r="0" b="7620"/>
              <wp:wrapNone/>
              <wp:docPr id="718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3A81E"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BBD260" id="_x0000_t202" coordsize="21600,21600" o:spt="202" path="m,l,21600r21600,l21600,xe">
              <v:stroke joinstyle="miter"/>
              <v:path gradientshapeok="t" o:connecttype="rect"/>
            </v:shapetype>
            <v:shape id="_x0000_s1044" type="#_x0000_t202" style="position:absolute;left:0;text-align:left;margin-left:703.45pt;margin-top:0;width:53.85pt;height:588.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kOouwIAAMM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" filled="f" stroked="f">
              <v:textbox style="layout-flow:vertical">
                <w:txbxContent>
                  <w:p w14:paraId="6093A81E"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B69CC9" w14:textId="087520C8" w:rsidR="00640CCB" w:rsidRPr="00595095" w:rsidRDefault="00640CCB" w:rsidP="008C6954">
    <w:pPr>
      <w:pStyle w:val="HeaderSection"/>
      <w:jc w:val="right"/>
      <w:rPr>
        <w:sz w:val="22"/>
      </w:rPr>
    </w:pPr>
    <w:r>
      <w:rPr>
        <w:noProof/>
      </w:rPr>
      <mc:AlternateContent>
        <mc:Choice Requires="wps">
          <w:drawing>
            <wp:anchor distT="0" distB="0" distL="114300" distR="114300" simplePos="0" relativeHeight="251659264" behindDoc="0" locked="1" layoutInCell="1" allowOverlap="1" wp14:anchorId="107744F1" wp14:editId="78601628">
              <wp:simplePos x="0" y="0"/>
              <wp:positionH relativeFrom="column">
                <wp:posOffset>6189345</wp:posOffset>
              </wp:positionH>
              <wp:positionV relativeFrom="margin">
                <wp:posOffset>0</wp:posOffset>
              </wp:positionV>
              <wp:extent cx="684000" cy="7480800"/>
              <wp:effectExtent l="0" t="0" r="0" b="6350"/>
              <wp:wrapNone/>
              <wp:docPr id="7176" name="Text Box 7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6766F" w14:textId="77777777" w:rsidR="00640CCB" w:rsidRPr="001565E5" w:rsidRDefault="00640CCB" w:rsidP="007F28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7744F1" id="_x0000_t202" coordsize="21600,21600" o:spt="202" path="m,l,21600r21600,l21600,xe">
              <v:stroke joinstyle="miter"/>
              <v:path gradientshapeok="t" o:connecttype="rect"/>
            </v:shapetype>
            <v:shape id="Text Box 7176" o:spid="_x0000_s1045" type="#_x0000_t202" style="position:absolute;left:0;text-align:left;margin-left:487.35pt;margin-top:0;width:53.85pt;height:589.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" filled="f" stroked="f">
              <v:textbox style="layout-flow:vertical">
                <w:txbxContent>
                  <w:p w14:paraId="2BA6766F" w14:textId="77777777" w:rsidR="00640CCB" w:rsidRPr="001565E5" w:rsidRDefault="00640CCB" w:rsidP="007F28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57216" behindDoc="0" locked="1" layoutInCell="1" allowOverlap="1" wp14:anchorId="13A99D72" wp14:editId="6D09CA65">
              <wp:simplePos x="0" y="0"/>
              <wp:positionH relativeFrom="column">
                <wp:posOffset>8933815</wp:posOffset>
              </wp:positionH>
              <wp:positionV relativeFrom="margin">
                <wp:posOffset>0</wp:posOffset>
              </wp:positionV>
              <wp:extent cx="683895" cy="7479030"/>
              <wp:effectExtent l="0" t="0" r="0" b="7620"/>
              <wp:wrapNone/>
              <wp:docPr id="719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7E4F0"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99D72" id="_x0000_s1046" type="#_x0000_t202" style="position:absolute;left:0;text-align:left;margin-left:703.45pt;margin-top:0;width:53.85pt;height:588.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" filled="f" stroked="f">
              <v:textbox style="layout-flow:vertical">
                <w:txbxContent>
                  <w:p w14:paraId="4817E4F0"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992166" w14:textId="77777777" w:rsidR="00640CCB" w:rsidRPr="00595095" w:rsidRDefault="00640CCB" w:rsidP="004C01AB">
    <w:pPr>
      <w:pStyle w:val="HeaderSection"/>
      <w:tabs>
        <w:tab w:val="left" w:pos="5088"/>
        <w:tab w:val="right" w:pos="14034"/>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42880" behindDoc="0" locked="1" layoutInCell="1" allowOverlap="1" wp14:anchorId="77D67E6F" wp14:editId="7ABD6035">
              <wp:simplePos x="0" y="0"/>
              <wp:positionH relativeFrom="column">
                <wp:posOffset>8957945</wp:posOffset>
              </wp:positionH>
              <wp:positionV relativeFrom="margin">
                <wp:posOffset>0</wp:posOffset>
              </wp:positionV>
              <wp:extent cx="683895" cy="7479030"/>
              <wp:effectExtent l="0" t="0" r="0" b="7620"/>
              <wp:wrapNone/>
              <wp:docPr id="1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7D449"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D67E6F" id="_x0000_t202" coordsize="21600,21600" o:spt="202" path="m,l,21600r21600,l21600,xe">
              <v:stroke joinstyle="miter"/>
              <v:path gradientshapeok="t" o:connecttype="rect"/>
            </v:shapetype>
            <v:shape id="_x0000_s1047" type="#_x0000_t202" style="position:absolute;margin-left:705.35pt;margin-top:0;width:53.85pt;height:588.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RAuQIAAMI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" filled="f" stroked="f">
              <v:textbox style="layout-flow:vertical">
                <w:txbxContent>
                  <w:p w14:paraId="4D67D449"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4E3E1B" w14:textId="77777777" w:rsidR="00640CCB" w:rsidRPr="00595095" w:rsidRDefault="00640CCB" w:rsidP="004C01AB">
    <w:pPr>
      <w:pStyle w:val="HeaderSection"/>
      <w:tabs>
        <w:tab w:val="left" w:pos="5088"/>
        <w:tab w:val="right" w:pos="9071"/>
      </w:tabs>
      <w:rPr>
        <w:sz w:val="22"/>
      </w:rPr>
    </w:pPr>
    <w:r>
      <w:tab/>
    </w:r>
    <w:r>
      <w:tab/>
    </w:r>
    <w:r w:rsidR="008079F1">
      <w:fldChar w:fldCharType="begin"/>
    </w:r>
    <w:r w:rsidR="008079F1">
      <w:instrText xml:space="preserve"> STYLEREF  "Heading 9,Appendix Heading 1,Heading appendi</w:instrText>
    </w:r>
    <w:r w:rsidR="008079F1">
      <w:instrText xml:space="preserve">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43904" behindDoc="0" locked="1" layoutInCell="1" allowOverlap="1" wp14:anchorId="4E20C312" wp14:editId="193F0727">
              <wp:simplePos x="0" y="0"/>
              <wp:positionH relativeFrom="column">
                <wp:posOffset>6189345</wp:posOffset>
              </wp:positionH>
              <wp:positionV relativeFrom="margin">
                <wp:posOffset>0</wp:posOffset>
              </wp:positionV>
              <wp:extent cx="684000" cy="7480800"/>
              <wp:effectExtent l="0" t="0" r="0" b="6350"/>
              <wp:wrapNone/>
              <wp:docPr id="1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6CE70"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20C312" id="_x0000_t202" coordsize="21600,21600" o:spt="202" path="m,l,21600r21600,l21600,xe">
              <v:stroke joinstyle="miter"/>
              <v:path gradientshapeok="t" o:connecttype="rect"/>
            </v:shapetype>
            <v:shape id="_x0000_s1048" type="#_x0000_t202" style="position:absolute;margin-left:487.35pt;margin-top:0;width:53.85pt;height:589.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" filled="f" stroked="f">
              <v:textbox style="layout-flow:vertical">
                <w:txbxContent>
                  <w:p w14:paraId="17C6CE70"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758A14" w14:textId="0258A786" w:rsidR="00640CCB" w:rsidRPr="00595095" w:rsidRDefault="00640CCB" w:rsidP="004C01AB">
    <w:pPr>
      <w:pStyle w:val="HeaderSection"/>
      <w:tabs>
        <w:tab w:val="left" w:pos="5088"/>
        <w:tab w:val="right" w:pos="9071"/>
      </w:tabs>
      <w:rPr>
        <w:sz w:val="22"/>
      </w:rPr>
    </w:pPr>
    <w:r>
      <w:tab/>
    </w:r>
    <w:r>
      <w:tab/>
    </w:r>
    <w:r>
      <w:tab/>
    </w:r>
    <w:r>
      <w:tab/>
    </w:r>
    <w:r>
      <w:tab/>
    </w:r>
    <w:r>
      <w:tab/>
    </w:r>
    <w:r>
      <w:tab/>
    </w:r>
    <w:r w:rsidR="008079F1">
      <w:fldChar w:fldCharType="begin"/>
    </w:r>
    <w:r w:rsidR="008079F1">
      <w:instrText xml:space="preserve"> STYLEREF  "Heading 9,Appendix Heading 1,Heading appendix 1" \r  \* MERGEFORMAT </w:instrText>
    </w:r>
    <w:r w:rsidR="008079F1">
      <w:fldChar w:fldCharType="separate"/>
    </w:r>
    <w:r>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Pr>
        <w:noProof/>
      </w:rPr>
      <w:t>Basin Audit</w:t>
    </w:r>
    <w:r w:rsidR="008079F1">
      <w:rPr>
        <w:noProof/>
      </w:rPr>
      <w:fldChar w:fldCharType="end"/>
    </w:r>
    <w:r>
      <w:rPr>
        <w:noProof/>
      </w:rPr>
      <mc:AlternateContent>
        <mc:Choice Requires="wps">
          <w:drawing>
            <wp:anchor distT="0" distB="0" distL="114300" distR="114300" simplePos="0" relativeHeight="251661312" behindDoc="0" locked="1" layoutInCell="1" allowOverlap="1" wp14:anchorId="443F1DDF" wp14:editId="036E031B">
              <wp:simplePos x="0" y="0"/>
              <wp:positionH relativeFrom="column">
                <wp:posOffset>9044305</wp:posOffset>
              </wp:positionH>
              <wp:positionV relativeFrom="margin">
                <wp:posOffset>0</wp:posOffset>
              </wp:positionV>
              <wp:extent cx="683895" cy="7479030"/>
              <wp:effectExtent l="0" t="0" r="0" b="7620"/>
              <wp:wrapNone/>
              <wp:docPr id="5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2AA78"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3F1DDF" id="_x0000_t202" coordsize="21600,21600" o:spt="202" path="m,l,21600r21600,l21600,xe">
              <v:stroke joinstyle="miter"/>
              <v:path gradientshapeok="t" o:connecttype="rect"/>
            </v:shapetype>
            <v:shape id="_x0000_s1049" type="#_x0000_t202" style="position:absolute;margin-left:712.15pt;margin-top:0;width:53.85pt;height:588.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5HugIAAMI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" filled="f" stroked="f">
              <v:textbox style="layout-flow:vertical">
                <w:txbxContent>
                  <w:p w14:paraId="4782AA78"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75471F" w14:textId="77777777" w:rsidR="00640CCB" w:rsidRPr="00595095" w:rsidRDefault="00640CCB" w:rsidP="004C01AB">
    <w:pPr>
      <w:pStyle w:val="HeaderSection"/>
      <w:tabs>
        <w:tab w:val="left" w:pos="5088"/>
        <w:tab w:val="right" w:pos="9071"/>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w:instrText>
    </w:r>
    <w:r w:rsidR="008079F1">
      <w:instrText xml:space="preserve">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60288" behindDoc="0" locked="1" layoutInCell="1" allowOverlap="1" wp14:anchorId="3B366454" wp14:editId="220217FF">
              <wp:simplePos x="0" y="0"/>
              <wp:positionH relativeFrom="column">
                <wp:posOffset>6189345</wp:posOffset>
              </wp:positionH>
              <wp:positionV relativeFrom="margin">
                <wp:posOffset>0</wp:posOffset>
              </wp:positionV>
              <wp:extent cx="684000" cy="7480800"/>
              <wp:effectExtent l="0" t="0" r="0" b="6350"/>
              <wp:wrapNone/>
              <wp:docPr id="3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22A04"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366454" id="_x0000_t202" coordsize="21600,21600" o:spt="202" path="m,l,21600r21600,l21600,xe">
              <v:stroke joinstyle="miter"/>
              <v:path gradientshapeok="t" o:connecttype="rect"/>
            </v:shapetype>
            <v:shape id="_x0000_s1050" type="#_x0000_t202" style="position:absolute;margin-left:487.35pt;margin-top:0;width:53.85pt;height:589.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" filled="f" stroked="f">
              <v:textbox style="layout-flow:vertical">
                <w:txbxContent>
                  <w:p w14:paraId="3A722A04"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EFCDEF" w14:textId="77777777" w:rsidR="00640CCB" w:rsidRPr="00595095" w:rsidRDefault="00640CCB" w:rsidP="004C01AB">
    <w:pPr>
      <w:pStyle w:val="HeaderSection"/>
      <w:tabs>
        <w:tab w:val="left" w:pos="5088"/>
        <w:tab w:val="right" w:pos="9071"/>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w:instrText>
    </w:r>
    <w:r w:rsidR="008079F1">
      <w:instrText xml:space="preserve">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44928" behindDoc="0" locked="1" layoutInCell="1" allowOverlap="1" wp14:anchorId="09302B94" wp14:editId="455F4749">
              <wp:simplePos x="0" y="0"/>
              <wp:positionH relativeFrom="column">
                <wp:posOffset>6189345</wp:posOffset>
              </wp:positionH>
              <wp:positionV relativeFrom="margin">
                <wp:posOffset>0</wp:posOffset>
              </wp:positionV>
              <wp:extent cx="684000" cy="7480800"/>
              <wp:effectExtent l="0" t="0" r="0" b="6350"/>
              <wp:wrapNone/>
              <wp:docPr id="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79B2E"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02B94" id="_x0000_t202" coordsize="21600,21600" o:spt="202" path="m,l,21600r21600,l21600,xe">
              <v:stroke joinstyle="miter"/>
              <v:path gradientshapeok="t" o:connecttype="rect"/>
            </v:shapetype>
            <v:shape id="_x0000_s1051" type="#_x0000_t202" style="position:absolute;margin-left:487.35pt;margin-top:0;width:53.85pt;height:589.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" filled="f" stroked="f">
              <v:textbox style="layout-flow:vertical">
                <w:txbxContent>
                  <w:p w14:paraId="2BF79B2E"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EA5455" w14:textId="77777777" w:rsidR="00640CCB" w:rsidRPr="00595095" w:rsidRDefault="00640CCB" w:rsidP="00D47844">
    <w:pPr>
      <w:pStyle w:val="HeaderSection"/>
      <w:tabs>
        <w:tab w:val="left" w:pos="5088"/>
        <w:tab w:val="right" w:pos="13750"/>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45952" behindDoc="0" locked="1" layoutInCell="1" allowOverlap="1" wp14:anchorId="7DD5B1EB" wp14:editId="0A1785ED">
              <wp:simplePos x="0" y="0"/>
              <wp:positionH relativeFrom="column">
                <wp:posOffset>8957945</wp:posOffset>
              </wp:positionH>
              <wp:positionV relativeFrom="margin">
                <wp:posOffset>0</wp:posOffset>
              </wp:positionV>
              <wp:extent cx="683895" cy="7479030"/>
              <wp:effectExtent l="0" t="0" r="0" b="7620"/>
              <wp:wrapNone/>
              <wp:docPr id="2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1F03C"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D5B1EB" id="_x0000_t202" coordsize="21600,21600" o:spt="202" path="m,l,21600r21600,l21600,xe">
              <v:stroke joinstyle="miter"/>
              <v:path gradientshapeok="t" o:connecttype="rect"/>
            </v:shapetype>
            <v:shape id="_x0000_s1052" type="#_x0000_t202" style="position:absolute;margin-left:705.35pt;margin-top:0;width:53.85pt;height:588.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tV4ugIAAMI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" filled="f" stroked="f">
              <v:textbox style="layout-flow:vertical">
                <w:txbxContent>
                  <w:p w14:paraId="5431F03C"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2E42B" w14:textId="77777777" w:rsidR="00640CCB" w:rsidRPr="00595095" w:rsidRDefault="00640CCB" w:rsidP="004C01AB">
    <w:pPr>
      <w:pStyle w:val="HeaderSection"/>
      <w:tabs>
        <w:tab w:val="left" w:pos="5088"/>
        <w:tab w:val="right" w:pos="9071"/>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46976" behindDoc="0" locked="1" layoutInCell="1" allowOverlap="1" wp14:anchorId="43798AD2" wp14:editId="733E9774">
              <wp:simplePos x="0" y="0"/>
              <wp:positionH relativeFrom="column">
                <wp:posOffset>6189345</wp:posOffset>
              </wp:positionH>
              <wp:positionV relativeFrom="margin">
                <wp:posOffset>0</wp:posOffset>
              </wp:positionV>
              <wp:extent cx="684000" cy="7480800"/>
              <wp:effectExtent l="0" t="0" r="0" b="6350"/>
              <wp:wrapNone/>
              <wp:docPr id="2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39E61"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798AD2" id="_x0000_t202" coordsize="21600,21600" o:spt="202" path="m,l,21600r21600,l21600,xe">
              <v:stroke joinstyle="miter"/>
              <v:path gradientshapeok="t" o:connecttype="rect"/>
            </v:shapetype>
            <v:shape id="_x0000_s1053" type="#_x0000_t202" style="position:absolute;margin-left:487.35pt;margin-top:0;width:53.85pt;height:589.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" filled="f" stroked="f">
              <v:textbox style="layout-flow:vertical">
                <w:txbxContent>
                  <w:p w14:paraId="3A639E61"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6001EA" w14:textId="77777777" w:rsidR="00640CCB" w:rsidRPr="00595095" w:rsidRDefault="00640CCB" w:rsidP="00D47844">
    <w:pPr>
      <w:pStyle w:val="HeaderSection"/>
      <w:tabs>
        <w:tab w:val="left" w:pos="5088"/>
        <w:tab w:val="right" w:pos="13892"/>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Pr>
        <w:noProof/>
      </w:rPr>
      <w:t>Basin Audit</w:t>
    </w:r>
    <w:r w:rsidR="008079F1">
      <w:rPr>
        <w:noProof/>
      </w:rPr>
      <w:fldChar w:fldCharType="end"/>
    </w:r>
    <w:r>
      <w:rPr>
        <w:noProof/>
      </w:rPr>
      <mc:AlternateContent>
        <mc:Choice Requires="wps">
          <w:drawing>
            <wp:anchor distT="0" distB="0" distL="114300" distR="114300" simplePos="0" relativeHeight="251649024" behindDoc="0" locked="1" layoutInCell="1" allowOverlap="1" wp14:anchorId="3B02B803" wp14:editId="725A248D">
              <wp:simplePos x="0" y="0"/>
              <wp:positionH relativeFrom="column">
                <wp:posOffset>8945880</wp:posOffset>
              </wp:positionH>
              <wp:positionV relativeFrom="margin">
                <wp:posOffset>0</wp:posOffset>
              </wp:positionV>
              <wp:extent cx="683895" cy="7479030"/>
              <wp:effectExtent l="0" t="0" r="0" b="7620"/>
              <wp:wrapNone/>
              <wp:docPr id="3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79BD4"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02B803" id="_x0000_t202" coordsize="21600,21600" o:spt="202" path="m,l,21600r21600,l21600,xe">
              <v:stroke joinstyle="miter"/>
              <v:path gradientshapeok="t" o:connecttype="rect"/>
            </v:shapetype>
            <v:shape id="_x0000_s1054" type="#_x0000_t202" style="position:absolute;margin-left:704.4pt;margin-top:0;width:53.85pt;height:588.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PrEugIAAMI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" filled="f" stroked="f">
              <v:textbox style="layout-flow:vertical">
                <w:txbxContent>
                  <w:p w14:paraId="47479BD4"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7F4E14" w14:textId="77777777" w:rsidR="00640CCB" w:rsidRPr="00595095" w:rsidRDefault="00640CCB" w:rsidP="008C6954">
    <w:pPr>
      <w:pStyle w:val="HeaderSection"/>
      <w:jc w:val="right"/>
      <w:rPr>
        <w:sz w:val="22"/>
      </w:rPr>
    </w:pPr>
    <w:r>
      <w:rPr>
        <w:noProof/>
      </w:rPr>
      <mc:AlternateContent>
        <mc:Choice Requires="wps">
          <w:drawing>
            <wp:anchor distT="0" distB="0" distL="114300" distR="114300" simplePos="0" relativeHeight="251658240" behindDoc="0" locked="1" layoutInCell="1" allowOverlap="1" wp14:anchorId="72232383" wp14:editId="49164490">
              <wp:simplePos x="0" y="0"/>
              <wp:positionH relativeFrom="column">
                <wp:posOffset>6189345</wp:posOffset>
              </wp:positionH>
              <wp:positionV relativeFrom="margin">
                <wp:posOffset>0</wp:posOffset>
              </wp:positionV>
              <wp:extent cx="683895" cy="7479030"/>
              <wp:effectExtent l="0" t="0" r="0" b="0"/>
              <wp:wrapNone/>
              <wp:docPr id="2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0B654"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232383" id="_x0000_t202" coordsize="21600,21600" o:spt="202" path="m,l,21600r21600,l21600,xe">
              <v:stroke joinstyle="miter"/>
              <v:path gradientshapeok="t" o:connecttype="rect"/>
            </v:shapetype>
            <v:shape id="Text Box 6" o:spid="_x0000_s1036" type="#_x0000_t202" style="position:absolute;left:0;text-align:left;margin-left:487.35pt;margin-top:0;width:53.85pt;height:58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" filled="f" stroked="f">
              <v:textbox style="layout-flow:vertical">
                <w:txbxContent>
                  <w:p w14:paraId="5F50B654"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E199CD" w14:textId="77777777" w:rsidR="00640CCB" w:rsidRPr="00595095" w:rsidRDefault="00640CCB" w:rsidP="004C01AB">
    <w:pPr>
      <w:pStyle w:val="HeaderSection"/>
      <w:tabs>
        <w:tab w:val="left" w:pos="5088"/>
        <w:tab w:val="right" w:pos="9071"/>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48000" behindDoc="0" locked="1" layoutInCell="1" allowOverlap="1" wp14:anchorId="073930C9" wp14:editId="43453879">
              <wp:simplePos x="0" y="0"/>
              <wp:positionH relativeFrom="column">
                <wp:posOffset>6189345</wp:posOffset>
              </wp:positionH>
              <wp:positionV relativeFrom="margin">
                <wp:posOffset>0</wp:posOffset>
              </wp:positionV>
              <wp:extent cx="684000" cy="7480800"/>
              <wp:effectExtent l="0" t="0" r="0" b="6350"/>
              <wp:wrapNone/>
              <wp:docPr id="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7FD95"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3930C9" id="_x0000_t202" coordsize="21600,21600" o:spt="202" path="m,l,21600r21600,l21600,xe">
              <v:stroke joinstyle="miter"/>
              <v:path gradientshapeok="t" o:connecttype="rect"/>
            </v:shapetype>
            <v:shape id="_x0000_s1055" type="#_x0000_t202" style="position:absolute;margin-left:487.35pt;margin-top:0;width:53.85pt;height:589.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" filled="f" stroked="f">
              <v:textbox style="layout-flow:vertical">
                <w:txbxContent>
                  <w:p w14:paraId="1627FD95"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BD5916" w14:textId="77777777" w:rsidR="00640CCB" w:rsidRPr="00595095" w:rsidRDefault="00640CCB" w:rsidP="00D47844">
    <w:pPr>
      <w:pStyle w:val="HeaderSection"/>
      <w:tabs>
        <w:tab w:val="left" w:pos="5088"/>
        <w:tab w:val="right" w:pos="13892"/>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50048" behindDoc="0" locked="1" layoutInCell="1" allowOverlap="1" wp14:anchorId="0679331C" wp14:editId="72AA6C0C">
              <wp:simplePos x="0" y="0"/>
              <wp:positionH relativeFrom="column">
                <wp:posOffset>8957945</wp:posOffset>
              </wp:positionH>
              <wp:positionV relativeFrom="margin">
                <wp:posOffset>0</wp:posOffset>
              </wp:positionV>
              <wp:extent cx="683895" cy="7479030"/>
              <wp:effectExtent l="0" t="0" r="0" b="7620"/>
              <wp:wrapNone/>
              <wp:docPr id="716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138EF"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79331C" id="_x0000_t202" coordsize="21600,21600" o:spt="202" path="m,l,21600r21600,l21600,xe">
              <v:stroke joinstyle="miter"/>
              <v:path gradientshapeok="t" o:connecttype="rect"/>
            </v:shapetype>
            <v:shape id="_x0000_s1056" type="#_x0000_t202" style="position:absolute;margin-left:705.35pt;margin-top:0;width:53.85pt;height:588.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" filled="f" stroked="f">
              <v:textbox style="layout-flow:vertical">
                <w:txbxContent>
                  <w:p w14:paraId="5B2138EF"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0112D" w14:textId="77777777" w:rsidR="00640CCB" w:rsidRPr="00595095" w:rsidRDefault="00640CCB" w:rsidP="004C01AB">
    <w:pPr>
      <w:pStyle w:val="HeaderSection"/>
      <w:tabs>
        <w:tab w:val="left" w:pos="5088"/>
        <w:tab w:val="right" w:pos="9071"/>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51072" behindDoc="0" locked="1" layoutInCell="1" allowOverlap="1" wp14:anchorId="0EFFEF04" wp14:editId="5194530C">
              <wp:simplePos x="0" y="0"/>
              <wp:positionH relativeFrom="column">
                <wp:posOffset>6189345</wp:posOffset>
              </wp:positionH>
              <wp:positionV relativeFrom="margin">
                <wp:posOffset>0</wp:posOffset>
              </wp:positionV>
              <wp:extent cx="684000" cy="7480800"/>
              <wp:effectExtent l="0" t="0" r="0" b="6350"/>
              <wp:wrapNone/>
              <wp:docPr id="716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7ED95"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FFEF04" id="_x0000_t202" coordsize="21600,21600" o:spt="202" path="m,l,21600r21600,l21600,xe">
              <v:stroke joinstyle="miter"/>
              <v:path gradientshapeok="t" o:connecttype="rect"/>
            </v:shapetype>
            <v:shape id="_x0000_s1057" type="#_x0000_t202" style="position:absolute;margin-left:487.35pt;margin-top:0;width:53.85pt;height:589.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" filled="f" stroked="f">
              <v:textbox style="layout-flow:vertical">
                <w:txbxContent>
                  <w:p w14:paraId="0FC7ED95"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DC6899" w14:textId="77777777" w:rsidR="00640CCB" w:rsidRPr="00595095" w:rsidRDefault="00640CCB" w:rsidP="001F259B">
    <w:pPr>
      <w:pStyle w:val="HeaderSection"/>
      <w:tabs>
        <w:tab w:val="left" w:pos="5088"/>
        <w:tab w:val="right" w:pos="14034"/>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52096" behindDoc="0" locked="1" layoutInCell="1" allowOverlap="1" wp14:anchorId="72D848F5" wp14:editId="6E73E50C">
              <wp:simplePos x="0" y="0"/>
              <wp:positionH relativeFrom="column">
                <wp:posOffset>8957945</wp:posOffset>
              </wp:positionH>
              <wp:positionV relativeFrom="margin">
                <wp:posOffset>0</wp:posOffset>
              </wp:positionV>
              <wp:extent cx="683895" cy="7479030"/>
              <wp:effectExtent l="0" t="0" r="0" b="7620"/>
              <wp:wrapNone/>
              <wp:docPr id="717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25C25"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D848F5" id="_x0000_t202" coordsize="21600,21600" o:spt="202" path="m,l,21600r21600,l21600,xe">
              <v:stroke joinstyle="miter"/>
              <v:path gradientshapeok="t" o:connecttype="rect"/>
            </v:shapetype>
            <v:shape id="_x0000_s1058" type="#_x0000_t202" style="position:absolute;margin-left:705.35pt;margin-top:0;width:53.85pt;height:588.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" filled="f" stroked="f">
              <v:textbox style="layout-flow:vertical">
                <w:txbxContent>
                  <w:p w14:paraId="79725C25"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17795" w14:textId="77777777" w:rsidR="00640CCB" w:rsidRPr="00595095" w:rsidRDefault="00640CCB" w:rsidP="004C01AB">
    <w:pPr>
      <w:pStyle w:val="HeaderSection"/>
      <w:tabs>
        <w:tab w:val="left" w:pos="5088"/>
        <w:tab w:val="right" w:pos="9071"/>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Basin Audit</w:t>
    </w:r>
    <w:r w:rsidR="008079F1">
      <w:rPr>
        <w:noProof/>
      </w:rPr>
      <w:fldChar w:fldCharType="end"/>
    </w:r>
    <w:r>
      <w:rPr>
        <w:noProof/>
      </w:rPr>
      <mc:AlternateContent>
        <mc:Choice Requires="wps">
          <w:drawing>
            <wp:anchor distT="0" distB="0" distL="114300" distR="114300" simplePos="0" relativeHeight="251653120" behindDoc="0" locked="1" layoutInCell="1" allowOverlap="1" wp14:anchorId="6F26FBE9" wp14:editId="4242CC13">
              <wp:simplePos x="0" y="0"/>
              <wp:positionH relativeFrom="column">
                <wp:posOffset>6189345</wp:posOffset>
              </wp:positionH>
              <wp:positionV relativeFrom="margin">
                <wp:posOffset>0</wp:posOffset>
              </wp:positionV>
              <wp:extent cx="684000" cy="7480800"/>
              <wp:effectExtent l="0" t="0" r="0" b="6350"/>
              <wp:wrapNone/>
              <wp:docPr id="717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ECD49"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26FBE9" id="_x0000_t202" coordsize="21600,21600" o:spt="202" path="m,l,21600r21600,l21600,xe">
              <v:stroke joinstyle="miter"/>
              <v:path gradientshapeok="t" o:connecttype="rect"/>
            </v:shapetype>
            <v:shape id="_x0000_s1059" type="#_x0000_t202" style="position:absolute;margin-left:487.35pt;margin-top:0;width:53.85pt;height:589.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" filled="f" stroked="f">
              <v:textbox style="layout-flow:vertical">
                <w:txbxContent>
                  <w:p w14:paraId="1ADECD49"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C2051D" w14:textId="77777777" w:rsidR="00640CCB" w:rsidRPr="00595095" w:rsidRDefault="00640CCB" w:rsidP="001F259B">
    <w:pPr>
      <w:pStyle w:val="HeaderSection"/>
      <w:tabs>
        <w:tab w:val="left" w:pos="5088"/>
        <w:tab w:val="right" w:pos="13892"/>
      </w:tabs>
      <w:rPr>
        <w:sz w:val="22"/>
      </w:rPr>
    </w:pPr>
    <w:r>
      <w:tab/>
    </w:r>
    <w:r>
      <w:tab/>
    </w:r>
    <w:r w:rsidR="008079F1">
      <w:fldChar w:fldCharType="begin"/>
    </w:r>
    <w:r w:rsidR="008079F1">
      <w:instrText xml:space="preserve"> STYLEREF  "Heading 9,Appendix Heading 1,Heading appendix 1" \r  \* MERGEFORMAT </w:instrText>
    </w:r>
    <w:r w:rsidR="008079F1">
      <w:fldChar w:fldCharType="separate"/>
    </w:r>
    <w:r>
      <w:rPr>
        <w:noProof/>
      </w:rPr>
      <w:t xml:space="preserve">Appendix C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Pr>
        <w:noProof/>
      </w:rPr>
      <w:t>Basin Audit</w:t>
    </w:r>
    <w:r w:rsidR="008079F1">
      <w:rPr>
        <w:noProof/>
      </w:rPr>
      <w:fldChar w:fldCharType="end"/>
    </w:r>
    <w:r>
      <w:rPr>
        <w:noProof/>
      </w:rPr>
      <mc:AlternateContent>
        <mc:Choice Requires="wps">
          <w:drawing>
            <wp:anchor distT="0" distB="0" distL="114300" distR="114300" simplePos="0" relativeHeight="251654144" behindDoc="0" locked="1" layoutInCell="1" allowOverlap="1" wp14:anchorId="690AB949" wp14:editId="5B7314B6">
              <wp:simplePos x="0" y="0"/>
              <wp:positionH relativeFrom="column">
                <wp:posOffset>8970645</wp:posOffset>
              </wp:positionH>
              <wp:positionV relativeFrom="margin">
                <wp:posOffset>0</wp:posOffset>
              </wp:positionV>
              <wp:extent cx="683895" cy="7479030"/>
              <wp:effectExtent l="0" t="0" r="0" b="7620"/>
              <wp:wrapNone/>
              <wp:docPr id="717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14D31"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0AB949" id="_x0000_t202" coordsize="21600,21600" o:spt="202" path="m,l,21600r21600,l21600,xe">
              <v:stroke joinstyle="miter"/>
              <v:path gradientshapeok="t" o:connecttype="rect"/>
            </v:shapetype>
            <v:shape id="_x0000_s1060" type="#_x0000_t202" style="position:absolute;margin-left:706.35pt;margin-top:0;width:53.85pt;height:588.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" filled="f" stroked="f">
              <v:textbox style="layout-flow:vertical">
                <w:txbxContent>
                  <w:p w14:paraId="7EE14D31"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DB285E" w14:textId="77777777" w:rsidR="00640CCB" w:rsidRPr="00977621" w:rsidRDefault="008079F1" w:rsidP="00977621">
    <w:pPr>
      <w:pStyle w:val="HeaderSection"/>
    </w:pPr>
    <w:r>
      <w:fldChar w:fldCharType="begin"/>
    </w:r>
    <w:r>
      <w:instrText xml:space="preserve"> STYLEREF  "Heading 9,Appendix Heading 1,Heading appendix 1" \r  \* MERGEFORMAT </w:instrText>
    </w:r>
    <w:r>
      <w:fldChar w:fldCharType="separate"/>
    </w:r>
    <w:r>
      <w:rPr>
        <w:noProof/>
      </w:rPr>
      <w:t xml:space="preserve">Appendix C </w:t>
    </w:r>
    <w:r>
      <w:rPr>
        <w:noProof/>
      </w:rPr>
      <w:fldChar w:fldCharType="end"/>
    </w:r>
    <w:r>
      <w:fldChar w:fldCharType="begin"/>
    </w:r>
    <w:r>
      <w:instrText xml:space="preserve"> STYLEREF  "Heading 9,Appendix Heading 1,Heading appendix 1" </w:instrText>
    </w:r>
    <w:r>
      <w:fldChar w:fldCharType="separate"/>
    </w:r>
    <w:r>
      <w:rPr>
        <w:noProof/>
      </w:rPr>
      <w:t>Basin Audit</w:t>
    </w:r>
    <w:r>
      <w:rPr>
        <w:noProof/>
      </w:rPr>
      <w:fldChar w:fldCharType="end"/>
    </w:r>
    <w:r w:rsidR="00640CCB" w:rsidRPr="008B4858">
      <w:rPr>
        <w:noProof/>
      </w:rPr>
      <w:t xml:space="preserve"> </w:t>
    </w:r>
    <w:r w:rsidR="00640CCB">
      <w:rPr>
        <w:noProof/>
      </w:rPr>
      <mc:AlternateContent>
        <mc:Choice Requires="wps">
          <w:drawing>
            <wp:anchor distT="0" distB="0" distL="114300" distR="114300" simplePos="0" relativeHeight="251662336" behindDoc="0" locked="1" layoutInCell="1" allowOverlap="1" wp14:anchorId="68EE793C" wp14:editId="6A9DFA16">
              <wp:simplePos x="0" y="0"/>
              <wp:positionH relativeFrom="column">
                <wp:posOffset>-774065</wp:posOffset>
              </wp:positionH>
              <wp:positionV relativeFrom="margin">
                <wp:posOffset>0</wp:posOffset>
              </wp:positionV>
              <wp:extent cx="684000" cy="7480800"/>
              <wp:effectExtent l="0" t="0" r="0" b="6350"/>
              <wp:wrapNone/>
              <wp:docPr id="1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DE622" w14:textId="77777777" w:rsidR="00640CCB" w:rsidRPr="001565E5" w:rsidRDefault="00640CCB" w:rsidP="005629B6">
                          <w:pPr>
                            <w:pStyle w:val="HeaderComponent"/>
                            <w:rPr>
                              <w:color w:val="E87521" w:themeColor="accent3"/>
                            </w:rPr>
                          </w:pPr>
                          <w:r w:rsidRPr="001565E5">
                            <w:rPr>
                              <w:color w:val="E87521" w:themeColor="accent3"/>
                            </w:rPr>
                            <w:t>Stage 1: Rapid regional prioritisation</w:t>
                          </w:r>
                        </w:p>
                        <w:p w14:paraId="58A422F0" w14:textId="56102051" w:rsidR="00640CCB" w:rsidRPr="005C0B56" w:rsidRDefault="00640CCB" w:rsidP="008B4858">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EE793C" id="_x0000_t202" coordsize="21600,21600" o:spt="202" path="m,l,21600r21600,l21600,xe">
              <v:stroke joinstyle="miter"/>
              <v:path gradientshapeok="t" o:connecttype="rect"/>
            </v:shapetype>
            <v:shape id="Text Box 15" o:spid="_x0000_s1061" type="#_x0000_t202" style="position:absolute;margin-left:-60.95pt;margin-top:0;width:53.85pt;height:589.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" filled="f" stroked="f">
              <v:textbox style="layout-flow:vertical;mso-layout-flow-alt:bottom-to-top">
                <w:txbxContent>
                  <w:p w14:paraId="063DE622" w14:textId="77777777" w:rsidR="00640CCB" w:rsidRPr="001565E5" w:rsidRDefault="00640CCB" w:rsidP="005629B6">
                    <w:pPr>
                      <w:pStyle w:val="HeaderComponent"/>
                      <w:rPr>
                        <w:color w:val="E87521" w:themeColor="accent3"/>
                      </w:rPr>
                    </w:pPr>
                    <w:r w:rsidRPr="001565E5">
                      <w:rPr>
                        <w:color w:val="E87521" w:themeColor="accent3"/>
                      </w:rPr>
                      <w:t>Stage 1: Rapid regional prioritisation</w:t>
                    </w:r>
                  </w:p>
                  <w:p w14:paraId="58A422F0" w14:textId="56102051" w:rsidR="00640CCB" w:rsidRPr="005C0B56" w:rsidRDefault="00640CCB" w:rsidP="008B4858">
                    <w:pPr>
                      <w:pStyle w:val="HeaderComponent"/>
                      <w:rPr>
                        <w:color w:val="0093CD" w:themeColor="accent1"/>
                      </w:rPr>
                    </w:pPr>
                  </w:p>
                </w:txbxContent>
              </v:textbox>
              <w10:wrap anchory="margin"/>
              <w10:anchorlock/>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24371" w14:textId="70E3F390" w:rsidR="00640CCB" w:rsidRPr="00977621" w:rsidRDefault="008079F1" w:rsidP="00977621">
    <w:pPr>
      <w:pStyle w:val="HeaderSection"/>
      <w:jc w:val="right"/>
    </w:pPr>
    <w:r>
      <w:fldChar w:fldCharType="begin"/>
    </w:r>
    <w:r>
      <w:instrText xml:space="preserve"> STYLEREF  "Heading 9,Appendix Heading 1,Heading appendix 1" \r  \* MERGEFORMAT </w:instrText>
    </w:r>
    <w:r>
      <w:fldChar w:fldCharType="separate"/>
    </w:r>
    <w:r>
      <w:rPr>
        <w:noProof/>
      </w:rPr>
      <w:t xml:space="preserve">Appendix C </w:t>
    </w:r>
    <w:r>
      <w:rPr>
        <w:noProof/>
      </w:rPr>
      <w:fldChar w:fldCharType="end"/>
    </w:r>
    <w:r>
      <w:fldChar w:fldCharType="begin"/>
    </w:r>
    <w:r>
      <w:instrText xml:space="preserve"> STYLEREF  "Heading 9,Appendix Heading 1,Heading appendix 1" </w:instrText>
    </w:r>
    <w:r>
      <w:fldChar w:fldCharType="separate"/>
    </w:r>
    <w:r>
      <w:rPr>
        <w:noProof/>
      </w:rPr>
      <w:t>Basin Audit</w:t>
    </w:r>
    <w:r>
      <w:rPr>
        <w:noProof/>
      </w:rPr>
      <w:fldChar w:fldCharType="end"/>
    </w:r>
    <w:r w:rsidR="00640CCB" w:rsidRPr="008B4858">
      <w:rPr>
        <w:noProof/>
      </w:rPr>
      <w:t xml:space="preserve"> </w:t>
    </w:r>
    <w:r w:rsidR="00640CCB">
      <w:rPr>
        <w:noProof/>
      </w:rPr>
      <mc:AlternateContent>
        <mc:Choice Requires="wps">
          <w:drawing>
            <wp:anchor distT="0" distB="0" distL="114300" distR="114300" simplePos="0" relativeHeight="251670528" behindDoc="0" locked="1" layoutInCell="1" allowOverlap="1" wp14:anchorId="7403BF1D" wp14:editId="179BD124">
              <wp:simplePos x="0" y="0"/>
              <wp:positionH relativeFrom="column">
                <wp:posOffset>6189345</wp:posOffset>
              </wp:positionH>
              <wp:positionV relativeFrom="margin">
                <wp:posOffset>0</wp:posOffset>
              </wp:positionV>
              <wp:extent cx="684000" cy="7480800"/>
              <wp:effectExtent l="0" t="0" r="0" b="6350"/>
              <wp:wrapNone/>
              <wp:docPr id="5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F14F6" w14:textId="77777777" w:rsidR="00640CCB" w:rsidRPr="001565E5" w:rsidRDefault="00640CCB" w:rsidP="00844664">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03BF1D" id="_x0000_t202" coordsize="21600,21600" o:spt="202" path="m,l,21600r21600,l21600,xe">
              <v:stroke joinstyle="miter"/>
              <v:path gradientshapeok="t" o:connecttype="rect"/>
            </v:shapetype>
            <v:shape id="_x0000_s1062" type="#_x0000_t202" style="position:absolute;left:0;text-align:left;margin-left:487.35pt;margin-top:0;width:53.85pt;height:589.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" filled="f" stroked="f">
              <v:textbox style="layout-flow:vertical">
                <w:txbxContent>
                  <w:p w14:paraId="2C4F14F6" w14:textId="77777777" w:rsidR="00640CCB" w:rsidRPr="001565E5" w:rsidRDefault="00640CCB" w:rsidP="00844664">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0EB5BB" w14:textId="77777777" w:rsidR="00640CCB" w:rsidRPr="000902F6" w:rsidRDefault="00640CCB" w:rsidP="000902F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6945E7" w14:textId="77777777" w:rsidR="00640CCB" w:rsidRPr="006001FE" w:rsidRDefault="00640CCB" w:rsidP="006001FE">
    <w:pPr>
      <w:pStyle w:val="HeaderSection"/>
      <w:jc w:val="right"/>
      <w:rPr>
        <w:sz w:val="2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B941B8" w14:textId="77777777" w:rsidR="00640CCB" w:rsidRPr="001F4181" w:rsidRDefault="008079F1" w:rsidP="001F4181">
    <w:pPr>
      <w:pStyle w:val="HeaderSection"/>
      <w:rPr>
        <w:sz w:val="22"/>
      </w:rPr>
    </w:pPr>
    <w:r>
      <w:fldChar w:fldCharType="begin"/>
    </w:r>
    <w:r>
      <w:instrText xml:space="preserve"> STYLEREF  "Heading 9,Appendix Heading 1,Heading appendix 1" \r  \* MERGEFORMAT </w:instrText>
    </w:r>
    <w:r>
      <w:fldChar w:fldCharType="separate"/>
    </w:r>
    <w:r>
      <w:rPr>
        <w:noProof/>
      </w:rPr>
      <w:t xml:space="preserve">Appendix A </w:t>
    </w:r>
    <w:r>
      <w:rPr>
        <w:noProof/>
      </w:rPr>
      <w:fldChar w:fldCharType="end"/>
    </w:r>
    <w:r>
      <w:fldChar w:fldCharType="begin"/>
    </w:r>
    <w:r>
      <w:instrText xml:space="preserve"> STYLEREF  "Heading 9,Appendix Heading 1,Heading appendix 1" </w:instrText>
    </w:r>
    <w:r>
      <w:fldChar w:fldCharType="separate"/>
    </w:r>
    <w:r>
      <w:rPr>
        <w:noProof/>
      </w:rPr>
      <w:t>Shale and tight gas exploration activity in eastern and northern Australia</w:t>
    </w:r>
    <w:r>
      <w:rPr>
        <w:noProof/>
      </w:rPr>
      <w:fldChar w:fldCharType="end"/>
    </w:r>
    <w:r w:rsidR="00640CCB">
      <w:rPr>
        <w:noProof/>
      </w:rPr>
      <mc:AlternateContent>
        <mc:Choice Requires="wps">
          <w:drawing>
            <wp:anchor distT="0" distB="0" distL="114300" distR="114300" simplePos="0" relativeHeight="251668480" behindDoc="0" locked="1" layoutInCell="1" allowOverlap="1" wp14:anchorId="5B8ABDE4" wp14:editId="74A3BBE7">
              <wp:simplePos x="0" y="0"/>
              <wp:positionH relativeFrom="column">
                <wp:posOffset>-774065</wp:posOffset>
              </wp:positionH>
              <wp:positionV relativeFrom="margin">
                <wp:posOffset>0</wp:posOffset>
              </wp:positionV>
              <wp:extent cx="683895" cy="7479030"/>
              <wp:effectExtent l="0" t="0" r="0" b="0"/>
              <wp:wrapNone/>
              <wp:docPr id="3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275EA" w14:textId="77777777" w:rsidR="00640CCB" w:rsidRPr="001565E5" w:rsidRDefault="00640CCB" w:rsidP="00E31517">
                          <w:pPr>
                            <w:pStyle w:val="HeaderComponent"/>
                            <w:rPr>
                              <w:color w:val="E87521" w:themeColor="accent3"/>
                            </w:rPr>
                          </w:pPr>
                          <w:r w:rsidRPr="001565E5">
                            <w:rPr>
                              <w:color w:val="E87521" w:themeColor="accent3"/>
                            </w:rPr>
                            <w:t>Stage 1: Rapid regional prioritisation</w:t>
                          </w:r>
                        </w:p>
                        <w:p w14:paraId="05A247A9" w14:textId="77777777" w:rsidR="00640CCB" w:rsidRPr="005C0B56" w:rsidRDefault="00640CCB" w:rsidP="00E31517">
                          <w:pPr>
                            <w:pStyle w:val="HeaderComponent"/>
                            <w:rPr>
                              <w:color w:val="0093CD" w:themeColor="accent1"/>
                            </w:rPr>
                          </w:pPr>
                        </w:p>
                        <w:p w14:paraId="5D24E72A" w14:textId="1FE7C80E" w:rsidR="00640CCB" w:rsidRPr="005C0B56" w:rsidRDefault="00640CCB" w:rsidP="00566341">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8ABDE4" id="_x0000_t202" coordsize="21600,21600" o:spt="202" path="m,l,21600r21600,l21600,xe">
              <v:stroke joinstyle="miter"/>
              <v:path gradientshapeok="t" o:connecttype="rect"/>
            </v:shapetype>
            <v:shape id="_x0000_s1037" type="#_x0000_t202" style="position:absolute;margin-left:-60.95pt;margin-top:0;width:53.85pt;height:588.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lFbvAIAAMU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" filled="f" stroked="f">
              <v:textbox style="layout-flow:vertical;mso-layout-flow-alt:bottom-to-top">
                <w:txbxContent>
                  <w:p w14:paraId="19F275EA" w14:textId="77777777" w:rsidR="00640CCB" w:rsidRPr="001565E5" w:rsidRDefault="00640CCB" w:rsidP="00E31517">
                    <w:pPr>
                      <w:pStyle w:val="HeaderComponent"/>
                      <w:rPr>
                        <w:color w:val="E87521" w:themeColor="accent3"/>
                      </w:rPr>
                    </w:pPr>
                    <w:r w:rsidRPr="001565E5">
                      <w:rPr>
                        <w:color w:val="E87521" w:themeColor="accent3"/>
                      </w:rPr>
                      <w:t>Stage 1: Rapid regional prioritisation</w:t>
                    </w:r>
                  </w:p>
                  <w:p w14:paraId="05A247A9" w14:textId="77777777" w:rsidR="00640CCB" w:rsidRPr="005C0B56" w:rsidRDefault="00640CCB" w:rsidP="00E31517">
                    <w:pPr>
                      <w:pStyle w:val="HeaderComponent"/>
                      <w:rPr>
                        <w:color w:val="0093CD" w:themeColor="accent1"/>
                      </w:rPr>
                    </w:pPr>
                  </w:p>
                  <w:p w14:paraId="5D24E72A" w14:textId="1FE7C80E" w:rsidR="00640CCB" w:rsidRPr="005C0B56" w:rsidRDefault="00640CCB" w:rsidP="00566341">
                    <w:pPr>
                      <w:pStyle w:val="HeaderComponent"/>
                      <w:rPr>
                        <w:color w:val="0093CD" w:themeColor="accent1"/>
                      </w:rPr>
                    </w:pPr>
                  </w:p>
                </w:txbxContent>
              </v:textbox>
              <w10:wrap anchory="margin"/>
              <w10:anchorlock/>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C044C0" w14:textId="77777777" w:rsidR="00640CCB" w:rsidRPr="00595095" w:rsidRDefault="008079F1" w:rsidP="008C6954">
    <w:pPr>
      <w:pStyle w:val="HeaderSection"/>
      <w:jc w:val="right"/>
      <w:rPr>
        <w:sz w:val="22"/>
      </w:rPr>
    </w:pPr>
    <w:r>
      <w:fldChar w:fldCharType="begin"/>
    </w:r>
    <w:r>
      <w:instrText xml:space="preserve"> STYLEREF  "Heading 9,Appendix Heading 1,Heading appendix 1" \r  \* MERGEFORMAT </w:instrText>
    </w:r>
    <w:r>
      <w:fldChar w:fldCharType="separate"/>
    </w:r>
    <w:r w:rsidR="00C960D8">
      <w:rPr>
        <w:noProof/>
      </w:rPr>
      <w:t xml:space="preserve">Appendix A </w:t>
    </w:r>
    <w:r>
      <w:rPr>
        <w:noProof/>
      </w:rPr>
      <w:fldChar w:fldCharType="end"/>
    </w:r>
    <w:r>
      <w:fldChar w:fldCharType="begin"/>
    </w:r>
    <w:r>
      <w:instrText xml:space="preserve"> STYLEREF  "Heading 9,Appendix Heading 1,Heading appendix 1" </w:instrText>
    </w:r>
    <w:r>
      <w:fldChar w:fldCharType="separate"/>
    </w:r>
    <w:r w:rsidR="00C960D8">
      <w:rPr>
        <w:noProof/>
      </w:rPr>
      <w:t>Shale and tight gas exploration activity in eastern and northern Australia</w:t>
    </w:r>
    <w:r>
      <w:rPr>
        <w:noProof/>
      </w:rPr>
      <w:fldChar w:fldCharType="end"/>
    </w:r>
    <w:r w:rsidR="00640CCB">
      <w:rPr>
        <w:noProof/>
      </w:rPr>
      <mc:AlternateContent>
        <mc:Choice Requires="wps">
          <w:drawing>
            <wp:anchor distT="0" distB="0" distL="114300" distR="114300" simplePos="0" relativeHeight="251667456" behindDoc="0" locked="1" layoutInCell="1" allowOverlap="1" wp14:anchorId="486C7239" wp14:editId="3626EED9">
              <wp:simplePos x="0" y="0"/>
              <wp:positionH relativeFrom="column">
                <wp:posOffset>6189345</wp:posOffset>
              </wp:positionH>
              <wp:positionV relativeFrom="margin">
                <wp:posOffset>0</wp:posOffset>
              </wp:positionV>
              <wp:extent cx="684000" cy="7480800"/>
              <wp:effectExtent l="0" t="0" r="0" b="6350"/>
              <wp:wrapNone/>
              <wp:docPr id="3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52214"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6C7239" id="_x0000_t202" coordsize="21600,21600" o:spt="202" path="m,l,21600r21600,l21600,xe">
              <v:stroke joinstyle="miter"/>
              <v:path gradientshapeok="t" o:connecttype="rect"/>
            </v:shapetype>
            <v:shape id="_x0000_s1038" type="#_x0000_t202" style="position:absolute;left:0;text-align:left;margin-left:487.35pt;margin-top:0;width:53.85pt;height:589.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" filled="f" stroked="f">
              <v:textbox style="layout-flow:vertical">
                <w:txbxContent>
                  <w:p w14:paraId="6BC52214"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59D131" w14:textId="684EEC7C" w:rsidR="00640CCB" w:rsidRPr="001F4181" w:rsidRDefault="008079F1" w:rsidP="001F4181">
    <w:pPr>
      <w:pStyle w:val="HeaderSection"/>
      <w:rPr>
        <w:sz w:val="22"/>
      </w:rPr>
    </w:pPr>
    <w:r>
      <w:fldChar w:fldCharType="begin"/>
    </w:r>
    <w:r>
      <w:instrText xml:space="preserve"> STYLEREF  "Heading 9,Appendix Heading 1,Heading appendix 1" \r  \* MERGEFORMAT </w:instrText>
    </w:r>
    <w:r>
      <w:fldChar w:fldCharType="separate"/>
    </w:r>
    <w:r>
      <w:rPr>
        <w:noProof/>
      </w:rPr>
      <w:t xml:space="preserve">Appendix B </w:t>
    </w:r>
    <w:r>
      <w:rPr>
        <w:noProof/>
      </w:rPr>
      <w:fldChar w:fldCharType="end"/>
    </w:r>
    <w:r>
      <w:fldChar w:fldCharType="begin"/>
    </w:r>
    <w:r>
      <w:instrText xml:space="preserve"> STYLEREF  "He</w:instrText>
    </w:r>
    <w:r>
      <w:instrText xml:space="preserve">ading 9,Appendix Heading 1,Heading appendix 1" </w:instrText>
    </w:r>
    <w:r>
      <w:fldChar w:fldCharType="separate"/>
    </w:r>
    <w:r>
      <w:rPr>
        <w:noProof/>
      </w:rPr>
      <w:t>Regional Maps</w:t>
    </w:r>
    <w:r>
      <w:rPr>
        <w:noProof/>
      </w:rPr>
      <w:fldChar w:fldCharType="end"/>
    </w:r>
    <w:r w:rsidR="00640CCB">
      <w:rPr>
        <w:noProof/>
      </w:rPr>
      <mc:AlternateContent>
        <mc:Choice Requires="wps">
          <w:drawing>
            <wp:anchor distT="0" distB="0" distL="114300" distR="114300" simplePos="0" relativeHeight="251665408" behindDoc="0" locked="1" layoutInCell="1" allowOverlap="1" wp14:anchorId="0D42B812" wp14:editId="73F9BA6D">
              <wp:simplePos x="0" y="0"/>
              <wp:positionH relativeFrom="column">
                <wp:posOffset>-774065</wp:posOffset>
              </wp:positionH>
              <wp:positionV relativeFrom="margin">
                <wp:posOffset>0</wp:posOffset>
              </wp:positionV>
              <wp:extent cx="683895" cy="7479030"/>
              <wp:effectExtent l="0" t="0"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7A853" w14:textId="77777777" w:rsidR="00640CCB" w:rsidRPr="001565E5" w:rsidRDefault="00640CCB" w:rsidP="005629B6">
                          <w:pPr>
                            <w:pStyle w:val="HeaderComponent"/>
                            <w:rPr>
                              <w:color w:val="E87521" w:themeColor="accent3"/>
                            </w:rPr>
                          </w:pPr>
                          <w:r w:rsidRPr="001565E5">
                            <w:rPr>
                              <w:color w:val="E87521" w:themeColor="accent3"/>
                            </w:rPr>
                            <w:t>Stage 1: Rapid regional prioritisation</w:t>
                          </w:r>
                        </w:p>
                        <w:p w14:paraId="3C7187A2" w14:textId="0CD4A804" w:rsidR="00640CCB" w:rsidRPr="005C0B56" w:rsidRDefault="00640CCB" w:rsidP="00566341">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2B812" id="_x0000_t202" coordsize="21600,21600" o:spt="202" path="m,l,21600r21600,l21600,xe">
              <v:stroke joinstyle="miter"/>
              <v:path gradientshapeok="t" o:connecttype="rect"/>
            </v:shapetype>
            <v:shape id="_x0000_s1039" type="#_x0000_t202" style="position:absolute;margin-left:-60.95pt;margin-top:0;width:53.85pt;height:588.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XbwuwIAAMM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" filled="f" stroked="f">
              <v:textbox style="layout-flow:vertical;mso-layout-flow-alt:bottom-to-top">
                <w:txbxContent>
                  <w:p w14:paraId="4877A853" w14:textId="77777777" w:rsidR="00640CCB" w:rsidRPr="001565E5" w:rsidRDefault="00640CCB" w:rsidP="005629B6">
                    <w:pPr>
                      <w:pStyle w:val="HeaderComponent"/>
                      <w:rPr>
                        <w:color w:val="E87521" w:themeColor="accent3"/>
                      </w:rPr>
                    </w:pPr>
                    <w:r w:rsidRPr="001565E5">
                      <w:rPr>
                        <w:color w:val="E87521" w:themeColor="accent3"/>
                      </w:rPr>
                      <w:t>Stage 1: Rapid regional prioritisation</w:t>
                    </w:r>
                  </w:p>
                  <w:p w14:paraId="3C7187A2" w14:textId="0CD4A804" w:rsidR="00640CCB" w:rsidRPr="005C0B56" w:rsidRDefault="00640CCB" w:rsidP="00566341">
                    <w:pPr>
                      <w:pStyle w:val="HeaderComponent"/>
                      <w:rPr>
                        <w:color w:val="0093CD" w:themeColor="accent1"/>
                      </w:rPr>
                    </w:pPr>
                  </w:p>
                </w:txbxContent>
              </v:textbox>
              <w10:wrap anchory="margin"/>
              <w10:anchorlock/>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A45EF7" w14:textId="77777777" w:rsidR="00640CCB" w:rsidRPr="00595095" w:rsidRDefault="008079F1" w:rsidP="008C6954">
    <w:pPr>
      <w:pStyle w:val="HeaderSection"/>
      <w:jc w:val="right"/>
      <w:rPr>
        <w:sz w:val="22"/>
      </w:rPr>
    </w:pPr>
    <w:r>
      <w:fldChar w:fldCharType="begin"/>
    </w:r>
    <w:r>
      <w:instrText xml:space="preserve"> STYLEREF  "Heading 9,Appendix Heading 1,Heading appendix 1" \r  \* MERGEFORMAT </w:instrText>
    </w:r>
    <w:r>
      <w:fldChar w:fldCharType="separate"/>
    </w:r>
    <w:r w:rsidR="00C960D8">
      <w:rPr>
        <w:noProof/>
      </w:rPr>
      <w:t xml:space="preserve">Appendix A </w:t>
    </w:r>
    <w:r>
      <w:rPr>
        <w:noProof/>
      </w:rPr>
      <w:fldChar w:fldCharType="end"/>
    </w:r>
    <w:r>
      <w:fldChar w:fldCharType="begin"/>
    </w:r>
    <w:r>
      <w:instrText xml:space="preserve"> STYLEREF  "Heading 9,Appendix Heading 1,Heading appendix</w:instrText>
    </w:r>
    <w:r>
      <w:instrText xml:space="preserve"> 1" </w:instrText>
    </w:r>
    <w:r>
      <w:fldChar w:fldCharType="separate"/>
    </w:r>
    <w:r w:rsidR="00C960D8">
      <w:rPr>
        <w:noProof/>
      </w:rPr>
      <w:t>Shale and tight gas exploration activity in eastern and northern Australia</w:t>
    </w:r>
    <w:r>
      <w:rPr>
        <w:noProof/>
      </w:rPr>
      <w:fldChar w:fldCharType="end"/>
    </w:r>
    <w:r w:rsidR="00640CCB">
      <w:rPr>
        <w:noProof/>
      </w:rPr>
      <mc:AlternateContent>
        <mc:Choice Requires="wps">
          <w:drawing>
            <wp:anchor distT="0" distB="0" distL="114300" distR="114300" simplePos="0" relativeHeight="251664384" behindDoc="0" locked="1" layoutInCell="1" allowOverlap="1" wp14:anchorId="2B8296F2" wp14:editId="0EA5CA7C">
              <wp:simplePos x="0" y="0"/>
              <wp:positionH relativeFrom="column">
                <wp:posOffset>6189345</wp:posOffset>
              </wp:positionH>
              <wp:positionV relativeFrom="margin">
                <wp:posOffset>0</wp:posOffset>
              </wp:positionV>
              <wp:extent cx="684000" cy="7480800"/>
              <wp:effectExtent l="0" t="0" r="0" b="635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02AD0"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8296F2" id="_x0000_t202" coordsize="21600,21600" o:spt="202" path="m,l,21600r21600,l21600,xe">
              <v:stroke joinstyle="miter"/>
              <v:path gradientshapeok="t" o:connecttype="rect"/>
            </v:shapetype>
            <v:shape id="_x0000_s1040" type="#_x0000_t202" style="position:absolute;left:0;text-align:left;margin-left:487.35pt;margin-top:0;width:53.85pt;height:589.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" filled="f" stroked="f">
              <v:textbox style="layout-flow:vertical">
                <w:txbxContent>
                  <w:p w14:paraId="7A402AD0"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621A3" w14:textId="77777777" w:rsidR="00640CCB" w:rsidRPr="00595095" w:rsidRDefault="008079F1" w:rsidP="008C6954">
    <w:pPr>
      <w:pStyle w:val="HeaderSection"/>
      <w:jc w:val="right"/>
      <w:rPr>
        <w:sz w:val="22"/>
      </w:rPr>
    </w:pPr>
    <w:r>
      <w:fldChar w:fldCharType="begin"/>
    </w:r>
    <w:r>
      <w:instrText xml:space="preserve"> STYLEREF  "Heading 9,Appendix Heading 1,Heading appendix 1" \r  \* MERGEFORMAT </w:instrText>
    </w:r>
    <w:r>
      <w:fldChar w:fldCharType="separate"/>
    </w:r>
    <w:r>
      <w:rPr>
        <w:noProof/>
      </w:rPr>
      <w:t xml:space="preserve">Appendix A </w:t>
    </w:r>
    <w:r>
      <w:rPr>
        <w:noProof/>
      </w:rPr>
      <w:fldChar w:fldCharType="end"/>
    </w:r>
    <w:r>
      <w:fldChar w:fldCharType="begin"/>
    </w:r>
    <w:r>
      <w:instrText xml:space="preserve"> STYLEREF  "Heading 9,Appendix Heading 1,Heading appendix 1" </w:instrText>
    </w:r>
    <w:r>
      <w:fldChar w:fldCharType="separate"/>
    </w:r>
    <w:r>
      <w:rPr>
        <w:noProof/>
      </w:rPr>
      <w:t>Shale and tight gas exploration activity in eastern and northern Australia</w:t>
    </w:r>
    <w:r>
      <w:rPr>
        <w:noProof/>
      </w:rPr>
      <w:fldChar w:fldCharType="end"/>
    </w:r>
    <w:r w:rsidR="00640CCB">
      <w:rPr>
        <w:noProof/>
      </w:rPr>
      <mc:AlternateContent>
        <mc:Choice Requires="wps">
          <w:drawing>
            <wp:anchor distT="0" distB="0" distL="114300" distR="114300" simplePos="0" relativeHeight="251666432" behindDoc="0" locked="1" layoutInCell="1" allowOverlap="1" wp14:anchorId="7850AF4F" wp14:editId="36F742CB">
              <wp:simplePos x="0" y="0"/>
              <wp:positionH relativeFrom="column">
                <wp:posOffset>9095105</wp:posOffset>
              </wp:positionH>
              <wp:positionV relativeFrom="margin">
                <wp:posOffset>0</wp:posOffset>
              </wp:positionV>
              <wp:extent cx="683895" cy="7479030"/>
              <wp:effectExtent l="0" t="0" r="0" b="7620"/>
              <wp:wrapNone/>
              <wp:docPr id="726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BF07F"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50AF4F" id="_x0000_t202" coordsize="21600,21600" o:spt="202" path="m,l,21600r21600,l21600,xe">
              <v:stroke joinstyle="miter"/>
              <v:path gradientshapeok="t" o:connecttype="rect"/>
            </v:shapetype>
            <v:shape id="_x0000_s1041" type="#_x0000_t202" style="position:absolute;left:0;text-align:left;margin-left:716.15pt;margin-top:0;width:53.85pt;height:588.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" filled="f" stroked="f">
              <v:textbox style="layout-flow:vertical">
                <w:txbxContent>
                  <w:p w14:paraId="546BF07F"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CB43FA" w14:textId="75C0D1E0" w:rsidR="00640CCB" w:rsidRPr="00595095" w:rsidRDefault="00640CCB" w:rsidP="008C6954">
    <w:pPr>
      <w:pStyle w:val="HeaderSection"/>
      <w:jc w:val="right"/>
      <w:rPr>
        <w:sz w:val="22"/>
      </w:rPr>
    </w:pPr>
    <w:r>
      <w:rPr>
        <w:noProof/>
      </w:rPr>
      <mc:AlternateContent>
        <mc:Choice Requires="wps">
          <w:drawing>
            <wp:anchor distT="0" distB="0" distL="114300" distR="114300" simplePos="0" relativeHeight="251669504" behindDoc="0" locked="1" layoutInCell="1" allowOverlap="1" wp14:anchorId="01407D9B" wp14:editId="46CA2762">
              <wp:simplePos x="0" y="0"/>
              <wp:positionH relativeFrom="column">
                <wp:posOffset>6189345</wp:posOffset>
              </wp:positionH>
              <wp:positionV relativeFrom="margin">
                <wp:posOffset>0</wp:posOffset>
              </wp:positionV>
              <wp:extent cx="684000" cy="7480800"/>
              <wp:effectExtent l="0" t="0" r="0" b="635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C010F" w14:textId="77777777" w:rsidR="00640CCB" w:rsidRPr="001565E5" w:rsidRDefault="00640CCB" w:rsidP="007F28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407D9B" id="_x0000_t202" coordsize="21600,21600" o:spt="202" path="m,l,21600r21600,l21600,xe">
              <v:stroke joinstyle="miter"/>
              <v:path gradientshapeok="t" o:connecttype="rect"/>
            </v:shapetype>
            <v:shape id="Text Box 22" o:spid="_x0000_s1042" type="#_x0000_t202" style="position:absolute;left:0;text-align:left;margin-left:487.35pt;margin-top:0;width:53.85pt;height:589.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" filled="f" stroked="f">
              <v:textbox style="layout-flow:vertical">
                <w:txbxContent>
                  <w:p w14:paraId="369C010F" w14:textId="77777777" w:rsidR="00640CCB" w:rsidRPr="001565E5" w:rsidRDefault="00640CCB" w:rsidP="007F28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r w:rsidR="008079F1">
      <w:fldChar w:fldCharType="begin"/>
    </w:r>
    <w:r w:rsidR="008079F1">
      <w:instrText xml:space="preserve"> STYLEREF  "Heading 9,Appendix Heading 1,Heading appendix 1" \r  \* MERGEFORMAT </w:instrText>
    </w:r>
    <w:r w:rsidR="008079F1">
      <w:fldChar w:fldCharType="separate"/>
    </w:r>
    <w:r w:rsidR="008079F1">
      <w:rPr>
        <w:noProof/>
      </w:rPr>
      <w:t xml:space="preserve">Appendix B </w:t>
    </w:r>
    <w:r w:rsidR="008079F1">
      <w:rPr>
        <w:noProof/>
      </w:rPr>
      <w:fldChar w:fldCharType="end"/>
    </w:r>
    <w:r w:rsidR="008079F1">
      <w:fldChar w:fldCharType="begin"/>
    </w:r>
    <w:r w:rsidR="008079F1">
      <w:instrText xml:space="preserve"> STYLEREF  "Heading 9,Appendix Heading 1,Heading appendix 1" </w:instrText>
    </w:r>
    <w:r w:rsidR="008079F1">
      <w:fldChar w:fldCharType="separate"/>
    </w:r>
    <w:r w:rsidR="008079F1">
      <w:rPr>
        <w:noProof/>
      </w:rPr>
      <w:t>Regional Maps</w:t>
    </w:r>
    <w:r w:rsidR="008079F1">
      <w:rPr>
        <w:noProof/>
      </w:rPr>
      <w:fldChar w:fldCharType="end"/>
    </w:r>
    <w:r>
      <w:rPr>
        <w:noProof/>
      </w:rPr>
      <mc:AlternateContent>
        <mc:Choice Requires="wps">
          <w:drawing>
            <wp:anchor distT="0" distB="0" distL="114300" distR="114300" simplePos="0" relativeHeight="251663360" behindDoc="0" locked="1" layoutInCell="1" allowOverlap="1" wp14:anchorId="00018393" wp14:editId="55213D46">
              <wp:simplePos x="0" y="0"/>
              <wp:positionH relativeFrom="column">
                <wp:posOffset>8933815</wp:posOffset>
              </wp:positionH>
              <wp:positionV relativeFrom="margin">
                <wp:posOffset>0</wp:posOffset>
              </wp:positionV>
              <wp:extent cx="683895" cy="7479030"/>
              <wp:effectExtent l="0" t="0" r="0" b="7620"/>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B8621"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18393" id="_x0000_s1043" type="#_x0000_t202" style="position:absolute;left:0;text-align:left;margin-left:703.45pt;margin-top:0;width:53.85pt;height:588.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ewuuAIAAMA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" filled="f" stroked="f">
              <v:textbox style="layout-flow:vertical">
                <w:txbxContent>
                  <w:p w14:paraId="58CB8621" w14:textId="77777777" w:rsidR="00640CCB" w:rsidRPr="001565E5" w:rsidRDefault="00640CCB"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FFFFFF89"/>
    <w:multiLevelType w:val="singleLevel"/>
    <w:tmpl w:val="01A090C2"/>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7" w15:restartNumberingAfterBreak="0">
    <w:nsid w:val="00D62FE1"/>
    <w:multiLevelType w:val="multilevel"/>
    <w:tmpl w:val="A4B8C762"/>
    <w:styleLink w:val="GAAppendices"/>
    <w:lvl w:ilvl="0">
      <w:start w:val="1"/>
      <w:numFmt w:val="upperLetter"/>
      <w:suff w:val="space"/>
      <w:lvlText w:val="Appendix %1"/>
      <w:lvlJc w:val="left"/>
      <w:pPr>
        <w:ind w:left="0" w:firstLine="0"/>
      </w:pPr>
      <w:rPr>
        <w:rFonts w:hint="default"/>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8"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 w15:restartNumberingAfterBreak="0">
    <w:nsid w:val="0207720D"/>
    <w:multiLevelType w:val="multilevel"/>
    <w:tmpl w:val="71DA1A00"/>
    <w:lvl w:ilvl="0">
      <w:start w:val="1"/>
      <w:numFmt w:val="decimal"/>
      <w:pStyle w:val="ListNumberedLevel1"/>
      <w:lvlText w:val="%1."/>
      <w:lvlJc w:val="left"/>
      <w:pPr>
        <w:tabs>
          <w:tab w:val="num" w:pos="312"/>
        </w:tabs>
        <w:ind w:left="312" w:hanging="312"/>
      </w:pPr>
      <w:rPr>
        <w:rFonts w:hint="default"/>
      </w:rPr>
    </w:lvl>
    <w:lvl w:ilvl="1">
      <w:start w:val="1"/>
      <w:numFmt w:val="lowerLetter"/>
      <w:pStyle w:val="ListNumberedLevel2"/>
      <w:lvlText w:val="%2."/>
      <w:lvlJc w:val="left"/>
      <w:pPr>
        <w:tabs>
          <w:tab w:val="num" w:pos="624"/>
        </w:tabs>
        <w:ind w:left="624" w:hanging="312"/>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0" w15:restartNumberingAfterBreak="0">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1" w15:restartNumberingAfterBreak="0">
    <w:nsid w:val="1D8D5B1D"/>
    <w:multiLevelType w:val="hybridMultilevel"/>
    <w:tmpl w:val="5CD61B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3" w15:restartNumberingAfterBreak="0">
    <w:nsid w:val="1F71600B"/>
    <w:multiLevelType w:val="multilevel"/>
    <w:tmpl w:val="2CEA796A"/>
    <w:styleLink w:val="GAMultilevelList"/>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4"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B191BFD"/>
    <w:multiLevelType w:val="hybridMultilevel"/>
    <w:tmpl w:val="BDB693C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4502025"/>
    <w:multiLevelType w:val="hybridMultilevel"/>
    <w:tmpl w:val="D4926B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18" w15:restartNumberingAfterBreak="0">
    <w:nsid w:val="50C00F9F"/>
    <w:multiLevelType w:val="hybridMultilevel"/>
    <w:tmpl w:val="FDBA9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15:restartNumberingAfterBreak="0">
    <w:nsid w:val="59444BE6"/>
    <w:multiLevelType w:val="multilevel"/>
    <w:tmpl w:val="71C88260"/>
    <w:lvl w:ilvl="0">
      <w:start w:val="1"/>
      <w:numFmt w:val="decimal"/>
      <w:pStyle w:val="Heading1"/>
      <w:lvlText w:val="%1"/>
      <w:lvlJc w:val="left"/>
      <w:pPr>
        <w:ind w:left="1134" w:hanging="2268"/>
      </w:pPr>
      <w:rPr>
        <w:rFonts w:cs="Times New Roman" w:hint="default"/>
        <w:color w:val="146692" w:themeColor="text2"/>
      </w:rPr>
    </w:lvl>
    <w:lvl w:ilvl="1">
      <w:start w:val="1"/>
      <w:numFmt w:val="decimal"/>
      <w:pStyle w:val="Heading2"/>
      <w:lvlText w:val="%1.%2"/>
      <w:lvlJc w:val="left"/>
      <w:pPr>
        <w:ind w:left="1418" w:hanging="1418"/>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pStyle w:val="Heading4"/>
      <w:lvlText w:val="%1.%2.%3.%4"/>
      <w:lvlJc w:val="left"/>
      <w:pPr>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4">
      <w:start w:val="1"/>
      <w:numFmt w:val="decimal"/>
      <w:pStyle w:val="Heading5"/>
      <w:lvlText w:val="%1.%2.%3.%4.%5"/>
      <w:lvlJc w:val="left"/>
      <w:pPr>
        <w:ind w:left="1134" w:hanging="1134"/>
      </w:pPr>
      <w:rPr>
        <w:rFonts w:cs="Times New Roman" w:hint="default"/>
        <w:b/>
        <w:bCs w:val="0"/>
        <w:i/>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1"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22"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23" w15:restartNumberingAfterBreak="0">
    <w:nsid w:val="66063429"/>
    <w:multiLevelType w:val="multilevel"/>
    <w:tmpl w:val="5A4A4BE2"/>
    <w:lvl w:ilvl="0">
      <w:start w:val="1"/>
      <w:numFmt w:val="upperLetter"/>
      <w:pStyle w:val="AppendixHeading1base"/>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pStyle w:val="AppendixHeading2"/>
      <w:lvlText w:val="%1.%2"/>
      <w:lvlJc w:val="left"/>
      <w:pPr>
        <w:ind w:left="1134" w:hanging="1134"/>
      </w:pPr>
      <w:rPr>
        <w:rFonts w:hint="default"/>
      </w:rPr>
    </w:lvl>
    <w:lvl w:ilvl="2">
      <w:start w:val="1"/>
      <w:numFmt w:val="decimal"/>
      <w:pStyle w:val="AppendixHeading3"/>
      <w:lvlText w:val="%1.%2.%3"/>
      <w:lvlJc w:val="left"/>
      <w:pPr>
        <w:ind w:left="1134" w:hanging="1134"/>
      </w:pPr>
      <w:rPr>
        <w:rFonts w:hint="default"/>
      </w:rPr>
    </w:lvl>
    <w:lvl w:ilvl="3">
      <w:start w:val="1"/>
      <w:numFmt w:val="decimal"/>
      <w:pStyle w:val="AppendixHeading4"/>
      <w:lvlText w:val="%1.%2.%3.%4"/>
      <w:lvlJc w:val="left"/>
      <w:pPr>
        <w:ind w:left="1134" w:hanging="1134"/>
      </w:pPr>
      <w:rPr>
        <w:rFonts w:hint="default"/>
      </w:rPr>
    </w:lvl>
    <w:lvl w:ilvl="4">
      <w:start w:val="1"/>
      <w:numFmt w:val="decimal"/>
      <w:pStyle w:val="AppendixHeading5"/>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4"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25" w15:restartNumberingAfterBreak="0">
    <w:nsid w:val="6FA31F47"/>
    <w:multiLevelType w:val="multilevel"/>
    <w:tmpl w:val="AEEAD722"/>
    <w:lvl w:ilvl="0">
      <w:start w:val="1"/>
      <w:numFmt w:val="bullet"/>
      <w:pStyle w:val="TableTextBulletL1"/>
      <w:lvlText w:val=""/>
      <w:lvlJc w:val="left"/>
      <w:pPr>
        <w:tabs>
          <w:tab w:val="num" w:pos="170"/>
        </w:tabs>
        <w:ind w:left="170" w:hanging="170"/>
      </w:pPr>
      <w:rPr>
        <w:rFonts w:ascii="Symbol" w:hAnsi="Symbol" w:hint="default"/>
        <w:sz w:val="16"/>
      </w:rPr>
    </w:lvl>
    <w:lvl w:ilvl="1">
      <w:start w:val="1"/>
      <w:numFmt w:val="bullet"/>
      <w:pStyle w:val="TableTextBulletL2"/>
      <w:lvlText w:val="-"/>
      <w:lvlJc w:val="left"/>
      <w:pPr>
        <w:tabs>
          <w:tab w:val="num" w:pos="340"/>
        </w:tabs>
        <w:ind w:left="340" w:hanging="17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72B31F14"/>
    <w:multiLevelType w:val="multilevel"/>
    <w:tmpl w:val="6972CBF2"/>
    <w:lvl w:ilvl="0">
      <w:start w:val="1"/>
      <w:numFmt w:val="upperLetter"/>
      <w:suff w:val="space"/>
      <w:lvlText w:val="Appendix %1"/>
      <w:lvlJc w:val="left"/>
      <w:pPr>
        <w:ind w:left="0" w:firstLine="0"/>
      </w:pPr>
      <w:rPr>
        <w:rFonts w:hint="default"/>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7" w15:restartNumberingAfterBreak="0">
    <w:nsid w:val="77A549B9"/>
    <w:multiLevelType w:val="hybridMultilevel"/>
    <w:tmpl w:val="FAD8BC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4"/>
  </w:num>
  <w:num w:numId="5">
    <w:abstractNumId w:val="20"/>
  </w:num>
  <w:num w:numId="6">
    <w:abstractNumId w:val="23"/>
  </w:num>
  <w:num w:numId="7">
    <w:abstractNumId w:val="8"/>
  </w:num>
  <w:num w:numId="8">
    <w:abstractNumId w:val="22"/>
  </w:num>
  <w:num w:numId="9">
    <w:abstractNumId w:val="12"/>
  </w:num>
  <w:num w:numId="10">
    <w:abstractNumId w:val="1"/>
  </w:num>
  <w:num w:numId="11">
    <w:abstractNumId w:val="0"/>
  </w:num>
  <w:num w:numId="12">
    <w:abstractNumId w:val="21"/>
  </w:num>
  <w:num w:numId="13">
    <w:abstractNumId w:val="24"/>
  </w:num>
  <w:num w:numId="14">
    <w:abstractNumId w:val="6"/>
  </w:num>
  <w:num w:numId="15">
    <w:abstractNumId w:val="17"/>
  </w:num>
  <w:num w:numId="16">
    <w:abstractNumId w:val="10"/>
  </w:num>
  <w:num w:numId="17">
    <w:abstractNumId w:val="19"/>
  </w:num>
  <w:num w:numId="18">
    <w:abstractNumId w:val="13"/>
  </w:num>
  <w:num w:numId="19">
    <w:abstractNumId w:val="7"/>
  </w:num>
  <w:num w:numId="20">
    <w:abstractNumId w:val="9"/>
  </w:num>
  <w:num w:numId="21">
    <w:abstractNumId w:val="25"/>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5"/>
  </w:num>
  <w:num w:numId="27">
    <w:abstractNumId w:val="21"/>
    <w:lvlOverride w:ilvl="0">
      <w:startOverride w:val="1"/>
    </w:lvlOverride>
  </w:num>
  <w:num w:numId="28">
    <w:abstractNumId w:val="15"/>
  </w:num>
  <w:num w:numId="29">
    <w:abstractNumId w:val="23"/>
  </w:num>
  <w:num w:numId="30">
    <w:abstractNumId w:val="12"/>
  </w:num>
  <w:num w:numId="31">
    <w:abstractNumId w:val="12"/>
  </w:num>
  <w:num w:numId="32">
    <w:abstractNumId w:val="11"/>
  </w:num>
  <w:num w:numId="33">
    <w:abstractNumId w:val="18"/>
  </w:num>
  <w:num w:numId="34">
    <w:abstractNumId w:val="27"/>
  </w:num>
  <w:num w:numId="35">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4704" w:allStyles="0" w:customStyles="0" w:latentStyles="1" w:stylesInUse="0" w:headingStyles="0" w:numberingStyles="0" w:tableStyles="0" w:directFormattingOnRuns="1" w:directFormattingOnParagraphs="1" w:directFormattingOnNumbering="1" w:directFormattingOnTables="0" w:clearFormatting="0" w:top3HeadingStyles="0" w:visibleStyles="1" w:alternateStyleNames="0"/>
  <w:defaultTabStop w:val="720"/>
  <w:evenAndOddHeaders/>
  <w:drawingGridHorizontalSpacing w:val="120"/>
  <w:displayHorizontalDrawingGridEvery w:val="2"/>
  <w:characterSpacingControl w:val="doNotCompress"/>
  <w:hdrShapeDefaults>
    <o:shapedefaults v:ext="edit" spidmax="65537" style="mso-position-horizontal-relative:margin;mso-position-vertical-relative:margin" fillcolor="white" stroke="f">
      <v:fill color="white" size="0,0" aspect="atLeast" origin="-32767f,-32767f" position="-32767f,-32767f" type="frame"/>
      <v:stroke on="f"/>
      <o:colormru v:ext="edit" colors="#ddd,#f8f8f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41BD"/>
    <w:rsid w:val="00000EEA"/>
    <w:rsid w:val="00001864"/>
    <w:rsid w:val="00002AA7"/>
    <w:rsid w:val="000031E1"/>
    <w:rsid w:val="00006EB0"/>
    <w:rsid w:val="00006F45"/>
    <w:rsid w:val="00007B81"/>
    <w:rsid w:val="000109B6"/>
    <w:rsid w:val="00010E2E"/>
    <w:rsid w:val="00011FC6"/>
    <w:rsid w:val="000126EB"/>
    <w:rsid w:val="000142C0"/>
    <w:rsid w:val="000158A0"/>
    <w:rsid w:val="00015E82"/>
    <w:rsid w:val="00016926"/>
    <w:rsid w:val="00016C10"/>
    <w:rsid w:val="0001775B"/>
    <w:rsid w:val="00022AC3"/>
    <w:rsid w:val="00022CFC"/>
    <w:rsid w:val="00024F6E"/>
    <w:rsid w:val="00025FD5"/>
    <w:rsid w:val="0002686D"/>
    <w:rsid w:val="00030A53"/>
    <w:rsid w:val="00030D0E"/>
    <w:rsid w:val="00030FA7"/>
    <w:rsid w:val="000316D4"/>
    <w:rsid w:val="0003217B"/>
    <w:rsid w:val="000321E0"/>
    <w:rsid w:val="00032C10"/>
    <w:rsid w:val="00033148"/>
    <w:rsid w:val="0003319E"/>
    <w:rsid w:val="000331D4"/>
    <w:rsid w:val="00033C1D"/>
    <w:rsid w:val="0003422C"/>
    <w:rsid w:val="00034336"/>
    <w:rsid w:val="000350BE"/>
    <w:rsid w:val="00035C4A"/>
    <w:rsid w:val="00040680"/>
    <w:rsid w:val="000420A9"/>
    <w:rsid w:val="000426C5"/>
    <w:rsid w:val="00042A1A"/>
    <w:rsid w:val="00042C10"/>
    <w:rsid w:val="00043876"/>
    <w:rsid w:val="000443E1"/>
    <w:rsid w:val="000444A8"/>
    <w:rsid w:val="00045970"/>
    <w:rsid w:val="00046533"/>
    <w:rsid w:val="000467A1"/>
    <w:rsid w:val="0005048B"/>
    <w:rsid w:val="00051219"/>
    <w:rsid w:val="00051456"/>
    <w:rsid w:val="00051BC3"/>
    <w:rsid w:val="00051CBC"/>
    <w:rsid w:val="000520F9"/>
    <w:rsid w:val="0005226F"/>
    <w:rsid w:val="00052D7F"/>
    <w:rsid w:val="0005371F"/>
    <w:rsid w:val="00053E83"/>
    <w:rsid w:val="00056D3C"/>
    <w:rsid w:val="00056FD0"/>
    <w:rsid w:val="000578DD"/>
    <w:rsid w:val="00060AC7"/>
    <w:rsid w:val="00064612"/>
    <w:rsid w:val="000647BB"/>
    <w:rsid w:val="0006515C"/>
    <w:rsid w:val="000665C7"/>
    <w:rsid w:val="000667A4"/>
    <w:rsid w:val="000721A9"/>
    <w:rsid w:val="00073274"/>
    <w:rsid w:val="00073BED"/>
    <w:rsid w:val="00074CDA"/>
    <w:rsid w:val="00074DFE"/>
    <w:rsid w:val="00075774"/>
    <w:rsid w:val="00075B0B"/>
    <w:rsid w:val="00076F2A"/>
    <w:rsid w:val="000815C2"/>
    <w:rsid w:val="00083CBE"/>
    <w:rsid w:val="00083FBD"/>
    <w:rsid w:val="00085DC0"/>
    <w:rsid w:val="00087ADA"/>
    <w:rsid w:val="000902F6"/>
    <w:rsid w:val="0009409D"/>
    <w:rsid w:val="000942F1"/>
    <w:rsid w:val="0009451D"/>
    <w:rsid w:val="00096087"/>
    <w:rsid w:val="0009642A"/>
    <w:rsid w:val="00096667"/>
    <w:rsid w:val="00096910"/>
    <w:rsid w:val="000979AD"/>
    <w:rsid w:val="000A0052"/>
    <w:rsid w:val="000A4035"/>
    <w:rsid w:val="000A5E40"/>
    <w:rsid w:val="000A6F40"/>
    <w:rsid w:val="000A7A58"/>
    <w:rsid w:val="000B0A3D"/>
    <w:rsid w:val="000B1470"/>
    <w:rsid w:val="000B3486"/>
    <w:rsid w:val="000B3B62"/>
    <w:rsid w:val="000B580F"/>
    <w:rsid w:val="000C02C0"/>
    <w:rsid w:val="000C05F1"/>
    <w:rsid w:val="000C0940"/>
    <w:rsid w:val="000C0E41"/>
    <w:rsid w:val="000C4051"/>
    <w:rsid w:val="000C5358"/>
    <w:rsid w:val="000C5523"/>
    <w:rsid w:val="000C5BAD"/>
    <w:rsid w:val="000C61C0"/>
    <w:rsid w:val="000C64CC"/>
    <w:rsid w:val="000C71D2"/>
    <w:rsid w:val="000C7D15"/>
    <w:rsid w:val="000D0298"/>
    <w:rsid w:val="000D19DE"/>
    <w:rsid w:val="000D3C89"/>
    <w:rsid w:val="000D4188"/>
    <w:rsid w:val="000D436B"/>
    <w:rsid w:val="000D6D2F"/>
    <w:rsid w:val="000E1CF3"/>
    <w:rsid w:val="000E2422"/>
    <w:rsid w:val="000E31D9"/>
    <w:rsid w:val="000E4281"/>
    <w:rsid w:val="000E4EFC"/>
    <w:rsid w:val="000E4FB5"/>
    <w:rsid w:val="000E599F"/>
    <w:rsid w:val="000E73CF"/>
    <w:rsid w:val="000E7656"/>
    <w:rsid w:val="000F047C"/>
    <w:rsid w:val="000F04B5"/>
    <w:rsid w:val="000F0640"/>
    <w:rsid w:val="000F1264"/>
    <w:rsid w:val="000F1EC3"/>
    <w:rsid w:val="000F1F25"/>
    <w:rsid w:val="000F1FE4"/>
    <w:rsid w:val="000F24C4"/>
    <w:rsid w:val="000F33ED"/>
    <w:rsid w:val="000F6D27"/>
    <w:rsid w:val="000F78B4"/>
    <w:rsid w:val="000F7B37"/>
    <w:rsid w:val="001014CC"/>
    <w:rsid w:val="00101621"/>
    <w:rsid w:val="00101A2A"/>
    <w:rsid w:val="00101CEF"/>
    <w:rsid w:val="001036E4"/>
    <w:rsid w:val="00104FBD"/>
    <w:rsid w:val="001050FC"/>
    <w:rsid w:val="001063A0"/>
    <w:rsid w:val="001067F0"/>
    <w:rsid w:val="001068F9"/>
    <w:rsid w:val="00106DE1"/>
    <w:rsid w:val="001100D4"/>
    <w:rsid w:val="00112FF6"/>
    <w:rsid w:val="0011325C"/>
    <w:rsid w:val="0011346D"/>
    <w:rsid w:val="0011470B"/>
    <w:rsid w:val="00114B30"/>
    <w:rsid w:val="00114F91"/>
    <w:rsid w:val="00116699"/>
    <w:rsid w:val="00116728"/>
    <w:rsid w:val="00116C3E"/>
    <w:rsid w:val="001174E9"/>
    <w:rsid w:val="00117E59"/>
    <w:rsid w:val="0012201E"/>
    <w:rsid w:val="00122671"/>
    <w:rsid w:val="0012354E"/>
    <w:rsid w:val="001235BB"/>
    <w:rsid w:val="00123BCC"/>
    <w:rsid w:val="00123FD7"/>
    <w:rsid w:val="001249CC"/>
    <w:rsid w:val="00124B05"/>
    <w:rsid w:val="0012686E"/>
    <w:rsid w:val="0012745E"/>
    <w:rsid w:val="0013089B"/>
    <w:rsid w:val="00131AA6"/>
    <w:rsid w:val="00132D2F"/>
    <w:rsid w:val="00132F76"/>
    <w:rsid w:val="0013384F"/>
    <w:rsid w:val="0013472C"/>
    <w:rsid w:val="00134FC3"/>
    <w:rsid w:val="00135468"/>
    <w:rsid w:val="0013599B"/>
    <w:rsid w:val="001359B2"/>
    <w:rsid w:val="00135AB0"/>
    <w:rsid w:val="001362D8"/>
    <w:rsid w:val="00136B7F"/>
    <w:rsid w:val="00141D5A"/>
    <w:rsid w:val="00142B96"/>
    <w:rsid w:val="00145160"/>
    <w:rsid w:val="00145485"/>
    <w:rsid w:val="00145A09"/>
    <w:rsid w:val="00145FEF"/>
    <w:rsid w:val="001474C2"/>
    <w:rsid w:val="00147CAE"/>
    <w:rsid w:val="00152753"/>
    <w:rsid w:val="00153F1F"/>
    <w:rsid w:val="00154168"/>
    <w:rsid w:val="001557AF"/>
    <w:rsid w:val="001559CD"/>
    <w:rsid w:val="0015605C"/>
    <w:rsid w:val="001565E5"/>
    <w:rsid w:val="001570AD"/>
    <w:rsid w:val="00157982"/>
    <w:rsid w:val="00157AAE"/>
    <w:rsid w:val="00160101"/>
    <w:rsid w:val="0016026E"/>
    <w:rsid w:val="00161820"/>
    <w:rsid w:val="00161BB6"/>
    <w:rsid w:val="00165B39"/>
    <w:rsid w:val="0016786D"/>
    <w:rsid w:val="001708B3"/>
    <w:rsid w:val="00171A1B"/>
    <w:rsid w:val="00173C4D"/>
    <w:rsid w:val="00174635"/>
    <w:rsid w:val="00174A49"/>
    <w:rsid w:val="001750A8"/>
    <w:rsid w:val="00175388"/>
    <w:rsid w:val="00177270"/>
    <w:rsid w:val="001772D6"/>
    <w:rsid w:val="00180676"/>
    <w:rsid w:val="001901B1"/>
    <w:rsid w:val="001901EA"/>
    <w:rsid w:val="00190D8F"/>
    <w:rsid w:val="00190E0B"/>
    <w:rsid w:val="00192E59"/>
    <w:rsid w:val="00193162"/>
    <w:rsid w:val="00193BB2"/>
    <w:rsid w:val="00193CD1"/>
    <w:rsid w:val="00194542"/>
    <w:rsid w:val="00195301"/>
    <w:rsid w:val="00196146"/>
    <w:rsid w:val="00196DF6"/>
    <w:rsid w:val="001A0EED"/>
    <w:rsid w:val="001A1020"/>
    <w:rsid w:val="001A17F7"/>
    <w:rsid w:val="001A233E"/>
    <w:rsid w:val="001A2647"/>
    <w:rsid w:val="001A3394"/>
    <w:rsid w:val="001B00A0"/>
    <w:rsid w:val="001B23ED"/>
    <w:rsid w:val="001B2ACE"/>
    <w:rsid w:val="001B34DE"/>
    <w:rsid w:val="001B4704"/>
    <w:rsid w:val="001B6CB5"/>
    <w:rsid w:val="001B7174"/>
    <w:rsid w:val="001B79DA"/>
    <w:rsid w:val="001B7BF3"/>
    <w:rsid w:val="001C07F5"/>
    <w:rsid w:val="001C2655"/>
    <w:rsid w:val="001C3137"/>
    <w:rsid w:val="001C3BB7"/>
    <w:rsid w:val="001C540A"/>
    <w:rsid w:val="001C5CA5"/>
    <w:rsid w:val="001C6336"/>
    <w:rsid w:val="001C663B"/>
    <w:rsid w:val="001D0060"/>
    <w:rsid w:val="001D03BA"/>
    <w:rsid w:val="001D0E6C"/>
    <w:rsid w:val="001D1412"/>
    <w:rsid w:val="001D144E"/>
    <w:rsid w:val="001D17D6"/>
    <w:rsid w:val="001D189F"/>
    <w:rsid w:val="001D2737"/>
    <w:rsid w:val="001D28E3"/>
    <w:rsid w:val="001D36DC"/>
    <w:rsid w:val="001D3FB0"/>
    <w:rsid w:val="001D3FC0"/>
    <w:rsid w:val="001D4D59"/>
    <w:rsid w:val="001D4D5B"/>
    <w:rsid w:val="001D5F4B"/>
    <w:rsid w:val="001D6E0E"/>
    <w:rsid w:val="001D712F"/>
    <w:rsid w:val="001D713C"/>
    <w:rsid w:val="001E0B4B"/>
    <w:rsid w:val="001E2D97"/>
    <w:rsid w:val="001E30E8"/>
    <w:rsid w:val="001E4C59"/>
    <w:rsid w:val="001E531C"/>
    <w:rsid w:val="001F0998"/>
    <w:rsid w:val="001F09C8"/>
    <w:rsid w:val="001F259B"/>
    <w:rsid w:val="001F3174"/>
    <w:rsid w:val="001F4181"/>
    <w:rsid w:val="001F454E"/>
    <w:rsid w:val="001F5A07"/>
    <w:rsid w:val="002002F9"/>
    <w:rsid w:val="0020034E"/>
    <w:rsid w:val="002019F4"/>
    <w:rsid w:val="00201C06"/>
    <w:rsid w:val="00201CD0"/>
    <w:rsid w:val="002045A4"/>
    <w:rsid w:val="00205F7F"/>
    <w:rsid w:val="00207117"/>
    <w:rsid w:val="002077EE"/>
    <w:rsid w:val="00207AE3"/>
    <w:rsid w:val="00210152"/>
    <w:rsid w:val="002101A4"/>
    <w:rsid w:val="002109F9"/>
    <w:rsid w:val="00213770"/>
    <w:rsid w:val="002137D2"/>
    <w:rsid w:val="00213EDA"/>
    <w:rsid w:val="00214440"/>
    <w:rsid w:val="00215132"/>
    <w:rsid w:val="002154A2"/>
    <w:rsid w:val="002156C8"/>
    <w:rsid w:val="00221A8F"/>
    <w:rsid w:val="00221D5A"/>
    <w:rsid w:val="0022303B"/>
    <w:rsid w:val="0022431B"/>
    <w:rsid w:val="00224379"/>
    <w:rsid w:val="002254A0"/>
    <w:rsid w:val="002256CA"/>
    <w:rsid w:val="002274F9"/>
    <w:rsid w:val="00231316"/>
    <w:rsid w:val="00231A72"/>
    <w:rsid w:val="00231F7E"/>
    <w:rsid w:val="00232B56"/>
    <w:rsid w:val="00233178"/>
    <w:rsid w:val="00237C92"/>
    <w:rsid w:val="00240DFD"/>
    <w:rsid w:val="002418DA"/>
    <w:rsid w:val="00241BAC"/>
    <w:rsid w:val="002421F2"/>
    <w:rsid w:val="002441BB"/>
    <w:rsid w:val="00245499"/>
    <w:rsid w:val="002467EB"/>
    <w:rsid w:val="00246E96"/>
    <w:rsid w:val="0025177C"/>
    <w:rsid w:val="00251D0B"/>
    <w:rsid w:val="00251DCB"/>
    <w:rsid w:val="00251DDE"/>
    <w:rsid w:val="0025295D"/>
    <w:rsid w:val="00252CBB"/>
    <w:rsid w:val="00253036"/>
    <w:rsid w:val="00253C65"/>
    <w:rsid w:val="002544ED"/>
    <w:rsid w:val="00254F87"/>
    <w:rsid w:val="00257619"/>
    <w:rsid w:val="002579B2"/>
    <w:rsid w:val="00260876"/>
    <w:rsid w:val="0026088D"/>
    <w:rsid w:val="00260CC9"/>
    <w:rsid w:val="0026193D"/>
    <w:rsid w:val="00261E97"/>
    <w:rsid w:val="00262D17"/>
    <w:rsid w:val="00263072"/>
    <w:rsid w:val="00263A58"/>
    <w:rsid w:val="00265B73"/>
    <w:rsid w:val="00267121"/>
    <w:rsid w:val="00267364"/>
    <w:rsid w:val="0026739B"/>
    <w:rsid w:val="002706B7"/>
    <w:rsid w:val="00271058"/>
    <w:rsid w:val="00272F28"/>
    <w:rsid w:val="00273A31"/>
    <w:rsid w:val="00274483"/>
    <w:rsid w:val="00274DF1"/>
    <w:rsid w:val="00274FEA"/>
    <w:rsid w:val="0027618D"/>
    <w:rsid w:val="00276E3E"/>
    <w:rsid w:val="00277240"/>
    <w:rsid w:val="00277610"/>
    <w:rsid w:val="00277A23"/>
    <w:rsid w:val="00280214"/>
    <w:rsid w:val="00280E4B"/>
    <w:rsid w:val="0028129E"/>
    <w:rsid w:val="002818FA"/>
    <w:rsid w:val="00281BB0"/>
    <w:rsid w:val="00282CDD"/>
    <w:rsid w:val="002852DB"/>
    <w:rsid w:val="002856C2"/>
    <w:rsid w:val="00285F27"/>
    <w:rsid w:val="002860B6"/>
    <w:rsid w:val="0028632F"/>
    <w:rsid w:val="00287450"/>
    <w:rsid w:val="00287F80"/>
    <w:rsid w:val="00287FBB"/>
    <w:rsid w:val="0029026E"/>
    <w:rsid w:val="002919AD"/>
    <w:rsid w:val="00292512"/>
    <w:rsid w:val="00293197"/>
    <w:rsid w:val="0029371B"/>
    <w:rsid w:val="00293EB0"/>
    <w:rsid w:val="002943E5"/>
    <w:rsid w:val="00295D01"/>
    <w:rsid w:val="0029605A"/>
    <w:rsid w:val="00296449"/>
    <w:rsid w:val="0029674C"/>
    <w:rsid w:val="002A16C6"/>
    <w:rsid w:val="002A47DB"/>
    <w:rsid w:val="002A5A18"/>
    <w:rsid w:val="002A5D8F"/>
    <w:rsid w:val="002A658F"/>
    <w:rsid w:val="002B073F"/>
    <w:rsid w:val="002B0B10"/>
    <w:rsid w:val="002B10A4"/>
    <w:rsid w:val="002B1D1C"/>
    <w:rsid w:val="002B2021"/>
    <w:rsid w:val="002B3E6E"/>
    <w:rsid w:val="002B4524"/>
    <w:rsid w:val="002B4893"/>
    <w:rsid w:val="002B6819"/>
    <w:rsid w:val="002B6B0A"/>
    <w:rsid w:val="002B77E9"/>
    <w:rsid w:val="002B7B25"/>
    <w:rsid w:val="002C1004"/>
    <w:rsid w:val="002C1D3B"/>
    <w:rsid w:val="002C21BC"/>
    <w:rsid w:val="002C2CD1"/>
    <w:rsid w:val="002C54A6"/>
    <w:rsid w:val="002C566C"/>
    <w:rsid w:val="002C69F4"/>
    <w:rsid w:val="002C7D7E"/>
    <w:rsid w:val="002D029E"/>
    <w:rsid w:val="002D19CD"/>
    <w:rsid w:val="002D1B9B"/>
    <w:rsid w:val="002D2580"/>
    <w:rsid w:val="002D4BDE"/>
    <w:rsid w:val="002D688F"/>
    <w:rsid w:val="002D7618"/>
    <w:rsid w:val="002E00BA"/>
    <w:rsid w:val="002E08A4"/>
    <w:rsid w:val="002E0C1E"/>
    <w:rsid w:val="002E2F60"/>
    <w:rsid w:val="002E3B33"/>
    <w:rsid w:val="002E3BB0"/>
    <w:rsid w:val="002E55A0"/>
    <w:rsid w:val="002E5BB6"/>
    <w:rsid w:val="002E6619"/>
    <w:rsid w:val="002E6C16"/>
    <w:rsid w:val="002E7AB1"/>
    <w:rsid w:val="002E7DC9"/>
    <w:rsid w:val="002E7DEA"/>
    <w:rsid w:val="002F0071"/>
    <w:rsid w:val="002F06CC"/>
    <w:rsid w:val="002F2CDD"/>
    <w:rsid w:val="002F2D28"/>
    <w:rsid w:val="002F4025"/>
    <w:rsid w:val="002F4578"/>
    <w:rsid w:val="002F5550"/>
    <w:rsid w:val="002F6563"/>
    <w:rsid w:val="002F7A19"/>
    <w:rsid w:val="00300ED2"/>
    <w:rsid w:val="00301C5C"/>
    <w:rsid w:val="003036A2"/>
    <w:rsid w:val="003037D5"/>
    <w:rsid w:val="003053C7"/>
    <w:rsid w:val="003059EB"/>
    <w:rsid w:val="0030660D"/>
    <w:rsid w:val="00306A4B"/>
    <w:rsid w:val="00307B3C"/>
    <w:rsid w:val="00310421"/>
    <w:rsid w:val="003121DB"/>
    <w:rsid w:val="003122E7"/>
    <w:rsid w:val="003139EB"/>
    <w:rsid w:val="00313CAE"/>
    <w:rsid w:val="00314659"/>
    <w:rsid w:val="00315292"/>
    <w:rsid w:val="0031605A"/>
    <w:rsid w:val="00316322"/>
    <w:rsid w:val="0031689E"/>
    <w:rsid w:val="00317079"/>
    <w:rsid w:val="00320127"/>
    <w:rsid w:val="003205B5"/>
    <w:rsid w:val="00320D32"/>
    <w:rsid w:val="00320FE5"/>
    <w:rsid w:val="00321AC5"/>
    <w:rsid w:val="00322BA1"/>
    <w:rsid w:val="00326BD1"/>
    <w:rsid w:val="00327466"/>
    <w:rsid w:val="0032796C"/>
    <w:rsid w:val="00331731"/>
    <w:rsid w:val="003319AC"/>
    <w:rsid w:val="00331AD7"/>
    <w:rsid w:val="00332278"/>
    <w:rsid w:val="00333EED"/>
    <w:rsid w:val="00334C4E"/>
    <w:rsid w:val="0033551F"/>
    <w:rsid w:val="0033655C"/>
    <w:rsid w:val="0033715A"/>
    <w:rsid w:val="00340659"/>
    <w:rsid w:val="00340806"/>
    <w:rsid w:val="0034087F"/>
    <w:rsid w:val="00341A97"/>
    <w:rsid w:val="00341FFE"/>
    <w:rsid w:val="003425BE"/>
    <w:rsid w:val="003427ED"/>
    <w:rsid w:val="00343AAF"/>
    <w:rsid w:val="003450A8"/>
    <w:rsid w:val="003450C4"/>
    <w:rsid w:val="003461B2"/>
    <w:rsid w:val="003462EE"/>
    <w:rsid w:val="003507EA"/>
    <w:rsid w:val="003519E1"/>
    <w:rsid w:val="00352C34"/>
    <w:rsid w:val="00353D67"/>
    <w:rsid w:val="00353F52"/>
    <w:rsid w:val="003546C8"/>
    <w:rsid w:val="00355B43"/>
    <w:rsid w:val="00355F5E"/>
    <w:rsid w:val="00357251"/>
    <w:rsid w:val="003579A8"/>
    <w:rsid w:val="00357C1F"/>
    <w:rsid w:val="00357F24"/>
    <w:rsid w:val="00361EE2"/>
    <w:rsid w:val="0036319D"/>
    <w:rsid w:val="00363539"/>
    <w:rsid w:val="0036426E"/>
    <w:rsid w:val="00364EBB"/>
    <w:rsid w:val="00365184"/>
    <w:rsid w:val="00365CE5"/>
    <w:rsid w:val="00365EB3"/>
    <w:rsid w:val="00366F81"/>
    <w:rsid w:val="00367A93"/>
    <w:rsid w:val="00370D6B"/>
    <w:rsid w:val="003718E0"/>
    <w:rsid w:val="00371AE9"/>
    <w:rsid w:val="00373371"/>
    <w:rsid w:val="003739CA"/>
    <w:rsid w:val="003744F9"/>
    <w:rsid w:val="0037509A"/>
    <w:rsid w:val="003816FD"/>
    <w:rsid w:val="00381AB9"/>
    <w:rsid w:val="00383ADF"/>
    <w:rsid w:val="00387188"/>
    <w:rsid w:val="00387974"/>
    <w:rsid w:val="00390015"/>
    <w:rsid w:val="00390FA5"/>
    <w:rsid w:val="0039122C"/>
    <w:rsid w:val="00392004"/>
    <w:rsid w:val="003920EA"/>
    <w:rsid w:val="0039270B"/>
    <w:rsid w:val="003928F8"/>
    <w:rsid w:val="00395EF5"/>
    <w:rsid w:val="0039729E"/>
    <w:rsid w:val="003A15C6"/>
    <w:rsid w:val="003A2D53"/>
    <w:rsid w:val="003A2FF2"/>
    <w:rsid w:val="003A3052"/>
    <w:rsid w:val="003A323E"/>
    <w:rsid w:val="003A3919"/>
    <w:rsid w:val="003A476E"/>
    <w:rsid w:val="003A4AF4"/>
    <w:rsid w:val="003A5453"/>
    <w:rsid w:val="003A55B9"/>
    <w:rsid w:val="003A5A58"/>
    <w:rsid w:val="003A647C"/>
    <w:rsid w:val="003A710E"/>
    <w:rsid w:val="003B1238"/>
    <w:rsid w:val="003B32F5"/>
    <w:rsid w:val="003B3ECD"/>
    <w:rsid w:val="003B4380"/>
    <w:rsid w:val="003B49DC"/>
    <w:rsid w:val="003B4B4E"/>
    <w:rsid w:val="003B4D8C"/>
    <w:rsid w:val="003B58A6"/>
    <w:rsid w:val="003C40B6"/>
    <w:rsid w:val="003C5608"/>
    <w:rsid w:val="003C59B9"/>
    <w:rsid w:val="003C5CAE"/>
    <w:rsid w:val="003C6774"/>
    <w:rsid w:val="003D0FAA"/>
    <w:rsid w:val="003D26A3"/>
    <w:rsid w:val="003D2AEC"/>
    <w:rsid w:val="003D3EEE"/>
    <w:rsid w:val="003D4594"/>
    <w:rsid w:val="003D4B0D"/>
    <w:rsid w:val="003D4F86"/>
    <w:rsid w:val="003D522F"/>
    <w:rsid w:val="003D62C9"/>
    <w:rsid w:val="003D641F"/>
    <w:rsid w:val="003D6565"/>
    <w:rsid w:val="003D7401"/>
    <w:rsid w:val="003D7758"/>
    <w:rsid w:val="003D778D"/>
    <w:rsid w:val="003E088E"/>
    <w:rsid w:val="003E105B"/>
    <w:rsid w:val="003E120F"/>
    <w:rsid w:val="003E135D"/>
    <w:rsid w:val="003E19DE"/>
    <w:rsid w:val="003E1CEC"/>
    <w:rsid w:val="003E1F44"/>
    <w:rsid w:val="003E2217"/>
    <w:rsid w:val="003E27E2"/>
    <w:rsid w:val="003E3972"/>
    <w:rsid w:val="003E5E59"/>
    <w:rsid w:val="003E6119"/>
    <w:rsid w:val="003E7359"/>
    <w:rsid w:val="003E7937"/>
    <w:rsid w:val="003F061A"/>
    <w:rsid w:val="003F0FCA"/>
    <w:rsid w:val="003F1806"/>
    <w:rsid w:val="003F1FBD"/>
    <w:rsid w:val="003F29CE"/>
    <w:rsid w:val="003F5D80"/>
    <w:rsid w:val="003F6EAD"/>
    <w:rsid w:val="003F76B2"/>
    <w:rsid w:val="004004D1"/>
    <w:rsid w:val="0040108B"/>
    <w:rsid w:val="0040116D"/>
    <w:rsid w:val="00401C9F"/>
    <w:rsid w:val="0040389D"/>
    <w:rsid w:val="004070AA"/>
    <w:rsid w:val="00410541"/>
    <w:rsid w:val="00410CB7"/>
    <w:rsid w:val="00411649"/>
    <w:rsid w:val="00411FA7"/>
    <w:rsid w:val="004123BB"/>
    <w:rsid w:val="00412553"/>
    <w:rsid w:val="004134DD"/>
    <w:rsid w:val="0041517D"/>
    <w:rsid w:val="00416DF7"/>
    <w:rsid w:val="00420CC0"/>
    <w:rsid w:val="004217CD"/>
    <w:rsid w:val="00423EBC"/>
    <w:rsid w:val="004242CA"/>
    <w:rsid w:val="00424719"/>
    <w:rsid w:val="00425B20"/>
    <w:rsid w:val="004263C8"/>
    <w:rsid w:val="00426547"/>
    <w:rsid w:val="00426E97"/>
    <w:rsid w:val="00433420"/>
    <w:rsid w:val="004362E3"/>
    <w:rsid w:val="00440013"/>
    <w:rsid w:val="00440CFE"/>
    <w:rsid w:val="00441B07"/>
    <w:rsid w:val="00441D99"/>
    <w:rsid w:val="0044212D"/>
    <w:rsid w:val="004432BE"/>
    <w:rsid w:val="00444967"/>
    <w:rsid w:val="00444D4A"/>
    <w:rsid w:val="00445142"/>
    <w:rsid w:val="004459B1"/>
    <w:rsid w:val="00445E07"/>
    <w:rsid w:val="00446DF2"/>
    <w:rsid w:val="00450B7D"/>
    <w:rsid w:val="00450C41"/>
    <w:rsid w:val="00450EF2"/>
    <w:rsid w:val="0045199C"/>
    <w:rsid w:val="00451E53"/>
    <w:rsid w:val="00453AA8"/>
    <w:rsid w:val="00455200"/>
    <w:rsid w:val="00455807"/>
    <w:rsid w:val="00456161"/>
    <w:rsid w:val="004571FC"/>
    <w:rsid w:val="00457440"/>
    <w:rsid w:val="0046209B"/>
    <w:rsid w:val="00462182"/>
    <w:rsid w:val="004622E2"/>
    <w:rsid w:val="00462753"/>
    <w:rsid w:val="00462EE8"/>
    <w:rsid w:val="00463ED6"/>
    <w:rsid w:val="00466556"/>
    <w:rsid w:val="004666B7"/>
    <w:rsid w:val="0046672D"/>
    <w:rsid w:val="00466AB2"/>
    <w:rsid w:val="00467438"/>
    <w:rsid w:val="004712A8"/>
    <w:rsid w:val="00471DED"/>
    <w:rsid w:val="00472DD7"/>
    <w:rsid w:val="00473317"/>
    <w:rsid w:val="00473729"/>
    <w:rsid w:val="00473AD9"/>
    <w:rsid w:val="004740E3"/>
    <w:rsid w:val="00474C6D"/>
    <w:rsid w:val="00475534"/>
    <w:rsid w:val="00475BB5"/>
    <w:rsid w:val="00475EB7"/>
    <w:rsid w:val="004762ED"/>
    <w:rsid w:val="004766E5"/>
    <w:rsid w:val="00477F14"/>
    <w:rsid w:val="004809B1"/>
    <w:rsid w:val="004826CF"/>
    <w:rsid w:val="00483F64"/>
    <w:rsid w:val="00485B64"/>
    <w:rsid w:val="004868B7"/>
    <w:rsid w:val="004869F7"/>
    <w:rsid w:val="00487506"/>
    <w:rsid w:val="0048768F"/>
    <w:rsid w:val="00487861"/>
    <w:rsid w:val="00487D3D"/>
    <w:rsid w:val="00491B05"/>
    <w:rsid w:val="00492547"/>
    <w:rsid w:val="00492738"/>
    <w:rsid w:val="004938A1"/>
    <w:rsid w:val="00494587"/>
    <w:rsid w:val="00494743"/>
    <w:rsid w:val="004947EC"/>
    <w:rsid w:val="00494973"/>
    <w:rsid w:val="00495D8B"/>
    <w:rsid w:val="004962F8"/>
    <w:rsid w:val="00497BEB"/>
    <w:rsid w:val="004A067D"/>
    <w:rsid w:val="004A0799"/>
    <w:rsid w:val="004A4028"/>
    <w:rsid w:val="004A4C99"/>
    <w:rsid w:val="004A575F"/>
    <w:rsid w:val="004A7FA7"/>
    <w:rsid w:val="004B04CA"/>
    <w:rsid w:val="004B10C9"/>
    <w:rsid w:val="004B1330"/>
    <w:rsid w:val="004B1F62"/>
    <w:rsid w:val="004B256A"/>
    <w:rsid w:val="004B27A3"/>
    <w:rsid w:val="004B2DAA"/>
    <w:rsid w:val="004B38AE"/>
    <w:rsid w:val="004B48BC"/>
    <w:rsid w:val="004B509E"/>
    <w:rsid w:val="004B50DB"/>
    <w:rsid w:val="004B5818"/>
    <w:rsid w:val="004B5AC9"/>
    <w:rsid w:val="004B6042"/>
    <w:rsid w:val="004B640E"/>
    <w:rsid w:val="004B70B8"/>
    <w:rsid w:val="004B7A10"/>
    <w:rsid w:val="004C01AB"/>
    <w:rsid w:val="004C08B6"/>
    <w:rsid w:val="004C0D00"/>
    <w:rsid w:val="004C14AB"/>
    <w:rsid w:val="004C16C9"/>
    <w:rsid w:val="004C331C"/>
    <w:rsid w:val="004C3462"/>
    <w:rsid w:val="004C48DE"/>
    <w:rsid w:val="004C5332"/>
    <w:rsid w:val="004C5772"/>
    <w:rsid w:val="004C5A26"/>
    <w:rsid w:val="004C5BA4"/>
    <w:rsid w:val="004C7377"/>
    <w:rsid w:val="004D0A90"/>
    <w:rsid w:val="004D108B"/>
    <w:rsid w:val="004D11B0"/>
    <w:rsid w:val="004D139E"/>
    <w:rsid w:val="004D1CE2"/>
    <w:rsid w:val="004D304A"/>
    <w:rsid w:val="004D364C"/>
    <w:rsid w:val="004D3DB4"/>
    <w:rsid w:val="004D44AC"/>
    <w:rsid w:val="004D5ED7"/>
    <w:rsid w:val="004D7860"/>
    <w:rsid w:val="004E1262"/>
    <w:rsid w:val="004E15AF"/>
    <w:rsid w:val="004E1AF4"/>
    <w:rsid w:val="004E2605"/>
    <w:rsid w:val="004E2D75"/>
    <w:rsid w:val="004E3049"/>
    <w:rsid w:val="004E411B"/>
    <w:rsid w:val="004E5109"/>
    <w:rsid w:val="004E5C69"/>
    <w:rsid w:val="004E60D0"/>
    <w:rsid w:val="004F0D36"/>
    <w:rsid w:val="004F12A6"/>
    <w:rsid w:val="004F1565"/>
    <w:rsid w:val="004F1878"/>
    <w:rsid w:val="004F2304"/>
    <w:rsid w:val="004F26F8"/>
    <w:rsid w:val="004F2B68"/>
    <w:rsid w:val="004F3DF3"/>
    <w:rsid w:val="004F441C"/>
    <w:rsid w:val="004F4CC9"/>
    <w:rsid w:val="004F6892"/>
    <w:rsid w:val="004F6BFB"/>
    <w:rsid w:val="004F6E1B"/>
    <w:rsid w:val="004F73E5"/>
    <w:rsid w:val="004F75D8"/>
    <w:rsid w:val="004F7731"/>
    <w:rsid w:val="00501B5D"/>
    <w:rsid w:val="005023A3"/>
    <w:rsid w:val="005025FE"/>
    <w:rsid w:val="00502669"/>
    <w:rsid w:val="00504585"/>
    <w:rsid w:val="005050EA"/>
    <w:rsid w:val="00505342"/>
    <w:rsid w:val="005059C9"/>
    <w:rsid w:val="00506DDE"/>
    <w:rsid w:val="00510614"/>
    <w:rsid w:val="005136AD"/>
    <w:rsid w:val="005138BA"/>
    <w:rsid w:val="00513923"/>
    <w:rsid w:val="00514EC4"/>
    <w:rsid w:val="00516657"/>
    <w:rsid w:val="00517E42"/>
    <w:rsid w:val="00520CB5"/>
    <w:rsid w:val="005210CC"/>
    <w:rsid w:val="005211AF"/>
    <w:rsid w:val="0052126B"/>
    <w:rsid w:val="005213E2"/>
    <w:rsid w:val="005231A8"/>
    <w:rsid w:val="00524398"/>
    <w:rsid w:val="005245E0"/>
    <w:rsid w:val="005276C2"/>
    <w:rsid w:val="00527F5D"/>
    <w:rsid w:val="0053037E"/>
    <w:rsid w:val="00530B43"/>
    <w:rsid w:val="00534A9C"/>
    <w:rsid w:val="00535D0E"/>
    <w:rsid w:val="00536B7A"/>
    <w:rsid w:val="00537756"/>
    <w:rsid w:val="005406F8"/>
    <w:rsid w:val="0054169B"/>
    <w:rsid w:val="005417D2"/>
    <w:rsid w:val="00541CD3"/>
    <w:rsid w:val="00541FF2"/>
    <w:rsid w:val="005422E4"/>
    <w:rsid w:val="00542E40"/>
    <w:rsid w:val="005433DE"/>
    <w:rsid w:val="00543721"/>
    <w:rsid w:val="00544161"/>
    <w:rsid w:val="0054436C"/>
    <w:rsid w:val="005450A3"/>
    <w:rsid w:val="00545CF8"/>
    <w:rsid w:val="00546B9D"/>
    <w:rsid w:val="00547204"/>
    <w:rsid w:val="005476C5"/>
    <w:rsid w:val="00550E4D"/>
    <w:rsid w:val="00550F69"/>
    <w:rsid w:val="005518AA"/>
    <w:rsid w:val="005520A0"/>
    <w:rsid w:val="005523C6"/>
    <w:rsid w:val="005535C1"/>
    <w:rsid w:val="00554585"/>
    <w:rsid w:val="00556727"/>
    <w:rsid w:val="00557605"/>
    <w:rsid w:val="00557892"/>
    <w:rsid w:val="005616AE"/>
    <w:rsid w:val="005629B6"/>
    <w:rsid w:val="00566341"/>
    <w:rsid w:val="00571937"/>
    <w:rsid w:val="00571AAC"/>
    <w:rsid w:val="00571ADF"/>
    <w:rsid w:val="00571C46"/>
    <w:rsid w:val="00571CEA"/>
    <w:rsid w:val="00571F91"/>
    <w:rsid w:val="0057516A"/>
    <w:rsid w:val="00575AEF"/>
    <w:rsid w:val="00575D6B"/>
    <w:rsid w:val="00575E75"/>
    <w:rsid w:val="0057612E"/>
    <w:rsid w:val="0058092B"/>
    <w:rsid w:val="005816D9"/>
    <w:rsid w:val="00581C8A"/>
    <w:rsid w:val="005823AE"/>
    <w:rsid w:val="00583D53"/>
    <w:rsid w:val="00584406"/>
    <w:rsid w:val="0058519E"/>
    <w:rsid w:val="005868B3"/>
    <w:rsid w:val="00586B95"/>
    <w:rsid w:val="005871BD"/>
    <w:rsid w:val="0058769E"/>
    <w:rsid w:val="005900A1"/>
    <w:rsid w:val="00590B01"/>
    <w:rsid w:val="005912AC"/>
    <w:rsid w:val="00594757"/>
    <w:rsid w:val="00595095"/>
    <w:rsid w:val="00595F85"/>
    <w:rsid w:val="005962FF"/>
    <w:rsid w:val="00596C20"/>
    <w:rsid w:val="005A0224"/>
    <w:rsid w:val="005A0BA6"/>
    <w:rsid w:val="005A1201"/>
    <w:rsid w:val="005A1343"/>
    <w:rsid w:val="005A14C2"/>
    <w:rsid w:val="005A15E8"/>
    <w:rsid w:val="005A1A70"/>
    <w:rsid w:val="005A2460"/>
    <w:rsid w:val="005A3404"/>
    <w:rsid w:val="005A35B2"/>
    <w:rsid w:val="005A3671"/>
    <w:rsid w:val="005A3F38"/>
    <w:rsid w:val="005A65EB"/>
    <w:rsid w:val="005A67CA"/>
    <w:rsid w:val="005A68C6"/>
    <w:rsid w:val="005A6C20"/>
    <w:rsid w:val="005A6F02"/>
    <w:rsid w:val="005A7288"/>
    <w:rsid w:val="005B170A"/>
    <w:rsid w:val="005B2851"/>
    <w:rsid w:val="005B2B2E"/>
    <w:rsid w:val="005B438A"/>
    <w:rsid w:val="005B753C"/>
    <w:rsid w:val="005B77B6"/>
    <w:rsid w:val="005B78CD"/>
    <w:rsid w:val="005C0947"/>
    <w:rsid w:val="005C0B56"/>
    <w:rsid w:val="005C0F57"/>
    <w:rsid w:val="005C1B4B"/>
    <w:rsid w:val="005C1D54"/>
    <w:rsid w:val="005C209B"/>
    <w:rsid w:val="005C2541"/>
    <w:rsid w:val="005C2D9C"/>
    <w:rsid w:val="005C32FA"/>
    <w:rsid w:val="005C3B9B"/>
    <w:rsid w:val="005C3C9D"/>
    <w:rsid w:val="005C4297"/>
    <w:rsid w:val="005C58BE"/>
    <w:rsid w:val="005C7123"/>
    <w:rsid w:val="005C71E9"/>
    <w:rsid w:val="005D14A0"/>
    <w:rsid w:val="005D1E44"/>
    <w:rsid w:val="005D313A"/>
    <w:rsid w:val="005D5D01"/>
    <w:rsid w:val="005D6583"/>
    <w:rsid w:val="005D7700"/>
    <w:rsid w:val="005E0348"/>
    <w:rsid w:val="005E0DAA"/>
    <w:rsid w:val="005E19DE"/>
    <w:rsid w:val="005E271C"/>
    <w:rsid w:val="005E477B"/>
    <w:rsid w:val="005E5456"/>
    <w:rsid w:val="005E5EEE"/>
    <w:rsid w:val="005E6901"/>
    <w:rsid w:val="005E6DA7"/>
    <w:rsid w:val="005E7012"/>
    <w:rsid w:val="005F0DA6"/>
    <w:rsid w:val="005F1220"/>
    <w:rsid w:val="005F1D49"/>
    <w:rsid w:val="005F25BD"/>
    <w:rsid w:val="005F2FEE"/>
    <w:rsid w:val="005F32AD"/>
    <w:rsid w:val="005F41CD"/>
    <w:rsid w:val="005F573F"/>
    <w:rsid w:val="005F5F2B"/>
    <w:rsid w:val="005F69FA"/>
    <w:rsid w:val="005F7C32"/>
    <w:rsid w:val="005F7DBA"/>
    <w:rsid w:val="00600019"/>
    <w:rsid w:val="006001FE"/>
    <w:rsid w:val="00601806"/>
    <w:rsid w:val="00601AB4"/>
    <w:rsid w:val="00601BED"/>
    <w:rsid w:val="00603AF8"/>
    <w:rsid w:val="00605598"/>
    <w:rsid w:val="006065A9"/>
    <w:rsid w:val="00607053"/>
    <w:rsid w:val="006075B1"/>
    <w:rsid w:val="00607651"/>
    <w:rsid w:val="006101EB"/>
    <w:rsid w:val="006103AF"/>
    <w:rsid w:val="00610C1D"/>
    <w:rsid w:val="006111CA"/>
    <w:rsid w:val="00611607"/>
    <w:rsid w:val="00612C3C"/>
    <w:rsid w:val="006131D3"/>
    <w:rsid w:val="00617360"/>
    <w:rsid w:val="00620AB1"/>
    <w:rsid w:val="00620C5C"/>
    <w:rsid w:val="00621EDF"/>
    <w:rsid w:val="006220EE"/>
    <w:rsid w:val="00622516"/>
    <w:rsid w:val="00622DD0"/>
    <w:rsid w:val="00624609"/>
    <w:rsid w:val="00625988"/>
    <w:rsid w:val="00625BAE"/>
    <w:rsid w:val="00627195"/>
    <w:rsid w:val="00630A70"/>
    <w:rsid w:val="00630E7C"/>
    <w:rsid w:val="00631FA9"/>
    <w:rsid w:val="0063561B"/>
    <w:rsid w:val="00635C11"/>
    <w:rsid w:val="006366B9"/>
    <w:rsid w:val="00636D0A"/>
    <w:rsid w:val="006375D9"/>
    <w:rsid w:val="0064042D"/>
    <w:rsid w:val="006409C1"/>
    <w:rsid w:val="00640CCB"/>
    <w:rsid w:val="00641AEC"/>
    <w:rsid w:val="00642B25"/>
    <w:rsid w:val="00643171"/>
    <w:rsid w:val="006434DB"/>
    <w:rsid w:val="00644D9C"/>
    <w:rsid w:val="00644F8E"/>
    <w:rsid w:val="0064524B"/>
    <w:rsid w:val="006469A4"/>
    <w:rsid w:val="00647297"/>
    <w:rsid w:val="006502B5"/>
    <w:rsid w:val="00650A8F"/>
    <w:rsid w:val="00651877"/>
    <w:rsid w:val="00652A15"/>
    <w:rsid w:val="00655388"/>
    <w:rsid w:val="00655450"/>
    <w:rsid w:val="006555A9"/>
    <w:rsid w:val="00655C19"/>
    <w:rsid w:val="00655D42"/>
    <w:rsid w:val="00656199"/>
    <w:rsid w:val="006564B8"/>
    <w:rsid w:val="00657A45"/>
    <w:rsid w:val="00660627"/>
    <w:rsid w:val="00663F35"/>
    <w:rsid w:val="00663F88"/>
    <w:rsid w:val="00664AEE"/>
    <w:rsid w:val="00664D3A"/>
    <w:rsid w:val="00665C4E"/>
    <w:rsid w:val="00665FF5"/>
    <w:rsid w:val="00666B96"/>
    <w:rsid w:val="0067095D"/>
    <w:rsid w:val="00670BF0"/>
    <w:rsid w:val="00672502"/>
    <w:rsid w:val="0067443F"/>
    <w:rsid w:val="006749B4"/>
    <w:rsid w:val="00675060"/>
    <w:rsid w:val="006759C2"/>
    <w:rsid w:val="0067631B"/>
    <w:rsid w:val="00676831"/>
    <w:rsid w:val="00677436"/>
    <w:rsid w:val="00677A9F"/>
    <w:rsid w:val="00681AA4"/>
    <w:rsid w:val="00681CA4"/>
    <w:rsid w:val="00682027"/>
    <w:rsid w:val="00682494"/>
    <w:rsid w:val="006839AA"/>
    <w:rsid w:val="006840B7"/>
    <w:rsid w:val="006843F2"/>
    <w:rsid w:val="00685B63"/>
    <w:rsid w:val="00686D47"/>
    <w:rsid w:val="00687BE8"/>
    <w:rsid w:val="00687F1D"/>
    <w:rsid w:val="00690252"/>
    <w:rsid w:val="006915BA"/>
    <w:rsid w:val="0069287C"/>
    <w:rsid w:val="00694C46"/>
    <w:rsid w:val="00694E1A"/>
    <w:rsid w:val="00695A1E"/>
    <w:rsid w:val="00695EAA"/>
    <w:rsid w:val="0069678D"/>
    <w:rsid w:val="006971A5"/>
    <w:rsid w:val="006A0E87"/>
    <w:rsid w:val="006A108D"/>
    <w:rsid w:val="006A25BB"/>
    <w:rsid w:val="006A25D3"/>
    <w:rsid w:val="006A2CD7"/>
    <w:rsid w:val="006A387E"/>
    <w:rsid w:val="006A4E81"/>
    <w:rsid w:val="006A4F89"/>
    <w:rsid w:val="006A536D"/>
    <w:rsid w:val="006A5D0B"/>
    <w:rsid w:val="006A6AF0"/>
    <w:rsid w:val="006B0C28"/>
    <w:rsid w:val="006B10B6"/>
    <w:rsid w:val="006B1377"/>
    <w:rsid w:val="006B212F"/>
    <w:rsid w:val="006B2395"/>
    <w:rsid w:val="006B2726"/>
    <w:rsid w:val="006B2DA2"/>
    <w:rsid w:val="006B3F2A"/>
    <w:rsid w:val="006B4126"/>
    <w:rsid w:val="006B4EAA"/>
    <w:rsid w:val="006B57B2"/>
    <w:rsid w:val="006B5802"/>
    <w:rsid w:val="006C071E"/>
    <w:rsid w:val="006C0EDC"/>
    <w:rsid w:val="006C109B"/>
    <w:rsid w:val="006C180F"/>
    <w:rsid w:val="006C2F7A"/>
    <w:rsid w:val="006C390D"/>
    <w:rsid w:val="006C3C24"/>
    <w:rsid w:val="006C4214"/>
    <w:rsid w:val="006C63D3"/>
    <w:rsid w:val="006C7E1C"/>
    <w:rsid w:val="006D1752"/>
    <w:rsid w:val="006D1B2D"/>
    <w:rsid w:val="006D1E80"/>
    <w:rsid w:val="006D28CD"/>
    <w:rsid w:val="006D555F"/>
    <w:rsid w:val="006D7E28"/>
    <w:rsid w:val="006E17CD"/>
    <w:rsid w:val="006E1E52"/>
    <w:rsid w:val="006E23B6"/>
    <w:rsid w:val="006E25AB"/>
    <w:rsid w:val="006E3262"/>
    <w:rsid w:val="006E3A6D"/>
    <w:rsid w:val="006E436D"/>
    <w:rsid w:val="006E4748"/>
    <w:rsid w:val="006E5F22"/>
    <w:rsid w:val="006E7746"/>
    <w:rsid w:val="006E7F70"/>
    <w:rsid w:val="006F0198"/>
    <w:rsid w:val="006F27C2"/>
    <w:rsid w:val="006F4826"/>
    <w:rsid w:val="006F487A"/>
    <w:rsid w:val="006F4C76"/>
    <w:rsid w:val="006F4D04"/>
    <w:rsid w:val="006F4D0E"/>
    <w:rsid w:val="006F6060"/>
    <w:rsid w:val="006F738D"/>
    <w:rsid w:val="007006F9"/>
    <w:rsid w:val="00700738"/>
    <w:rsid w:val="0070099A"/>
    <w:rsid w:val="00700C10"/>
    <w:rsid w:val="00707997"/>
    <w:rsid w:val="0071029B"/>
    <w:rsid w:val="0071052E"/>
    <w:rsid w:val="00711762"/>
    <w:rsid w:val="00714AFE"/>
    <w:rsid w:val="00715480"/>
    <w:rsid w:val="00716588"/>
    <w:rsid w:val="007211AC"/>
    <w:rsid w:val="00721552"/>
    <w:rsid w:val="007225BD"/>
    <w:rsid w:val="00722D44"/>
    <w:rsid w:val="007255E0"/>
    <w:rsid w:val="00726E5E"/>
    <w:rsid w:val="00727542"/>
    <w:rsid w:val="00730514"/>
    <w:rsid w:val="007327F4"/>
    <w:rsid w:val="00732D2C"/>
    <w:rsid w:val="00733DE7"/>
    <w:rsid w:val="00735B19"/>
    <w:rsid w:val="00736730"/>
    <w:rsid w:val="007367A7"/>
    <w:rsid w:val="00736C13"/>
    <w:rsid w:val="00736E1E"/>
    <w:rsid w:val="00736F0E"/>
    <w:rsid w:val="00737E2C"/>
    <w:rsid w:val="00741D55"/>
    <w:rsid w:val="00742B64"/>
    <w:rsid w:val="00743D62"/>
    <w:rsid w:val="007445DB"/>
    <w:rsid w:val="00744B8D"/>
    <w:rsid w:val="00744DAA"/>
    <w:rsid w:val="0074504E"/>
    <w:rsid w:val="0074569B"/>
    <w:rsid w:val="007457BD"/>
    <w:rsid w:val="00746540"/>
    <w:rsid w:val="00747C0C"/>
    <w:rsid w:val="0075027D"/>
    <w:rsid w:val="007510E2"/>
    <w:rsid w:val="007513AA"/>
    <w:rsid w:val="00752314"/>
    <w:rsid w:val="00752473"/>
    <w:rsid w:val="00752903"/>
    <w:rsid w:val="00753F78"/>
    <w:rsid w:val="00755212"/>
    <w:rsid w:val="00755490"/>
    <w:rsid w:val="00755CFA"/>
    <w:rsid w:val="00756A4B"/>
    <w:rsid w:val="00757D44"/>
    <w:rsid w:val="00760658"/>
    <w:rsid w:val="00760876"/>
    <w:rsid w:val="00761870"/>
    <w:rsid w:val="00761899"/>
    <w:rsid w:val="00761B60"/>
    <w:rsid w:val="00763544"/>
    <w:rsid w:val="0076394F"/>
    <w:rsid w:val="00764819"/>
    <w:rsid w:val="00766BBE"/>
    <w:rsid w:val="00767521"/>
    <w:rsid w:val="00771579"/>
    <w:rsid w:val="0077289E"/>
    <w:rsid w:val="007732C9"/>
    <w:rsid w:val="007738F3"/>
    <w:rsid w:val="00774CB6"/>
    <w:rsid w:val="007765AA"/>
    <w:rsid w:val="00776A3D"/>
    <w:rsid w:val="00782488"/>
    <w:rsid w:val="00782DA6"/>
    <w:rsid w:val="007859EB"/>
    <w:rsid w:val="00785E49"/>
    <w:rsid w:val="0078620B"/>
    <w:rsid w:val="007868C5"/>
    <w:rsid w:val="00786A8D"/>
    <w:rsid w:val="00786B17"/>
    <w:rsid w:val="00787338"/>
    <w:rsid w:val="007874AE"/>
    <w:rsid w:val="00787C90"/>
    <w:rsid w:val="00790A1F"/>
    <w:rsid w:val="00790A89"/>
    <w:rsid w:val="0079103C"/>
    <w:rsid w:val="00793323"/>
    <w:rsid w:val="0079357B"/>
    <w:rsid w:val="00793B7A"/>
    <w:rsid w:val="00793C15"/>
    <w:rsid w:val="00793DA2"/>
    <w:rsid w:val="00795717"/>
    <w:rsid w:val="00796A01"/>
    <w:rsid w:val="00796CCF"/>
    <w:rsid w:val="00797D79"/>
    <w:rsid w:val="007A01EB"/>
    <w:rsid w:val="007A1C03"/>
    <w:rsid w:val="007A1D1A"/>
    <w:rsid w:val="007A283D"/>
    <w:rsid w:val="007A2D5C"/>
    <w:rsid w:val="007A32FB"/>
    <w:rsid w:val="007A43AA"/>
    <w:rsid w:val="007A56F9"/>
    <w:rsid w:val="007A5755"/>
    <w:rsid w:val="007A72AE"/>
    <w:rsid w:val="007B0C5E"/>
    <w:rsid w:val="007B13A6"/>
    <w:rsid w:val="007B13AE"/>
    <w:rsid w:val="007B1E96"/>
    <w:rsid w:val="007B2475"/>
    <w:rsid w:val="007B249F"/>
    <w:rsid w:val="007B26CF"/>
    <w:rsid w:val="007B2ECC"/>
    <w:rsid w:val="007B459A"/>
    <w:rsid w:val="007B619E"/>
    <w:rsid w:val="007B69AF"/>
    <w:rsid w:val="007B78CC"/>
    <w:rsid w:val="007C179B"/>
    <w:rsid w:val="007C1DF4"/>
    <w:rsid w:val="007C31AF"/>
    <w:rsid w:val="007C4C29"/>
    <w:rsid w:val="007C51FA"/>
    <w:rsid w:val="007C52E8"/>
    <w:rsid w:val="007C5394"/>
    <w:rsid w:val="007C68CC"/>
    <w:rsid w:val="007C6A6F"/>
    <w:rsid w:val="007C6BB9"/>
    <w:rsid w:val="007C77E2"/>
    <w:rsid w:val="007D1633"/>
    <w:rsid w:val="007D1B60"/>
    <w:rsid w:val="007D2E6D"/>
    <w:rsid w:val="007D2EE8"/>
    <w:rsid w:val="007D3E2E"/>
    <w:rsid w:val="007D5501"/>
    <w:rsid w:val="007D5639"/>
    <w:rsid w:val="007D6814"/>
    <w:rsid w:val="007D6D2C"/>
    <w:rsid w:val="007D7EEA"/>
    <w:rsid w:val="007D7F23"/>
    <w:rsid w:val="007E073D"/>
    <w:rsid w:val="007E1014"/>
    <w:rsid w:val="007E260F"/>
    <w:rsid w:val="007E273F"/>
    <w:rsid w:val="007E35CB"/>
    <w:rsid w:val="007E4B05"/>
    <w:rsid w:val="007E6EB8"/>
    <w:rsid w:val="007E7194"/>
    <w:rsid w:val="007F08DF"/>
    <w:rsid w:val="007F0FFB"/>
    <w:rsid w:val="007F16A8"/>
    <w:rsid w:val="007F2856"/>
    <w:rsid w:val="007F3EF5"/>
    <w:rsid w:val="007F57A0"/>
    <w:rsid w:val="007F6149"/>
    <w:rsid w:val="007F618C"/>
    <w:rsid w:val="007F688D"/>
    <w:rsid w:val="007F6EAD"/>
    <w:rsid w:val="007F74B1"/>
    <w:rsid w:val="00800F48"/>
    <w:rsid w:val="00801A51"/>
    <w:rsid w:val="00802325"/>
    <w:rsid w:val="00802E89"/>
    <w:rsid w:val="00803E73"/>
    <w:rsid w:val="00806F44"/>
    <w:rsid w:val="00806FFA"/>
    <w:rsid w:val="00807954"/>
    <w:rsid w:val="008079F1"/>
    <w:rsid w:val="00812005"/>
    <w:rsid w:val="008125AD"/>
    <w:rsid w:val="00812E7D"/>
    <w:rsid w:val="00812E83"/>
    <w:rsid w:val="00813FE8"/>
    <w:rsid w:val="00815DBC"/>
    <w:rsid w:val="00816C23"/>
    <w:rsid w:val="00816E0B"/>
    <w:rsid w:val="00816F1C"/>
    <w:rsid w:val="008175AA"/>
    <w:rsid w:val="00820144"/>
    <w:rsid w:val="008223E7"/>
    <w:rsid w:val="008232C9"/>
    <w:rsid w:val="008237FC"/>
    <w:rsid w:val="00824976"/>
    <w:rsid w:val="0082621D"/>
    <w:rsid w:val="00826D20"/>
    <w:rsid w:val="00827B4F"/>
    <w:rsid w:val="00830884"/>
    <w:rsid w:val="00830D6A"/>
    <w:rsid w:val="008335CF"/>
    <w:rsid w:val="00833678"/>
    <w:rsid w:val="0083382B"/>
    <w:rsid w:val="008354D7"/>
    <w:rsid w:val="00835B8B"/>
    <w:rsid w:val="00837783"/>
    <w:rsid w:val="00840460"/>
    <w:rsid w:val="008408C1"/>
    <w:rsid w:val="00840B15"/>
    <w:rsid w:val="0084133B"/>
    <w:rsid w:val="008413D6"/>
    <w:rsid w:val="00842630"/>
    <w:rsid w:val="00842B2D"/>
    <w:rsid w:val="00843A62"/>
    <w:rsid w:val="00844664"/>
    <w:rsid w:val="008454B0"/>
    <w:rsid w:val="0084737D"/>
    <w:rsid w:val="0084763A"/>
    <w:rsid w:val="008501CA"/>
    <w:rsid w:val="008503AA"/>
    <w:rsid w:val="00851D65"/>
    <w:rsid w:val="0085234E"/>
    <w:rsid w:val="0085437E"/>
    <w:rsid w:val="00854CA3"/>
    <w:rsid w:val="00854E3D"/>
    <w:rsid w:val="008561F9"/>
    <w:rsid w:val="00856E94"/>
    <w:rsid w:val="00857E65"/>
    <w:rsid w:val="00857F0B"/>
    <w:rsid w:val="008601C5"/>
    <w:rsid w:val="00862CFA"/>
    <w:rsid w:val="00863031"/>
    <w:rsid w:val="008631BE"/>
    <w:rsid w:val="00863F9A"/>
    <w:rsid w:val="00864126"/>
    <w:rsid w:val="00865F66"/>
    <w:rsid w:val="00866CCE"/>
    <w:rsid w:val="008670C7"/>
    <w:rsid w:val="008674AA"/>
    <w:rsid w:val="00867518"/>
    <w:rsid w:val="008704E4"/>
    <w:rsid w:val="008704F0"/>
    <w:rsid w:val="00873419"/>
    <w:rsid w:val="00876062"/>
    <w:rsid w:val="00876D29"/>
    <w:rsid w:val="00880650"/>
    <w:rsid w:val="00880DE8"/>
    <w:rsid w:val="008816D9"/>
    <w:rsid w:val="00882981"/>
    <w:rsid w:val="00883D0A"/>
    <w:rsid w:val="00883D97"/>
    <w:rsid w:val="00883FAD"/>
    <w:rsid w:val="008852EE"/>
    <w:rsid w:val="00887AD9"/>
    <w:rsid w:val="00887FBF"/>
    <w:rsid w:val="00890BD7"/>
    <w:rsid w:val="00890C41"/>
    <w:rsid w:val="00891A6E"/>
    <w:rsid w:val="008937AA"/>
    <w:rsid w:val="008941B7"/>
    <w:rsid w:val="00894881"/>
    <w:rsid w:val="008951FB"/>
    <w:rsid w:val="008968EB"/>
    <w:rsid w:val="00897591"/>
    <w:rsid w:val="00897689"/>
    <w:rsid w:val="00897FEE"/>
    <w:rsid w:val="008A0D8C"/>
    <w:rsid w:val="008A10D6"/>
    <w:rsid w:val="008A1EF0"/>
    <w:rsid w:val="008A2AEB"/>
    <w:rsid w:val="008A3A56"/>
    <w:rsid w:val="008A405E"/>
    <w:rsid w:val="008A45F0"/>
    <w:rsid w:val="008A4DD1"/>
    <w:rsid w:val="008A51A2"/>
    <w:rsid w:val="008A51C6"/>
    <w:rsid w:val="008A51D2"/>
    <w:rsid w:val="008A7CDD"/>
    <w:rsid w:val="008B03D8"/>
    <w:rsid w:val="008B0413"/>
    <w:rsid w:val="008B1728"/>
    <w:rsid w:val="008B2EB2"/>
    <w:rsid w:val="008B38C1"/>
    <w:rsid w:val="008B3B43"/>
    <w:rsid w:val="008B4050"/>
    <w:rsid w:val="008B4858"/>
    <w:rsid w:val="008B4BF0"/>
    <w:rsid w:val="008B64E4"/>
    <w:rsid w:val="008B6674"/>
    <w:rsid w:val="008B7AF1"/>
    <w:rsid w:val="008B7C90"/>
    <w:rsid w:val="008C07DB"/>
    <w:rsid w:val="008C1BF0"/>
    <w:rsid w:val="008C2054"/>
    <w:rsid w:val="008C2BEA"/>
    <w:rsid w:val="008C3EB9"/>
    <w:rsid w:val="008C4D61"/>
    <w:rsid w:val="008C60D1"/>
    <w:rsid w:val="008C6954"/>
    <w:rsid w:val="008C705F"/>
    <w:rsid w:val="008D05EF"/>
    <w:rsid w:val="008D103E"/>
    <w:rsid w:val="008D4579"/>
    <w:rsid w:val="008D5E56"/>
    <w:rsid w:val="008D615E"/>
    <w:rsid w:val="008D623C"/>
    <w:rsid w:val="008D7375"/>
    <w:rsid w:val="008D7B3B"/>
    <w:rsid w:val="008E1A69"/>
    <w:rsid w:val="008E304B"/>
    <w:rsid w:val="008E325B"/>
    <w:rsid w:val="008E36EC"/>
    <w:rsid w:val="008E3A6A"/>
    <w:rsid w:val="008E3B13"/>
    <w:rsid w:val="008E5AEA"/>
    <w:rsid w:val="008E5CE3"/>
    <w:rsid w:val="008F10C0"/>
    <w:rsid w:val="008F1194"/>
    <w:rsid w:val="008F1B4F"/>
    <w:rsid w:val="008F273A"/>
    <w:rsid w:val="008F3875"/>
    <w:rsid w:val="008F434C"/>
    <w:rsid w:val="008F53FF"/>
    <w:rsid w:val="008F5FA6"/>
    <w:rsid w:val="008F64BD"/>
    <w:rsid w:val="008F72D0"/>
    <w:rsid w:val="008F7A9C"/>
    <w:rsid w:val="00900503"/>
    <w:rsid w:val="009007E5"/>
    <w:rsid w:val="00900ADB"/>
    <w:rsid w:val="00902DC3"/>
    <w:rsid w:val="00904E7D"/>
    <w:rsid w:val="00906AAC"/>
    <w:rsid w:val="00907EB2"/>
    <w:rsid w:val="009118BD"/>
    <w:rsid w:val="0091199D"/>
    <w:rsid w:val="0091299A"/>
    <w:rsid w:val="009140E8"/>
    <w:rsid w:val="009146B8"/>
    <w:rsid w:val="00914764"/>
    <w:rsid w:val="009149D3"/>
    <w:rsid w:val="00915323"/>
    <w:rsid w:val="0091539C"/>
    <w:rsid w:val="009169BF"/>
    <w:rsid w:val="00917822"/>
    <w:rsid w:val="00921182"/>
    <w:rsid w:val="009225B9"/>
    <w:rsid w:val="00923166"/>
    <w:rsid w:val="009238C0"/>
    <w:rsid w:val="00923F1B"/>
    <w:rsid w:val="00924269"/>
    <w:rsid w:val="00924D99"/>
    <w:rsid w:val="00924E2B"/>
    <w:rsid w:val="00925EE3"/>
    <w:rsid w:val="009266CD"/>
    <w:rsid w:val="0092796F"/>
    <w:rsid w:val="009317F7"/>
    <w:rsid w:val="009318AD"/>
    <w:rsid w:val="009328FC"/>
    <w:rsid w:val="00933D7D"/>
    <w:rsid w:val="0093486F"/>
    <w:rsid w:val="00934E0B"/>
    <w:rsid w:val="009354D9"/>
    <w:rsid w:val="00935F28"/>
    <w:rsid w:val="009360C5"/>
    <w:rsid w:val="00937309"/>
    <w:rsid w:val="00944443"/>
    <w:rsid w:val="00945594"/>
    <w:rsid w:val="0094665C"/>
    <w:rsid w:val="009503D9"/>
    <w:rsid w:val="00950842"/>
    <w:rsid w:val="00951279"/>
    <w:rsid w:val="00951914"/>
    <w:rsid w:val="00952575"/>
    <w:rsid w:val="00952C79"/>
    <w:rsid w:val="0095332A"/>
    <w:rsid w:val="00953405"/>
    <w:rsid w:val="00954945"/>
    <w:rsid w:val="0095602D"/>
    <w:rsid w:val="00957152"/>
    <w:rsid w:val="0096064B"/>
    <w:rsid w:val="00960877"/>
    <w:rsid w:val="00960B30"/>
    <w:rsid w:val="00963568"/>
    <w:rsid w:val="009638C9"/>
    <w:rsid w:val="009646D8"/>
    <w:rsid w:val="0096552D"/>
    <w:rsid w:val="0096705C"/>
    <w:rsid w:val="009704B0"/>
    <w:rsid w:val="00972036"/>
    <w:rsid w:val="009727B9"/>
    <w:rsid w:val="009729EF"/>
    <w:rsid w:val="009735F9"/>
    <w:rsid w:val="00977621"/>
    <w:rsid w:val="00980216"/>
    <w:rsid w:val="00980BD2"/>
    <w:rsid w:val="009814FC"/>
    <w:rsid w:val="00981A78"/>
    <w:rsid w:val="00981CE0"/>
    <w:rsid w:val="009825ED"/>
    <w:rsid w:val="00983C9B"/>
    <w:rsid w:val="00983F19"/>
    <w:rsid w:val="00984751"/>
    <w:rsid w:val="009870A4"/>
    <w:rsid w:val="00987853"/>
    <w:rsid w:val="009878FB"/>
    <w:rsid w:val="00987A2B"/>
    <w:rsid w:val="009920D4"/>
    <w:rsid w:val="00993C21"/>
    <w:rsid w:val="0099432F"/>
    <w:rsid w:val="009952EB"/>
    <w:rsid w:val="00995D43"/>
    <w:rsid w:val="00995E59"/>
    <w:rsid w:val="009964E7"/>
    <w:rsid w:val="009A0A49"/>
    <w:rsid w:val="009A180F"/>
    <w:rsid w:val="009A20E5"/>
    <w:rsid w:val="009A27F4"/>
    <w:rsid w:val="009A46A9"/>
    <w:rsid w:val="009A573B"/>
    <w:rsid w:val="009A623A"/>
    <w:rsid w:val="009A7EF6"/>
    <w:rsid w:val="009B179C"/>
    <w:rsid w:val="009B1BC2"/>
    <w:rsid w:val="009B3319"/>
    <w:rsid w:val="009B4B17"/>
    <w:rsid w:val="009B5133"/>
    <w:rsid w:val="009B532B"/>
    <w:rsid w:val="009B5F0E"/>
    <w:rsid w:val="009B65E7"/>
    <w:rsid w:val="009B6B20"/>
    <w:rsid w:val="009B6D6F"/>
    <w:rsid w:val="009B7560"/>
    <w:rsid w:val="009B77E9"/>
    <w:rsid w:val="009C2CE5"/>
    <w:rsid w:val="009C3768"/>
    <w:rsid w:val="009C3E19"/>
    <w:rsid w:val="009C4684"/>
    <w:rsid w:val="009C4E42"/>
    <w:rsid w:val="009C532F"/>
    <w:rsid w:val="009C5DC9"/>
    <w:rsid w:val="009C74A7"/>
    <w:rsid w:val="009C788E"/>
    <w:rsid w:val="009C7912"/>
    <w:rsid w:val="009D29D3"/>
    <w:rsid w:val="009D3EE1"/>
    <w:rsid w:val="009D427B"/>
    <w:rsid w:val="009D7E49"/>
    <w:rsid w:val="009E0A32"/>
    <w:rsid w:val="009E0AD8"/>
    <w:rsid w:val="009E0C19"/>
    <w:rsid w:val="009E24AD"/>
    <w:rsid w:val="009E3E67"/>
    <w:rsid w:val="009E4121"/>
    <w:rsid w:val="009E4E6A"/>
    <w:rsid w:val="009E51CE"/>
    <w:rsid w:val="009E5D82"/>
    <w:rsid w:val="009E619D"/>
    <w:rsid w:val="009E734D"/>
    <w:rsid w:val="009F0667"/>
    <w:rsid w:val="009F079F"/>
    <w:rsid w:val="009F0EAA"/>
    <w:rsid w:val="009F38A2"/>
    <w:rsid w:val="009F3E8F"/>
    <w:rsid w:val="009F42AB"/>
    <w:rsid w:val="009F5A9B"/>
    <w:rsid w:val="009F78CB"/>
    <w:rsid w:val="009F79DC"/>
    <w:rsid w:val="009F7FC0"/>
    <w:rsid w:val="00A007FE"/>
    <w:rsid w:val="00A00A06"/>
    <w:rsid w:val="00A02DBF"/>
    <w:rsid w:val="00A0309C"/>
    <w:rsid w:val="00A03853"/>
    <w:rsid w:val="00A0599B"/>
    <w:rsid w:val="00A07E5A"/>
    <w:rsid w:val="00A10D14"/>
    <w:rsid w:val="00A10EB3"/>
    <w:rsid w:val="00A131F4"/>
    <w:rsid w:val="00A13B48"/>
    <w:rsid w:val="00A14107"/>
    <w:rsid w:val="00A16444"/>
    <w:rsid w:val="00A16746"/>
    <w:rsid w:val="00A17CE5"/>
    <w:rsid w:val="00A207AE"/>
    <w:rsid w:val="00A20DBC"/>
    <w:rsid w:val="00A2237F"/>
    <w:rsid w:val="00A23FE4"/>
    <w:rsid w:val="00A24684"/>
    <w:rsid w:val="00A24BC9"/>
    <w:rsid w:val="00A2665B"/>
    <w:rsid w:val="00A27D4E"/>
    <w:rsid w:val="00A310D5"/>
    <w:rsid w:val="00A3160F"/>
    <w:rsid w:val="00A32EDC"/>
    <w:rsid w:val="00A35055"/>
    <w:rsid w:val="00A35817"/>
    <w:rsid w:val="00A36317"/>
    <w:rsid w:val="00A367C0"/>
    <w:rsid w:val="00A36C54"/>
    <w:rsid w:val="00A409C0"/>
    <w:rsid w:val="00A409FD"/>
    <w:rsid w:val="00A40CC4"/>
    <w:rsid w:val="00A410CD"/>
    <w:rsid w:val="00A41431"/>
    <w:rsid w:val="00A426CE"/>
    <w:rsid w:val="00A4301D"/>
    <w:rsid w:val="00A43B22"/>
    <w:rsid w:val="00A448A5"/>
    <w:rsid w:val="00A448CD"/>
    <w:rsid w:val="00A465BC"/>
    <w:rsid w:val="00A502B4"/>
    <w:rsid w:val="00A50501"/>
    <w:rsid w:val="00A50514"/>
    <w:rsid w:val="00A5155B"/>
    <w:rsid w:val="00A51997"/>
    <w:rsid w:val="00A51CEF"/>
    <w:rsid w:val="00A51D33"/>
    <w:rsid w:val="00A52C01"/>
    <w:rsid w:val="00A536BD"/>
    <w:rsid w:val="00A537F4"/>
    <w:rsid w:val="00A55391"/>
    <w:rsid w:val="00A576A0"/>
    <w:rsid w:val="00A612F6"/>
    <w:rsid w:val="00A6150A"/>
    <w:rsid w:val="00A61D56"/>
    <w:rsid w:val="00A61DDB"/>
    <w:rsid w:val="00A63318"/>
    <w:rsid w:val="00A633EB"/>
    <w:rsid w:val="00A6553D"/>
    <w:rsid w:val="00A655D8"/>
    <w:rsid w:val="00A65C37"/>
    <w:rsid w:val="00A676CE"/>
    <w:rsid w:val="00A67FBF"/>
    <w:rsid w:val="00A70B56"/>
    <w:rsid w:val="00A70DD1"/>
    <w:rsid w:val="00A716CA"/>
    <w:rsid w:val="00A72AE2"/>
    <w:rsid w:val="00A73123"/>
    <w:rsid w:val="00A7397B"/>
    <w:rsid w:val="00A75376"/>
    <w:rsid w:val="00A81299"/>
    <w:rsid w:val="00A821E4"/>
    <w:rsid w:val="00A82227"/>
    <w:rsid w:val="00A826C9"/>
    <w:rsid w:val="00A82A47"/>
    <w:rsid w:val="00A8376F"/>
    <w:rsid w:val="00A83C15"/>
    <w:rsid w:val="00A847E1"/>
    <w:rsid w:val="00A8515D"/>
    <w:rsid w:val="00A85C20"/>
    <w:rsid w:val="00A86058"/>
    <w:rsid w:val="00A86985"/>
    <w:rsid w:val="00A8772A"/>
    <w:rsid w:val="00A902C0"/>
    <w:rsid w:val="00A90BD5"/>
    <w:rsid w:val="00A90F41"/>
    <w:rsid w:val="00A91495"/>
    <w:rsid w:val="00A916D6"/>
    <w:rsid w:val="00A93E38"/>
    <w:rsid w:val="00A943B2"/>
    <w:rsid w:val="00A9602E"/>
    <w:rsid w:val="00A96538"/>
    <w:rsid w:val="00A965CC"/>
    <w:rsid w:val="00AA0222"/>
    <w:rsid w:val="00AA0F85"/>
    <w:rsid w:val="00AA175C"/>
    <w:rsid w:val="00AA1A2B"/>
    <w:rsid w:val="00AA272B"/>
    <w:rsid w:val="00AA43A4"/>
    <w:rsid w:val="00AA4BB9"/>
    <w:rsid w:val="00AA5514"/>
    <w:rsid w:val="00AA6384"/>
    <w:rsid w:val="00AA741C"/>
    <w:rsid w:val="00AB07A4"/>
    <w:rsid w:val="00AB0C51"/>
    <w:rsid w:val="00AB181B"/>
    <w:rsid w:val="00AB2E64"/>
    <w:rsid w:val="00AB4D75"/>
    <w:rsid w:val="00AB5E47"/>
    <w:rsid w:val="00AB7CF8"/>
    <w:rsid w:val="00AC06BF"/>
    <w:rsid w:val="00AC24BF"/>
    <w:rsid w:val="00AC2E1D"/>
    <w:rsid w:val="00AC3B69"/>
    <w:rsid w:val="00AC3E58"/>
    <w:rsid w:val="00AC42A7"/>
    <w:rsid w:val="00AC5BC0"/>
    <w:rsid w:val="00AC6720"/>
    <w:rsid w:val="00AC6A23"/>
    <w:rsid w:val="00AC7B6E"/>
    <w:rsid w:val="00AC7ECD"/>
    <w:rsid w:val="00AD0472"/>
    <w:rsid w:val="00AD0766"/>
    <w:rsid w:val="00AD083F"/>
    <w:rsid w:val="00AD2170"/>
    <w:rsid w:val="00AD275A"/>
    <w:rsid w:val="00AD2D51"/>
    <w:rsid w:val="00AD3D6D"/>
    <w:rsid w:val="00AD60F7"/>
    <w:rsid w:val="00AD7F00"/>
    <w:rsid w:val="00AE0559"/>
    <w:rsid w:val="00AE0D97"/>
    <w:rsid w:val="00AE22BA"/>
    <w:rsid w:val="00AE271A"/>
    <w:rsid w:val="00AE30EB"/>
    <w:rsid w:val="00AE3B5F"/>
    <w:rsid w:val="00AE3CFD"/>
    <w:rsid w:val="00AE55D2"/>
    <w:rsid w:val="00AE6626"/>
    <w:rsid w:val="00AE7106"/>
    <w:rsid w:val="00AE7456"/>
    <w:rsid w:val="00AF06CB"/>
    <w:rsid w:val="00AF1B84"/>
    <w:rsid w:val="00AF3473"/>
    <w:rsid w:val="00AF37BE"/>
    <w:rsid w:val="00AF4753"/>
    <w:rsid w:val="00AF4D16"/>
    <w:rsid w:val="00AF52D4"/>
    <w:rsid w:val="00AF5B4A"/>
    <w:rsid w:val="00AF6215"/>
    <w:rsid w:val="00AF747E"/>
    <w:rsid w:val="00AF75F8"/>
    <w:rsid w:val="00AF792B"/>
    <w:rsid w:val="00AF7FF4"/>
    <w:rsid w:val="00B00B3C"/>
    <w:rsid w:val="00B01B06"/>
    <w:rsid w:val="00B02788"/>
    <w:rsid w:val="00B02EF9"/>
    <w:rsid w:val="00B03428"/>
    <w:rsid w:val="00B035CC"/>
    <w:rsid w:val="00B059F6"/>
    <w:rsid w:val="00B0617D"/>
    <w:rsid w:val="00B06606"/>
    <w:rsid w:val="00B068D9"/>
    <w:rsid w:val="00B06E83"/>
    <w:rsid w:val="00B06F13"/>
    <w:rsid w:val="00B07A10"/>
    <w:rsid w:val="00B103CA"/>
    <w:rsid w:val="00B11854"/>
    <w:rsid w:val="00B1308C"/>
    <w:rsid w:val="00B14087"/>
    <w:rsid w:val="00B17CC5"/>
    <w:rsid w:val="00B221F1"/>
    <w:rsid w:val="00B222AD"/>
    <w:rsid w:val="00B23CE0"/>
    <w:rsid w:val="00B246F0"/>
    <w:rsid w:val="00B26878"/>
    <w:rsid w:val="00B268F6"/>
    <w:rsid w:val="00B34418"/>
    <w:rsid w:val="00B3452A"/>
    <w:rsid w:val="00B34F64"/>
    <w:rsid w:val="00B35EB1"/>
    <w:rsid w:val="00B36963"/>
    <w:rsid w:val="00B370B0"/>
    <w:rsid w:val="00B40189"/>
    <w:rsid w:val="00B403A6"/>
    <w:rsid w:val="00B41716"/>
    <w:rsid w:val="00B424B3"/>
    <w:rsid w:val="00B452C2"/>
    <w:rsid w:val="00B45C8B"/>
    <w:rsid w:val="00B45E08"/>
    <w:rsid w:val="00B4638E"/>
    <w:rsid w:val="00B465EC"/>
    <w:rsid w:val="00B46F53"/>
    <w:rsid w:val="00B4726E"/>
    <w:rsid w:val="00B50F32"/>
    <w:rsid w:val="00B51E8B"/>
    <w:rsid w:val="00B522B8"/>
    <w:rsid w:val="00B52EC9"/>
    <w:rsid w:val="00B53061"/>
    <w:rsid w:val="00B5338E"/>
    <w:rsid w:val="00B53405"/>
    <w:rsid w:val="00B5561F"/>
    <w:rsid w:val="00B55F0E"/>
    <w:rsid w:val="00B57B70"/>
    <w:rsid w:val="00B622C8"/>
    <w:rsid w:val="00B647DE"/>
    <w:rsid w:val="00B65C2A"/>
    <w:rsid w:val="00B67F8A"/>
    <w:rsid w:val="00B705D3"/>
    <w:rsid w:val="00B754EF"/>
    <w:rsid w:val="00B80087"/>
    <w:rsid w:val="00B80228"/>
    <w:rsid w:val="00B816CE"/>
    <w:rsid w:val="00B82278"/>
    <w:rsid w:val="00B827FF"/>
    <w:rsid w:val="00B8445D"/>
    <w:rsid w:val="00B846E1"/>
    <w:rsid w:val="00B8494C"/>
    <w:rsid w:val="00B85237"/>
    <w:rsid w:val="00B85E5E"/>
    <w:rsid w:val="00B86422"/>
    <w:rsid w:val="00B9000E"/>
    <w:rsid w:val="00B9010E"/>
    <w:rsid w:val="00B903F5"/>
    <w:rsid w:val="00B9061C"/>
    <w:rsid w:val="00B90A67"/>
    <w:rsid w:val="00B91A56"/>
    <w:rsid w:val="00B9246C"/>
    <w:rsid w:val="00B92BE0"/>
    <w:rsid w:val="00B93351"/>
    <w:rsid w:val="00B93FAF"/>
    <w:rsid w:val="00B949CF"/>
    <w:rsid w:val="00B94DC7"/>
    <w:rsid w:val="00B95009"/>
    <w:rsid w:val="00B9601D"/>
    <w:rsid w:val="00B96209"/>
    <w:rsid w:val="00B962A8"/>
    <w:rsid w:val="00B96A73"/>
    <w:rsid w:val="00B96AC7"/>
    <w:rsid w:val="00B96DBD"/>
    <w:rsid w:val="00B9744A"/>
    <w:rsid w:val="00B97FB1"/>
    <w:rsid w:val="00BA0502"/>
    <w:rsid w:val="00BA0D89"/>
    <w:rsid w:val="00BA1FA4"/>
    <w:rsid w:val="00BA30A2"/>
    <w:rsid w:val="00BA51B3"/>
    <w:rsid w:val="00BA5931"/>
    <w:rsid w:val="00BA594F"/>
    <w:rsid w:val="00BA6C89"/>
    <w:rsid w:val="00BB0EA3"/>
    <w:rsid w:val="00BB163C"/>
    <w:rsid w:val="00BB172C"/>
    <w:rsid w:val="00BB24C1"/>
    <w:rsid w:val="00BB3AA8"/>
    <w:rsid w:val="00BB3FE5"/>
    <w:rsid w:val="00BB46B0"/>
    <w:rsid w:val="00BB46C6"/>
    <w:rsid w:val="00BC2074"/>
    <w:rsid w:val="00BC20EC"/>
    <w:rsid w:val="00BC3DE1"/>
    <w:rsid w:val="00BC46FA"/>
    <w:rsid w:val="00BC49F4"/>
    <w:rsid w:val="00BC4AC3"/>
    <w:rsid w:val="00BC5B2A"/>
    <w:rsid w:val="00BC5BD3"/>
    <w:rsid w:val="00BC5BDB"/>
    <w:rsid w:val="00BC622C"/>
    <w:rsid w:val="00BD013C"/>
    <w:rsid w:val="00BD0302"/>
    <w:rsid w:val="00BD0813"/>
    <w:rsid w:val="00BD099F"/>
    <w:rsid w:val="00BD1CD1"/>
    <w:rsid w:val="00BD241F"/>
    <w:rsid w:val="00BD2A22"/>
    <w:rsid w:val="00BD403D"/>
    <w:rsid w:val="00BD4409"/>
    <w:rsid w:val="00BD7002"/>
    <w:rsid w:val="00BE0BA8"/>
    <w:rsid w:val="00BE18F4"/>
    <w:rsid w:val="00BE2131"/>
    <w:rsid w:val="00BE3C7B"/>
    <w:rsid w:val="00BE3EDF"/>
    <w:rsid w:val="00BE57C9"/>
    <w:rsid w:val="00BE5956"/>
    <w:rsid w:val="00BE6D8C"/>
    <w:rsid w:val="00BF109A"/>
    <w:rsid w:val="00BF1A84"/>
    <w:rsid w:val="00BF2C4A"/>
    <w:rsid w:val="00BF2E42"/>
    <w:rsid w:val="00BF6512"/>
    <w:rsid w:val="00BF6C2E"/>
    <w:rsid w:val="00BF6EBA"/>
    <w:rsid w:val="00C0099E"/>
    <w:rsid w:val="00C03A7D"/>
    <w:rsid w:val="00C04254"/>
    <w:rsid w:val="00C0427F"/>
    <w:rsid w:val="00C04A5D"/>
    <w:rsid w:val="00C05783"/>
    <w:rsid w:val="00C069C3"/>
    <w:rsid w:val="00C102B5"/>
    <w:rsid w:val="00C11819"/>
    <w:rsid w:val="00C12241"/>
    <w:rsid w:val="00C14296"/>
    <w:rsid w:val="00C148C1"/>
    <w:rsid w:val="00C15990"/>
    <w:rsid w:val="00C17383"/>
    <w:rsid w:val="00C21751"/>
    <w:rsid w:val="00C21BAD"/>
    <w:rsid w:val="00C23138"/>
    <w:rsid w:val="00C235CA"/>
    <w:rsid w:val="00C24F01"/>
    <w:rsid w:val="00C25CB9"/>
    <w:rsid w:val="00C26F91"/>
    <w:rsid w:val="00C27641"/>
    <w:rsid w:val="00C27ADE"/>
    <w:rsid w:val="00C3002D"/>
    <w:rsid w:val="00C309CA"/>
    <w:rsid w:val="00C31417"/>
    <w:rsid w:val="00C31740"/>
    <w:rsid w:val="00C31D45"/>
    <w:rsid w:val="00C31D48"/>
    <w:rsid w:val="00C3211B"/>
    <w:rsid w:val="00C32374"/>
    <w:rsid w:val="00C32E7A"/>
    <w:rsid w:val="00C33DC6"/>
    <w:rsid w:val="00C3418F"/>
    <w:rsid w:val="00C362F2"/>
    <w:rsid w:val="00C37319"/>
    <w:rsid w:val="00C376A5"/>
    <w:rsid w:val="00C415CD"/>
    <w:rsid w:val="00C422BC"/>
    <w:rsid w:val="00C42383"/>
    <w:rsid w:val="00C42B06"/>
    <w:rsid w:val="00C42B47"/>
    <w:rsid w:val="00C44905"/>
    <w:rsid w:val="00C44A40"/>
    <w:rsid w:val="00C44BBE"/>
    <w:rsid w:val="00C44E9E"/>
    <w:rsid w:val="00C45D62"/>
    <w:rsid w:val="00C469A4"/>
    <w:rsid w:val="00C507C3"/>
    <w:rsid w:val="00C51DFF"/>
    <w:rsid w:val="00C52188"/>
    <w:rsid w:val="00C5358D"/>
    <w:rsid w:val="00C53F5F"/>
    <w:rsid w:val="00C54E77"/>
    <w:rsid w:val="00C55BD2"/>
    <w:rsid w:val="00C56AB8"/>
    <w:rsid w:val="00C56D03"/>
    <w:rsid w:val="00C57850"/>
    <w:rsid w:val="00C607F8"/>
    <w:rsid w:val="00C61603"/>
    <w:rsid w:val="00C62BBB"/>
    <w:rsid w:val="00C6302E"/>
    <w:rsid w:val="00C63B29"/>
    <w:rsid w:val="00C63B3B"/>
    <w:rsid w:val="00C64AD3"/>
    <w:rsid w:val="00C66A8B"/>
    <w:rsid w:val="00C66ED8"/>
    <w:rsid w:val="00C72088"/>
    <w:rsid w:val="00C73064"/>
    <w:rsid w:val="00C731E8"/>
    <w:rsid w:val="00C73E13"/>
    <w:rsid w:val="00C7412E"/>
    <w:rsid w:val="00C749B6"/>
    <w:rsid w:val="00C770B0"/>
    <w:rsid w:val="00C779DB"/>
    <w:rsid w:val="00C77E1B"/>
    <w:rsid w:val="00C80108"/>
    <w:rsid w:val="00C80657"/>
    <w:rsid w:val="00C81500"/>
    <w:rsid w:val="00C8192D"/>
    <w:rsid w:val="00C82BCA"/>
    <w:rsid w:val="00C832E2"/>
    <w:rsid w:val="00C83B2F"/>
    <w:rsid w:val="00C83DF8"/>
    <w:rsid w:val="00C858FA"/>
    <w:rsid w:val="00C865C6"/>
    <w:rsid w:val="00C865FE"/>
    <w:rsid w:val="00C8699C"/>
    <w:rsid w:val="00C86A37"/>
    <w:rsid w:val="00C901D9"/>
    <w:rsid w:val="00C90C8A"/>
    <w:rsid w:val="00C9159A"/>
    <w:rsid w:val="00C9388D"/>
    <w:rsid w:val="00C9452A"/>
    <w:rsid w:val="00C94571"/>
    <w:rsid w:val="00C945DD"/>
    <w:rsid w:val="00C94923"/>
    <w:rsid w:val="00C95E36"/>
    <w:rsid w:val="00C960D8"/>
    <w:rsid w:val="00C9623F"/>
    <w:rsid w:val="00C96650"/>
    <w:rsid w:val="00CA0B75"/>
    <w:rsid w:val="00CA0BF9"/>
    <w:rsid w:val="00CA0DC9"/>
    <w:rsid w:val="00CA391F"/>
    <w:rsid w:val="00CA43A1"/>
    <w:rsid w:val="00CA4B5E"/>
    <w:rsid w:val="00CA4E97"/>
    <w:rsid w:val="00CA5249"/>
    <w:rsid w:val="00CA72B5"/>
    <w:rsid w:val="00CA7302"/>
    <w:rsid w:val="00CB0530"/>
    <w:rsid w:val="00CB227A"/>
    <w:rsid w:val="00CB2538"/>
    <w:rsid w:val="00CB2DEC"/>
    <w:rsid w:val="00CB59D1"/>
    <w:rsid w:val="00CB6763"/>
    <w:rsid w:val="00CB712C"/>
    <w:rsid w:val="00CB73F7"/>
    <w:rsid w:val="00CC0F54"/>
    <w:rsid w:val="00CC1E77"/>
    <w:rsid w:val="00CC1FC8"/>
    <w:rsid w:val="00CC3C3E"/>
    <w:rsid w:val="00CC3D0D"/>
    <w:rsid w:val="00CC3EAE"/>
    <w:rsid w:val="00CC3EE6"/>
    <w:rsid w:val="00CC6FA2"/>
    <w:rsid w:val="00CD0291"/>
    <w:rsid w:val="00CD02B2"/>
    <w:rsid w:val="00CD1CE2"/>
    <w:rsid w:val="00CD23DC"/>
    <w:rsid w:val="00CD27C9"/>
    <w:rsid w:val="00CD33C4"/>
    <w:rsid w:val="00CD3B89"/>
    <w:rsid w:val="00CD3BA9"/>
    <w:rsid w:val="00CD4424"/>
    <w:rsid w:val="00CD55BC"/>
    <w:rsid w:val="00CD5730"/>
    <w:rsid w:val="00CD5B9E"/>
    <w:rsid w:val="00CD7A76"/>
    <w:rsid w:val="00CD7E74"/>
    <w:rsid w:val="00CE17A5"/>
    <w:rsid w:val="00CE36BF"/>
    <w:rsid w:val="00CE44C5"/>
    <w:rsid w:val="00CE4F4A"/>
    <w:rsid w:val="00CE6712"/>
    <w:rsid w:val="00CE6D6D"/>
    <w:rsid w:val="00CE6D92"/>
    <w:rsid w:val="00CF1C3C"/>
    <w:rsid w:val="00CF1F0A"/>
    <w:rsid w:val="00CF476C"/>
    <w:rsid w:val="00CF4C23"/>
    <w:rsid w:val="00CF561E"/>
    <w:rsid w:val="00CF6520"/>
    <w:rsid w:val="00CF65CD"/>
    <w:rsid w:val="00CF680B"/>
    <w:rsid w:val="00CF699D"/>
    <w:rsid w:val="00CF7423"/>
    <w:rsid w:val="00CF7499"/>
    <w:rsid w:val="00CF7B71"/>
    <w:rsid w:val="00D0047C"/>
    <w:rsid w:val="00D00EA6"/>
    <w:rsid w:val="00D00F56"/>
    <w:rsid w:val="00D02114"/>
    <w:rsid w:val="00D022C2"/>
    <w:rsid w:val="00D023A5"/>
    <w:rsid w:val="00D0366F"/>
    <w:rsid w:val="00D044DD"/>
    <w:rsid w:val="00D059E8"/>
    <w:rsid w:val="00D06402"/>
    <w:rsid w:val="00D07F07"/>
    <w:rsid w:val="00D1044D"/>
    <w:rsid w:val="00D105D7"/>
    <w:rsid w:val="00D10E8E"/>
    <w:rsid w:val="00D11503"/>
    <w:rsid w:val="00D1276F"/>
    <w:rsid w:val="00D12E11"/>
    <w:rsid w:val="00D14796"/>
    <w:rsid w:val="00D15FEC"/>
    <w:rsid w:val="00D1613E"/>
    <w:rsid w:val="00D1662F"/>
    <w:rsid w:val="00D16D7D"/>
    <w:rsid w:val="00D1746A"/>
    <w:rsid w:val="00D17ACB"/>
    <w:rsid w:val="00D20077"/>
    <w:rsid w:val="00D2269E"/>
    <w:rsid w:val="00D23445"/>
    <w:rsid w:val="00D236DE"/>
    <w:rsid w:val="00D2443C"/>
    <w:rsid w:val="00D26EB7"/>
    <w:rsid w:val="00D27863"/>
    <w:rsid w:val="00D308D9"/>
    <w:rsid w:val="00D30DD9"/>
    <w:rsid w:val="00D30FEE"/>
    <w:rsid w:val="00D31BF6"/>
    <w:rsid w:val="00D31FB6"/>
    <w:rsid w:val="00D34E68"/>
    <w:rsid w:val="00D34FAB"/>
    <w:rsid w:val="00D35EE5"/>
    <w:rsid w:val="00D3706C"/>
    <w:rsid w:val="00D37990"/>
    <w:rsid w:val="00D37B31"/>
    <w:rsid w:val="00D407BA"/>
    <w:rsid w:val="00D40A98"/>
    <w:rsid w:val="00D4229E"/>
    <w:rsid w:val="00D4363E"/>
    <w:rsid w:val="00D44D00"/>
    <w:rsid w:val="00D46091"/>
    <w:rsid w:val="00D46C20"/>
    <w:rsid w:val="00D47844"/>
    <w:rsid w:val="00D5507B"/>
    <w:rsid w:val="00D5513A"/>
    <w:rsid w:val="00D571CC"/>
    <w:rsid w:val="00D572EB"/>
    <w:rsid w:val="00D61F41"/>
    <w:rsid w:val="00D622F8"/>
    <w:rsid w:val="00D6286D"/>
    <w:rsid w:val="00D62C77"/>
    <w:rsid w:val="00D62DA7"/>
    <w:rsid w:val="00D679DE"/>
    <w:rsid w:val="00D7081E"/>
    <w:rsid w:val="00D726E8"/>
    <w:rsid w:val="00D72A02"/>
    <w:rsid w:val="00D743B6"/>
    <w:rsid w:val="00D74957"/>
    <w:rsid w:val="00D771C6"/>
    <w:rsid w:val="00D77F94"/>
    <w:rsid w:val="00D80059"/>
    <w:rsid w:val="00D801A5"/>
    <w:rsid w:val="00D8162E"/>
    <w:rsid w:val="00D81B3B"/>
    <w:rsid w:val="00D83039"/>
    <w:rsid w:val="00D838AD"/>
    <w:rsid w:val="00D83FAA"/>
    <w:rsid w:val="00D84113"/>
    <w:rsid w:val="00D847BF"/>
    <w:rsid w:val="00D85E31"/>
    <w:rsid w:val="00D86132"/>
    <w:rsid w:val="00D92DC5"/>
    <w:rsid w:val="00D92E2E"/>
    <w:rsid w:val="00D9330B"/>
    <w:rsid w:val="00D938A1"/>
    <w:rsid w:val="00D94887"/>
    <w:rsid w:val="00D94918"/>
    <w:rsid w:val="00D94936"/>
    <w:rsid w:val="00D94F12"/>
    <w:rsid w:val="00D97CA5"/>
    <w:rsid w:val="00DA1A87"/>
    <w:rsid w:val="00DA2A61"/>
    <w:rsid w:val="00DA5BDF"/>
    <w:rsid w:val="00DA5DBD"/>
    <w:rsid w:val="00DB0E41"/>
    <w:rsid w:val="00DB2075"/>
    <w:rsid w:val="00DB4330"/>
    <w:rsid w:val="00DB525D"/>
    <w:rsid w:val="00DB55B9"/>
    <w:rsid w:val="00DB6EE5"/>
    <w:rsid w:val="00DC0115"/>
    <w:rsid w:val="00DC0970"/>
    <w:rsid w:val="00DC2413"/>
    <w:rsid w:val="00DC345C"/>
    <w:rsid w:val="00DC3CE7"/>
    <w:rsid w:val="00DC50F6"/>
    <w:rsid w:val="00DC5857"/>
    <w:rsid w:val="00DC738C"/>
    <w:rsid w:val="00DC739A"/>
    <w:rsid w:val="00DC7BA9"/>
    <w:rsid w:val="00DD07F6"/>
    <w:rsid w:val="00DD0B6F"/>
    <w:rsid w:val="00DD1C91"/>
    <w:rsid w:val="00DD1DDD"/>
    <w:rsid w:val="00DD1E2D"/>
    <w:rsid w:val="00DD29DC"/>
    <w:rsid w:val="00DD43E4"/>
    <w:rsid w:val="00DD4E93"/>
    <w:rsid w:val="00DD4F5E"/>
    <w:rsid w:val="00DD5FA0"/>
    <w:rsid w:val="00DE09D9"/>
    <w:rsid w:val="00DE1C54"/>
    <w:rsid w:val="00DE1FE6"/>
    <w:rsid w:val="00DE2159"/>
    <w:rsid w:val="00DE2A87"/>
    <w:rsid w:val="00DE30A8"/>
    <w:rsid w:val="00DE4219"/>
    <w:rsid w:val="00DE4740"/>
    <w:rsid w:val="00DE4DB5"/>
    <w:rsid w:val="00DE63F9"/>
    <w:rsid w:val="00DF15CC"/>
    <w:rsid w:val="00DF238C"/>
    <w:rsid w:val="00DF3F54"/>
    <w:rsid w:val="00DF4393"/>
    <w:rsid w:val="00DF54C3"/>
    <w:rsid w:val="00E00FCB"/>
    <w:rsid w:val="00E01E44"/>
    <w:rsid w:val="00E01F8F"/>
    <w:rsid w:val="00E021E3"/>
    <w:rsid w:val="00E022FE"/>
    <w:rsid w:val="00E02E0D"/>
    <w:rsid w:val="00E03451"/>
    <w:rsid w:val="00E04254"/>
    <w:rsid w:val="00E0426A"/>
    <w:rsid w:val="00E04447"/>
    <w:rsid w:val="00E05EC5"/>
    <w:rsid w:val="00E06970"/>
    <w:rsid w:val="00E079CA"/>
    <w:rsid w:val="00E07D64"/>
    <w:rsid w:val="00E11149"/>
    <w:rsid w:val="00E1167F"/>
    <w:rsid w:val="00E12B30"/>
    <w:rsid w:val="00E1313E"/>
    <w:rsid w:val="00E138B7"/>
    <w:rsid w:val="00E141BD"/>
    <w:rsid w:val="00E15CA5"/>
    <w:rsid w:val="00E16329"/>
    <w:rsid w:val="00E16F9B"/>
    <w:rsid w:val="00E175CA"/>
    <w:rsid w:val="00E20A2C"/>
    <w:rsid w:val="00E21FDD"/>
    <w:rsid w:val="00E22258"/>
    <w:rsid w:val="00E23661"/>
    <w:rsid w:val="00E24FC6"/>
    <w:rsid w:val="00E251B6"/>
    <w:rsid w:val="00E25CF5"/>
    <w:rsid w:val="00E310D8"/>
    <w:rsid w:val="00E31358"/>
    <w:rsid w:val="00E313DA"/>
    <w:rsid w:val="00E31517"/>
    <w:rsid w:val="00E319B8"/>
    <w:rsid w:val="00E32342"/>
    <w:rsid w:val="00E32A95"/>
    <w:rsid w:val="00E3337D"/>
    <w:rsid w:val="00E3428A"/>
    <w:rsid w:val="00E34920"/>
    <w:rsid w:val="00E34923"/>
    <w:rsid w:val="00E34CA5"/>
    <w:rsid w:val="00E34CDE"/>
    <w:rsid w:val="00E353BA"/>
    <w:rsid w:val="00E3546D"/>
    <w:rsid w:val="00E357E4"/>
    <w:rsid w:val="00E35CE8"/>
    <w:rsid w:val="00E35E89"/>
    <w:rsid w:val="00E36862"/>
    <w:rsid w:val="00E36BFC"/>
    <w:rsid w:val="00E376A8"/>
    <w:rsid w:val="00E404F9"/>
    <w:rsid w:val="00E407D8"/>
    <w:rsid w:val="00E40818"/>
    <w:rsid w:val="00E40B2D"/>
    <w:rsid w:val="00E414CC"/>
    <w:rsid w:val="00E41C76"/>
    <w:rsid w:val="00E41EC3"/>
    <w:rsid w:val="00E41FFC"/>
    <w:rsid w:val="00E433EF"/>
    <w:rsid w:val="00E43B52"/>
    <w:rsid w:val="00E446CB"/>
    <w:rsid w:val="00E4491D"/>
    <w:rsid w:val="00E46720"/>
    <w:rsid w:val="00E467E7"/>
    <w:rsid w:val="00E46A7B"/>
    <w:rsid w:val="00E470E6"/>
    <w:rsid w:val="00E47C94"/>
    <w:rsid w:val="00E47FE1"/>
    <w:rsid w:val="00E50F60"/>
    <w:rsid w:val="00E510F9"/>
    <w:rsid w:val="00E539E7"/>
    <w:rsid w:val="00E56DCE"/>
    <w:rsid w:val="00E579D7"/>
    <w:rsid w:val="00E6249C"/>
    <w:rsid w:val="00E64397"/>
    <w:rsid w:val="00E64F1F"/>
    <w:rsid w:val="00E6518F"/>
    <w:rsid w:val="00E6605E"/>
    <w:rsid w:val="00E66BA4"/>
    <w:rsid w:val="00E66F0F"/>
    <w:rsid w:val="00E7068C"/>
    <w:rsid w:val="00E7095D"/>
    <w:rsid w:val="00E70D9D"/>
    <w:rsid w:val="00E7108A"/>
    <w:rsid w:val="00E71C44"/>
    <w:rsid w:val="00E721B6"/>
    <w:rsid w:val="00E7231F"/>
    <w:rsid w:val="00E72FFF"/>
    <w:rsid w:val="00E7596E"/>
    <w:rsid w:val="00E7651F"/>
    <w:rsid w:val="00E7786E"/>
    <w:rsid w:val="00E77B16"/>
    <w:rsid w:val="00E8067C"/>
    <w:rsid w:val="00E80CC5"/>
    <w:rsid w:val="00E81735"/>
    <w:rsid w:val="00E81CC9"/>
    <w:rsid w:val="00E825CA"/>
    <w:rsid w:val="00E84118"/>
    <w:rsid w:val="00E84B8C"/>
    <w:rsid w:val="00E857E0"/>
    <w:rsid w:val="00E86979"/>
    <w:rsid w:val="00E86F17"/>
    <w:rsid w:val="00E8799B"/>
    <w:rsid w:val="00E90300"/>
    <w:rsid w:val="00E909DE"/>
    <w:rsid w:val="00E91685"/>
    <w:rsid w:val="00E92220"/>
    <w:rsid w:val="00E92BEE"/>
    <w:rsid w:val="00E92EF9"/>
    <w:rsid w:val="00E95956"/>
    <w:rsid w:val="00E97164"/>
    <w:rsid w:val="00EA001B"/>
    <w:rsid w:val="00EA0B2F"/>
    <w:rsid w:val="00EA0BD8"/>
    <w:rsid w:val="00EA1519"/>
    <w:rsid w:val="00EA1967"/>
    <w:rsid w:val="00EA1D11"/>
    <w:rsid w:val="00EA2C57"/>
    <w:rsid w:val="00EA3214"/>
    <w:rsid w:val="00EA36DF"/>
    <w:rsid w:val="00EA4318"/>
    <w:rsid w:val="00EA63C0"/>
    <w:rsid w:val="00EA7C58"/>
    <w:rsid w:val="00EB0407"/>
    <w:rsid w:val="00EB0536"/>
    <w:rsid w:val="00EB07BB"/>
    <w:rsid w:val="00EB183C"/>
    <w:rsid w:val="00EB2587"/>
    <w:rsid w:val="00EB3AF3"/>
    <w:rsid w:val="00EB42A8"/>
    <w:rsid w:val="00EB4DD3"/>
    <w:rsid w:val="00EB5601"/>
    <w:rsid w:val="00EB59EF"/>
    <w:rsid w:val="00EB5DA2"/>
    <w:rsid w:val="00EB66FC"/>
    <w:rsid w:val="00EB70C0"/>
    <w:rsid w:val="00EC0A5A"/>
    <w:rsid w:val="00EC1E50"/>
    <w:rsid w:val="00EC239A"/>
    <w:rsid w:val="00EC2FA9"/>
    <w:rsid w:val="00EC501A"/>
    <w:rsid w:val="00EC526F"/>
    <w:rsid w:val="00EC5C01"/>
    <w:rsid w:val="00ED055C"/>
    <w:rsid w:val="00ED0A75"/>
    <w:rsid w:val="00ED1394"/>
    <w:rsid w:val="00ED14A5"/>
    <w:rsid w:val="00ED280B"/>
    <w:rsid w:val="00ED4F31"/>
    <w:rsid w:val="00EE0F4A"/>
    <w:rsid w:val="00EE1478"/>
    <w:rsid w:val="00EE1676"/>
    <w:rsid w:val="00EE62F5"/>
    <w:rsid w:val="00EE7372"/>
    <w:rsid w:val="00EF08E3"/>
    <w:rsid w:val="00EF1989"/>
    <w:rsid w:val="00EF2E4D"/>
    <w:rsid w:val="00EF3427"/>
    <w:rsid w:val="00EF5074"/>
    <w:rsid w:val="00F004F5"/>
    <w:rsid w:val="00F016EE"/>
    <w:rsid w:val="00F020F8"/>
    <w:rsid w:val="00F0278D"/>
    <w:rsid w:val="00F02A07"/>
    <w:rsid w:val="00F03CAF"/>
    <w:rsid w:val="00F101E4"/>
    <w:rsid w:val="00F10410"/>
    <w:rsid w:val="00F10924"/>
    <w:rsid w:val="00F10C6C"/>
    <w:rsid w:val="00F118A3"/>
    <w:rsid w:val="00F12BE0"/>
    <w:rsid w:val="00F1548E"/>
    <w:rsid w:val="00F15CEC"/>
    <w:rsid w:val="00F16569"/>
    <w:rsid w:val="00F16948"/>
    <w:rsid w:val="00F170E9"/>
    <w:rsid w:val="00F17599"/>
    <w:rsid w:val="00F1759B"/>
    <w:rsid w:val="00F178DE"/>
    <w:rsid w:val="00F17A69"/>
    <w:rsid w:val="00F17EF3"/>
    <w:rsid w:val="00F20319"/>
    <w:rsid w:val="00F21A96"/>
    <w:rsid w:val="00F232A0"/>
    <w:rsid w:val="00F27BC3"/>
    <w:rsid w:val="00F31ECF"/>
    <w:rsid w:val="00F31F97"/>
    <w:rsid w:val="00F32632"/>
    <w:rsid w:val="00F32944"/>
    <w:rsid w:val="00F339EA"/>
    <w:rsid w:val="00F33F17"/>
    <w:rsid w:val="00F34445"/>
    <w:rsid w:val="00F34BA8"/>
    <w:rsid w:val="00F34EB2"/>
    <w:rsid w:val="00F36407"/>
    <w:rsid w:val="00F40704"/>
    <w:rsid w:val="00F40B38"/>
    <w:rsid w:val="00F4256F"/>
    <w:rsid w:val="00F43209"/>
    <w:rsid w:val="00F442FC"/>
    <w:rsid w:val="00F444B7"/>
    <w:rsid w:val="00F44F2A"/>
    <w:rsid w:val="00F45304"/>
    <w:rsid w:val="00F46AB9"/>
    <w:rsid w:val="00F46B5A"/>
    <w:rsid w:val="00F46CC7"/>
    <w:rsid w:val="00F50C75"/>
    <w:rsid w:val="00F50E71"/>
    <w:rsid w:val="00F519E6"/>
    <w:rsid w:val="00F52403"/>
    <w:rsid w:val="00F52633"/>
    <w:rsid w:val="00F52B30"/>
    <w:rsid w:val="00F53DC4"/>
    <w:rsid w:val="00F53F30"/>
    <w:rsid w:val="00F569D1"/>
    <w:rsid w:val="00F57032"/>
    <w:rsid w:val="00F57E12"/>
    <w:rsid w:val="00F60B5E"/>
    <w:rsid w:val="00F6104A"/>
    <w:rsid w:val="00F62480"/>
    <w:rsid w:val="00F63931"/>
    <w:rsid w:val="00F63EDE"/>
    <w:rsid w:val="00F64E11"/>
    <w:rsid w:val="00F65292"/>
    <w:rsid w:val="00F66234"/>
    <w:rsid w:val="00F718C0"/>
    <w:rsid w:val="00F72E01"/>
    <w:rsid w:val="00F74314"/>
    <w:rsid w:val="00F743E7"/>
    <w:rsid w:val="00F75CA3"/>
    <w:rsid w:val="00F76B77"/>
    <w:rsid w:val="00F7775D"/>
    <w:rsid w:val="00F77863"/>
    <w:rsid w:val="00F77FFB"/>
    <w:rsid w:val="00F80238"/>
    <w:rsid w:val="00F806A0"/>
    <w:rsid w:val="00F82962"/>
    <w:rsid w:val="00F83572"/>
    <w:rsid w:val="00F8357C"/>
    <w:rsid w:val="00F840E3"/>
    <w:rsid w:val="00F85313"/>
    <w:rsid w:val="00F85475"/>
    <w:rsid w:val="00F85E4C"/>
    <w:rsid w:val="00F86215"/>
    <w:rsid w:val="00F86688"/>
    <w:rsid w:val="00F867F2"/>
    <w:rsid w:val="00F8713D"/>
    <w:rsid w:val="00F87ECD"/>
    <w:rsid w:val="00F909C7"/>
    <w:rsid w:val="00F90B68"/>
    <w:rsid w:val="00F91888"/>
    <w:rsid w:val="00F923A4"/>
    <w:rsid w:val="00F923A5"/>
    <w:rsid w:val="00F94669"/>
    <w:rsid w:val="00F947AE"/>
    <w:rsid w:val="00F94EF4"/>
    <w:rsid w:val="00F97773"/>
    <w:rsid w:val="00FA0108"/>
    <w:rsid w:val="00FA0A5E"/>
    <w:rsid w:val="00FA0FB9"/>
    <w:rsid w:val="00FA1C4A"/>
    <w:rsid w:val="00FA3625"/>
    <w:rsid w:val="00FA64DA"/>
    <w:rsid w:val="00FA652A"/>
    <w:rsid w:val="00FA72AE"/>
    <w:rsid w:val="00FA779E"/>
    <w:rsid w:val="00FA7D7E"/>
    <w:rsid w:val="00FB07B9"/>
    <w:rsid w:val="00FB13A2"/>
    <w:rsid w:val="00FB2673"/>
    <w:rsid w:val="00FB4408"/>
    <w:rsid w:val="00FB4C0B"/>
    <w:rsid w:val="00FB5BF5"/>
    <w:rsid w:val="00FB664C"/>
    <w:rsid w:val="00FB6C47"/>
    <w:rsid w:val="00FB702E"/>
    <w:rsid w:val="00FB7260"/>
    <w:rsid w:val="00FB7E2B"/>
    <w:rsid w:val="00FC00D0"/>
    <w:rsid w:val="00FC1729"/>
    <w:rsid w:val="00FC21E2"/>
    <w:rsid w:val="00FC2995"/>
    <w:rsid w:val="00FC2CCC"/>
    <w:rsid w:val="00FC345F"/>
    <w:rsid w:val="00FC3A0A"/>
    <w:rsid w:val="00FC3B18"/>
    <w:rsid w:val="00FC4B72"/>
    <w:rsid w:val="00FC4D89"/>
    <w:rsid w:val="00FC5206"/>
    <w:rsid w:val="00FC630F"/>
    <w:rsid w:val="00FC7D65"/>
    <w:rsid w:val="00FD008C"/>
    <w:rsid w:val="00FD028C"/>
    <w:rsid w:val="00FD10E9"/>
    <w:rsid w:val="00FD2217"/>
    <w:rsid w:val="00FD57CE"/>
    <w:rsid w:val="00FD5AA1"/>
    <w:rsid w:val="00FD61CA"/>
    <w:rsid w:val="00FD6771"/>
    <w:rsid w:val="00FD76CC"/>
    <w:rsid w:val="00FE08EB"/>
    <w:rsid w:val="00FE097C"/>
    <w:rsid w:val="00FE0CF9"/>
    <w:rsid w:val="00FE1F65"/>
    <w:rsid w:val="00FE2FF7"/>
    <w:rsid w:val="00FE3F4D"/>
    <w:rsid w:val="00FE45A9"/>
    <w:rsid w:val="00FE4817"/>
    <w:rsid w:val="00FE5074"/>
    <w:rsid w:val="00FE5DBC"/>
    <w:rsid w:val="00FE6FDC"/>
    <w:rsid w:val="00FE71D7"/>
    <w:rsid w:val="00FF014F"/>
    <w:rsid w:val="00FF03D7"/>
    <w:rsid w:val="00FF0FFC"/>
    <w:rsid w:val="00FF6451"/>
    <w:rsid w:val="00FF6C3E"/>
    <w:rsid w:val="00FF79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5537" style="mso-position-horizontal-relative:margin;mso-position-vertical-relative:margin" fillcolor="white" stroke="f">
      <v:fill color="white" size="0,0" aspect="atLeast" origin="-32767f,-32767f" position="-32767f,-32767f" type="frame"/>
      <v:stroke on="f"/>
      <o:colormru v:ext="edit" colors="#ddd,#f8f8f8"/>
    </o:shapedefaults>
    <o:shapelayout v:ext="edit">
      <o:idmap v:ext="edit" data="1"/>
    </o:shapelayout>
  </w:shapeDefaults>
  <w:decimalSymbol w:val="."/>
  <w:listSeparator w:val=","/>
  <w14:docId w14:val="1604EC15"/>
  <w15:docId w15:val="{3B037519-9DF3-4CED-BA7E-D02E2EC1D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0" w:defSemiHidden="0" w:defUnhideWhenUsed="0" w:defQFormat="0" w:count="371">
    <w:lsdException w:name="Normal" w:locked="0" w:uiPriority="99"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99" w:unhideWhenUsed="1" w:qFormat="1"/>
    <w:lsdException w:name="index heading" w:semiHidden="1" w:unhideWhenUsed="1"/>
    <w:lsdException w:name="caption"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locked="0"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iPriority="99"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uiPriority w:val="99"/>
    <w:semiHidden/>
    <w:qFormat/>
    <w:rsid w:val="00FE2FF7"/>
    <w:pPr>
      <w:spacing w:after="120"/>
    </w:pPr>
    <w:rPr>
      <w:rFonts w:eastAsia="Calibri"/>
      <w:color w:val="000000"/>
    </w:rPr>
  </w:style>
  <w:style w:type="paragraph" w:styleId="Heading1">
    <w:name w:val="heading 1"/>
    <w:next w:val="BodyText"/>
    <w:link w:val="Heading1Char"/>
    <w:qFormat/>
    <w:locked/>
    <w:rsid w:val="00FE2FF7"/>
    <w:pPr>
      <w:numPr>
        <w:numId w:val="5"/>
      </w:numPr>
      <w:spacing w:before="840" w:after="120" w:line="240" w:lineRule="auto"/>
      <w:ind w:hanging="1134"/>
      <w:outlineLvl w:val="0"/>
    </w:pPr>
    <w:rPr>
      <w:rFonts w:asciiTheme="majorHAnsi" w:eastAsia="Times New Roman" w:hAnsiTheme="majorHAnsi"/>
      <w:b/>
      <w:color w:val="146692" w:themeColor="text2"/>
      <w:sz w:val="72"/>
      <w:szCs w:val="72"/>
    </w:rPr>
  </w:style>
  <w:style w:type="paragraph" w:styleId="Heading2">
    <w:name w:val="heading 2"/>
    <w:basedOn w:val="Heading1"/>
    <w:next w:val="BodyText"/>
    <w:link w:val="Heading2Char"/>
    <w:qFormat/>
    <w:locked/>
    <w:rsid w:val="008B4858"/>
    <w:pPr>
      <w:pageBreakBefore/>
      <w:numPr>
        <w:ilvl w:val="1"/>
      </w:numPr>
      <w:spacing w:before="0"/>
      <w:ind w:left="1134" w:hanging="1134"/>
      <w:outlineLvl w:val="1"/>
    </w:pPr>
    <w:rPr>
      <w:sz w:val="32"/>
    </w:rPr>
  </w:style>
  <w:style w:type="paragraph" w:styleId="Heading3">
    <w:name w:val="heading 3"/>
    <w:basedOn w:val="Heading2"/>
    <w:next w:val="BodyText"/>
    <w:link w:val="Heading3Char"/>
    <w:qFormat/>
    <w:locked/>
    <w:rsid w:val="00280214"/>
    <w:pPr>
      <w:keepNext/>
      <w:pageBreakBefore w:val="0"/>
      <w:numPr>
        <w:ilvl w:val="2"/>
      </w:numPr>
      <w:spacing w:before="180" w:after="180"/>
      <w:outlineLvl w:val="2"/>
    </w:pPr>
    <w:rPr>
      <w:i/>
      <w:color w:val="000000" w:themeColor="text1"/>
      <w:sz w:val="28"/>
    </w:rPr>
  </w:style>
  <w:style w:type="paragraph" w:styleId="Heading4">
    <w:name w:val="heading 4"/>
    <w:basedOn w:val="Heading3"/>
    <w:next w:val="BodyText"/>
    <w:link w:val="Heading4Char"/>
    <w:qFormat/>
    <w:locked/>
    <w:rsid w:val="00824976"/>
    <w:pPr>
      <w:keepLines/>
      <w:numPr>
        <w:ilvl w:val="3"/>
      </w:numPr>
      <w:outlineLvl w:val="3"/>
    </w:pPr>
    <w:rPr>
      <w:b w:val="0"/>
      <w:i w:val="0"/>
      <w:iCs/>
      <w:color w:val="auto"/>
      <w:spacing w:val="1"/>
      <w:szCs w:val="28"/>
    </w:rPr>
  </w:style>
  <w:style w:type="paragraph" w:styleId="Heading5">
    <w:name w:val="heading 5"/>
    <w:basedOn w:val="Heading4"/>
    <w:next w:val="BodyText"/>
    <w:link w:val="Heading5Char"/>
    <w:qFormat/>
    <w:locked/>
    <w:rsid w:val="00280214"/>
    <w:pPr>
      <w:numPr>
        <w:ilvl w:val="4"/>
      </w:numPr>
      <w:outlineLvl w:val="4"/>
    </w:pPr>
    <w:rPr>
      <w:b/>
      <w:sz w:val="24"/>
    </w:rPr>
  </w:style>
  <w:style w:type="paragraph" w:styleId="Heading6">
    <w:name w:val="heading 6"/>
    <w:basedOn w:val="Normal"/>
    <w:next w:val="Normal"/>
    <w:link w:val="Heading6Char"/>
    <w:qFormat/>
    <w:locked/>
    <w:rsid w:val="00280214"/>
    <w:pPr>
      <w:keepNext/>
      <w:keepLines/>
      <w:spacing w:before="200"/>
      <w:outlineLvl w:val="5"/>
    </w:pPr>
    <w:rPr>
      <w:rFonts w:eastAsiaTheme="majorEastAsia" w:cstheme="majorBidi"/>
      <w:b/>
      <w:iCs/>
      <w:noProof/>
    </w:rPr>
  </w:style>
  <w:style w:type="paragraph" w:styleId="Heading7">
    <w:name w:val="heading 7"/>
    <w:basedOn w:val="Normal"/>
    <w:next w:val="Normal"/>
    <w:link w:val="Heading7Char"/>
    <w:qFormat/>
    <w:locked/>
    <w:rsid w:val="007D6814"/>
    <w:pPr>
      <w:spacing w:before="240" w:after="60"/>
      <w:outlineLvl w:val="6"/>
    </w:pPr>
    <w:rPr>
      <w:rFonts w:asciiTheme="minorHAnsi" w:hAnsiTheme="minorHAnsi" w:cstheme="majorBidi"/>
      <w:b/>
    </w:rPr>
  </w:style>
  <w:style w:type="paragraph" w:styleId="Heading8">
    <w:name w:val="heading 8"/>
    <w:basedOn w:val="Normal"/>
    <w:next w:val="Normal"/>
    <w:link w:val="Heading8Char"/>
    <w:semiHidden/>
    <w:qFormat/>
    <w:locked/>
    <w:rsid w:val="00DB55B9"/>
    <w:pPr>
      <w:spacing w:before="240" w:after="60"/>
      <w:outlineLvl w:val="7"/>
    </w:pPr>
    <w:rPr>
      <w:rFonts w:asciiTheme="minorHAnsi" w:hAnsiTheme="minorHAnsi" w:cstheme="majorBidi"/>
      <w:i/>
      <w:iCs/>
    </w:rPr>
  </w:style>
  <w:style w:type="paragraph" w:styleId="Heading9">
    <w:name w:val="heading 9"/>
    <w:aliases w:val="Appendix Heading 1,Heading appendix 1,Heading Appendix 1"/>
    <w:basedOn w:val="AppendixHeading1base"/>
    <w:next w:val="BodyText"/>
    <w:link w:val="Heading9Char"/>
    <w:qFormat/>
    <w:locked/>
    <w:rsid w:val="00B53405"/>
    <w:p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FE2FF7"/>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locked/>
    <w:rsid w:val="008B4858"/>
    <w:rPr>
      <w:rFonts w:asciiTheme="majorHAnsi" w:eastAsia="Times New Roman" w:hAnsiTheme="majorHAnsi"/>
      <w:b/>
      <w:color w:val="146692" w:themeColor="text2"/>
      <w:sz w:val="32"/>
      <w:szCs w:val="72"/>
    </w:rPr>
  </w:style>
  <w:style w:type="character" w:customStyle="1" w:styleId="Heading3Char">
    <w:name w:val="Heading 3 Char"/>
    <w:basedOn w:val="DefaultParagraphFont"/>
    <w:link w:val="Heading3"/>
    <w:locked/>
    <w:rsid w:val="00280214"/>
    <w:rPr>
      <w:rFonts w:asciiTheme="majorHAnsi" w:eastAsia="Times New Roman" w:hAnsiTheme="majorHAnsi"/>
      <w:b/>
      <w:i/>
      <w:color w:val="000000" w:themeColor="text1"/>
      <w:sz w:val="28"/>
      <w:szCs w:val="72"/>
    </w:rPr>
  </w:style>
  <w:style w:type="character" w:customStyle="1" w:styleId="Heading4Char">
    <w:name w:val="Heading 4 Char"/>
    <w:basedOn w:val="DefaultParagraphFont"/>
    <w:link w:val="Heading4"/>
    <w:locked/>
    <w:rsid w:val="00824976"/>
    <w:rPr>
      <w:rFonts w:asciiTheme="majorHAnsi" w:eastAsia="Times New Roman" w:hAnsiTheme="majorHAnsi"/>
      <w:iCs/>
      <w:spacing w:val="1"/>
      <w:sz w:val="28"/>
      <w:szCs w:val="28"/>
    </w:rPr>
  </w:style>
  <w:style w:type="character" w:customStyle="1" w:styleId="Heading5Char">
    <w:name w:val="Heading 5 Char"/>
    <w:basedOn w:val="DefaultParagraphFont"/>
    <w:link w:val="Heading5"/>
    <w:locked/>
    <w:rsid w:val="00280214"/>
    <w:rPr>
      <w:rFonts w:asciiTheme="majorHAnsi" w:eastAsia="Times New Roman" w:hAnsiTheme="majorHAnsi"/>
      <w:b/>
      <w:iCs/>
      <w:spacing w:val="1"/>
      <w:szCs w:val="28"/>
    </w:rPr>
  </w:style>
  <w:style w:type="character" w:customStyle="1" w:styleId="Heading6Char">
    <w:name w:val="Heading 6 Char"/>
    <w:basedOn w:val="DefaultParagraphFont"/>
    <w:link w:val="Heading6"/>
    <w:locked/>
    <w:rsid w:val="00280214"/>
    <w:rPr>
      <w:rFonts w:eastAsiaTheme="majorEastAsia" w:cstheme="majorBidi"/>
      <w:b/>
      <w:iCs/>
      <w:noProof/>
      <w:color w:val="000000"/>
    </w:rPr>
  </w:style>
  <w:style w:type="character" w:customStyle="1" w:styleId="Heading7Char">
    <w:name w:val="Heading 7 Char"/>
    <w:basedOn w:val="DefaultParagraphFont"/>
    <w:link w:val="Heading7"/>
    <w:locked/>
    <w:rsid w:val="00114F91"/>
    <w:rPr>
      <w:rFonts w:asciiTheme="minorHAnsi" w:eastAsia="Calibri" w:hAnsiTheme="minorHAnsi" w:cstheme="majorBidi"/>
      <w:b/>
      <w:color w:val="000000"/>
    </w:rPr>
  </w:style>
  <w:style w:type="character" w:customStyle="1" w:styleId="Heading8Char">
    <w:name w:val="Heading 8 Char"/>
    <w:basedOn w:val="DefaultParagraphFont"/>
    <w:link w:val="Heading8"/>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Heading appendix 1 Char,Heading Appendix 1 Char"/>
    <w:basedOn w:val="DefaultParagraphFont"/>
    <w:link w:val="Heading9"/>
    <w:locked/>
    <w:rsid w:val="00B53405"/>
    <w:rPr>
      <w:rFonts w:eastAsiaTheme="majorEastAsia" w:cstheme="majorBidi"/>
      <w:b/>
      <w:color w:val="146692" w:themeColor="text2"/>
      <w:sz w:val="44"/>
      <w:szCs w:val="28"/>
    </w:rPr>
  </w:style>
  <w:style w:type="paragraph" w:styleId="Header">
    <w:name w:val="header"/>
    <w:basedOn w:val="Normal"/>
    <w:link w:val="HeaderChar"/>
    <w:unhideWhenUsed/>
    <w:locked/>
    <w:rsid w:val="001F4181"/>
    <w:pPr>
      <w:tabs>
        <w:tab w:val="center" w:pos="4513"/>
        <w:tab w:val="right" w:pos="9026"/>
      </w:tabs>
      <w:spacing w:after="0"/>
    </w:pPr>
  </w:style>
  <w:style w:type="character" w:customStyle="1" w:styleId="HeaderChar">
    <w:name w:val="Header Char"/>
    <w:basedOn w:val="DefaultParagraphFont"/>
    <w:link w:val="Header"/>
    <w:rsid w:val="001F4181"/>
    <w:rPr>
      <w:rFonts w:eastAsia="Calibri"/>
      <w:color w:val="000000"/>
    </w:rPr>
  </w:style>
  <w:style w:type="paragraph" w:styleId="Footer">
    <w:name w:val="footer"/>
    <w:basedOn w:val="BodyText"/>
    <w:link w:val="FooterChar"/>
    <w:uiPriority w:val="99"/>
    <w:qFormat/>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aliases w:val="B6-DO NOT USE"/>
    <w:basedOn w:val="Normal"/>
    <w:link w:val="BalloonTextChar"/>
    <w:semiHidden/>
    <w:locked/>
    <w:rsid w:val="008F434C"/>
    <w:pPr>
      <w:spacing w:before="0" w:after="0" w:line="240" w:lineRule="auto"/>
    </w:pPr>
    <w:rPr>
      <w:rFonts w:ascii="Segoe UI" w:hAnsi="Segoe UI" w:cs="Segoe UI"/>
      <w:sz w:val="18"/>
      <w:szCs w:val="18"/>
    </w:rPr>
  </w:style>
  <w:style w:type="paragraph" w:styleId="ListBullet">
    <w:name w:val="List Bullet"/>
    <w:basedOn w:val="Normal"/>
    <w:qFormat/>
    <w:locked/>
    <w:rsid w:val="00F31F97"/>
    <w:pPr>
      <w:numPr>
        <w:numId w:val="7"/>
      </w:numPr>
      <w:tabs>
        <w:tab w:val="clear" w:pos="567"/>
      </w:tabs>
      <w:spacing w:before="60" w:after="60"/>
      <w:ind w:left="568" w:hanging="284"/>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qFormat/>
    <w:locked/>
    <w:rsid w:val="00F31F97"/>
    <w:pPr>
      <w:numPr>
        <w:ilvl w:val="1"/>
        <w:numId w:val="7"/>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qFormat/>
    <w:locked/>
    <w:rsid w:val="00F7775D"/>
    <w:pPr>
      <w:tabs>
        <w:tab w:val="left" w:pos="567"/>
        <w:tab w:val="right" w:leader="dot" w:pos="9639"/>
      </w:tabs>
      <w:spacing w:line="240" w:lineRule="auto"/>
    </w:pPr>
    <w:rPr>
      <w:b/>
      <w:noProof/>
      <w:color w:val="146692" w:themeColor="text2"/>
    </w:rPr>
  </w:style>
  <w:style w:type="paragraph" w:styleId="TOC2">
    <w:name w:val="toc 2"/>
    <w:basedOn w:val="TOC1"/>
    <w:uiPriority w:val="39"/>
    <w:unhideWhenUsed/>
    <w:qFormat/>
    <w:locked/>
    <w:rsid w:val="00E05EC5"/>
    <w:pPr>
      <w:tabs>
        <w:tab w:val="clear" w:pos="567"/>
        <w:tab w:val="left" w:pos="1474"/>
      </w:tabs>
      <w:spacing w:before="60" w:after="60"/>
      <w:ind w:left="567"/>
    </w:pPr>
    <w:rPr>
      <w:b w:val="0"/>
      <w:color w:val="auto"/>
    </w:rPr>
  </w:style>
  <w:style w:type="table" w:styleId="TableGrid">
    <w:name w:val="Table Grid"/>
    <w:basedOn w:val="TableNormal"/>
    <w:uiPriority w:val="5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uiPriority w:val="99"/>
    <w:semiHidden/>
    <w:locked/>
    <w:rsid w:val="00752473"/>
    <w:rPr>
      <w:rFonts w:ascii="Calibri" w:hAnsi="Calibri" w:cs="Times New Roman"/>
      <w:sz w:val="16"/>
    </w:rPr>
  </w:style>
  <w:style w:type="paragraph" w:styleId="TOC3">
    <w:name w:val="toc 3"/>
    <w:basedOn w:val="TOC2"/>
    <w:uiPriority w:val="39"/>
    <w:unhideWhenUsed/>
    <w:qFormat/>
    <w:locked/>
    <w:rsid w:val="00C45D62"/>
    <w:pPr>
      <w:tabs>
        <w:tab w:val="clear" w:pos="1474"/>
        <w:tab w:val="left" w:pos="1871"/>
      </w:tabs>
      <w:ind w:left="851"/>
    </w:pPr>
  </w:style>
  <w:style w:type="paragraph" w:customStyle="1" w:styleId="PartTitle">
    <w:name w:val="PartTitle"/>
    <w:basedOn w:val="Heading2"/>
    <w:next w:val="BodyText"/>
    <w:uiPriority w:val="12"/>
    <w:rsid w:val="00280214"/>
    <w:pPr>
      <w:keepNext/>
      <w:pageBreakBefore w:val="0"/>
      <w:numPr>
        <w:ilvl w:val="0"/>
        <w:numId w:val="0"/>
      </w:numPr>
      <w:outlineLvl w:val="0"/>
    </w:pPr>
    <w:rPr>
      <w:color w:val="006D99" w:themeColor="accent1" w:themeShade="BF"/>
      <w:sz w:val="72"/>
    </w:rPr>
  </w:style>
  <w:style w:type="paragraph" w:styleId="ListNumber">
    <w:name w:val="List Number"/>
    <w:basedOn w:val="Normal"/>
    <w:qFormat/>
    <w:locked/>
    <w:rsid w:val="0025295D"/>
    <w:pPr>
      <w:numPr>
        <w:numId w:val="12"/>
      </w:numPr>
      <w:spacing w:before="60" w:after="60"/>
      <w:ind w:left="681" w:hanging="397"/>
    </w:pPr>
    <w:rPr>
      <w:rFonts w:asciiTheme="minorHAnsi" w:eastAsia="Times" w:hAnsiTheme="minorHAnsi" w:cs="Arial"/>
      <w:color w:val="auto"/>
      <w:szCs w:val="20"/>
    </w:rPr>
  </w:style>
  <w:style w:type="paragraph" w:styleId="ListBullet3">
    <w:name w:val="List Bullet 3"/>
    <w:basedOn w:val="ListBullet2"/>
    <w:semiHidden/>
    <w:locked/>
    <w:rsid w:val="00273A31"/>
    <w:pPr>
      <w:numPr>
        <w:ilvl w:val="2"/>
      </w:numPr>
      <w:tabs>
        <w:tab w:val="left" w:pos="1191"/>
      </w:tabs>
      <w:ind w:left="2320" w:firstLine="0"/>
    </w:pPr>
  </w:style>
  <w:style w:type="paragraph" w:styleId="FootnoteText">
    <w:name w:val="footnote text"/>
    <w:basedOn w:val="BodyText"/>
    <w:link w:val="FootnoteTextChar"/>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9"/>
      </w:numPr>
      <w:spacing w:after="2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asciiTheme="majorHAnsi" w:eastAsia="Times New Roman" w:hAnsiTheme="majorHAnsi"/>
      <w:color w:val="146692" w:themeColor="text2"/>
      <w:sz w:val="32"/>
      <w:szCs w:val="36"/>
    </w:rPr>
  </w:style>
  <w:style w:type="paragraph" w:styleId="TOCHeading">
    <w:name w:val="TOC Heading"/>
    <w:basedOn w:val="Heading1noTOC"/>
    <w:next w:val="Normal"/>
    <w:link w:val="TOCHeadingChar"/>
    <w:qFormat/>
    <w:locked/>
    <w:rsid w:val="00824976"/>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qFormat/>
    <w:locked/>
    <w:rsid w:val="006E436D"/>
    <w:pPr>
      <w:tabs>
        <w:tab w:val="left" w:pos="1474"/>
        <w:tab w:val="right" w:leader="dot" w:pos="9639"/>
      </w:tabs>
      <w:spacing w:before="60" w:after="60"/>
      <w:ind w:left="567"/>
    </w:pPr>
    <w:rPr>
      <w:i/>
    </w:rPr>
  </w:style>
  <w:style w:type="paragraph" w:styleId="TOC9">
    <w:name w:val="toc 9"/>
    <w:basedOn w:val="Normal"/>
    <w:next w:val="Normal"/>
    <w:autoRedefine/>
    <w:uiPriority w:val="39"/>
    <w:locked/>
    <w:rsid w:val="00FE3F4D"/>
    <w:pPr>
      <w:spacing w:after="100"/>
      <w:ind w:left="1760"/>
    </w:pPr>
  </w:style>
  <w:style w:type="paragraph" w:styleId="Caption">
    <w:name w:val="caption"/>
    <w:basedOn w:val="BodyText"/>
    <w:next w:val="BodyText"/>
    <w:uiPriority w:val="35"/>
    <w:qFormat/>
    <w:locked/>
    <w:rsid w:val="009F3E8F"/>
    <w:pPr>
      <w:keepNext/>
      <w:spacing w:after="60"/>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824976"/>
    <w:pPr>
      <w:keepLines/>
      <w:pageBreakBefore/>
      <w:numPr>
        <w:numId w:val="0"/>
      </w:numPr>
      <w:spacing w:before="0" w:after="960"/>
    </w:pPr>
    <w:rPr>
      <w:sz w:val="44"/>
    </w:rPr>
  </w:style>
  <w:style w:type="paragraph" w:customStyle="1" w:styleId="Heading3notnumbered">
    <w:name w:val="Heading 3 not numbered"/>
    <w:basedOn w:val="Heading3"/>
    <w:next w:val="BodyText"/>
    <w:uiPriority w:val="2"/>
    <w:qFormat/>
    <w:rsid w:val="00752314"/>
    <w:pPr>
      <w:numPr>
        <w:ilvl w:val="0"/>
        <w:numId w:val="0"/>
      </w:numPr>
    </w:pPr>
  </w:style>
  <w:style w:type="paragraph" w:customStyle="1" w:styleId="Heading2notnumbered">
    <w:name w:val="Heading 2 not numbered"/>
    <w:basedOn w:val="Heading2"/>
    <w:next w:val="BodyText"/>
    <w:uiPriority w:val="2"/>
    <w:qFormat/>
    <w:rsid w:val="008B4858"/>
    <w:pPr>
      <w:numPr>
        <w:ilvl w:val="0"/>
        <w:numId w:val="0"/>
      </w:numPr>
    </w:pPr>
  </w:style>
  <w:style w:type="paragraph" w:customStyle="1" w:styleId="Heading1noTOC">
    <w:name w:val="Heading 1 no TOC"/>
    <w:basedOn w:val="Heading1notnumbered"/>
    <w:next w:val="BodyText"/>
    <w:uiPriority w:val="2"/>
    <w:qFormat/>
    <w:rsid w:val="00F31F97"/>
  </w:style>
  <w:style w:type="character" w:customStyle="1" w:styleId="TOCHeadingChar">
    <w:name w:val="TOC Heading Char"/>
    <w:basedOn w:val="DefaultParagraphFont"/>
    <w:link w:val="TOCHeading"/>
    <w:uiPriority w:val="21"/>
    <w:locked/>
    <w:rsid w:val="00824976"/>
    <w:rPr>
      <w:rFonts w:asciiTheme="majorHAnsi" w:eastAsia="Times New Roman" w:hAnsiTheme="majorHAnsi"/>
      <w:b/>
      <w:color w:val="146692" w:themeColor="text2"/>
      <w:sz w:val="44"/>
      <w:szCs w:val="20"/>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semiHidden/>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basedOn w:val="DefaultParagraphFont"/>
    <w:semiHidden/>
    <w:locked/>
    <w:rsid w:val="003D6565"/>
    <w:rPr>
      <w:rFonts w:cs="Times New Roman"/>
      <w:color w:val="auto"/>
      <w:u w:val="none"/>
    </w:rPr>
  </w:style>
  <w:style w:type="character" w:styleId="FootnoteReference">
    <w:name w:val="footnote reference"/>
    <w:basedOn w:val="DefaultParagraphFont"/>
    <w:locked/>
    <w:rsid w:val="00E251B6"/>
    <w:rPr>
      <w:rFonts w:cs="Times New Roman"/>
      <w:vertAlign w:val="superscript"/>
    </w:rPr>
  </w:style>
  <w:style w:type="paragraph" w:styleId="HTMLAddress">
    <w:name w:val="HTML Address"/>
    <w:aliases w:val="HAd-DO NOT USE"/>
    <w:basedOn w:val="Normal"/>
    <w:link w:val="HTMLAddressChar"/>
    <w:semiHidden/>
    <w:locked/>
    <w:rsid w:val="00E251B6"/>
    <w:rPr>
      <w:i/>
      <w:iCs/>
    </w:rPr>
  </w:style>
  <w:style w:type="character" w:customStyle="1" w:styleId="HTMLAddressChar">
    <w:name w:val="HTML Address Char"/>
    <w:aliases w:val="HAd-DO NOT USE Char"/>
    <w:basedOn w:val="DefaultParagraphFont"/>
    <w:link w:val="HTMLAddress"/>
    <w:semiHidden/>
    <w:locked/>
    <w:rsid w:val="00DB55B9"/>
    <w:rPr>
      <w:rFonts w:eastAsia="Calibri"/>
      <w:i/>
      <w:iCs/>
      <w:color w:val="000000"/>
    </w:rPr>
  </w:style>
  <w:style w:type="paragraph" w:styleId="HTMLPreformatted">
    <w:name w:val="HTML Preformatted"/>
    <w:aliases w:val="HP-DO NOT USE"/>
    <w:basedOn w:val="Normal"/>
    <w:link w:val="HTMLPreformattedChar"/>
    <w:semiHidden/>
    <w:locked/>
    <w:rsid w:val="00E251B6"/>
    <w:rPr>
      <w:rFonts w:ascii="Courier New" w:hAnsi="Courier New" w:cs="Courier New"/>
      <w:sz w:val="20"/>
      <w:szCs w:val="20"/>
    </w:rPr>
  </w:style>
  <w:style w:type="character" w:customStyle="1" w:styleId="HTMLPreformattedChar">
    <w:name w:val="HTML Preformatted Char"/>
    <w:aliases w:val="HP-DO NOT USE Char"/>
    <w:basedOn w:val="DefaultParagraphFont"/>
    <w:link w:val="HTMLPreformatted"/>
    <w:semiHidden/>
    <w:locked/>
    <w:rsid w:val="00DB55B9"/>
    <w:rPr>
      <w:rFonts w:ascii="Courier New" w:eastAsia="Calibri" w:hAnsi="Courier New" w:cs="Courier New"/>
      <w:color w:val="000000"/>
      <w:sz w:val="20"/>
      <w:szCs w:val="20"/>
    </w:rPr>
  </w:style>
  <w:style w:type="character" w:styleId="LineNumber">
    <w:name w:val="line number"/>
    <w:aliases w:val="LN-DO NOT USE"/>
    <w:basedOn w:val="DefaultParagraphFont"/>
    <w:semiHidden/>
    <w:locked/>
    <w:rsid w:val="00E251B6"/>
    <w:rPr>
      <w:rFonts w:cs="Times New Roman"/>
    </w:rPr>
  </w:style>
  <w:style w:type="paragraph" w:styleId="List">
    <w:name w:val="List"/>
    <w:basedOn w:val="Normal"/>
    <w:semiHidden/>
    <w:locked/>
    <w:rsid w:val="00E251B6"/>
    <w:pPr>
      <w:ind w:left="283" w:hanging="283"/>
    </w:pPr>
  </w:style>
  <w:style w:type="paragraph" w:styleId="List2">
    <w:name w:val="List 2"/>
    <w:basedOn w:val="Normal"/>
    <w:semiHidden/>
    <w:locked/>
    <w:rsid w:val="00E251B6"/>
    <w:pPr>
      <w:ind w:left="566" w:hanging="283"/>
    </w:pPr>
  </w:style>
  <w:style w:type="paragraph" w:styleId="List3">
    <w:name w:val="List 3"/>
    <w:basedOn w:val="Normal"/>
    <w:semiHidden/>
    <w:locked/>
    <w:rsid w:val="00E251B6"/>
    <w:pPr>
      <w:ind w:left="849" w:hanging="283"/>
    </w:pPr>
  </w:style>
  <w:style w:type="paragraph" w:styleId="List4">
    <w:name w:val="List 4"/>
    <w:basedOn w:val="Normal"/>
    <w:semiHidden/>
    <w:locked/>
    <w:rsid w:val="00E251B6"/>
    <w:pPr>
      <w:ind w:left="1132" w:hanging="283"/>
    </w:pPr>
  </w:style>
  <w:style w:type="paragraph" w:styleId="List5">
    <w:name w:val="List 5"/>
    <w:basedOn w:val="Normal"/>
    <w:semiHidden/>
    <w:locked/>
    <w:rsid w:val="00E251B6"/>
    <w:pPr>
      <w:ind w:left="1415" w:hanging="283"/>
    </w:pPr>
  </w:style>
  <w:style w:type="paragraph" w:styleId="ListBullet4">
    <w:name w:val="List Bullet 4"/>
    <w:basedOn w:val="Normal"/>
    <w:semiHidden/>
    <w:locked/>
    <w:rsid w:val="00E251B6"/>
    <w:pPr>
      <w:numPr>
        <w:numId w:val="1"/>
      </w:numPr>
      <w:tabs>
        <w:tab w:val="num" w:pos="1209"/>
      </w:tabs>
      <w:ind w:left="1209"/>
    </w:pPr>
  </w:style>
  <w:style w:type="paragraph" w:styleId="ListBullet5">
    <w:name w:val="List Bullet 5"/>
    <w:basedOn w:val="Normal"/>
    <w:semiHidden/>
    <w:locked/>
    <w:rsid w:val="00E251B6"/>
    <w:pPr>
      <w:numPr>
        <w:numId w:val="2"/>
      </w:numPr>
      <w:tabs>
        <w:tab w:val="num" w:pos="926"/>
        <w:tab w:val="num" w:pos="1492"/>
      </w:tabs>
      <w:ind w:left="1492"/>
    </w:pPr>
  </w:style>
  <w:style w:type="paragraph" w:styleId="ListContinue">
    <w:name w:val="List Continue"/>
    <w:basedOn w:val="Normal"/>
    <w:semiHidden/>
    <w:locked/>
    <w:rsid w:val="00E251B6"/>
    <w:pPr>
      <w:ind w:left="283"/>
    </w:pPr>
  </w:style>
  <w:style w:type="paragraph" w:styleId="ListContinue2">
    <w:name w:val="List Continue 2"/>
    <w:basedOn w:val="Normal"/>
    <w:semiHidden/>
    <w:locked/>
    <w:rsid w:val="00E251B6"/>
    <w:pPr>
      <w:ind w:left="566"/>
    </w:pPr>
  </w:style>
  <w:style w:type="paragraph" w:styleId="ListContinue3">
    <w:name w:val="List Continue 3"/>
    <w:basedOn w:val="Normal"/>
    <w:semiHidden/>
    <w:locked/>
    <w:rsid w:val="00E251B6"/>
    <w:pPr>
      <w:ind w:left="849"/>
    </w:pPr>
  </w:style>
  <w:style w:type="paragraph" w:styleId="ListContinue4">
    <w:name w:val="List Continue 4"/>
    <w:basedOn w:val="Normal"/>
    <w:semiHidden/>
    <w:locked/>
    <w:rsid w:val="00E251B6"/>
    <w:pPr>
      <w:ind w:left="1132"/>
    </w:pPr>
  </w:style>
  <w:style w:type="paragraph" w:styleId="ListContinue5">
    <w:name w:val="List Continue 5"/>
    <w:basedOn w:val="Normal"/>
    <w:semiHidden/>
    <w:locked/>
    <w:rsid w:val="00E251B6"/>
    <w:pPr>
      <w:ind w:left="1415"/>
    </w:pPr>
  </w:style>
  <w:style w:type="paragraph" w:styleId="ListNumber3">
    <w:name w:val="List Number 3"/>
    <w:basedOn w:val="Normal"/>
    <w:semiHidden/>
    <w:locked/>
    <w:rsid w:val="00E251B6"/>
    <w:pPr>
      <w:numPr>
        <w:numId w:val="3"/>
      </w:numPr>
    </w:pPr>
  </w:style>
  <w:style w:type="paragraph" w:styleId="MessageHeader">
    <w:name w:val="Message Header"/>
    <w:aliases w:val="MH-DO NOT USE"/>
    <w:basedOn w:val="Normal"/>
    <w:link w:val="MessageHeaderChar"/>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aliases w:val="MH-DO NOT USE Char"/>
    <w:basedOn w:val="DefaultParagraphFont"/>
    <w:link w:val="MessageHeader"/>
    <w:semiHidden/>
    <w:locked/>
    <w:rsid w:val="00DB55B9"/>
    <w:rPr>
      <w:rFonts w:ascii="Arial" w:eastAsia="Calibri" w:hAnsi="Arial" w:cs="Arial"/>
      <w:color w:val="000000"/>
      <w:sz w:val="24"/>
      <w:szCs w:val="24"/>
      <w:shd w:val="pct20" w:color="auto" w:fill="auto"/>
    </w:rPr>
  </w:style>
  <w:style w:type="paragraph" w:styleId="NormalWeb">
    <w:name w:val="Normal (Web)"/>
    <w:aliases w:val="NW-DO NOT USE"/>
    <w:basedOn w:val="Normal"/>
    <w:uiPriority w:val="99"/>
    <w:qFormat/>
    <w:locked/>
    <w:rsid w:val="00E251B6"/>
    <w:rPr>
      <w:rFonts w:ascii="Times New Roman" w:hAnsi="Times New Roman"/>
    </w:rPr>
  </w:style>
  <w:style w:type="paragraph" w:styleId="NormalIndent">
    <w:name w:val="Normal Indent"/>
    <w:aliases w:val="NI-DO NOT USE"/>
    <w:basedOn w:val="Normal"/>
    <w:semiHidden/>
    <w:locked/>
    <w:rsid w:val="00E251B6"/>
    <w:pPr>
      <w:ind w:left="720"/>
    </w:pPr>
  </w:style>
  <w:style w:type="paragraph" w:styleId="NoteHeading">
    <w:name w:val="Note Heading"/>
    <w:basedOn w:val="Normal"/>
    <w:next w:val="Normal"/>
    <w:link w:val="NoteHeadingChar"/>
    <w:semiHidden/>
    <w:locked/>
    <w:rsid w:val="00E251B6"/>
  </w:style>
  <w:style w:type="character" w:customStyle="1" w:styleId="NoteHeadingChar">
    <w:name w:val="Note Heading Char"/>
    <w:basedOn w:val="DefaultParagraphFont"/>
    <w:link w:val="NoteHeading"/>
    <w:semiHidden/>
    <w:locked/>
    <w:rsid w:val="00DB55B9"/>
    <w:rPr>
      <w:rFonts w:eastAsia="Calibri"/>
      <w:color w:val="000000"/>
    </w:rPr>
  </w:style>
  <w:style w:type="paragraph" w:styleId="PlainText">
    <w:name w:val="Plain Text"/>
    <w:aliases w:val="PT-DO NOT USE"/>
    <w:basedOn w:val="Normal"/>
    <w:link w:val="PlainTextChar"/>
    <w:semiHidden/>
    <w:locked/>
    <w:rsid w:val="00E251B6"/>
    <w:rPr>
      <w:rFonts w:ascii="Courier New" w:hAnsi="Courier New" w:cs="Courier New"/>
      <w:sz w:val="20"/>
      <w:szCs w:val="20"/>
    </w:rPr>
  </w:style>
  <w:style w:type="character" w:customStyle="1" w:styleId="PlainTextChar">
    <w:name w:val="Plain Text Char"/>
    <w:aliases w:val="PT-DO NOT USE Char"/>
    <w:basedOn w:val="DefaultParagraphFont"/>
    <w:link w:val="PlainText"/>
    <w:semiHidden/>
    <w:locked/>
    <w:rsid w:val="00DB55B9"/>
    <w:rPr>
      <w:rFonts w:ascii="Courier New" w:eastAsia="Calibri" w:hAnsi="Courier New" w:cs="Courier New"/>
      <w:color w:val="000000"/>
      <w:sz w:val="20"/>
      <w:szCs w:val="20"/>
    </w:rPr>
  </w:style>
  <w:style w:type="paragraph" w:styleId="Salutation">
    <w:name w:val="Salutation"/>
    <w:aliases w:val="Sa-DO NOT USE"/>
    <w:basedOn w:val="Normal"/>
    <w:next w:val="Normal"/>
    <w:link w:val="SalutationChar"/>
    <w:semiHidden/>
    <w:locked/>
    <w:rsid w:val="00E251B6"/>
  </w:style>
  <w:style w:type="character" w:customStyle="1" w:styleId="SalutationChar">
    <w:name w:val="Salutation Char"/>
    <w:aliases w:val="Sa-DO NOT USE Char"/>
    <w:basedOn w:val="DefaultParagraphFont"/>
    <w:link w:val="Salutation"/>
    <w:semiHidden/>
    <w:locked/>
    <w:rsid w:val="00DB55B9"/>
    <w:rPr>
      <w:rFonts w:eastAsia="Calibri"/>
      <w:color w:val="000000"/>
    </w:rPr>
  </w:style>
  <w:style w:type="paragraph" w:styleId="Signature">
    <w:name w:val="Signature"/>
    <w:aliases w:val="Si-DO NOT USE"/>
    <w:basedOn w:val="Normal"/>
    <w:link w:val="SignatureChar"/>
    <w:semiHidden/>
    <w:locked/>
    <w:rsid w:val="00E251B6"/>
    <w:pPr>
      <w:ind w:left="4252"/>
    </w:pPr>
  </w:style>
  <w:style w:type="character" w:customStyle="1" w:styleId="SignatureChar">
    <w:name w:val="Signature Char"/>
    <w:aliases w:val="Si-DO NOT USE Char"/>
    <w:basedOn w:val="DefaultParagraphFont"/>
    <w:link w:val="Signature"/>
    <w:semiHidden/>
    <w:locked/>
    <w:rsid w:val="00DB55B9"/>
    <w:rPr>
      <w:rFonts w:eastAsia="Calibri"/>
      <w:color w:val="000000"/>
    </w:rPr>
  </w:style>
  <w:style w:type="character" w:styleId="Strong">
    <w:name w:val="Strong"/>
    <w:aliases w:val="St-DO NOT USE"/>
    <w:basedOn w:val="DefaultParagraphFont"/>
    <w:qFormat/>
    <w:locked/>
    <w:rsid w:val="001249CC"/>
    <w:rPr>
      <w:rFonts w:cs="Times New Roman"/>
      <w:b/>
      <w:bCs/>
    </w:rPr>
  </w:style>
  <w:style w:type="table" w:styleId="Table3Deffects1">
    <w:name w:val="Table 3D effects 1"/>
    <w:basedOn w:val="TableNormal"/>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semiHidden/>
    <w:locked/>
    <w:rsid w:val="00AD275A"/>
    <w:pPr>
      <w:ind w:left="220" w:hanging="220"/>
    </w:pPr>
  </w:style>
  <w:style w:type="paragraph" w:styleId="Index2">
    <w:name w:val="index 2"/>
    <w:basedOn w:val="Normal"/>
    <w:next w:val="Normal"/>
    <w:autoRedefine/>
    <w:semiHidden/>
    <w:locked/>
    <w:rsid w:val="00AD275A"/>
    <w:pPr>
      <w:ind w:left="440" w:hanging="220"/>
    </w:pPr>
  </w:style>
  <w:style w:type="paragraph" w:styleId="Index3">
    <w:name w:val="index 3"/>
    <w:basedOn w:val="Normal"/>
    <w:next w:val="Normal"/>
    <w:autoRedefine/>
    <w:semiHidden/>
    <w:locked/>
    <w:rsid w:val="00AD275A"/>
    <w:pPr>
      <w:ind w:left="660" w:hanging="220"/>
    </w:pPr>
  </w:style>
  <w:style w:type="paragraph" w:styleId="Index4">
    <w:name w:val="index 4"/>
    <w:basedOn w:val="Normal"/>
    <w:next w:val="Normal"/>
    <w:autoRedefine/>
    <w:semiHidden/>
    <w:locked/>
    <w:rsid w:val="00AD275A"/>
    <w:pPr>
      <w:ind w:left="880" w:hanging="220"/>
    </w:pPr>
  </w:style>
  <w:style w:type="paragraph" w:styleId="Index5">
    <w:name w:val="index 5"/>
    <w:basedOn w:val="Normal"/>
    <w:next w:val="Normal"/>
    <w:autoRedefine/>
    <w:semiHidden/>
    <w:locked/>
    <w:rsid w:val="00AD275A"/>
    <w:pPr>
      <w:ind w:left="1100" w:hanging="220"/>
    </w:pPr>
  </w:style>
  <w:style w:type="paragraph" w:styleId="Index6">
    <w:name w:val="index 6"/>
    <w:basedOn w:val="Normal"/>
    <w:next w:val="Normal"/>
    <w:autoRedefine/>
    <w:semiHidden/>
    <w:locked/>
    <w:rsid w:val="00AD275A"/>
    <w:pPr>
      <w:ind w:left="1320" w:hanging="220"/>
    </w:pPr>
  </w:style>
  <w:style w:type="paragraph" w:styleId="Index7">
    <w:name w:val="index 7"/>
    <w:basedOn w:val="Normal"/>
    <w:next w:val="Normal"/>
    <w:autoRedefine/>
    <w:semiHidden/>
    <w:locked/>
    <w:rsid w:val="00AD275A"/>
    <w:pPr>
      <w:ind w:left="1540" w:hanging="220"/>
    </w:pPr>
  </w:style>
  <w:style w:type="paragraph" w:styleId="Index8">
    <w:name w:val="index 8"/>
    <w:basedOn w:val="Normal"/>
    <w:next w:val="Normal"/>
    <w:autoRedefine/>
    <w:semiHidden/>
    <w:locked/>
    <w:rsid w:val="00AD275A"/>
    <w:pPr>
      <w:ind w:left="1760" w:hanging="220"/>
    </w:pPr>
  </w:style>
  <w:style w:type="paragraph" w:styleId="Index9">
    <w:name w:val="index 9"/>
    <w:basedOn w:val="Normal"/>
    <w:next w:val="Normal"/>
    <w:autoRedefine/>
    <w:semiHidden/>
    <w:locked/>
    <w:rsid w:val="00AD275A"/>
    <w:pPr>
      <w:ind w:left="1980" w:hanging="220"/>
    </w:pPr>
  </w:style>
  <w:style w:type="paragraph" w:styleId="IndexHeading">
    <w:name w:val="index heading"/>
    <w:aliases w:val="IH-DO NOT USE"/>
    <w:basedOn w:val="Normal"/>
    <w:next w:val="Index1"/>
    <w:semiHidden/>
    <w:locked/>
    <w:rsid w:val="00AD275A"/>
    <w:rPr>
      <w:rFonts w:ascii="Arial" w:hAnsi="Arial" w:cs="Arial"/>
      <w:b/>
      <w:bCs/>
    </w:rPr>
  </w:style>
  <w:style w:type="paragraph" w:styleId="MacroText">
    <w:name w:val="macro"/>
    <w:aliases w:val="MT-DO NOT USE"/>
    <w:link w:val="MacroTextChar"/>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aliases w:val="MT-DO NOT USE Char"/>
    <w:basedOn w:val="DefaultParagraphFont"/>
    <w:link w:val="MacroText"/>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qFormat/>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qFormat/>
    <w:locked/>
    <w:rsid w:val="006E436D"/>
    <w:pPr>
      <w:tabs>
        <w:tab w:val="left" w:pos="1474"/>
        <w:tab w:val="right" w:leader="dot" w:pos="9639"/>
      </w:tabs>
      <w:spacing w:before="60" w:after="60"/>
      <w:ind w:left="567"/>
    </w:pPr>
  </w:style>
  <w:style w:type="paragraph" w:styleId="TOC6">
    <w:name w:val="toc 6"/>
    <w:basedOn w:val="Normal"/>
    <w:next w:val="Normal"/>
    <w:autoRedefine/>
    <w:uiPriority w:val="39"/>
    <w:locked/>
    <w:rsid w:val="00AD275A"/>
    <w:pPr>
      <w:ind w:left="1100"/>
    </w:pPr>
  </w:style>
  <w:style w:type="paragraph" w:styleId="TOC7">
    <w:name w:val="toc 7"/>
    <w:basedOn w:val="Normal"/>
    <w:next w:val="Normal"/>
    <w:autoRedefine/>
    <w:uiPriority w:val="39"/>
    <w:locked/>
    <w:rsid w:val="00AD275A"/>
    <w:pPr>
      <w:ind w:left="1320"/>
    </w:pPr>
  </w:style>
  <w:style w:type="paragraph" w:styleId="TOC8">
    <w:name w:val="toc 8"/>
    <w:basedOn w:val="Normal"/>
    <w:next w:val="Normal"/>
    <w:autoRedefine/>
    <w:uiPriority w:val="39"/>
    <w:locked/>
    <w:rsid w:val="00AD275A"/>
    <w:pPr>
      <w:ind w:left="1540"/>
    </w:pPr>
  </w:style>
  <w:style w:type="numbering" w:customStyle="1" w:styleId="TableBullets">
    <w:name w:val="TableBullets"/>
    <w:uiPriority w:val="99"/>
    <w:rsid w:val="008861FC"/>
    <w:pPr>
      <w:numPr>
        <w:numId w:val="4"/>
      </w:numPr>
    </w:pPr>
  </w:style>
  <w:style w:type="paragraph" w:customStyle="1" w:styleId="AppendixHeading1base">
    <w:name w:val="Appendix Heading 1 base"/>
    <w:uiPriority w:val="99"/>
    <w:semiHidden/>
    <w:qFormat/>
    <w:rsid w:val="0096552D"/>
    <w:pPr>
      <w:keepNext/>
      <w:pageBreakBefore/>
      <w:numPr>
        <w:numId w:val="6"/>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280214"/>
    <w:pPr>
      <w:pageBreakBefore w:val="0"/>
      <w:numPr>
        <w:numId w:val="6"/>
      </w:numPr>
      <w:spacing w:before="360" w:after="240"/>
    </w:pPr>
    <w:rPr>
      <w:sz w:val="36"/>
    </w:rPr>
  </w:style>
  <w:style w:type="paragraph" w:customStyle="1" w:styleId="AppendixHeading3">
    <w:name w:val="Appendix Heading 3"/>
    <w:basedOn w:val="Heading3"/>
    <w:next w:val="BodyText"/>
    <w:uiPriority w:val="12"/>
    <w:qFormat/>
    <w:rsid w:val="0040389D"/>
    <w:pPr>
      <w:keepLines/>
      <w:numPr>
        <w:numId w:val="6"/>
      </w:numPr>
      <w:tabs>
        <w:tab w:val="left" w:pos="1134"/>
      </w:tabs>
      <w:spacing w:before="360"/>
    </w:pPr>
  </w:style>
  <w:style w:type="paragraph" w:customStyle="1" w:styleId="AppendixHeading4">
    <w:name w:val="Appendix Heading 4"/>
    <w:basedOn w:val="Heading4"/>
    <w:next w:val="BodyText"/>
    <w:uiPriority w:val="12"/>
    <w:qFormat/>
    <w:rsid w:val="001235BB"/>
    <w:pPr>
      <w:numPr>
        <w:numId w:val="6"/>
      </w:numPr>
    </w:pPr>
  </w:style>
  <w:style w:type="paragraph" w:customStyle="1" w:styleId="Equation">
    <w:name w:val="Equation"/>
    <w:basedOn w:val="BodyText"/>
    <w:next w:val="BodyText"/>
    <w:uiPriority w:val="7"/>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qFormat/>
    <w:rsid w:val="00DC2413"/>
    <w:pPr>
      <w:ind w:left="567" w:hanging="567"/>
    </w:pPr>
  </w:style>
  <w:style w:type="paragraph" w:styleId="ListNumber2">
    <w:name w:val="List Number 2"/>
    <w:basedOn w:val="Normal"/>
    <w:qFormat/>
    <w:locked/>
    <w:rsid w:val="0025295D"/>
    <w:pPr>
      <w:numPr>
        <w:numId w:val="13"/>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E6605E"/>
    <w:pPr>
      <w:numPr>
        <w:ilvl w:val="0"/>
        <w:numId w:val="0"/>
      </w:numPr>
    </w:pPr>
  </w:style>
  <w:style w:type="character" w:customStyle="1" w:styleId="Bold">
    <w:name w:val="Bold"/>
    <w:basedOn w:val="DefaultParagraphFont"/>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qFormat/>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8"/>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022AC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aliases w:val="T-DO NOT USE"/>
    <w:basedOn w:val="Normal"/>
    <w:next w:val="Normal"/>
    <w:link w:val="TitleChar"/>
    <w:qFormat/>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aliases w:val="T-DO NOT USE Char"/>
    <w:basedOn w:val="DefaultParagraphFont"/>
    <w:link w:val="Title"/>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1235BB"/>
    <w:pPr>
      <w:numPr>
        <w:numId w:val="6"/>
      </w:numPr>
      <w:tabs>
        <w:tab w:val="left" w:pos="1134"/>
      </w:tabs>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37"/>
    <w:locked/>
    <w:rsid w:val="00A07E5A"/>
  </w:style>
  <w:style w:type="character" w:customStyle="1" w:styleId="BalloonTextChar">
    <w:name w:val="Balloon Text Char"/>
    <w:aliases w:val="B6-DO NOT USE Char"/>
    <w:basedOn w:val="DefaultParagraphFont"/>
    <w:link w:val="BalloonText"/>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aliases w:val="B1-DO NOT USE"/>
    <w:basedOn w:val="BodyText"/>
    <w:link w:val="BodyTextFirstIndentChar"/>
    <w:semiHidden/>
    <w:unhideWhenUsed/>
    <w:locked/>
    <w:rsid w:val="00A07E5A"/>
    <w:pPr>
      <w:spacing w:after="120"/>
      <w:ind w:firstLine="360"/>
    </w:pPr>
  </w:style>
  <w:style w:type="character" w:customStyle="1" w:styleId="BodyTextFirstIndentChar">
    <w:name w:val="Body Text First Indent Char"/>
    <w:aliases w:val="B1-DO NOT USE Char"/>
    <w:basedOn w:val="BodyTextChar"/>
    <w:link w:val="BodyTextFirstIndent"/>
    <w:semiHidden/>
    <w:rsid w:val="00A07E5A"/>
    <w:rPr>
      <w:rFonts w:eastAsia="Calibri"/>
      <w:color w:val="000000"/>
      <w:sz w:val="24"/>
    </w:rPr>
  </w:style>
  <w:style w:type="paragraph" w:styleId="BodyTextIndent">
    <w:name w:val="Body Text Indent"/>
    <w:aliases w:val="B3-DO NOT USE"/>
    <w:basedOn w:val="Normal"/>
    <w:link w:val="BodyTextIndentChar"/>
    <w:semiHidden/>
    <w:unhideWhenUsed/>
    <w:locked/>
    <w:rsid w:val="00A07E5A"/>
    <w:pPr>
      <w:ind w:left="283"/>
    </w:pPr>
  </w:style>
  <w:style w:type="character" w:customStyle="1" w:styleId="BodyTextIndentChar">
    <w:name w:val="Body Text Indent Char"/>
    <w:aliases w:val="B3-DO NOT USE Char"/>
    <w:basedOn w:val="DefaultParagraphFont"/>
    <w:link w:val="BodyTextIndent"/>
    <w:semiHidden/>
    <w:rsid w:val="00A07E5A"/>
    <w:rPr>
      <w:rFonts w:eastAsia="Calibri"/>
      <w:color w:val="000000"/>
    </w:rPr>
  </w:style>
  <w:style w:type="paragraph" w:styleId="BodyTextFirstIndent2">
    <w:name w:val="Body Text First Indent 2"/>
    <w:aliases w:val="B2-DO NOT USE"/>
    <w:basedOn w:val="BodyTextIndent"/>
    <w:link w:val="BodyTextFirstIndent2Char"/>
    <w:semiHidden/>
    <w:unhideWhenUsed/>
    <w:locked/>
    <w:rsid w:val="00A07E5A"/>
    <w:pPr>
      <w:ind w:left="360" w:firstLine="360"/>
    </w:pPr>
  </w:style>
  <w:style w:type="character" w:customStyle="1" w:styleId="BodyTextFirstIndent2Char">
    <w:name w:val="Body Text First Indent 2 Char"/>
    <w:aliases w:val="B2-DO NOT USE Char"/>
    <w:basedOn w:val="BodyTextIndentChar"/>
    <w:link w:val="BodyTextFirstIndent2"/>
    <w:semiHidden/>
    <w:rsid w:val="00A07E5A"/>
    <w:rPr>
      <w:rFonts w:eastAsia="Calibri"/>
      <w:color w:val="000000"/>
    </w:rPr>
  </w:style>
  <w:style w:type="paragraph" w:styleId="Closing">
    <w:name w:val="Closing"/>
    <w:aliases w:val="C-DO NOT USE"/>
    <w:basedOn w:val="Normal"/>
    <w:link w:val="ClosingChar"/>
    <w:semiHidden/>
    <w:unhideWhenUsed/>
    <w:locked/>
    <w:rsid w:val="00A07E5A"/>
    <w:pPr>
      <w:spacing w:before="0" w:after="0" w:line="240" w:lineRule="auto"/>
      <w:ind w:left="4252"/>
    </w:pPr>
  </w:style>
  <w:style w:type="character" w:customStyle="1" w:styleId="ClosingChar">
    <w:name w:val="Closing Char"/>
    <w:aliases w:val="C-DO NOT USE Char"/>
    <w:basedOn w:val="DefaultParagraphFont"/>
    <w:link w:val="Closing"/>
    <w:semiHidden/>
    <w:rsid w:val="00A07E5A"/>
    <w:rPr>
      <w:rFonts w:eastAsia="Calibri"/>
      <w:color w:val="000000"/>
    </w:rPr>
  </w:style>
  <w:style w:type="paragraph" w:styleId="CommentSubject">
    <w:name w:val="annotation subject"/>
    <w:aliases w:val="CS-DO NOT USE"/>
    <w:basedOn w:val="Normal"/>
    <w:link w:val="CommentSubjectChar"/>
    <w:semiHidden/>
    <w:unhideWhenUsed/>
    <w:locked/>
    <w:rsid w:val="00B9601D"/>
    <w:pPr>
      <w:spacing w:line="240" w:lineRule="auto"/>
    </w:pPr>
    <w:rPr>
      <w:b/>
      <w:bCs/>
      <w:sz w:val="20"/>
      <w:szCs w:val="20"/>
    </w:rPr>
  </w:style>
  <w:style w:type="character" w:customStyle="1" w:styleId="CommentSubjectChar">
    <w:name w:val="Comment Subject Char"/>
    <w:aliases w:val="CS-DO NOT USE Char"/>
    <w:basedOn w:val="DefaultParagraphFont"/>
    <w:link w:val="CommentSubject"/>
    <w:semiHidden/>
    <w:rsid w:val="00B9601D"/>
    <w:rPr>
      <w:b/>
      <w:bCs/>
    </w:rPr>
  </w:style>
  <w:style w:type="paragraph" w:styleId="Date">
    <w:name w:val="Date"/>
    <w:aliases w:val="D-DO NOT USE"/>
    <w:basedOn w:val="Normal"/>
    <w:next w:val="Normal"/>
    <w:link w:val="DateChar"/>
    <w:semiHidden/>
    <w:unhideWhenUsed/>
    <w:locked/>
    <w:rsid w:val="00A07E5A"/>
  </w:style>
  <w:style w:type="character" w:customStyle="1" w:styleId="DateChar">
    <w:name w:val="Date Char"/>
    <w:aliases w:val="D-DO NOT USE Char"/>
    <w:basedOn w:val="DefaultParagraphFont"/>
    <w:link w:val="Date"/>
    <w:semiHidden/>
    <w:rsid w:val="00A07E5A"/>
    <w:rPr>
      <w:rFonts w:eastAsia="Calibri"/>
      <w:color w:val="000000"/>
    </w:rPr>
  </w:style>
  <w:style w:type="paragraph" w:styleId="DocumentMap">
    <w:name w:val="Document Map"/>
    <w:aliases w:val="DM-DO NOT USE"/>
    <w:basedOn w:val="Normal"/>
    <w:link w:val="DocumentMapChar"/>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aliases w:val="DM-DO NOT USE Char"/>
    <w:basedOn w:val="DefaultParagraphFont"/>
    <w:link w:val="DocumentMap"/>
    <w:semiHidden/>
    <w:rsid w:val="00A07E5A"/>
    <w:rPr>
      <w:rFonts w:ascii="Tahoma" w:eastAsia="Calibri" w:hAnsi="Tahoma" w:cs="Tahoma"/>
      <w:color w:val="000000"/>
      <w:sz w:val="16"/>
      <w:szCs w:val="16"/>
    </w:rPr>
  </w:style>
  <w:style w:type="paragraph" w:styleId="E-mailSignature">
    <w:name w:val="E-mail Signature"/>
    <w:aliases w:val="EM-DO NOT USE"/>
    <w:basedOn w:val="Normal"/>
    <w:link w:val="E-mailSignatureChar"/>
    <w:semiHidden/>
    <w:unhideWhenUsed/>
    <w:locked/>
    <w:rsid w:val="00A07E5A"/>
    <w:pPr>
      <w:spacing w:before="0" w:after="0" w:line="240" w:lineRule="auto"/>
    </w:pPr>
  </w:style>
  <w:style w:type="character" w:customStyle="1" w:styleId="E-mailSignatureChar">
    <w:name w:val="E-mail Signature Char"/>
    <w:aliases w:val="EM-DO NOT USE Char"/>
    <w:basedOn w:val="DefaultParagraphFont"/>
    <w:link w:val="E-mailSignature"/>
    <w:semiHidden/>
    <w:rsid w:val="00A07E5A"/>
    <w:rPr>
      <w:rFonts w:eastAsia="Calibri"/>
      <w:color w:val="000000"/>
    </w:rPr>
  </w:style>
  <w:style w:type="paragraph" w:styleId="EndnoteText">
    <w:name w:val="endnote text"/>
    <w:aliases w:val="ET-DO NOT USE"/>
    <w:basedOn w:val="Normal"/>
    <w:link w:val="EndnoteTextChar"/>
    <w:semiHidden/>
    <w:unhideWhenUsed/>
    <w:locked/>
    <w:rsid w:val="00A07E5A"/>
    <w:pPr>
      <w:spacing w:before="0" w:after="0" w:line="240" w:lineRule="auto"/>
    </w:pPr>
    <w:rPr>
      <w:sz w:val="20"/>
      <w:szCs w:val="20"/>
    </w:rPr>
  </w:style>
  <w:style w:type="character" w:customStyle="1" w:styleId="EndnoteTextChar">
    <w:name w:val="Endnote Text Char"/>
    <w:aliases w:val="ET-DO NOT USE Char"/>
    <w:basedOn w:val="DefaultParagraphFont"/>
    <w:link w:val="EndnoteText"/>
    <w:semiHidden/>
    <w:rsid w:val="00A07E5A"/>
    <w:rPr>
      <w:rFonts w:eastAsia="Calibri"/>
      <w:color w:val="000000"/>
      <w:sz w:val="20"/>
      <w:szCs w:val="20"/>
    </w:rPr>
  </w:style>
  <w:style w:type="paragraph" w:styleId="IntenseQuote">
    <w:name w:val="Intense Quote"/>
    <w:aliases w:val="IQ-DO NOT USE"/>
    <w:basedOn w:val="Normal"/>
    <w:next w:val="Normal"/>
    <w:link w:val="IntenseQuoteChar"/>
    <w:uiPriority w:val="30"/>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aliases w:val="IQ-DO NOT USE Char"/>
    <w:basedOn w:val="DefaultParagraphFont"/>
    <w:link w:val="IntenseQuote"/>
    <w:uiPriority w:val="30"/>
    <w:rsid w:val="00A07E5A"/>
    <w:rPr>
      <w:rFonts w:eastAsia="Calibri"/>
      <w:b/>
      <w:bCs/>
      <w:i/>
      <w:iCs/>
      <w:color w:val="0093CD" w:themeColor="accent1"/>
    </w:rPr>
  </w:style>
  <w:style w:type="paragraph" w:styleId="ListNumber4">
    <w:name w:val="List Number 4"/>
    <w:basedOn w:val="Normal"/>
    <w:semiHidden/>
    <w:locked/>
    <w:rsid w:val="00A07E5A"/>
    <w:pPr>
      <w:numPr>
        <w:numId w:val="10"/>
      </w:numPr>
      <w:contextualSpacing/>
    </w:pPr>
  </w:style>
  <w:style w:type="paragraph" w:styleId="ListNumber5">
    <w:name w:val="List Number 5"/>
    <w:basedOn w:val="Normal"/>
    <w:semiHidden/>
    <w:locked/>
    <w:rsid w:val="00A07E5A"/>
    <w:pPr>
      <w:numPr>
        <w:numId w:val="11"/>
      </w:numPr>
      <w:contextualSpacing/>
    </w:pPr>
  </w:style>
  <w:style w:type="paragraph" w:styleId="ListParagraph">
    <w:name w:val="List Paragraph"/>
    <w:aliases w:val="LP-DO NOT USE"/>
    <w:basedOn w:val="Normal"/>
    <w:uiPriority w:val="1"/>
    <w:qFormat/>
    <w:locked/>
    <w:rsid w:val="00A07E5A"/>
    <w:pPr>
      <w:ind w:left="720"/>
      <w:contextualSpacing/>
    </w:pPr>
  </w:style>
  <w:style w:type="paragraph" w:styleId="NoSpacing">
    <w:name w:val="No Spacing"/>
    <w:aliases w:val="NS-DO NOT USE"/>
    <w:uiPriority w:val="1"/>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29"/>
    <w:qFormat/>
    <w:locked/>
    <w:rsid w:val="00A07E5A"/>
    <w:rPr>
      <w:i/>
      <w:iCs/>
      <w:color w:val="000000" w:themeColor="text1"/>
    </w:rPr>
  </w:style>
  <w:style w:type="character" w:customStyle="1" w:styleId="QuoteChar">
    <w:name w:val="Quote Char"/>
    <w:basedOn w:val="DefaultParagraphFont"/>
    <w:link w:val="Quote"/>
    <w:uiPriority w:val="29"/>
    <w:rsid w:val="00A07E5A"/>
    <w:rPr>
      <w:rFonts w:eastAsia="Calibri"/>
      <w:i/>
      <w:iCs/>
      <w:color w:val="000000" w:themeColor="text1"/>
    </w:rPr>
  </w:style>
  <w:style w:type="paragraph" w:styleId="Subtitle">
    <w:name w:val="Subtitle"/>
    <w:aliases w:val="S-DO NOT USE"/>
    <w:basedOn w:val="Normal"/>
    <w:next w:val="Normal"/>
    <w:link w:val="SubtitleChar"/>
    <w:qFormat/>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aliases w:val="S-DO NOT USE Char"/>
    <w:basedOn w:val="DefaultParagraphFont"/>
    <w:link w:val="Subtitle"/>
    <w:rsid w:val="00A07E5A"/>
    <w:rPr>
      <w:rFonts w:asciiTheme="majorHAnsi" w:eastAsiaTheme="majorEastAsia" w:hAnsiTheme="majorHAnsi" w:cstheme="majorBidi"/>
      <w:i/>
      <w:iCs/>
      <w:color w:val="0093CD" w:themeColor="accent1"/>
      <w:spacing w:val="15"/>
    </w:rPr>
  </w:style>
  <w:style w:type="paragraph" w:customStyle="1" w:styleId="Summarystage2">
    <w:name w:val="Summary stage 2"/>
    <w:basedOn w:val="BodyText"/>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stage2">
    <w:name w:val="Summary heading stage 2"/>
    <w:basedOn w:val="Summarystage2"/>
    <w:uiPriority w:val="15"/>
    <w:qFormat/>
    <w:rsid w:val="009225B9"/>
    <w:rPr>
      <w:b/>
      <w:i/>
      <w:sz w:val="28"/>
      <w:szCs w:val="28"/>
    </w:rPr>
  </w:style>
  <w:style w:type="paragraph" w:customStyle="1" w:styleId="Summaryheadingstage3">
    <w:name w:val="Summary heading stage 3"/>
    <w:basedOn w:val="Summaryheadingstage2"/>
    <w:uiPriority w:val="16"/>
    <w:qFormat/>
    <w:rsid w:val="009225B9"/>
    <w:pPr>
      <w:shd w:val="clear" w:color="auto" w:fill="CCEEDB"/>
    </w:pPr>
  </w:style>
  <w:style w:type="paragraph" w:customStyle="1" w:styleId="Summarystage3">
    <w:name w:val="Summary stage 3"/>
    <w:basedOn w:val="Summarystage2"/>
    <w:uiPriority w:val="17"/>
    <w:qFormat/>
    <w:rsid w:val="009225B9"/>
    <w:pPr>
      <w:shd w:val="clear" w:color="auto" w:fill="CCEEDB"/>
    </w:pPr>
  </w:style>
  <w:style w:type="paragraph" w:customStyle="1" w:styleId="Summaryheadingstage1">
    <w:name w:val="Summary heading stage 1"/>
    <w:basedOn w:val="Summaryheadingstage2"/>
    <w:uiPriority w:val="14"/>
    <w:qFormat/>
    <w:rsid w:val="009225B9"/>
    <w:pPr>
      <w:shd w:val="clear" w:color="auto" w:fill="FAE3D3"/>
    </w:pPr>
  </w:style>
  <w:style w:type="paragraph" w:customStyle="1" w:styleId="Summarystage1">
    <w:name w:val="Summary stage 1"/>
    <w:basedOn w:val="Summarystage2"/>
    <w:uiPriority w:val="14"/>
    <w:qFormat/>
    <w:rsid w:val="009225B9"/>
    <w:pPr>
      <w:shd w:val="clear" w:color="auto" w:fill="FAE3D3"/>
    </w:pPr>
  </w:style>
  <w:style w:type="paragraph" w:customStyle="1" w:styleId="Summaryheadingcomponent4">
    <w:name w:val="Summary heading component 4"/>
    <w:basedOn w:val="Summaryheadingstage2"/>
    <w:uiPriority w:val="18"/>
    <w:semiHidden/>
    <w:rsid w:val="009225B9"/>
    <w:pPr>
      <w:shd w:val="clear" w:color="auto" w:fill="FADCE3"/>
    </w:pPr>
  </w:style>
  <w:style w:type="paragraph" w:customStyle="1" w:styleId="Summarycomponent4">
    <w:name w:val="Summary component 4"/>
    <w:basedOn w:val="Summarystage2"/>
    <w:uiPriority w:val="19"/>
    <w:semiHidden/>
    <w:rsid w:val="009225B9"/>
    <w:pPr>
      <w:shd w:val="clear" w:color="auto" w:fill="FADCE3"/>
    </w:pPr>
  </w:style>
  <w:style w:type="paragraph" w:customStyle="1" w:styleId="Summaryheading">
    <w:name w:val="Summary heading"/>
    <w:basedOn w:val="Summaryheadingstage2"/>
    <w:uiPriority w:val="18"/>
    <w:qFormat/>
    <w:rsid w:val="009225B9"/>
    <w:pPr>
      <w:shd w:val="clear" w:color="auto" w:fill="E7E7E7"/>
    </w:pPr>
  </w:style>
  <w:style w:type="paragraph" w:customStyle="1" w:styleId="Summary">
    <w:name w:val="Summary"/>
    <w:basedOn w:val="Summarystage2"/>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aliases w:val="ERe-DO NOT USE"/>
    <w:basedOn w:val="DefaultParagraphFont"/>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A17CE5"/>
    <w:pPr>
      <w:outlineLvl w:val="4"/>
    </w:pPr>
  </w:style>
  <w:style w:type="paragraph" w:customStyle="1" w:styleId="Heading6notnumbered">
    <w:name w:val="Heading 6 not numbered"/>
    <w:basedOn w:val="Heading4notnumbered"/>
    <w:uiPriority w:val="2"/>
    <w:qFormat/>
    <w:rsid w:val="00A17CE5"/>
    <w:pPr>
      <w:outlineLvl w:val="5"/>
    </w:pPr>
  </w:style>
  <w:style w:type="paragraph" w:customStyle="1" w:styleId="Heading6numbered">
    <w:name w:val="Heading 6 (numbered)"/>
    <w:basedOn w:val="Heading6"/>
    <w:uiPriority w:val="1"/>
    <w:semiHidden/>
    <w:qFormat/>
    <w:rsid w:val="00EE7372"/>
  </w:style>
  <w:style w:type="character" w:customStyle="1" w:styleId="Subscript">
    <w:name w:val="Subscript"/>
    <w:basedOn w:val="DefaultParagraphFont"/>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3450C4"/>
    <w:pPr>
      <w:numPr>
        <w:numId w:val="0"/>
      </w:numPr>
    </w:pPr>
    <w:rPr>
      <w:color w:val="764220" w:themeColor="background2" w:themeShade="BF"/>
      <w:sz w:val="48"/>
    </w:rPr>
  </w:style>
  <w:style w:type="character" w:customStyle="1" w:styleId="CoverTitleChar">
    <w:name w:val="CoverTitle Char"/>
    <w:basedOn w:val="Heading1Char"/>
    <w:link w:val="CoverTitle"/>
    <w:uiPriority w:val="99"/>
    <w:rsid w:val="003450C4"/>
    <w:rPr>
      <w:rFonts w:asciiTheme="majorHAnsi" w:eastAsia="Times New Roman" w:hAnsiTheme="majorHAnsi"/>
      <w:b/>
      <w:color w:val="764220" w:themeColor="background2" w:themeShade="BF"/>
      <w:sz w:val="48"/>
      <w:szCs w:val="72"/>
    </w:rPr>
  </w:style>
  <w:style w:type="paragraph" w:styleId="CommentText">
    <w:name w:val="annotation text"/>
    <w:aliases w:val="CT-DO NOT USE"/>
    <w:next w:val="BodyText"/>
    <w:link w:val="CommentTextChar"/>
    <w:locked/>
    <w:rsid w:val="00174635"/>
    <w:pPr>
      <w:spacing w:line="280" w:lineRule="atLeast"/>
    </w:pPr>
    <w:rPr>
      <w:rFonts w:ascii="Arial" w:eastAsia="Times" w:hAnsi="Arial" w:cs="Arial"/>
      <w:sz w:val="20"/>
      <w:szCs w:val="20"/>
    </w:rPr>
  </w:style>
  <w:style w:type="character" w:customStyle="1" w:styleId="CommentTextChar">
    <w:name w:val="Comment Text Char"/>
    <w:aliases w:val="CT-DO NOT USE Char"/>
    <w:basedOn w:val="DefaultParagraphFont"/>
    <w:link w:val="CommentText"/>
    <w:rsid w:val="00174635"/>
    <w:rPr>
      <w:rFonts w:ascii="Arial" w:eastAsia="Times" w:hAnsi="Arial" w:cs="Arial"/>
      <w:sz w:val="20"/>
      <w:szCs w:val="20"/>
    </w:rPr>
  </w:style>
  <w:style w:type="character" w:styleId="CommentReference">
    <w:name w:val="annotation reference"/>
    <w:aliases w:val="CR-DO NOT USE"/>
    <w:locked/>
    <w:rsid w:val="00174635"/>
  </w:style>
  <w:style w:type="paragraph" w:customStyle="1" w:styleId="Record">
    <w:name w:val="Record #"/>
    <w:basedOn w:val="BodyText"/>
    <w:next w:val="Authors"/>
    <w:qFormat/>
    <w:rsid w:val="00174635"/>
    <w:pPr>
      <w:keepNext/>
      <w:suppressAutoHyphens/>
      <w:spacing w:after="1440" w:line="280" w:lineRule="atLeast"/>
    </w:pPr>
    <w:rPr>
      <w:rFonts w:ascii="Arial" w:eastAsia="Times New Roman" w:hAnsi="Arial" w:cs="Arial"/>
      <w:caps/>
      <w:color w:val="auto"/>
      <w:spacing w:val="10"/>
      <w:sz w:val="19"/>
      <w:szCs w:val="20"/>
    </w:rPr>
  </w:style>
  <w:style w:type="paragraph" w:customStyle="1" w:styleId="DocumentTitle">
    <w:name w:val="Document Title"/>
    <w:next w:val="DocumentSubtitle"/>
    <w:qFormat/>
    <w:rsid w:val="00174635"/>
    <w:pPr>
      <w:keepNext/>
      <w:spacing w:before="1680" w:after="360" w:line="240" w:lineRule="atLeast"/>
      <w:outlineLvl w:val="0"/>
    </w:pPr>
    <w:rPr>
      <w:rFonts w:ascii="Arial" w:eastAsia="Times New Roman" w:hAnsi="Arial"/>
      <w:color w:val="006983"/>
      <w:sz w:val="48"/>
      <w:szCs w:val="20"/>
    </w:rPr>
  </w:style>
  <w:style w:type="paragraph" w:customStyle="1" w:styleId="Notes">
    <w:name w:val="Notes"/>
    <w:basedOn w:val="BodyText"/>
    <w:next w:val="BodyText"/>
    <w:qFormat/>
    <w:rsid w:val="00174635"/>
    <w:pPr>
      <w:numPr>
        <w:numId w:val="14"/>
      </w:numPr>
      <w:pBdr>
        <w:top w:val="single" w:sz="4" w:space="1" w:color="808080"/>
      </w:pBdr>
      <w:tabs>
        <w:tab w:val="clear" w:pos="360"/>
        <w:tab w:val="left" w:pos="357"/>
      </w:tabs>
      <w:suppressAutoHyphens/>
      <w:spacing w:before="0" w:after="0" w:line="160" w:lineRule="atLeast"/>
      <w:ind w:left="357" w:hanging="357"/>
    </w:pPr>
    <w:rPr>
      <w:rFonts w:ascii="Arial" w:eastAsia="Times New Roman" w:hAnsi="Arial" w:cs="Arial"/>
      <w:color w:val="auto"/>
      <w:sz w:val="16"/>
      <w:szCs w:val="20"/>
    </w:rPr>
  </w:style>
  <w:style w:type="paragraph" w:customStyle="1" w:styleId="ListBulletLevel1">
    <w:name w:val="List Bullet Level 1"/>
    <w:basedOn w:val="BodyText"/>
    <w:link w:val="ListBulletLevel1Char"/>
    <w:qFormat/>
    <w:rsid w:val="00174635"/>
    <w:pPr>
      <w:tabs>
        <w:tab w:val="num" w:pos="312"/>
      </w:tabs>
      <w:suppressAutoHyphens/>
      <w:spacing w:before="60" w:after="60" w:line="280" w:lineRule="atLeast"/>
      <w:ind w:left="312" w:hanging="312"/>
    </w:pPr>
    <w:rPr>
      <w:rFonts w:ascii="Arial" w:eastAsia="Times New Roman" w:hAnsi="Arial" w:cs="Arial"/>
      <w:sz w:val="20"/>
      <w:szCs w:val="20"/>
    </w:rPr>
  </w:style>
  <w:style w:type="character" w:styleId="BookTitle">
    <w:name w:val="Book Title"/>
    <w:aliases w:val="BT-DO NOT USE"/>
    <w:uiPriority w:val="33"/>
    <w:locked/>
    <w:rsid w:val="00174635"/>
  </w:style>
  <w:style w:type="paragraph" w:customStyle="1" w:styleId="ListBulletLevel2">
    <w:name w:val="List Bullet Level 2"/>
    <w:basedOn w:val="ListBulletLevel1"/>
    <w:qFormat/>
    <w:rsid w:val="00174635"/>
    <w:pPr>
      <w:tabs>
        <w:tab w:val="clear" w:pos="312"/>
        <w:tab w:val="left" w:pos="624"/>
      </w:tabs>
      <w:spacing w:before="0"/>
      <w:ind w:left="576" w:hanging="576"/>
    </w:pPr>
  </w:style>
  <w:style w:type="paragraph" w:customStyle="1" w:styleId="TableTitle">
    <w:name w:val="Table Title"/>
    <w:basedOn w:val="BodyText"/>
    <w:next w:val="BodyText"/>
    <w:qFormat/>
    <w:rsid w:val="00174635"/>
    <w:pPr>
      <w:keepNext/>
      <w:suppressAutoHyphens/>
      <w:spacing w:before="360" w:after="120" w:line="240" w:lineRule="atLeast"/>
    </w:pPr>
    <w:rPr>
      <w:rFonts w:ascii="Arial" w:eastAsia="Times New Roman" w:hAnsi="Arial" w:cs="Arial"/>
      <w:i/>
      <w:color w:val="auto"/>
      <w:sz w:val="18"/>
      <w:szCs w:val="18"/>
    </w:rPr>
  </w:style>
  <w:style w:type="paragraph" w:customStyle="1" w:styleId="TableTextLeft">
    <w:name w:val="Table Text Left"/>
    <w:qFormat/>
    <w:rsid w:val="00174635"/>
    <w:pPr>
      <w:spacing w:before="20" w:after="20" w:line="180" w:lineRule="atLeast"/>
    </w:pPr>
    <w:rPr>
      <w:rFonts w:ascii="Arial" w:eastAsia="Times New Roman" w:hAnsi="Arial" w:cs="Arial"/>
      <w:sz w:val="18"/>
      <w:szCs w:val="20"/>
    </w:rPr>
  </w:style>
  <w:style w:type="paragraph" w:customStyle="1" w:styleId="Tableheadingleft">
    <w:name w:val="Table heading left"/>
    <w:next w:val="BodyText"/>
    <w:semiHidden/>
    <w:rsid w:val="00174635"/>
    <w:pPr>
      <w:spacing w:before="20" w:after="20" w:line="200" w:lineRule="atLeast"/>
    </w:pPr>
    <w:rPr>
      <w:rFonts w:ascii="Arial Bold" w:eastAsia="Times New Roman" w:hAnsi="Arial Bold" w:cs="Arial"/>
      <w:color w:val="FFFFFF"/>
      <w:sz w:val="18"/>
      <w:szCs w:val="20"/>
    </w:rPr>
  </w:style>
  <w:style w:type="paragraph" w:styleId="BodyText3">
    <w:name w:val="Body Text 3"/>
    <w:aliases w:val="BT3-DO NOT USE"/>
    <w:basedOn w:val="BodyText"/>
    <w:link w:val="BodyText3Char"/>
    <w:semiHidden/>
    <w:locked/>
    <w:rsid w:val="00174635"/>
    <w:pPr>
      <w:suppressAutoHyphens/>
      <w:spacing w:line="280" w:lineRule="atLeast"/>
    </w:pPr>
    <w:rPr>
      <w:rFonts w:ascii="Arial" w:eastAsia="Times" w:hAnsi="Arial" w:cs="Arial"/>
      <w:color w:val="auto"/>
      <w:sz w:val="20"/>
      <w:szCs w:val="20"/>
    </w:rPr>
  </w:style>
  <w:style w:type="character" w:customStyle="1" w:styleId="BodyText3Char">
    <w:name w:val="Body Text 3 Char"/>
    <w:aliases w:val="BT3-DO NOT USE Char"/>
    <w:basedOn w:val="DefaultParagraphFont"/>
    <w:link w:val="BodyText3"/>
    <w:semiHidden/>
    <w:rsid w:val="00174635"/>
    <w:rPr>
      <w:rFonts w:ascii="Arial" w:eastAsia="Times" w:hAnsi="Arial" w:cs="Arial"/>
      <w:sz w:val="20"/>
      <w:szCs w:val="20"/>
    </w:rPr>
  </w:style>
  <w:style w:type="paragraph" w:customStyle="1" w:styleId="Heading1NoNumbers">
    <w:name w:val="Heading1 No Numbers"/>
    <w:next w:val="BodyText"/>
    <w:link w:val="Heading1NoNumbersChar"/>
    <w:qFormat/>
    <w:rsid w:val="00174635"/>
    <w:pPr>
      <w:keepNext/>
      <w:keepLines/>
      <w:pageBreakBefore/>
      <w:spacing w:before="0" w:after="960" w:line="240" w:lineRule="atLeast"/>
      <w:outlineLvl w:val="0"/>
    </w:pPr>
    <w:rPr>
      <w:rFonts w:ascii="Arial" w:eastAsia="Times" w:hAnsi="Arial" w:cs="Arial"/>
      <w:color w:val="006983"/>
      <w:kern w:val="28"/>
      <w:sz w:val="40"/>
      <w:szCs w:val="20"/>
    </w:rPr>
  </w:style>
  <w:style w:type="paragraph" w:customStyle="1" w:styleId="FiguresImagesLeft">
    <w:name w:val="Figures &amp; Images Left"/>
    <w:basedOn w:val="BodyText"/>
    <w:next w:val="Caption"/>
    <w:link w:val="FiguresImagesLeftChar"/>
    <w:qFormat/>
    <w:rsid w:val="00174635"/>
    <w:pPr>
      <w:keepNext/>
      <w:suppressAutoHyphens/>
      <w:spacing w:before="480" w:after="80" w:line="160" w:lineRule="atLeast"/>
    </w:pPr>
    <w:rPr>
      <w:rFonts w:ascii="Arial" w:eastAsia="Times" w:hAnsi="Arial" w:cs="Arial"/>
      <w:sz w:val="20"/>
      <w:szCs w:val="20"/>
    </w:rPr>
  </w:style>
  <w:style w:type="character" w:customStyle="1" w:styleId="FiguresImagesLeftChar">
    <w:name w:val="Figures &amp; Images Left Char"/>
    <w:basedOn w:val="BodyTextChar"/>
    <w:link w:val="FiguresImagesLeft"/>
    <w:rsid w:val="00174635"/>
    <w:rPr>
      <w:rFonts w:ascii="Arial" w:eastAsia="Times" w:hAnsi="Arial" w:cs="Arial"/>
      <w:color w:val="000000"/>
      <w:sz w:val="20"/>
      <w:szCs w:val="20"/>
    </w:rPr>
  </w:style>
  <w:style w:type="paragraph" w:customStyle="1" w:styleId="VersoPageInfo">
    <w:name w:val="Verso Page Info"/>
    <w:basedOn w:val="BodyText"/>
    <w:link w:val="VersoPageInfoChar"/>
    <w:qFormat/>
    <w:rsid w:val="00174635"/>
    <w:pPr>
      <w:suppressAutoHyphens/>
      <w:spacing w:before="0" w:line="280" w:lineRule="atLeast"/>
    </w:pPr>
    <w:rPr>
      <w:rFonts w:ascii="Arial" w:eastAsia="Times" w:hAnsi="Arial" w:cs="Arial"/>
      <w:sz w:val="20"/>
      <w:szCs w:val="20"/>
    </w:rPr>
  </w:style>
  <w:style w:type="character" w:customStyle="1" w:styleId="VersoPageInfoChar">
    <w:name w:val="Verso Page Info Char"/>
    <w:basedOn w:val="BodyTextChar"/>
    <w:link w:val="VersoPageInfo"/>
    <w:rsid w:val="00174635"/>
    <w:rPr>
      <w:rFonts w:ascii="Arial" w:eastAsia="Times" w:hAnsi="Arial" w:cs="Arial"/>
      <w:color w:val="000000"/>
      <w:sz w:val="20"/>
      <w:szCs w:val="20"/>
    </w:rPr>
  </w:style>
  <w:style w:type="character" w:customStyle="1" w:styleId="ListBulletLevel1Char">
    <w:name w:val="List Bullet Level 1 Char"/>
    <w:basedOn w:val="BodyTextChar"/>
    <w:link w:val="ListBulletLevel1"/>
    <w:rsid w:val="00174635"/>
    <w:rPr>
      <w:rFonts w:ascii="Arial" w:eastAsia="Times New Roman" w:hAnsi="Arial" w:cs="Arial"/>
      <w:color w:val="000000"/>
      <w:sz w:val="20"/>
      <w:szCs w:val="20"/>
    </w:rPr>
  </w:style>
  <w:style w:type="paragraph" w:styleId="EnvelopeAddress">
    <w:name w:val="envelope address"/>
    <w:aliases w:val="EA-DO NOT USE"/>
    <w:next w:val="BodyText"/>
    <w:semiHidden/>
    <w:locked/>
    <w:rsid w:val="00174635"/>
    <w:pPr>
      <w:spacing w:line="280" w:lineRule="atLeast"/>
    </w:pPr>
    <w:rPr>
      <w:rFonts w:ascii="Arial" w:eastAsia="Times" w:hAnsi="Arial" w:cs="Arial"/>
      <w:sz w:val="20"/>
      <w:szCs w:val="20"/>
    </w:rPr>
  </w:style>
  <w:style w:type="paragraph" w:styleId="EnvelopeReturn">
    <w:name w:val="envelope return"/>
    <w:aliases w:val="ER-DO NOT USE"/>
    <w:next w:val="BodyText"/>
    <w:semiHidden/>
    <w:locked/>
    <w:rsid w:val="00174635"/>
    <w:pPr>
      <w:spacing w:line="280" w:lineRule="atLeast"/>
    </w:pPr>
    <w:rPr>
      <w:rFonts w:ascii="Arial" w:eastAsia="Times" w:hAnsi="Arial" w:cs="Arial"/>
      <w:sz w:val="20"/>
      <w:szCs w:val="20"/>
    </w:rPr>
  </w:style>
  <w:style w:type="character" w:customStyle="1" w:styleId="Heading1NoNumbersChar">
    <w:name w:val="Heading1 No Numbers Char"/>
    <w:basedOn w:val="Heading1Char"/>
    <w:link w:val="Heading1NoNumbers"/>
    <w:rsid w:val="00174635"/>
    <w:rPr>
      <w:rFonts w:ascii="Arial" w:eastAsia="Times" w:hAnsi="Arial" w:cs="Arial"/>
      <w:b w:val="0"/>
      <w:color w:val="006983"/>
      <w:kern w:val="28"/>
      <w:sz w:val="40"/>
      <w:szCs w:val="20"/>
    </w:rPr>
  </w:style>
  <w:style w:type="paragraph" w:customStyle="1" w:styleId="Heading2NoNumbers">
    <w:name w:val="Heading2 No Numbers"/>
    <w:basedOn w:val="Heading1NoNumbers"/>
    <w:next w:val="BodyText"/>
    <w:link w:val="Heading2NoNumbersChar"/>
    <w:qFormat/>
    <w:rsid w:val="00174635"/>
    <w:pPr>
      <w:pageBreakBefore w:val="0"/>
      <w:numPr>
        <w:ilvl w:val="1"/>
      </w:numPr>
      <w:spacing w:before="480" w:after="180"/>
      <w:outlineLvl w:val="1"/>
    </w:pPr>
    <w:rPr>
      <w:sz w:val="30"/>
      <w:szCs w:val="28"/>
    </w:rPr>
  </w:style>
  <w:style w:type="paragraph" w:customStyle="1" w:styleId="Heading3NoNumbers">
    <w:name w:val="Heading3 No Numbers"/>
    <w:basedOn w:val="Heading2NoNumbers"/>
    <w:next w:val="BodyText"/>
    <w:link w:val="Heading3NoNumbersChar"/>
    <w:qFormat/>
    <w:rsid w:val="00174635"/>
    <w:pPr>
      <w:numPr>
        <w:ilvl w:val="2"/>
      </w:numPr>
      <w:outlineLvl w:val="2"/>
    </w:pPr>
    <w:rPr>
      <w:rFonts w:cs="Lucida Sans Unicode"/>
      <w:b/>
    </w:rPr>
  </w:style>
  <w:style w:type="paragraph" w:customStyle="1" w:styleId="Heading4NoNumbers">
    <w:name w:val="Heading4 No Numbers"/>
    <w:basedOn w:val="Heading3NoNumbers"/>
    <w:next w:val="BodyText"/>
    <w:link w:val="Heading4NoNumbersChar"/>
    <w:qFormat/>
    <w:rsid w:val="00174635"/>
    <w:rPr>
      <w:spacing w:val="1"/>
      <w:sz w:val="28"/>
    </w:rPr>
  </w:style>
  <w:style w:type="paragraph" w:customStyle="1" w:styleId="Heading5NoNumbers">
    <w:name w:val="Heading5 No Numbers"/>
    <w:basedOn w:val="Heading4NoNumbers"/>
    <w:next w:val="BodyText"/>
    <w:qFormat/>
    <w:rsid w:val="00174635"/>
    <w:pPr>
      <w:numPr>
        <w:ilvl w:val="4"/>
      </w:numPr>
      <w:spacing w:before="260"/>
      <w:outlineLvl w:val="4"/>
    </w:pPr>
    <w:rPr>
      <w:b w:val="0"/>
      <w:i/>
      <w:sz w:val="22"/>
      <w:szCs w:val="22"/>
    </w:rPr>
  </w:style>
  <w:style w:type="character" w:customStyle="1" w:styleId="Heading2NoNumbersChar">
    <w:name w:val="Heading2 No Numbers Char"/>
    <w:basedOn w:val="Heading1NoNumbersChar"/>
    <w:link w:val="Heading2NoNumbers"/>
    <w:rsid w:val="00174635"/>
    <w:rPr>
      <w:rFonts w:ascii="Arial" w:eastAsia="Times" w:hAnsi="Arial" w:cs="Arial"/>
      <w:b w:val="0"/>
      <w:color w:val="006983"/>
      <w:kern w:val="28"/>
      <w:sz w:val="30"/>
      <w:szCs w:val="28"/>
    </w:rPr>
  </w:style>
  <w:style w:type="character" w:customStyle="1" w:styleId="Heading3NoNumbersChar">
    <w:name w:val="Heading3 No Numbers Char"/>
    <w:basedOn w:val="Heading2NoNumbersChar"/>
    <w:link w:val="Heading3NoNumbers"/>
    <w:rsid w:val="00174635"/>
    <w:rPr>
      <w:rFonts w:ascii="Arial" w:eastAsia="Times" w:hAnsi="Arial" w:cs="Lucida Sans Unicode"/>
      <w:b/>
      <w:color w:val="006983"/>
      <w:kern w:val="28"/>
      <w:sz w:val="30"/>
      <w:szCs w:val="28"/>
    </w:rPr>
  </w:style>
  <w:style w:type="character" w:customStyle="1" w:styleId="Heading4NoNumbersChar">
    <w:name w:val="Heading4 No Numbers Char"/>
    <w:basedOn w:val="Heading4Char"/>
    <w:link w:val="Heading4NoNumbers"/>
    <w:rsid w:val="00174635"/>
    <w:rPr>
      <w:rFonts w:ascii="Arial" w:eastAsia="Times" w:hAnsi="Arial" w:cs="Lucida Sans Unicode"/>
      <w:b/>
      <w:iCs w:val="0"/>
      <w:color w:val="006983"/>
      <w:spacing w:val="1"/>
      <w:kern w:val="28"/>
      <w:sz w:val="28"/>
      <w:szCs w:val="28"/>
    </w:rPr>
  </w:style>
  <w:style w:type="paragraph" w:customStyle="1" w:styleId="ListNumberedLevel1">
    <w:name w:val="List Numbered Level 1"/>
    <w:basedOn w:val="BodyText"/>
    <w:link w:val="ListNumberedLevel1Char"/>
    <w:qFormat/>
    <w:rsid w:val="00174635"/>
    <w:pPr>
      <w:numPr>
        <w:numId w:val="20"/>
      </w:numPr>
      <w:suppressAutoHyphens/>
      <w:spacing w:before="60" w:after="60" w:line="280" w:lineRule="atLeast"/>
    </w:pPr>
    <w:rPr>
      <w:rFonts w:ascii="Arial" w:eastAsia="Times" w:hAnsi="Arial" w:cs="Arial"/>
      <w:sz w:val="20"/>
      <w:szCs w:val="20"/>
    </w:rPr>
  </w:style>
  <w:style w:type="character" w:customStyle="1" w:styleId="ListNumberedLevel1Char">
    <w:name w:val="List Numbered Level 1 Char"/>
    <w:basedOn w:val="ListBulletLevel1Char"/>
    <w:link w:val="ListNumberedLevel1"/>
    <w:rsid w:val="00174635"/>
    <w:rPr>
      <w:rFonts w:ascii="Arial" w:eastAsia="Times" w:hAnsi="Arial" w:cs="Arial"/>
      <w:color w:val="000000"/>
      <w:sz w:val="20"/>
      <w:szCs w:val="20"/>
    </w:rPr>
  </w:style>
  <w:style w:type="paragraph" w:customStyle="1" w:styleId="ListNumberedLevel2">
    <w:name w:val="List Numbered Level 2"/>
    <w:basedOn w:val="ListNumberedLevel1"/>
    <w:qFormat/>
    <w:rsid w:val="00174635"/>
    <w:pPr>
      <w:numPr>
        <w:ilvl w:val="1"/>
      </w:numPr>
      <w:tabs>
        <w:tab w:val="clear" w:pos="624"/>
      </w:tabs>
      <w:spacing w:before="0"/>
      <w:ind w:left="0" w:firstLine="0"/>
    </w:pPr>
  </w:style>
  <w:style w:type="numbering" w:styleId="111111">
    <w:name w:val="Outline List 2"/>
    <w:basedOn w:val="NoList"/>
    <w:semiHidden/>
    <w:locked/>
    <w:rsid w:val="00174635"/>
    <w:pPr>
      <w:numPr>
        <w:numId w:val="15"/>
      </w:numPr>
    </w:pPr>
  </w:style>
  <w:style w:type="numbering" w:styleId="1ai">
    <w:name w:val="Outline List 1"/>
    <w:basedOn w:val="NoList"/>
    <w:semiHidden/>
    <w:locked/>
    <w:rsid w:val="00174635"/>
    <w:pPr>
      <w:numPr>
        <w:numId w:val="16"/>
      </w:numPr>
    </w:pPr>
  </w:style>
  <w:style w:type="numbering" w:styleId="ArticleSection">
    <w:name w:val="Outline List 3"/>
    <w:basedOn w:val="NoList"/>
    <w:semiHidden/>
    <w:locked/>
    <w:rsid w:val="00174635"/>
    <w:pPr>
      <w:numPr>
        <w:numId w:val="17"/>
      </w:numPr>
    </w:pPr>
  </w:style>
  <w:style w:type="character" w:styleId="Emphasis">
    <w:name w:val="Emphasis"/>
    <w:aliases w:val="E-DO NOT USE"/>
    <w:uiPriority w:val="20"/>
    <w:qFormat/>
    <w:locked/>
    <w:rsid w:val="00174635"/>
  </w:style>
  <w:style w:type="character" w:styleId="HTMLAcronym">
    <w:name w:val="HTML Acronym"/>
    <w:aliases w:val="HA-DO NOT USE"/>
    <w:semiHidden/>
    <w:locked/>
    <w:rsid w:val="00174635"/>
  </w:style>
  <w:style w:type="character" w:styleId="HTMLCite">
    <w:name w:val="HTML Cite"/>
    <w:aliases w:val="HCi-DO NOT USE"/>
    <w:semiHidden/>
    <w:locked/>
    <w:rsid w:val="00174635"/>
  </w:style>
  <w:style w:type="character" w:styleId="HTMLCode">
    <w:name w:val="HTML Code"/>
    <w:aliases w:val="HC-DO NOT USE"/>
    <w:semiHidden/>
    <w:locked/>
    <w:rsid w:val="00174635"/>
  </w:style>
  <w:style w:type="character" w:styleId="HTMLDefinition">
    <w:name w:val="HTML Definition"/>
    <w:aliases w:val="HD-DO NOT USE"/>
    <w:semiHidden/>
    <w:locked/>
    <w:rsid w:val="00174635"/>
  </w:style>
  <w:style w:type="character" w:styleId="HTMLKeyboard">
    <w:name w:val="HTML Keyboard"/>
    <w:aliases w:val="HK-DO NOT USE"/>
    <w:semiHidden/>
    <w:locked/>
    <w:rsid w:val="00174635"/>
  </w:style>
  <w:style w:type="character" w:styleId="HTMLSample">
    <w:name w:val="HTML Sample"/>
    <w:aliases w:val="HS-DO NOT USE"/>
    <w:semiHidden/>
    <w:locked/>
    <w:rsid w:val="00174635"/>
  </w:style>
  <w:style w:type="character" w:styleId="HTMLTypewriter">
    <w:name w:val="HTML Typewriter"/>
    <w:aliases w:val="HT-DO NOT USE"/>
    <w:semiHidden/>
    <w:locked/>
    <w:rsid w:val="00174635"/>
  </w:style>
  <w:style w:type="character" w:styleId="HTMLVariable">
    <w:name w:val="HTML Variable"/>
    <w:aliases w:val="HV-DO NOT USE"/>
    <w:semiHidden/>
    <w:locked/>
    <w:rsid w:val="00174635"/>
  </w:style>
  <w:style w:type="table" w:customStyle="1" w:styleId="TableGAHeaderRow">
    <w:name w:val="Table GA Header Row"/>
    <w:basedOn w:val="TableNormal"/>
    <w:rsid w:val="00174635"/>
    <w:pPr>
      <w:spacing w:before="20" w:after="20" w:line="200" w:lineRule="atLeast"/>
    </w:pPr>
    <w:rPr>
      <w:rFonts w:ascii="Arial" w:eastAsia="Times" w:hAnsi="Arial"/>
      <w:sz w:val="18"/>
      <w:szCs w:val="20"/>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style>
  <w:style w:type="paragraph" w:styleId="BodyText2">
    <w:name w:val="Body Text 2"/>
    <w:aliases w:val="BT2-DO NOT USE"/>
    <w:basedOn w:val="Normal"/>
    <w:link w:val="BodyText2Char"/>
    <w:semiHidden/>
    <w:locked/>
    <w:rsid w:val="00174635"/>
    <w:pPr>
      <w:spacing w:line="480" w:lineRule="auto"/>
    </w:pPr>
    <w:rPr>
      <w:rFonts w:ascii="Arial" w:eastAsia="Times" w:hAnsi="Arial" w:cs="Arial"/>
      <w:color w:val="FF0000"/>
      <w:sz w:val="20"/>
      <w:szCs w:val="20"/>
    </w:rPr>
  </w:style>
  <w:style w:type="character" w:customStyle="1" w:styleId="BodyText2Char">
    <w:name w:val="Body Text 2 Char"/>
    <w:aliases w:val="BT2-DO NOT USE Char"/>
    <w:basedOn w:val="DefaultParagraphFont"/>
    <w:link w:val="BodyText2"/>
    <w:semiHidden/>
    <w:rsid w:val="00174635"/>
    <w:rPr>
      <w:rFonts w:ascii="Arial" w:eastAsia="Times" w:hAnsi="Arial" w:cs="Arial"/>
      <w:color w:val="FF0000"/>
      <w:sz w:val="20"/>
      <w:szCs w:val="20"/>
    </w:rPr>
  </w:style>
  <w:style w:type="table" w:styleId="LightShading-Accent5">
    <w:name w:val="Light Shading Accent 5"/>
    <w:basedOn w:val="TableNormal"/>
    <w:uiPriority w:val="60"/>
    <w:locked/>
    <w:rsid w:val="00174635"/>
    <w:pPr>
      <w:spacing w:line="240" w:lineRule="auto"/>
    </w:pPr>
    <w:rPr>
      <w:rFonts w:ascii="Arial" w:eastAsia="Times" w:hAnsi="Arial"/>
      <w:color w:val="636363" w:themeColor="accent5" w:themeShade="BF"/>
      <w:sz w:val="20"/>
      <w:szCs w:val="20"/>
    </w:rPr>
    <w:tblPr>
      <w:tblStyleRowBandSize w:val="1"/>
      <w:tblStyleColBandSize w:val="1"/>
      <w:tblBorders>
        <w:top w:val="single" w:sz="8" w:space="0" w:color="858585" w:themeColor="accent5"/>
        <w:bottom w:val="single" w:sz="8" w:space="0" w:color="858585" w:themeColor="accent5"/>
      </w:tblBorders>
    </w:tblPr>
    <w:tblStylePr w:type="firstRow">
      <w:pPr>
        <w:spacing w:before="0" w:after="0" w:line="240" w:lineRule="auto"/>
      </w:pPr>
      <w:rPr>
        <w:b/>
        <w:bCs/>
      </w:rPr>
      <w:tblPr/>
      <w:tcPr>
        <w:tcBorders>
          <w:top w:val="single" w:sz="8" w:space="0" w:color="858585" w:themeColor="accent5"/>
          <w:left w:val="nil"/>
          <w:bottom w:val="single" w:sz="8" w:space="0" w:color="858585" w:themeColor="accent5"/>
          <w:right w:val="nil"/>
          <w:insideH w:val="nil"/>
          <w:insideV w:val="nil"/>
        </w:tcBorders>
      </w:tcPr>
    </w:tblStylePr>
    <w:tblStylePr w:type="lastRow">
      <w:pPr>
        <w:spacing w:before="0" w:after="0" w:line="240" w:lineRule="auto"/>
      </w:pPr>
      <w:rPr>
        <w:b/>
        <w:bCs/>
      </w:rPr>
      <w:tblPr/>
      <w:tcPr>
        <w:tcBorders>
          <w:top w:val="single" w:sz="8" w:space="0" w:color="858585" w:themeColor="accent5"/>
          <w:left w:val="nil"/>
          <w:bottom w:val="single" w:sz="8" w:space="0" w:color="85858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0E0" w:themeFill="accent5" w:themeFillTint="3F"/>
      </w:tcPr>
    </w:tblStylePr>
    <w:tblStylePr w:type="band1Horz">
      <w:tblPr/>
      <w:tcPr>
        <w:tcBorders>
          <w:left w:val="nil"/>
          <w:right w:val="nil"/>
          <w:insideH w:val="nil"/>
          <w:insideV w:val="nil"/>
        </w:tcBorders>
        <w:shd w:val="clear" w:color="auto" w:fill="E0E0E0" w:themeFill="accent5" w:themeFillTint="3F"/>
      </w:tcPr>
    </w:tblStylePr>
  </w:style>
  <w:style w:type="table" w:styleId="LightShading-Accent1">
    <w:name w:val="Light Shading Accent 1"/>
    <w:basedOn w:val="TableNormal"/>
    <w:uiPriority w:val="60"/>
    <w:locked/>
    <w:rsid w:val="00174635"/>
    <w:pPr>
      <w:spacing w:line="240" w:lineRule="auto"/>
    </w:pPr>
    <w:rPr>
      <w:rFonts w:ascii="Arial" w:eastAsia="Times" w:hAnsi="Arial"/>
      <w:color w:val="006D99" w:themeColor="accent1" w:themeShade="BF"/>
      <w:sz w:val="20"/>
      <w:szCs w:val="20"/>
    </w:rPr>
    <w:tblPr>
      <w:tblStyleRowBandSize w:val="1"/>
      <w:tblStyleColBandSize w:val="1"/>
      <w:tblBorders>
        <w:top w:val="single" w:sz="8" w:space="0" w:color="0093CD" w:themeColor="accent1"/>
        <w:bottom w:val="single" w:sz="8" w:space="0" w:color="0093CD" w:themeColor="accent1"/>
      </w:tblBorders>
    </w:tblPr>
    <w:tblStylePr w:type="firstRow">
      <w:pPr>
        <w:spacing w:before="0" w:after="0" w:line="240" w:lineRule="auto"/>
      </w:pPr>
      <w:rPr>
        <w:b/>
        <w:bCs/>
      </w:rPr>
      <w:tblPr/>
      <w:tcPr>
        <w:tcBorders>
          <w:top w:val="single" w:sz="8" w:space="0" w:color="0093CD" w:themeColor="accent1"/>
          <w:left w:val="nil"/>
          <w:bottom w:val="single" w:sz="8" w:space="0" w:color="0093CD" w:themeColor="accent1"/>
          <w:right w:val="nil"/>
          <w:insideH w:val="nil"/>
          <w:insideV w:val="nil"/>
        </w:tcBorders>
      </w:tcPr>
    </w:tblStylePr>
    <w:tblStylePr w:type="lastRow">
      <w:pPr>
        <w:spacing w:before="0" w:after="0" w:line="240" w:lineRule="auto"/>
      </w:pPr>
      <w:rPr>
        <w:b/>
        <w:bCs/>
      </w:rPr>
      <w:tblPr/>
      <w:tcPr>
        <w:tcBorders>
          <w:top w:val="single" w:sz="8" w:space="0" w:color="0093CD" w:themeColor="accent1"/>
          <w:left w:val="nil"/>
          <w:bottom w:val="single" w:sz="8" w:space="0" w:color="0093C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9FF" w:themeFill="accent1" w:themeFillTint="3F"/>
      </w:tcPr>
    </w:tblStylePr>
    <w:tblStylePr w:type="band1Horz">
      <w:tblPr/>
      <w:tcPr>
        <w:tcBorders>
          <w:left w:val="nil"/>
          <w:right w:val="nil"/>
          <w:insideH w:val="nil"/>
          <w:insideV w:val="nil"/>
        </w:tcBorders>
        <w:shd w:val="clear" w:color="auto" w:fill="B3E9FF" w:themeFill="accent1" w:themeFillTint="3F"/>
      </w:tcPr>
    </w:tblStylePr>
  </w:style>
  <w:style w:type="table" w:styleId="LightShading-Accent2">
    <w:name w:val="Light Shading Accent 2"/>
    <w:basedOn w:val="TableNormal"/>
    <w:uiPriority w:val="60"/>
    <w:locked/>
    <w:rsid w:val="00174635"/>
    <w:pPr>
      <w:spacing w:line="240" w:lineRule="auto"/>
    </w:pPr>
    <w:rPr>
      <w:rFonts w:ascii="Arial" w:eastAsia="Times" w:hAnsi="Arial"/>
      <w:color w:val="008038" w:themeColor="accent2" w:themeShade="BF"/>
      <w:sz w:val="20"/>
      <w:szCs w:val="20"/>
    </w:rPr>
    <w:tblPr>
      <w:tblStyleRowBandSize w:val="1"/>
      <w:tblStyleColBandSize w:val="1"/>
      <w:tblBorders>
        <w:top w:val="single" w:sz="8" w:space="0" w:color="00AC4B" w:themeColor="accent2"/>
        <w:bottom w:val="single" w:sz="8" w:space="0" w:color="00AC4B" w:themeColor="accent2"/>
      </w:tblBorders>
    </w:tblPr>
    <w:tblStylePr w:type="firstRow">
      <w:pPr>
        <w:spacing w:before="0" w:after="0" w:line="240" w:lineRule="auto"/>
      </w:pPr>
      <w:rPr>
        <w:b/>
        <w:bCs/>
      </w:rPr>
      <w:tblPr/>
      <w:tcPr>
        <w:tcBorders>
          <w:top w:val="single" w:sz="8" w:space="0" w:color="00AC4B" w:themeColor="accent2"/>
          <w:left w:val="nil"/>
          <w:bottom w:val="single" w:sz="8" w:space="0" w:color="00AC4B" w:themeColor="accent2"/>
          <w:right w:val="nil"/>
          <w:insideH w:val="nil"/>
          <w:insideV w:val="nil"/>
        </w:tcBorders>
      </w:tcPr>
    </w:tblStylePr>
    <w:tblStylePr w:type="lastRow">
      <w:pPr>
        <w:spacing w:before="0" w:after="0" w:line="240" w:lineRule="auto"/>
      </w:pPr>
      <w:rPr>
        <w:b/>
        <w:bCs/>
      </w:rPr>
      <w:tblPr/>
      <w:tcPr>
        <w:tcBorders>
          <w:top w:val="single" w:sz="8" w:space="0" w:color="00AC4B" w:themeColor="accent2"/>
          <w:left w:val="nil"/>
          <w:bottom w:val="single" w:sz="8" w:space="0" w:color="00AC4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BFFCF" w:themeFill="accent2" w:themeFillTint="3F"/>
      </w:tcPr>
    </w:tblStylePr>
    <w:tblStylePr w:type="band1Horz">
      <w:tblPr/>
      <w:tcPr>
        <w:tcBorders>
          <w:left w:val="nil"/>
          <w:right w:val="nil"/>
          <w:insideH w:val="nil"/>
          <w:insideV w:val="nil"/>
        </w:tcBorders>
        <w:shd w:val="clear" w:color="auto" w:fill="ABFFCF" w:themeFill="accent2" w:themeFillTint="3F"/>
      </w:tcPr>
    </w:tblStylePr>
  </w:style>
  <w:style w:type="table" w:styleId="LightShading-Accent3">
    <w:name w:val="Light Shading Accent 3"/>
    <w:basedOn w:val="TableNormal"/>
    <w:uiPriority w:val="60"/>
    <w:locked/>
    <w:rsid w:val="00174635"/>
    <w:pPr>
      <w:spacing w:line="240" w:lineRule="auto"/>
    </w:pPr>
    <w:rPr>
      <w:rFonts w:ascii="Arial" w:eastAsia="Times" w:hAnsi="Arial"/>
      <w:color w:val="B35612" w:themeColor="accent3" w:themeShade="BF"/>
      <w:sz w:val="20"/>
      <w:szCs w:val="20"/>
    </w:rPr>
    <w:tblPr>
      <w:tblStyleRowBandSize w:val="1"/>
      <w:tblStyleColBandSize w:val="1"/>
      <w:tblBorders>
        <w:top w:val="single" w:sz="8" w:space="0" w:color="E87521" w:themeColor="accent3"/>
        <w:bottom w:val="single" w:sz="8" w:space="0" w:color="E87521" w:themeColor="accent3"/>
      </w:tblBorders>
    </w:tblPr>
    <w:tblStylePr w:type="firstRow">
      <w:pPr>
        <w:spacing w:before="0" w:after="0" w:line="240" w:lineRule="auto"/>
      </w:pPr>
      <w:rPr>
        <w:b/>
        <w:bCs/>
      </w:rPr>
      <w:tblPr/>
      <w:tcPr>
        <w:tcBorders>
          <w:top w:val="single" w:sz="8" w:space="0" w:color="E87521" w:themeColor="accent3"/>
          <w:left w:val="nil"/>
          <w:bottom w:val="single" w:sz="8" w:space="0" w:color="E87521" w:themeColor="accent3"/>
          <w:right w:val="nil"/>
          <w:insideH w:val="nil"/>
          <w:insideV w:val="nil"/>
        </w:tcBorders>
      </w:tcPr>
    </w:tblStylePr>
    <w:tblStylePr w:type="lastRow">
      <w:pPr>
        <w:spacing w:before="0" w:after="0" w:line="240" w:lineRule="auto"/>
      </w:pPr>
      <w:rPr>
        <w:b/>
        <w:bCs/>
      </w:rPr>
      <w:tblPr/>
      <w:tcPr>
        <w:tcBorders>
          <w:top w:val="single" w:sz="8" w:space="0" w:color="E87521" w:themeColor="accent3"/>
          <w:left w:val="nil"/>
          <w:bottom w:val="single" w:sz="8" w:space="0" w:color="E87521"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CC8" w:themeFill="accent3" w:themeFillTint="3F"/>
      </w:tcPr>
    </w:tblStylePr>
    <w:tblStylePr w:type="band1Horz">
      <w:tblPr/>
      <w:tcPr>
        <w:tcBorders>
          <w:left w:val="nil"/>
          <w:right w:val="nil"/>
          <w:insideH w:val="nil"/>
          <w:insideV w:val="nil"/>
        </w:tcBorders>
        <w:shd w:val="clear" w:color="auto" w:fill="F9DCC8" w:themeFill="accent3" w:themeFillTint="3F"/>
      </w:tcPr>
    </w:tblStylePr>
  </w:style>
  <w:style w:type="table" w:styleId="LightShading-Accent4">
    <w:name w:val="Light Shading Accent 4"/>
    <w:basedOn w:val="TableNormal"/>
    <w:uiPriority w:val="60"/>
    <w:locked/>
    <w:rsid w:val="00174635"/>
    <w:pPr>
      <w:spacing w:line="240" w:lineRule="auto"/>
    </w:pPr>
    <w:rPr>
      <w:rFonts w:ascii="Arial" w:eastAsia="Times" w:hAnsi="Arial"/>
      <w:color w:val="CC1D43" w:themeColor="accent4" w:themeShade="BF"/>
      <w:sz w:val="20"/>
      <w:szCs w:val="20"/>
    </w:rPr>
    <w:tblPr>
      <w:tblStyleRowBandSize w:val="1"/>
      <w:tblStyleColBandSize w:val="1"/>
      <w:tblBorders>
        <w:top w:val="single" w:sz="8" w:space="0" w:color="E65273" w:themeColor="accent4"/>
        <w:bottom w:val="single" w:sz="8" w:space="0" w:color="E65273" w:themeColor="accent4"/>
      </w:tblBorders>
    </w:tblPr>
    <w:tblStylePr w:type="firstRow">
      <w:pPr>
        <w:spacing w:before="0" w:after="0" w:line="240" w:lineRule="auto"/>
      </w:pPr>
      <w:rPr>
        <w:b/>
        <w:bCs/>
      </w:rPr>
      <w:tblPr/>
      <w:tcPr>
        <w:tcBorders>
          <w:top w:val="single" w:sz="8" w:space="0" w:color="E65273" w:themeColor="accent4"/>
          <w:left w:val="nil"/>
          <w:bottom w:val="single" w:sz="8" w:space="0" w:color="E65273" w:themeColor="accent4"/>
          <w:right w:val="nil"/>
          <w:insideH w:val="nil"/>
          <w:insideV w:val="nil"/>
        </w:tcBorders>
      </w:tcPr>
    </w:tblStylePr>
    <w:tblStylePr w:type="lastRow">
      <w:pPr>
        <w:spacing w:before="0" w:after="0" w:line="240" w:lineRule="auto"/>
      </w:pPr>
      <w:rPr>
        <w:b/>
        <w:bCs/>
      </w:rPr>
      <w:tblPr/>
      <w:tcPr>
        <w:tcBorders>
          <w:top w:val="single" w:sz="8" w:space="0" w:color="E65273" w:themeColor="accent4"/>
          <w:left w:val="nil"/>
          <w:bottom w:val="single" w:sz="8" w:space="0" w:color="E65273"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D4DC" w:themeFill="accent4" w:themeFillTint="3F"/>
      </w:tcPr>
    </w:tblStylePr>
    <w:tblStylePr w:type="band1Horz">
      <w:tblPr/>
      <w:tcPr>
        <w:tcBorders>
          <w:left w:val="nil"/>
          <w:right w:val="nil"/>
          <w:insideH w:val="nil"/>
          <w:insideV w:val="nil"/>
        </w:tcBorders>
        <w:shd w:val="clear" w:color="auto" w:fill="F8D4DC" w:themeFill="accent4" w:themeFillTint="3F"/>
      </w:tcPr>
    </w:tblStylePr>
  </w:style>
  <w:style w:type="table" w:styleId="LightShading">
    <w:name w:val="Light Shading"/>
    <w:basedOn w:val="TableNormal"/>
    <w:uiPriority w:val="60"/>
    <w:locked/>
    <w:rsid w:val="00174635"/>
    <w:pPr>
      <w:spacing w:line="240" w:lineRule="auto"/>
    </w:pPr>
    <w:rPr>
      <w:rFonts w:ascii="Arial" w:eastAsia="Times" w:hAnsi="Arial"/>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174635"/>
    <w:pPr>
      <w:spacing w:line="240" w:lineRule="auto"/>
    </w:pPr>
    <w:rPr>
      <w:rFonts w:ascii="Arial" w:eastAsia="Times" w:hAnsi="Arial"/>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65273"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65273" w:themeFill="accent4"/>
      </w:tcPr>
    </w:tblStylePr>
    <w:tblStylePr w:type="lastCol">
      <w:rPr>
        <w:b/>
        <w:bCs/>
        <w:color w:val="FFFFFF" w:themeColor="background1"/>
      </w:rPr>
      <w:tblPr/>
      <w:tcPr>
        <w:tcBorders>
          <w:left w:val="nil"/>
          <w:right w:val="nil"/>
          <w:insideH w:val="nil"/>
          <w:insideV w:val="nil"/>
        </w:tcBorders>
        <w:shd w:val="clear" w:color="auto" w:fill="E65273"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174635"/>
    <w:pPr>
      <w:spacing w:before="0" w:after="600"/>
      <w:outlineLvl w:val="1"/>
    </w:pPr>
    <w:rPr>
      <w:sz w:val="32"/>
      <w:szCs w:val="36"/>
    </w:rPr>
  </w:style>
  <w:style w:type="character" w:customStyle="1" w:styleId="DocumentSubtitleChar">
    <w:name w:val="Document Subtitle Char"/>
    <w:basedOn w:val="DefaultParagraphFont"/>
    <w:link w:val="DocumentSubtitle"/>
    <w:rsid w:val="00174635"/>
    <w:rPr>
      <w:rFonts w:ascii="Arial" w:eastAsia="Times New Roman" w:hAnsi="Arial"/>
      <w:color w:val="006983"/>
      <w:sz w:val="32"/>
      <w:szCs w:val="36"/>
    </w:rPr>
  </w:style>
  <w:style w:type="numbering" w:customStyle="1" w:styleId="GAMultilevelList">
    <w:name w:val="GA Multilevel List"/>
    <w:uiPriority w:val="99"/>
    <w:rsid w:val="00174635"/>
    <w:pPr>
      <w:numPr>
        <w:numId w:val="18"/>
      </w:numPr>
    </w:pPr>
  </w:style>
  <w:style w:type="paragraph" w:customStyle="1" w:styleId="Tableheadingcentred0">
    <w:name w:val="Table heading centred"/>
    <w:basedOn w:val="Tableheadingleft"/>
    <w:next w:val="BodyText"/>
    <w:semiHidden/>
    <w:rsid w:val="00174635"/>
    <w:pPr>
      <w:jc w:val="center"/>
    </w:pPr>
  </w:style>
  <w:style w:type="paragraph" w:customStyle="1" w:styleId="Tableheadingright">
    <w:name w:val="Table heading right"/>
    <w:basedOn w:val="Tableheadingcentred0"/>
    <w:next w:val="BodyText"/>
    <w:semiHidden/>
    <w:rsid w:val="00174635"/>
  </w:style>
  <w:style w:type="paragraph" w:customStyle="1" w:styleId="TableTextCentred0">
    <w:name w:val="Table Text Centred"/>
    <w:basedOn w:val="TableTextLeft"/>
    <w:qFormat/>
    <w:rsid w:val="00174635"/>
    <w:pPr>
      <w:jc w:val="center"/>
    </w:pPr>
  </w:style>
  <w:style w:type="paragraph" w:customStyle="1" w:styleId="TableTextRight0">
    <w:name w:val="Table Text Right"/>
    <w:basedOn w:val="TableTextCentred0"/>
    <w:qFormat/>
    <w:rsid w:val="00174635"/>
    <w:pPr>
      <w:jc w:val="right"/>
    </w:pPr>
  </w:style>
  <w:style w:type="character" w:customStyle="1" w:styleId="SubscriptItalic">
    <w:name w:val="Subscript Italic"/>
    <w:basedOn w:val="Subscript"/>
    <w:qFormat/>
    <w:rsid w:val="00174635"/>
    <w:rPr>
      <w:i/>
      <w:iCs/>
      <w:position w:val="-4"/>
      <w:vertAlign w:val="subscript"/>
    </w:rPr>
  </w:style>
  <w:style w:type="character" w:customStyle="1" w:styleId="SuperscriptItalic">
    <w:name w:val="Superscript Italic"/>
    <w:basedOn w:val="Superscript"/>
    <w:qFormat/>
    <w:rsid w:val="00174635"/>
    <w:rPr>
      <w:i/>
      <w:iCs/>
      <w:position w:val="0"/>
      <w:vertAlign w:val="superscript"/>
    </w:rPr>
  </w:style>
  <w:style w:type="table" w:customStyle="1" w:styleId="TableGANoHeader">
    <w:name w:val="Table GA No Header"/>
    <w:basedOn w:val="TableGAHeaderRow"/>
    <w:uiPriority w:val="99"/>
    <w:rsid w:val="00174635"/>
    <w:tbl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style>
  <w:style w:type="paragraph" w:customStyle="1" w:styleId="FiguresImagesCentred">
    <w:name w:val="Figures &amp; Images Centred"/>
    <w:basedOn w:val="FiguresImagesLeft"/>
    <w:next w:val="Caption"/>
    <w:qFormat/>
    <w:rsid w:val="00174635"/>
    <w:pPr>
      <w:jc w:val="center"/>
    </w:pPr>
  </w:style>
  <w:style w:type="paragraph" w:customStyle="1" w:styleId="Authors">
    <w:name w:val="Authors"/>
    <w:basedOn w:val="BodyText"/>
    <w:next w:val="FiguresImagesLeft"/>
    <w:qFormat/>
    <w:rsid w:val="00174635"/>
    <w:pPr>
      <w:suppressAutoHyphens/>
      <w:spacing w:after="2280" w:line="280" w:lineRule="atLeast"/>
    </w:pPr>
    <w:rPr>
      <w:rFonts w:ascii="Arial" w:eastAsia="Times" w:hAnsi="Arial" w:cs="Arial"/>
      <w:color w:val="auto"/>
      <w:sz w:val="20"/>
      <w:szCs w:val="20"/>
    </w:rPr>
  </w:style>
  <w:style w:type="table" w:styleId="MediumShading1">
    <w:name w:val="Medium Shading 1"/>
    <w:basedOn w:val="TableNormal"/>
    <w:uiPriority w:val="63"/>
    <w:locked/>
    <w:rsid w:val="00174635"/>
    <w:pPr>
      <w:spacing w:line="240" w:lineRule="auto"/>
    </w:pPr>
    <w:rPr>
      <w:rFonts w:ascii="Arial" w:eastAsia="Times" w:hAnsi="Arial"/>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174635"/>
    <w:pPr>
      <w:spacing w:line="240" w:lineRule="auto"/>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174635"/>
    <w:pPr>
      <w:spacing w:before="20" w:after="20" w:line="200" w:lineRule="atLeast"/>
    </w:pPr>
    <w:rPr>
      <w:rFonts w:ascii="Arial" w:eastAsia="Times" w:hAnsi="Arial"/>
      <w:sz w:val="18"/>
      <w:szCs w:val="20"/>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006983"/>
      </w:tcPr>
    </w:tblStylePr>
    <w:tblStylePr w:type="firstCol">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nwCell">
      <w:rPr>
        <w:color w:val="FFFFFF"/>
      </w:rPr>
      <w:tblPr/>
      <w:tcPr>
        <w:shd w:val="clear" w:color="auto" w:fill="FFFFFF"/>
      </w:tcPr>
    </w:tblStylePr>
  </w:style>
  <w:style w:type="paragraph" w:customStyle="1" w:styleId="FooterLandscape">
    <w:name w:val="Footer Landscape"/>
    <w:basedOn w:val="Footer"/>
    <w:semiHidden/>
    <w:qFormat/>
    <w:rsid w:val="00174635"/>
    <w:pPr>
      <w:pBdr>
        <w:top w:val="single" w:sz="2" w:space="2" w:color="auto"/>
      </w:pBdr>
      <w:tabs>
        <w:tab w:val="clear" w:pos="4513"/>
        <w:tab w:val="clear" w:pos="9026"/>
        <w:tab w:val="right" w:pos="14005"/>
      </w:tabs>
      <w:spacing w:before="180" w:after="180" w:line="160" w:lineRule="atLeast"/>
      <w:mirrorIndents/>
    </w:pPr>
    <w:rPr>
      <w:rFonts w:ascii="Arial Bold" w:eastAsia="Times" w:hAnsi="Arial Bold" w:cs="Arial"/>
      <w:b/>
      <w:color w:val="auto"/>
      <w:sz w:val="16"/>
      <w:szCs w:val="16"/>
    </w:rPr>
  </w:style>
  <w:style w:type="table" w:customStyle="1" w:styleId="TableGAHeaderColumn">
    <w:name w:val="Table GA Header Column"/>
    <w:basedOn w:val="TableGAHeaderRowColumn"/>
    <w:uiPriority w:val="99"/>
    <w:rsid w:val="00174635"/>
    <w:tbl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firstCol">
      <w:pPr>
        <w:jc w:val="left"/>
      </w:pPr>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006983"/>
      </w:tcPr>
    </w:tblStylePr>
  </w:style>
  <w:style w:type="paragraph" w:customStyle="1" w:styleId="VersoBoldPgB4">
    <w:name w:val="Verso Bold Pg B4"/>
    <w:basedOn w:val="BodyText"/>
    <w:next w:val="VersoPageInfo"/>
    <w:qFormat/>
    <w:rsid w:val="00174635"/>
    <w:pPr>
      <w:pageBreakBefore/>
      <w:suppressAutoHyphens/>
      <w:spacing w:before="0" w:after="0" w:line="240" w:lineRule="atLeast"/>
    </w:pPr>
    <w:rPr>
      <w:rFonts w:ascii="Arial" w:eastAsia="Times" w:hAnsi="Arial" w:cs="Arial"/>
      <w:b/>
      <w:color w:val="auto"/>
      <w:kern w:val="28"/>
      <w:sz w:val="20"/>
      <w:szCs w:val="20"/>
    </w:rPr>
  </w:style>
  <w:style w:type="paragraph" w:customStyle="1" w:styleId="FooterLandscapeA3">
    <w:name w:val="Footer Landscape A3"/>
    <w:basedOn w:val="FooterLandscape"/>
    <w:semiHidden/>
    <w:qFormat/>
    <w:rsid w:val="00174635"/>
    <w:pPr>
      <w:tabs>
        <w:tab w:val="clear" w:pos="14005"/>
        <w:tab w:val="right" w:pos="20979"/>
      </w:tabs>
    </w:pPr>
  </w:style>
  <w:style w:type="paragraph" w:customStyle="1" w:styleId="Headingappendix1base">
    <w:name w:val="Heading appendix 1 base"/>
    <w:next w:val="BodyText"/>
    <w:semiHidden/>
    <w:rsid w:val="00174635"/>
    <w:pPr>
      <w:keepNext/>
      <w:keepLines/>
      <w:pageBreakBefore/>
      <w:spacing w:after="1080" w:line="280" w:lineRule="atLeast"/>
      <w:outlineLvl w:val="0"/>
    </w:pPr>
    <w:rPr>
      <w:rFonts w:ascii="Arial" w:eastAsia="Times" w:hAnsi="Arial"/>
      <w:sz w:val="40"/>
      <w:szCs w:val="40"/>
    </w:rPr>
  </w:style>
  <w:style w:type="paragraph" w:customStyle="1" w:styleId="HeadingAppendix2">
    <w:name w:val="Heading Appendix 2"/>
    <w:basedOn w:val="Headingappendix1base"/>
    <w:next w:val="BodyText"/>
    <w:qFormat/>
    <w:rsid w:val="00174635"/>
    <w:pPr>
      <w:pageBreakBefore w:val="0"/>
      <w:spacing w:before="480" w:after="180" w:line="240" w:lineRule="atLeast"/>
      <w:outlineLvl w:val="1"/>
    </w:pPr>
    <w:rPr>
      <w:color w:val="006983"/>
      <w:sz w:val="30"/>
      <w:szCs w:val="30"/>
    </w:rPr>
  </w:style>
  <w:style w:type="paragraph" w:customStyle="1" w:styleId="HeadingAppendix3">
    <w:name w:val="Heading Appendix 3"/>
    <w:basedOn w:val="HeadingAppendix2"/>
    <w:next w:val="BodyText"/>
    <w:qFormat/>
    <w:rsid w:val="00174635"/>
    <w:pPr>
      <w:outlineLvl w:val="2"/>
    </w:pPr>
    <w:rPr>
      <w:b/>
      <w:bCs/>
      <w:sz w:val="24"/>
    </w:rPr>
  </w:style>
  <w:style w:type="paragraph" w:customStyle="1" w:styleId="HeadingAppendix4">
    <w:name w:val="Heading Appendix 4"/>
    <w:basedOn w:val="HeadingAppendix3"/>
    <w:next w:val="BodyText"/>
    <w:qFormat/>
    <w:rsid w:val="00174635"/>
    <w:pPr>
      <w:spacing w:before="240"/>
      <w:outlineLvl w:val="3"/>
    </w:pPr>
    <w:rPr>
      <w:rFonts w:eastAsia="Times New Roman"/>
      <w:i/>
      <w:iCs/>
      <w:sz w:val="22"/>
      <w:szCs w:val="20"/>
    </w:rPr>
  </w:style>
  <w:style w:type="paragraph" w:customStyle="1" w:styleId="HeadingAppendix5">
    <w:name w:val="Heading Appendix 5"/>
    <w:basedOn w:val="HeadingAppendix4"/>
    <w:next w:val="BodyText"/>
    <w:qFormat/>
    <w:rsid w:val="00174635"/>
    <w:pPr>
      <w:spacing w:before="260"/>
      <w:outlineLvl w:val="4"/>
    </w:pPr>
    <w:rPr>
      <w:b w:val="0"/>
      <w:bCs w:val="0"/>
    </w:rPr>
  </w:style>
  <w:style w:type="paragraph" w:customStyle="1" w:styleId="VersoBold">
    <w:name w:val="Verso Bold"/>
    <w:basedOn w:val="BodyText"/>
    <w:next w:val="VersoPageInfo"/>
    <w:rsid w:val="00174635"/>
    <w:pPr>
      <w:suppressAutoHyphens/>
      <w:spacing w:before="0" w:after="0" w:line="280" w:lineRule="atLeast"/>
    </w:pPr>
    <w:rPr>
      <w:rFonts w:ascii="Arial" w:eastAsia="Times" w:hAnsi="Arial" w:cs="Arial"/>
      <w:b/>
      <w:color w:val="auto"/>
      <w:kern w:val="28"/>
      <w:sz w:val="20"/>
      <w:szCs w:val="20"/>
    </w:rPr>
  </w:style>
  <w:style w:type="character" w:styleId="SubtleReference">
    <w:name w:val="Subtle Reference"/>
    <w:aliases w:val="SR-DO NOT USE"/>
    <w:uiPriority w:val="31"/>
    <w:locked/>
    <w:rsid w:val="00174635"/>
  </w:style>
  <w:style w:type="character" w:styleId="SubtleEmphasis">
    <w:name w:val="Subtle Emphasis"/>
    <w:aliases w:val="SE-DO NOT USE"/>
    <w:uiPriority w:val="19"/>
    <w:locked/>
    <w:rsid w:val="00174635"/>
  </w:style>
  <w:style w:type="character" w:styleId="PlaceholderText">
    <w:name w:val="Placeholder Text"/>
    <w:aliases w:val="Pl-DO NOT USE"/>
    <w:uiPriority w:val="99"/>
    <w:semiHidden/>
    <w:locked/>
    <w:rsid w:val="00174635"/>
  </w:style>
  <w:style w:type="character" w:styleId="IntenseReference">
    <w:name w:val="Intense Reference"/>
    <w:aliases w:val="IR-DO NOT USE"/>
    <w:uiPriority w:val="32"/>
    <w:qFormat/>
    <w:locked/>
    <w:rsid w:val="00174635"/>
  </w:style>
  <w:style w:type="character" w:styleId="IntenseEmphasis">
    <w:name w:val="Intense Emphasis"/>
    <w:aliases w:val="IE-DO NOT USE"/>
    <w:uiPriority w:val="21"/>
    <w:qFormat/>
    <w:locked/>
    <w:rsid w:val="00174635"/>
  </w:style>
  <w:style w:type="paragraph" w:styleId="BlockText">
    <w:name w:val="Block Text"/>
    <w:aliases w:val="BLT-DO NOT USE"/>
    <w:basedOn w:val="BalloonText"/>
    <w:semiHidden/>
    <w:locked/>
    <w:rsid w:val="00174635"/>
    <w:pPr>
      <w:suppressAutoHyphens/>
      <w:spacing w:before="180" w:after="180" w:line="280" w:lineRule="atLeast"/>
    </w:pPr>
    <w:rPr>
      <w:rFonts w:ascii="Arial" w:eastAsia="Times" w:hAnsi="Arial" w:cs="Arial"/>
      <w:color w:val="auto"/>
      <w:sz w:val="20"/>
      <w:szCs w:val="20"/>
    </w:rPr>
  </w:style>
  <w:style w:type="numbering" w:customStyle="1" w:styleId="GAAppendices">
    <w:name w:val="GA Appendices"/>
    <w:uiPriority w:val="99"/>
    <w:rsid w:val="00174635"/>
    <w:pPr>
      <w:numPr>
        <w:numId w:val="19"/>
      </w:numPr>
    </w:pPr>
  </w:style>
  <w:style w:type="paragraph" w:styleId="BodyTextIndent2">
    <w:name w:val="Body Text Indent 2"/>
    <w:aliases w:val="B4-DO NOT USE"/>
    <w:basedOn w:val="BodyTextIndent"/>
    <w:link w:val="BodyTextIndent2Char"/>
    <w:semiHidden/>
    <w:locked/>
    <w:rsid w:val="00174635"/>
    <w:pPr>
      <w:suppressAutoHyphens/>
      <w:spacing w:after="180" w:line="280" w:lineRule="atLeast"/>
      <w:ind w:left="0"/>
    </w:pPr>
    <w:rPr>
      <w:rFonts w:ascii="Arial" w:eastAsia="Times" w:hAnsi="Arial" w:cs="Arial"/>
      <w:color w:val="auto"/>
      <w:sz w:val="20"/>
      <w:szCs w:val="20"/>
    </w:rPr>
  </w:style>
  <w:style w:type="character" w:customStyle="1" w:styleId="BodyTextIndent2Char">
    <w:name w:val="Body Text Indent 2 Char"/>
    <w:aliases w:val="B4-DO NOT USE Char"/>
    <w:basedOn w:val="DefaultParagraphFont"/>
    <w:link w:val="BodyTextIndent2"/>
    <w:semiHidden/>
    <w:rsid w:val="00174635"/>
    <w:rPr>
      <w:rFonts w:ascii="Arial" w:eastAsia="Times" w:hAnsi="Arial" w:cs="Arial"/>
      <w:sz w:val="20"/>
      <w:szCs w:val="20"/>
    </w:rPr>
  </w:style>
  <w:style w:type="paragraph" w:styleId="BodyTextIndent3">
    <w:name w:val="Body Text Indent 3"/>
    <w:aliases w:val="B5-DO NOT USE"/>
    <w:basedOn w:val="BodyTextIndent2"/>
    <w:link w:val="BodyTextIndent3Char"/>
    <w:semiHidden/>
    <w:locked/>
    <w:rsid w:val="00174635"/>
  </w:style>
  <w:style w:type="character" w:customStyle="1" w:styleId="BodyTextIndent3Char">
    <w:name w:val="Body Text Indent 3 Char"/>
    <w:aliases w:val="B5-DO NOT USE Char"/>
    <w:basedOn w:val="DefaultParagraphFont"/>
    <w:link w:val="BodyTextIndent3"/>
    <w:semiHidden/>
    <w:rsid w:val="00174635"/>
    <w:rPr>
      <w:rFonts w:ascii="Arial" w:eastAsia="Times" w:hAnsi="Arial" w:cs="Arial"/>
      <w:sz w:val="20"/>
      <w:szCs w:val="20"/>
    </w:rPr>
  </w:style>
  <w:style w:type="character" w:customStyle="1" w:styleId="BoldItalic">
    <w:name w:val="Bold Italic"/>
    <w:basedOn w:val="DefaultParagraphFont"/>
    <w:rsid w:val="00174635"/>
    <w:rPr>
      <w:b/>
      <w:i/>
    </w:rPr>
  </w:style>
  <w:style w:type="paragraph" w:customStyle="1" w:styleId="ExtractAuthorNames">
    <w:name w:val="Extract Author Names"/>
    <w:basedOn w:val="BodyText"/>
    <w:next w:val="ExtractAuthorLocation"/>
    <w:rsid w:val="00174635"/>
    <w:pPr>
      <w:suppressAutoHyphens/>
      <w:spacing w:before="120" w:after="60" w:line="240" w:lineRule="auto"/>
    </w:pPr>
    <w:rPr>
      <w:rFonts w:ascii="Arial" w:eastAsia="Times New Roman" w:hAnsi="Arial"/>
      <w:color w:val="auto"/>
      <w:sz w:val="20"/>
      <w:szCs w:val="20"/>
    </w:rPr>
  </w:style>
  <w:style w:type="paragraph" w:customStyle="1" w:styleId="ExtractAuthorLocation">
    <w:name w:val="Extract Author Location"/>
    <w:basedOn w:val="BodyText"/>
    <w:next w:val="ExtractAuthorEmail"/>
    <w:rsid w:val="00174635"/>
    <w:pPr>
      <w:tabs>
        <w:tab w:val="left" w:pos="170"/>
      </w:tabs>
      <w:suppressAutoHyphens/>
      <w:spacing w:before="60" w:after="0" w:line="240" w:lineRule="auto"/>
      <w:ind w:left="170" w:hanging="170"/>
    </w:pPr>
    <w:rPr>
      <w:rFonts w:ascii="Arial" w:eastAsia="Times" w:hAnsi="Arial" w:cs="Arial"/>
      <w:color w:val="auto"/>
      <w:sz w:val="16"/>
      <w:szCs w:val="20"/>
    </w:rPr>
  </w:style>
  <w:style w:type="paragraph" w:customStyle="1" w:styleId="ExtractAuthorEmail">
    <w:name w:val="Extract Author Email"/>
    <w:basedOn w:val="BodyText"/>
    <w:next w:val="Heading2"/>
    <w:rsid w:val="00174635"/>
    <w:pPr>
      <w:suppressAutoHyphens/>
      <w:spacing w:before="120" w:after="480" w:line="240" w:lineRule="auto"/>
    </w:pPr>
    <w:rPr>
      <w:rFonts w:ascii="Arial" w:eastAsia="Times New Roman" w:hAnsi="Arial"/>
      <w:color w:val="auto"/>
      <w:sz w:val="20"/>
      <w:szCs w:val="20"/>
    </w:rPr>
  </w:style>
  <w:style w:type="character" w:customStyle="1" w:styleId="Symbol">
    <w:name w:val="Symbol"/>
    <w:basedOn w:val="DefaultParagraphFont"/>
    <w:uiPriority w:val="1"/>
    <w:rsid w:val="00174635"/>
    <w:rPr>
      <w:rFonts w:ascii="Symbol" w:hAnsi="Symbol"/>
    </w:rPr>
  </w:style>
  <w:style w:type="paragraph" w:customStyle="1" w:styleId="TableTextBulletL1">
    <w:name w:val="Table Text Bullet L1"/>
    <w:basedOn w:val="TableTextLeft"/>
    <w:qFormat/>
    <w:rsid w:val="00174635"/>
    <w:pPr>
      <w:numPr>
        <w:numId w:val="21"/>
      </w:numPr>
    </w:pPr>
    <w:rPr>
      <w:szCs w:val="18"/>
    </w:rPr>
  </w:style>
  <w:style w:type="paragraph" w:customStyle="1" w:styleId="TableTextBulletL2">
    <w:name w:val="Table Text Bullet L2"/>
    <w:basedOn w:val="TableTextBulletL1"/>
    <w:qFormat/>
    <w:rsid w:val="00174635"/>
    <w:pPr>
      <w:numPr>
        <w:ilvl w:val="1"/>
      </w:numPr>
      <w:spacing w:line="120" w:lineRule="atLeast"/>
    </w:pPr>
  </w:style>
  <w:style w:type="paragraph" w:customStyle="1" w:styleId="TableSource">
    <w:name w:val="Table Source"/>
    <w:basedOn w:val="BodyText"/>
    <w:next w:val="BodyText"/>
    <w:qFormat/>
    <w:rsid w:val="00174635"/>
    <w:pPr>
      <w:suppressAutoHyphens/>
      <w:spacing w:before="120" w:after="480" w:line="160" w:lineRule="atLeast"/>
    </w:pPr>
    <w:rPr>
      <w:rFonts w:ascii="Arial" w:eastAsia="Times New Roman" w:hAnsi="Arial" w:cs="Arial"/>
      <w:i/>
      <w:iCs/>
      <w:color w:val="auto"/>
      <w:sz w:val="16"/>
      <w:szCs w:val="18"/>
    </w:rPr>
  </w:style>
  <w:style w:type="paragraph" w:customStyle="1" w:styleId="TableEmptyParaAfter">
    <w:name w:val="Table Empty Para After"/>
    <w:basedOn w:val="BodyText"/>
    <w:rsid w:val="00174635"/>
    <w:pPr>
      <w:suppressAutoHyphens/>
      <w:spacing w:before="0" w:after="0" w:line="200" w:lineRule="atLeast"/>
    </w:pPr>
    <w:rPr>
      <w:rFonts w:ascii="Arial" w:eastAsia="Times New Roman" w:hAnsi="Arial"/>
      <w:color w:val="auto"/>
      <w:sz w:val="16"/>
      <w:szCs w:val="20"/>
    </w:rPr>
  </w:style>
  <w:style w:type="table" w:customStyle="1" w:styleId="TableGANoBanding">
    <w:name w:val="Table GA NoBanding"/>
    <w:basedOn w:val="TableNormal"/>
    <w:rsid w:val="00174635"/>
    <w:pPr>
      <w:spacing w:before="20" w:after="20" w:line="200" w:lineRule="atLeast"/>
    </w:pPr>
    <w:rPr>
      <w:rFonts w:ascii="Arial" w:eastAsia="Times" w:hAnsi="Arial"/>
      <w:sz w:val="18"/>
      <w:szCs w:val="20"/>
    </w:rPr>
    <w:tblPr>
      <w:tblStyleRowBandSize w:val="1"/>
      <w:tblStyleColBandSize w:val="1"/>
      <w:tblInd w:w="0" w:type="nil"/>
      <w:tblBorders>
        <w:top w:val="single" w:sz="8" w:space="0" w:color="006983"/>
        <w:left w:val="single" w:sz="8" w:space="0" w:color="006983"/>
        <w:bottom w:val="single" w:sz="8" w:space="0" w:color="006983"/>
        <w:right w:val="single" w:sz="8" w:space="0" w:color="006983"/>
        <w:insideH w:val="single" w:sz="8" w:space="0" w:color="006983"/>
        <w:insideV w:val="single" w:sz="8" w:space="0" w:color="006983"/>
      </w:tblBorders>
      <w:tblCellMar>
        <w:top w:w="57" w:type="dxa"/>
        <w:left w:w="57" w:type="dxa"/>
        <w:bottom w:w="28" w:type="dxa"/>
        <w:right w:w="57" w:type="dxa"/>
      </w:tblCellMar>
    </w:tblPr>
    <w:tcPr>
      <w:shd w:val="clear" w:color="auto" w:fill="FFFFFF" w:themeFill="background1"/>
    </w:tcPr>
    <w:tblStylePr w:type="firstRow">
      <w:pPr>
        <w:wordWrap/>
        <w:spacing w:beforeLines="0" w:before="100" w:beforeAutospacing="1" w:afterLines="0" w:after="100" w:afterAutospacing="1" w:line="120" w:lineRule="atLeast"/>
        <w:jc w:val="left"/>
      </w:pPr>
      <w:rPr>
        <w:rFonts w:ascii="Arial" w:hAnsi="Arial" w:cs="Arial" w:hint="default"/>
        <w:b/>
        <w:color w:val="FFFFFF"/>
        <w:sz w:val="18"/>
        <w:szCs w:val="18"/>
      </w:rPr>
      <w:tblPr/>
      <w:tcPr>
        <w:tcBorders>
          <w:top w:val="single" w:sz="8" w:space="0" w:color="006983"/>
          <w:left w:val="single" w:sz="8" w:space="0" w:color="006983"/>
          <w:bottom w:val="single" w:sz="8" w:space="0" w:color="006983"/>
          <w:right w:val="single" w:sz="8" w:space="0" w:color="006983"/>
          <w:insideH w:val="single" w:sz="8" w:space="0" w:color="006983"/>
          <w:insideV w:val="single" w:sz="8" w:space="0" w:color="FFFFFF" w:themeColor="background1"/>
          <w:tl2br w:val="nil"/>
          <w:tr2bl w:val="nil"/>
        </w:tcBorders>
        <w:shd w:val="clear" w:color="auto" w:fill="006983"/>
      </w:tcPr>
    </w:tblStylePr>
    <w:tblStylePr w:type="band1Vert">
      <w:pPr>
        <w:wordWrap/>
        <w:jc w:val="left"/>
      </w:pPr>
    </w:tblStylePr>
    <w:tblStylePr w:type="band1Horz">
      <w:pPr>
        <w:wordWrap/>
        <w:spacing w:beforeLines="0" w:before="100" w:beforeAutospacing="1" w:afterLines="0" w:after="100" w:afterAutospacing="1" w:line="120" w:lineRule="atLeast"/>
        <w:jc w:val="left"/>
      </w:pPr>
      <w:tblPr/>
      <w:tcPr>
        <w:shd w:val="clear" w:color="auto" w:fill="FFFFFF" w:themeFill="background1"/>
      </w:tcPr>
    </w:tblStylePr>
    <w:tblStylePr w:type="band2Horz">
      <w:pPr>
        <w:wordWrap/>
        <w:spacing w:beforeLines="0" w:before="100" w:beforeAutospacing="1" w:afterLines="0" w:after="100" w:afterAutospacing="1" w:line="120" w:lineRule="atLeast"/>
      </w:pPr>
      <w:tblPr/>
      <w:tcPr>
        <w:shd w:val="clear" w:color="auto" w:fill="FFFFFF" w:themeFill="background1"/>
      </w:tcPr>
    </w:tblStylePr>
  </w:style>
  <w:style w:type="table" w:customStyle="1" w:styleId="TableGANoHeaderNoBanding">
    <w:name w:val="Table GA NoHeader NoBanding"/>
    <w:basedOn w:val="TableNormal"/>
    <w:rsid w:val="00174635"/>
    <w:pPr>
      <w:spacing w:before="20" w:after="20" w:line="200" w:lineRule="atLeast"/>
    </w:pPr>
    <w:rPr>
      <w:rFonts w:ascii="Arial" w:eastAsia="Times" w:hAnsi="Arial"/>
      <w:sz w:val="18"/>
      <w:szCs w:val="20"/>
    </w:rPr>
    <w:tblPr>
      <w:tblStyleRowBandSize w:val="1"/>
      <w:tblStyleColBandSize w:val="1"/>
      <w:tblInd w:w="0" w:type="nil"/>
      <w:tblBorders>
        <w:top w:val="single" w:sz="8" w:space="0" w:color="006983"/>
        <w:left w:val="single" w:sz="8" w:space="0" w:color="006983"/>
        <w:bottom w:val="single" w:sz="8" w:space="0" w:color="006983"/>
        <w:right w:val="single" w:sz="8" w:space="0" w:color="006983"/>
        <w:insideH w:val="single" w:sz="8" w:space="0" w:color="006983"/>
        <w:insideV w:val="single" w:sz="8" w:space="0" w:color="006983"/>
      </w:tblBorders>
      <w:tblCellMar>
        <w:top w:w="57" w:type="dxa"/>
        <w:left w:w="57" w:type="dxa"/>
        <w:bottom w:w="28" w:type="dxa"/>
        <w:right w:w="57" w:type="dxa"/>
      </w:tblCellMar>
    </w:tblPr>
    <w:tblStylePr w:type="firstRow">
      <w:pPr>
        <w:wordWrap/>
        <w:spacing w:beforeLines="0" w:before="100" w:beforeAutospacing="1" w:afterLines="0" w:after="100" w:afterAutospacing="1" w:line="120" w:lineRule="atLeast"/>
        <w:jc w:val="left"/>
      </w:pPr>
      <w:rPr>
        <w:rFonts w:ascii="Arial" w:hAnsi="Arial" w:cs="Arial" w:hint="default"/>
        <w:b w:val="0"/>
        <w:color w:val="auto"/>
        <w:sz w:val="18"/>
        <w:szCs w:val="18"/>
      </w:rPr>
    </w:tblStylePr>
    <w:tblStylePr w:type="band1Vert">
      <w:pPr>
        <w:wordWrap/>
        <w:jc w:val="left"/>
      </w:pPr>
    </w:tblStylePr>
    <w:tblStylePr w:type="band1Horz">
      <w:pPr>
        <w:wordWrap/>
        <w:spacing w:beforeLines="0" w:before="100" w:beforeAutospacing="1" w:afterLines="0" w:after="100" w:afterAutospacing="1" w:line="120" w:lineRule="atLeast"/>
        <w:jc w:val="left"/>
      </w:pPr>
      <w:tblPr/>
      <w:tcPr>
        <w:shd w:val="clear" w:color="auto" w:fill="FFFFFF" w:themeFill="background1"/>
      </w:tcPr>
    </w:tblStylePr>
    <w:tblStylePr w:type="band2Horz">
      <w:pPr>
        <w:wordWrap/>
        <w:spacing w:beforeLines="0" w:before="100" w:beforeAutospacing="1" w:afterLines="0" w:after="100" w:afterAutospacing="1" w:line="120" w:lineRule="atLeast"/>
      </w:pPr>
      <w:tblPr/>
      <w:tcPr>
        <w:shd w:val="clear" w:color="auto" w:fill="FFFFFF" w:themeFill="background1"/>
      </w:tcPr>
    </w:tblStylePr>
  </w:style>
  <w:style w:type="paragraph" w:customStyle="1" w:styleId="Default">
    <w:name w:val="Default"/>
    <w:rsid w:val="00174635"/>
    <w:pPr>
      <w:autoSpaceDE w:val="0"/>
      <w:autoSpaceDN w:val="0"/>
      <w:adjustRightInd w:val="0"/>
      <w:spacing w:before="0" w:after="0" w:line="240" w:lineRule="auto"/>
    </w:pPr>
    <w:rPr>
      <w:rFonts w:ascii="Garamond" w:eastAsia="Times" w:hAnsi="Garamond" w:cs="Garamond"/>
      <w:color w:val="000000"/>
    </w:rPr>
  </w:style>
  <w:style w:type="paragraph" w:customStyle="1" w:styleId="img-caption">
    <w:name w:val="img-caption"/>
    <w:basedOn w:val="Normal"/>
    <w:rsid w:val="00174635"/>
    <w:pPr>
      <w:spacing w:before="240" w:after="240" w:line="240" w:lineRule="auto"/>
    </w:pPr>
    <w:rPr>
      <w:rFonts w:ascii="Times New Roman" w:eastAsia="Times New Roman" w:hAnsi="Times New Roman"/>
      <w:i/>
      <w:iCs/>
      <w:color w:val="auto"/>
      <w:sz w:val="18"/>
      <w:szCs w:val="18"/>
    </w:rPr>
  </w:style>
  <w:style w:type="paragraph" w:customStyle="1" w:styleId="BodyText1">
    <w:name w:val="Body Text+1"/>
    <w:basedOn w:val="Default"/>
    <w:next w:val="Default"/>
    <w:uiPriority w:val="99"/>
    <w:rsid w:val="00174635"/>
    <w:rPr>
      <w:rFonts w:cs="Times New Roman"/>
      <w:color w:val="auto"/>
    </w:rPr>
  </w:style>
  <w:style w:type="paragraph" w:customStyle="1" w:styleId="Bodycopyfirstpara">
    <w:name w:val="Body copy first para"/>
    <w:basedOn w:val="Normal"/>
    <w:uiPriority w:val="99"/>
    <w:rsid w:val="00174635"/>
    <w:pPr>
      <w:widowControl w:val="0"/>
      <w:suppressAutoHyphens/>
      <w:autoSpaceDE w:val="0"/>
      <w:autoSpaceDN w:val="0"/>
      <w:adjustRightInd w:val="0"/>
      <w:spacing w:before="11" w:after="0" w:line="230" w:lineRule="atLeast"/>
      <w:textAlignment w:val="center"/>
    </w:pPr>
    <w:rPr>
      <w:rFonts w:ascii="Cambria" w:eastAsia="Cambria" w:hAnsi="Cambria" w:cs="FranklinGothic-Book"/>
      <w:sz w:val="18"/>
      <w:szCs w:val="18"/>
      <w:lang w:val="en-US" w:eastAsia="en-US"/>
    </w:rPr>
  </w:style>
  <w:style w:type="paragraph" w:customStyle="1" w:styleId="Bodycopy">
    <w:name w:val="Body copy"/>
    <w:basedOn w:val="Bodycopyfirstpara"/>
    <w:uiPriority w:val="99"/>
    <w:rsid w:val="00174635"/>
    <w:pPr>
      <w:spacing w:before="142"/>
    </w:pPr>
  </w:style>
  <w:style w:type="paragraph" w:customStyle="1" w:styleId="Pa9">
    <w:name w:val="Pa9"/>
    <w:basedOn w:val="Default"/>
    <w:next w:val="Default"/>
    <w:uiPriority w:val="99"/>
    <w:rsid w:val="00174635"/>
    <w:pPr>
      <w:spacing w:line="201" w:lineRule="atLeast"/>
    </w:pPr>
    <w:rPr>
      <w:rFonts w:ascii="Gotham Light" w:hAnsi="Gotham Light" w:cs="Times New Roman"/>
      <w:color w:val="auto"/>
    </w:rPr>
  </w:style>
  <w:style w:type="character" w:customStyle="1" w:styleId="A8">
    <w:name w:val="A8"/>
    <w:uiPriority w:val="99"/>
    <w:rsid w:val="00174635"/>
    <w:rPr>
      <w:rFonts w:cs="Gotham Light"/>
      <w:color w:val="000000"/>
      <w:sz w:val="11"/>
      <w:szCs w:val="11"/>
    </w:rPr>
  </w:style>
  <w:style w:type="character" w:customStyle="1" w:styleId="A13">
    <w:name w:val="A13"/>
    <w:uiPriority w:val="99"/>
    <w:rsid w:val="00174635"/>
    <w:rPr>
      <w:rFonts w:cs="Gotham Light"/>
      <w:color w:val="000000"/>
      <w:sz w:val="15"/>
      <w:szCs w:val="15"/>
      <w:u w:val="single"/>
    </w:rPr>
  </w:style>
  <w:style w:type="character" w:customStyle="1" w:styleId="ReferencesChar">
    <w:name w:val="References Char"/>
    <w:link w:val="References"/>
    <w:locked/>
    <w:rsid w:val="00174635"/>
    <w:rPr>
      <w:rFonts w:eastAsia="Calibri"/>
      <w:color w:val="000000"/>
    </w:rPr>
  </w:style>
  <w:style w:type="character" w:customStyle="1" w:styleId="ReferencesItalic">
    <w:name w:val="References Italic"/>
    <w:basedOn w:val="DefaultParagraphFont"/>
    <w:qFormat/>
    <w:rsid w:val="00174635"/>
    <w:rPr>
      <w:i/>
    </w:rPr>
  </w:style>
  <w:style w:type="character" w:customStyle="1" w:styleId="title5">
    <w:name w:val="title5"/>
    <w:basedOn w:val="DefaultParagraphFont"/>
    <w:rsid w:val="00174635"/>
    <w:rPr>
      <w:b/>
      <w:bCs/>
      <w:color w:val="333333"/>
      <w:sz w:val="30"/>
      <w:szCs w:val="30"/>
    </w:rPr>
  </w:style>
  <w:style w:type="character" w:customStyle="1" w:styleId="date-range">
    <w:name w:val="date-range"/>
    <w:basedOn w:val="DefaultParagraphFont"/>
    <w:rsid w:val="00174635"/>
  </w:style>
  <w:style w:type="table" w:customStyle="1" w:styleId="TableGAHeaderColumn1">
    <w:name w:val="Table GA Header Column1"/>
    <w:basedOn w:val="TableNormal"/>
    <w:uiPriority w:val="99"/>
    <w:rsid w:val="001E0B4B"/>
    <w:pPr>
      <w:spacing w:before="20" w:after="20" w:line="200" w:lineRule="atLeast"/>
    </w:pPr>
    <w:rPr>
      <w:rFonts w:ascii="Arial" w:eastAsia="Times" w:hAnsi="Arial"/>
      <w:sz w:val="18"/>
      <w:szCs w:val="20"/>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firstCol">
      <w:pPr>
        <w:jc w:val="left"/>
      </w:pPr>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006983"/>
      </w:tcPr>
    </w:tblStylePr>
  </w:style>
  <w:style w:type="table" w:customStyle="1" w:styleId="TableGAHeaderColumn2">
    <w:name w:val="Table GA Header Column2"/>
    <w:basedOn w:val="TableNormal"/>
    <w:uiPriority w:val="99"/>
    <w:rsid w:val="008B38C1"/>
    <w:pPr>
      <w:spacing w:before="20" w:after="20" w:line="200" w:lineRule="atLeast"/>
    </w:pPr>
    <w:rPr>
      <w:rFonts w:ascii="Arial" w:eastAsia="Times" w:hAnsi="Arial"/>
      <w:sz w:val="18"/>
      <w:szCs w:val="20"/>
    </w:rPr>
    <w:tblPr>
      <w:tblStyleRowBandSize w:val="1"/>
      <w:tblStyleColBandSize w:val="1"/>
      <w:tblInd w:w="0" w:type="nil"/>
      <w:tblCellMar>
        <w:top w:w="57" w:type="dxa"/>
        <w:left w:w="57" w:type="dxa"/>
        <w:bottom w:w="28" w:type="dxa"/>
        <w:right w:w="57" w:type="dxa"/>
      </w:tblCellMar>
    </w:tblPr>
    <w:tcPr>
      <w:shd w:val="clear" w:color="auto" w:fill="FFFFFF" w:themeFill="background1"/>
    </w:tcPr>
    <w:tblStylePr w:type="firstRow">
      <w:pPr>
        <w:wordWrap/>
        <w:spacing w:beforeLines="0" w:before="100" w:beforeAutospacing="1" w:afterLines="0" w:after="100" w:afterAutospacing="1" w:line="120" w:lineRule="atLeast"/>
        <w:jc w:val="left"/>
      </w:pPr>
      <w:rPr>
        <w:rFonts w:ascii="Arial" w:hAnsi="Arial" w:cs="Arial" w:hint="default"/>
        <w:b w:val="0"/>
        <w:color w:val="auto"/>
        <w:sz w:val="18"/>
        <w:szCs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firstCol">
      <w:pPr>
        <w:jc w:val="left"/>
      </w:pPr>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100" w:beforeAutospacing="1" w:afterLines="0" w:after="100" w:afterAutospacing="1"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100" w:beforeAutospacing="1" w:afterLines="0" w:after="100" w:afterAutospacing="1"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006983"/>
      </w:tcPr>
    </w:tblStylePr>
  </w:style>
  <w:style w:type="character" w:customStyle="1" w:styleId="Heading7Char1">
    <w:name w:val="Heading 7 Char1"/>
    <w:basedOn w:val="DefaultParagraphFont"/>
    <w:semiHidden/>
    <w:rsid w:val="008B38C1"/>
    <w:rPr>
      <w:rFonts w:asciiTheme="majorHAnsi" w:eastAsiaTheme="majorEastAsia" w:hAnsiTheme="majorHAnsi" w:cstheme="majorBidi"/>
      <w:i/>
      <w:iCs/>
      <w:color w:val="404040" w:themeColor="text1" w:themeTint="BF"/>
    </w:rPr>
  </w:style>
  <w:style w:type="character" w:customStyle="1" w:styleId="CommentTextChar1">
    <w:name w:val="Comment Text Char1"/>
    <w:aliases w:val="CT-DO NOT USE Char1"/>
    <w:basedOn w:val="DefaultParagraphFont"/>
    <w:semiHidden/>
    <w:rsid w:val="008B38C1"/>
    <w:rPr>
      <w:rFonts w:ascii="Arial" w:eastAsia="Times" w:hAnsi="Arial" w:cs="Arial"/>
      <w:color w:val="FF0000"/>
      <w:sz w:val="20"/>
      <w:szCs w:val="20"/>
    </w:rPr>
  </w:style>
  <w:style w:type="character" w:customStyle="1" w:styleId="MacroTextChar1">
    <w:name w:val="Macro Text Char1"/>
    <w:aliases w:val="MT-DO NOT USE Char1"/>
    <w:basedOn w:val="DefaultParagraphFont"/>
    <w:semiHidden/>
    <w:rsid w:val="008B38C1"/>
    <w:rPr>
      <w:rFonts w:ascii="Consolas" w:eastAsia="Times" w:hAnsi="Consolas" w:cs="Consolas"/>
      <w:color w:val="FF0000"/>
      <w:sz w:val="20"/>
      <w:szCs w:val="20"/>
    </w:rPr>
  </w:style>
  <w:style w:type="character" w:customStyle="1" w:styleId="BodyTextFirstIndentChar1">
    <w:name w:val="Body Text First Indent Char1"/>
    <w:aliases w:val="B1-DO NOT USE Char1"/>
    <w:basedOn w:val="BodyTextChar"/>
    <w:semiHidden/>
    <w:rsid w:val="008B38C1"/>
    <w:rPr>
      <w:rFonts w:ascii="Arial" w:eastAsia="Calibri" w:hAnsi="Arial" w:cs="Arial"/>
      <w:color w:val="000000"/>
      <w:sz w:val="20"/>
      <w:szCs w:val="20"/>
    </w:rPr>
  </w:style>
  <w:style w:type="character" w:customStyle="1" w:styleId="BodyTextChar1">
    <w:name w:val="Body Text Char1"/>
    <w:basedOn w:val="DefaultParagraphFont"/>
    <w:semiHidden/>
    <w:rsid w:val="008B38C1"/>
    <w:rPr>
      <w:rFonts w:eastAsia="Calibri"/>
      <w:color w:val="000000"/>
    </w:rPr>
  </w:style>
  <w:style w:type="character" w:customStyle="1" w:styleId="BodyText2Char1">
    <w:name w:val="Body Text 2 Char1"/>
    <w:aliases w:val="BT2-DO NOT USE Char1"/>
    <w:basedOn w:val="DefaultParagraphFont"/>
    <w:semiHidden/>
    <w:rsid w:val="008B38C1"/>
    <w:rPr>
      <w:rFonts w:ascii="Arial" w:eastAsia="Times" w:hAnsi="Arial" w:cs="Arial"/>
      <w:color w:val="FF0000"/>
      <w:sz w:val="20"/>
      <w:szCs w:val="20"/>
    </w:rPr>
  </w:style>
  <w:style w:type="character" w:customStyle="1" w:styleId="BodyTextIndent2Char1">
    <w:name w:val="Body Text Indent 2 Char1"/>
    <w:aliases w:val="B4-DO NOT USE Char1"/>
    <w:basedOn w:val="DefaultParagraphFont"/>
    <w:semiHidden/>
    <w:rsid w:val="008B38C1"/>
    <w:rPr>
      <w:rFonts w:ascii="Arial" w:eastAsia="Times" w:hAnsi="Arial" w:cs="Arial"/>
      <w:color w:val="FF0000"/>
      <w:sz w:val="20"/>
      <w:szCs w:val="20"/>
    </w:rPr>
  </w:style>
  <w:style w:type="character" w:customStyle="1" w:styleId="BodyTextIndent3Char1">
    <w:name w:val="Body Text Indent 3 Char1"/>
    <w:aliases w:val="B5-DO NOT USE Char1"/>
    <w:basedOn w:val="DefaultParagraphFont"/>
    <w:semiHidden/>
    <w:rsid w:val="008B38C1"/>
    <w:rPr>
      <w:rFonts w:ascii="Arial" w:eastAsia="Times" w:hAnsi="Arial" w:cs="Arial"/>
      <w:color w:val="FF0000"/>
      <w:sz w:val="16"/>
      <w:szCs w:val="16"/>
    </w:rPr>
  </w:style>
  <w:style w:type="character" w:customStyle="1" w:styleId="DocumentMapChar1">
    <w:name w:val="Document Map Char1"/>
    <w:aliases w:val="DM-DO NOT USE Char1"/>
    <w:basedOn w:val="DefaultParagraphFont"/>
    <w:semiHidden/>
    <w:rsid w:val="008B38C1"/>
    <w:rPr>
      <w:rFonts w:ascii="Tahoma" w:eastAsia="Times" w:hAnsi="Tahoma" w:cs="Tahoma"/>
      <w:color w:val="FF0000"/>
      <w:sz w:val="16"/>
      <w:szCs w:val="16"/>
    </w:rPr>
  </w:style>
  <w:style w:type="character" w:customStyle="1" w:styleId="FooterChar1">
    <w:name w:val="Footer Char1"/>
    <w:basedOn w:val="DefaultParagraphFont"/>
    <w:semiHidden/>
    <w:rsid w:val="008B38C1"/>
    <w:rPr>
      <w:rFonts w:ascii="Arial" w:eastAsia="Times" w:hAnsi="Arial" w:cs="Arial"/>
      <w:color w:val="FF0000"/>
      <w:sz w:val="20"/>
      <w:szCs w:val="20"/>
    </w:rPr>
  </w:style>
  <w:style w:type="character" w:customStyle="1" w:styleId="Heading8Char1">
    <w:name w:val="Heading 8 Char1"/>
    <w:basedOn w:val="DefaultParagraphFont"/>
    <w:semiHidden/>
    <w:rsid w:val="008B38C1"/>
    <w:rPr>
      <w:rFonts w:asciiTheme="majorHAnsi" w:eastAsiaTheme="majorEastAsia" w:hAnsiTheme="majorHAnsi" w:cstheme="majorBidi"/>
      <w:color w:val="404040" w:themeColor="text1" w:themeTint="BF"/>
    </w:rPr>
  </w:style>
  <w:style w:type="character" w:customStyle="1" w:styleId="HeaderChar1">
    <w:name w:val="Header Char1"/>
    <w:basedOn w:val="DefaultParagraphFont"/>
    <w:semiHidden/>
    <w:rsid w:val="008B38C1"/>
    <w:rPr>
      <w:rFonts w:ascii="Arial" w:eastAsia="Times" w:hAnsi="Arial" w:cs="Arial"/>
      <w:color w:val="FF0000"/>
      <w:sz w:val="20"/>
      <w:szCs w:val="20"/>
    </w:rPr>
  </w:style>
  <w:style w:type="character" w:customStyle="1" w:styleId="NoteHeadingChar1">
    <w:name w:val="Note Heading Char1"/>
    <w:basedOn w:val="DefaultParagraphFont"/>
    <w:semiHidden/>
    <w:rsid w:val="008B38C1"/>
    <w:rPr>
      <w:rFonts w:ascii="Arial" w:eastAsia="Times" w:hAnsi="Arial" w:cs="Arial"/>
      <w:color w:val="FF0000"/>
      <w:sz w:val="20"/>
      <w:szCs w:val="20"/>
    </w:rPr>
  </w:style>
  <w:style w:type="character" w:customStyle="1" w:styleId="FootnoteTextChar1">
    <w:name w:val="Footnote Text Char1"/>
    <w:basedOn w:val="DefaultParagraphFont"/>
    <w:semiHidden/>
    <w:rsid w:val="008B38C1"/>
    <w:rPr>
      <w:rFonts w:ascii="Arial" w:eastAsia="Times" w:hAnsi="Arial" w:cs="Arial"/>
      <w:color w:val="FF0000"/>
      <w:sz w:val="20"/>
      <w:szCs w:val="20"/>
    </w:rPr>
  </w:style>
  <w:style w:type="table" w:customStyle="1" w:styleId="TableGAHeaderColumn21">
    <w:name w:val="Table GA Header Column21"/>
    <w:basedOn w:val="TableNormal"/>
    <w:uiPriority w:val="99"/>
    <w:rsid w:val="008B38C1"/>
    <w:pPr>
      <w:spacing w:before="20" w:after="20" w:line="200" w:lineRule="atLeast"/>
    </w:pPr>
    <w:rPr>
      <w:rFonts w:ascii="Arial" w:eastAsia="Times" w:hAnsi="Arial"/>
      <w:sz w:val="18"/>
      <w:szCs w:val="20"/>
    </w:rPr>
    <w:tblPr>
      <w:tblStyleRowBandSize w:val="1"/>
      <w:tblStyleColBandSize w:val="1"/>
      <w:tblInd w:w="0" w:type="nil"/>
      <w:tblCellMar>
        <w:top w:w="57" w:type="dxa"/>
        <w:left w:w="57" w:type="dxa"/>
        <w:bottom w:w="28" w:type="dxa"/>
        <w:right w:w="57" w:type="dxa"/>
      </w:tblCellMar>
    </w:tblPr>
    <w:tcPr>
      <w:shd w:val="clear" w:color="auto" w:fill="FFFFFF" w:themeFill="background1"/>
    </w:tcPr>
    <w:tblStylePr w:type="firstRow">
      <w:pPr>
        <w:wordWrap/>
        <w:spacing w:beforeLines="0" w:before="100" w:beforeAutospacing="1" w:afterLines="0" w:after="100" w:afterAutospacing="1" w:line="120" w:lineRule="atLeast"/>
        <w:jc w:val="left"/>
      </w:pPr>
      <w:rPr>
        <w:rFonts w:ascii="Arial" w:hAnsi="Arial" w:cs="Arial" w:hint="default"/>
        <w:b w:val="0"/>
        <w:color w:val="auto"/>
        <w:sz w:val="18"/>
        <w:szCs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firstCol">
      <w:pPr>
        <w:jc w:val="left"/>
      </w:pPr>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100" w:beforeAutospacing="1" w:afterLines="0" w:after="100" w:afterAutospacing="1"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100" w:beforeAutospacing="1" w:afterLines="0" w:after="100" w:afterAutospacing="1"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006983"/>
      </w:tcPr>
    </w:tblStylePr>
  </w:style>
  <w:style w:type="table" w:customStyle="1" w:styleId="TableGAHeaderColumn3">
    <w:name w:val="Table GA Header Column3"/>
    <w:basedOn w:val="TableNormal"/>
    <w:uiPriority w:val="99"/>
    <w:rsid w:val="008B38C1"/>
    <w:pPr>
      <w:spacing w:before="20" w:after="20" w:line="200" w:lineRule="atLeast"/>
    </w:pPr>
    <w:rPr>
      <w:rFonts w:ascii="Arial" w:eastAsia="Times" w:hAnsi="Arial"/>
      <w:sz w:val="18"/>
      <w:szCs w:val="20"/>
    </w:rPr>
    <w:tblPr>
      <w:tblStyleRowBandSize w:val="1"/>
      <w:tblStyleColBandSize w:val="1"/>
      <w:tblInd w:w="0" w:type="nil"/>
      <w:tblCellMar>
        <w:top w:w="57" w:type="dxa"/>
        <w:left w:w="57" w:type="dxa"/>
        <w:bottom w:w="28" w:type="dxa"/>
        <w:right w:w="57" w:type="dxa"/>
      </w:tblCellMar>
    </w:tblPr>
    <w:tcPr>
      <w:shd w:val="clear" w:color="auto" w:fill="FFFFFF" w:themeFill="background1"/>
    </w:tcPr>
    <w:tblStylePr w:type="firstRow">
      <w:pPr>
        <w:wordWrap/>
        <w:spacing w:beforeLines="0" w:before="100" w:beforeAutospacing="1" w:afterLines="0" w:after="100" w:afterAutospacing="1" w:line="120" w:lineRule="atLeast"/>
        <w:jc w:val="left"/>
      </w:pPr>
      <w:rPr>
        <w:rFonts w:ascii="Arial" w:hAnsi="Arial" w:cs="Arial" w:hint="default"/>
        <w:b w:val="0"/>
        <w:color w:val="auto"/>
        <w:sz w:val="18"/>
        <w:szCs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firstCol">
      <w:pPr>
        <w:jc w:val="left"/>
      </w:pPr>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100" w:beforeAutospacing="1" w:afterLines="0" w:after="100" w:afterAutospacing="1"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100" w:beforeAutospacing="1" w:afterLines="0" w:after="100" w:afterAutospacing="1"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006983"/>
      </w:tcPr>
    </w:tblStylePr>
  </w:style>
  <w:style w:type="table" w:customStyle="1" w:styleId="TableGAHeaderRow1">
    <w:name w:val="Table GA Header Row1"/>
    <w:basedOn w:val="TableNormal"/>
    <w:rsid w:val="00E01F8F"/>
    <w:pPr>
      <w:spacing w:before="20" w:after="20" w:line="200" w:lineRule="atLeast"/>
    </w:pPr>
    <w:rPr>
      <w:rFonts w:ascii="Arial" w:eastAsia="Times" w:hAnsi="Arial"/>
      <w:sz w:val="18"/>
      <w:szCs w:val="20"/>
    </w:rPr>
    <w:tblPr>
      <w:tblStyleRowBandSize w:val="1"/>
      <w:tblStyleColBandSize w:val="1"/>
      <w:tblInd w:w="0" w:type="nil"/>
      <w:tblCellMar>
        <w:top w:w="57" w:type="dxa"/>
        <w:left w:w="57" w:type="dxa"/>
        <w:bottom w:w="28" w:type="dxa"/>
        <w:right w:w="57" w:type="dxa"/>
      </w:tblCellMar>
    </w:tblPr>
    <w:tcPr>
      <w:shd w:val="clear" w:color="auto" w:fill="FFFFFF" w:themeFill="background1"/>
    </w:tcPr>
    <w:tblStylePr w:type="firstRow">
      <w:pPr>
        <w:wordWrap/>
        <w:spacing w:beforeLines="0" w:before="100" w:beforeAutospacing="1" w:afterLines="0" w:after="100" w:afterAutospacing="1" w:line="120" w:lineRule="atLeast"/>
        <w:jc w:val="left"/>
      </w:pPr>
      <w:rPr>
        <w:rFonts w:ascii="Arial" w:hAnsi="Arial" w:cs="Arial" w:hint="default"/>
        <w:b/>
        <w:color w:val="FFFFFF"/>
        <w:sz w:val="18"/>
        <w:szCs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006983"/>
      </w:tcPr>
    </w:tblStylePr>
    <w:tblStylePr w:type="band1Vert">
      <w:pPr>
        <w:wordWrap/>
        <w:jc w:val="left"/>
      </w:pPr>
    </w:tblStylePr>
    <w:tblStylePr w:type="band1Horz">
      <w:pPr>
        <w:wordWrap/>
        <w:spacing w:beforeLines="0" w:before="100" w:beforeAutospacing="1" w:afterLines="0" w:after="100" w:afterAutospacing="1"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band2Horz">
      <w:pPr>
        <w:wordWrap/>
        <w:spacing w:beforeLines="0" w:before="100" w:beforeAutospacing="1" w:afterLines="0" w:after="100" w:afterAutospacing="1"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75073">
      <w:bodyDiv w:val="1"/>
      <w:marLeft w:val="0"/>
      <w:marRight w:val="0"/>
      <w:marTop w:val="0"/>
      <w:marBottom w:val="0"/>
      <w:divBdr>
        <w:top w:val="none" w:sz="0" w:space="0" w:color="auto"/>
        <w:left w:val="none" w:sz="0" w:space="0" w:color="auto"/>
        <w:bottom w:val="none" w:sz="0" w:space="0" w:color="auto"/>
        <w:right w:val="none" w:sz="0" w:space="0" w:color="auto"/>
      </w:divBdr>
    </w:div>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106777182">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02406904">
      <w:bodyDiv w:val="1"/>
      <w:marLeft w:val="0"/>
      <w:marRight w:val="0"/>
      <w:marTop w:val="0"/>
      <w:marBottom w:val="0"/>
      <w:divBdr>
        <w:top w:val="none" w:sz="0" w:space="0" w:color="auto"/>
        <w:left w:val="none" w:sz="0" w:space="0" w:color="auto"/>
        <w:bottom w:val="none" w:sz="0" w:space="0" w:color="auto"/>
        <w:right w:val="none" w:sz="0" w:space="0" w:color="auto"/>
      </w:divBdr>
    </w:div>
    <w:div w:id="263536587">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421875798">
      <w:bodyDiv w:val="1"/>
      <w:marLeft w:val="0"/>
      <w:marRight w:val="0"/>
      <w:marTop w:val="0"/>
      <w:marBottom w:val="0"/>
      <w:divBdr>
        <w:top w:val="none" w:sz="0" w:space="0" w:color="auto"/>
        <w:left w:val="none" w:sz="0" w:space="0" w:color="auto"/>
        <w:bottom w:val="none" w:sz="0" w:space="0" w:color="auto"/>
        <w:right w:val="none" w:sz="0" w:space="0" w:color="auto"/>
      </w:divBdr>
    </w:div>
    <w:div w:id="567152219">
      <w:bodyDiv w:val="1"/>
      <w:marLeft w:val="0"/>
      <w:marRight w:val="0"/>
      <w:marTop w:val="0"/>
      <w:marBottom w:val="0"/>
      <w:divBdr>
        <w:top w:val="none" w:sz="0" w:space="0" w:color="auto"/>
        <w:left w:val="none" w:sz="0" w:space="0" w:color="auto"/>
        <w:bottom w:val="none" w:sz="0" w:space="0" w:color="auto"/>
        <w:right w:val="none" w:sz="0" w:space="0" w:color="auto"/>
      </w:divBdr>
    </w:div>
    <w:div w:id="587890161">
      <w:bodyDiv w:val="1"/>
      <w:marLeft w:val="0"/>
      <w:marRight w:val="0"/>
      <w:marTop w:val="0"/>
      <w:marBottom w:val="0"/>
      <w:divBdr>
        <w:top w:val="none" w:sz="0" w:space="0" w:color="auto"/>
        <w:left w:val="none" w:sz="0" w:space="0" w:color="auto"/>
        <w:bottom w:val="none" w:sz="0" w:space="0" w:color="auto"/>
        <w:right w:val="none" w:sz="0" w:space="0" w:color="auto"/>
      </w:divBdr>
    </w:div>
    <w:div w:id="588537853">
      <w:bodyDiv w:val="1"/>
      <w:marLeft w:val="0"/>
      <w:marRight w:val="0"/>
      <w:marTop w:val="0"/>
      <w:marBottom w:val="0"/>
      <w:divBdr>
        <w:top w:val="none" w:sz="0" w:space="0" w:color="auto"/>
        <w:left w:val="none" w:sz="0" w:space="0" w:color="auto"/>
        <w:bottom w:val="none" w:sz="0" w:space="0" w:color="auto"/>
        <w:right w:val="none" w:sz="0" w:space="0" w:color="auto"/>
      </w:divBdr>
    </w:div>
    <w:div w:id="591475896">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60318959">
      <w:bodyDiv w:val="1"/>
      <w:marLeft w:val="0"/>
      <w:marRight w:val="0"/>
      <w:marTop w:val="0"/>
      <w:marBottom w:val="0"/>
      <w:divBdr>
        <w:top w:val="none" w:sz="0" w:space="0" w:color="auto"/>
        <w:left w:val="none" w:sz="0" w:space="0" w:color="auto"/>
        <w:bottom w:val="none" w:sz="0" w:space="0" w:color="auto"/>
        <w:right w:val="none" w:sz="0" w:space="0" w:color="auto"/>
      </w:divBdr>
    </w:div>
    <w:div w:id="898058607">
      <w:bodyDiv w:val="1"/>
      <w:marLeft w:val="0"/>
      <w:marRight w:val="0"/>
      <w:marTop w:val="0"/>
      <w:marBottom w:val="0"/>
      <w:divBdr>
        <w:top w:val="none" w:sz="0" w:space="0" w:color="auto"/>
        <w:left w:val="none" w:sz="0" w:space="0" w:color="auto"/>
        <w:bottom w:val="none" w:sz="0" w:space="0" w:color="auto"/>
        <w:right w:val="none" w:sz="0" w:space="0" w:color="auto"/>
      </w:divBdr>
    </w:div>
    <w:div w:id="933395528">
      <w:bodyDiv w:val="1"/>
      <w:marLeft w:val="0"/>
      <w:marRight w:val="0"/>
      <w:marTop w:val="0"/>
      <w:marBottom w:val="0"/>
      <w:divBdr>
        <w:top w:val="none" w:sz="0" w:space="0" w:color="auto"/>
        <w:left w:val="none" w:sz="0" w:space="0" w:color="auto"/>
        <w:bottom w:val="none" w:sz="0" w:space="0" w:color="auto"/>
        <w:right w:val="none" w:sz="0" w:space="0" w:color="auto"/>
      </w:divBdr>
    </w:div>
    <w:div w:id="954140053">
      <w:bodyDiv w:val="1"/>
      <w:marLeft w:val="0"/>
      <w:marRight w:val="0"/>
      <w:marTop w:val="0"/>
      <w:marBottom w:val="0"/>
      <w:divBdr>
        <w:top w:val="none" w:sz="0" w:space="0" w:color="auto"/>
        <w:left w:val="none" w:sz="0" w:space="0" w:color="auto"/>
        <w:bottom w:val="none" w:sz="0" w:space="0" w:color="auto"/>
        <w:right w:val="none" w:sz="0" w:space="0" w:color="auto"/>
      </w:divBdr>
    </w:div>
    <w:div w:id="1009912194">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042511733">
      <w:bodyDiv w:val="1"/>
      <w:marLeft w:val="0"/>
      <w:marRight w:val="0"/>
      <w:marTop w:val="0"/>
      <w:marBottom w:val="0"/>
      <w:divBdr>
        <w:top w:val="none" w:sz="0" w:space="0" w:color="auto"/>
        <w:left w:val="none" w:sz="0" w:space="0" w:color="auto"/>
        <w:bottom w:val="none" w:sz="0" w:space="0" w:color="auto"/>
        <w:right w:val="none" w:sz="0" w:space="0" w:color="auto"/>
      </w:divBdr>
    </w:div>
    <w:div w:id="1072968257">
      <w:bodyDiv w:val="1"/>
      <w:marLeft w:val="0"/>
      <w:marRight w:val="0"/>
      <w:marTop w:val="0"/>
      <w:marBottom w:val="0"/>
      <w:divBdr>
        <w:top w:val="none" w:sz="0" w:space="0" w:color="auto"/>
        <w:left w:val="none" w:sz="0" w:space="0" w:color="auto"/>
        <w:bottom w:val="none" w:sz="0" w:space="0" w:color="auto"/>
        <w:right w:val="none" w:sz="0" w:space="0" w:color="auto"/>
      </w:divBdr>
    </w:div>
    <w:div w:id="1096173906">
      <w:bodyDiv w:val="1"/>
      <w:marLeft w:val="0"/>
      <w:marRight w:val="0"/>
      <w:marTop w:val="0"/>
      <w:marBottom w:val="0"/>
      <w:divBdr>
        <w:top w:val="none" w:sz="0" w:space="0" w:color="auto"/>
        <w:left w:val="none" w:sz="0" w:space="0" w:color="auto"/>
        <w:bottom w:val="none" w:sz="0" w:space="0" w:color="auto"/>
        <w:right w:val="none" w:sz="0" w:space="0" w:color="auto"/>
      </w:divBdr>
    </w:div>
    <w:div w:id="1157847073">
      <w:bodyDiv w:val="1"/>
      <w:marLeft w:val="0"/>
      <w:marRight w:val="0"/>
      <w:marTop w:val="0"/>
      <w:marBottom w:val="0"/>
      <w:divBdr>
        <w:top w:val="none" w:sz="0" w:space="0" w:color="auto"/>
        <w:left w:val="none" w:sz="0" w:space="0" w:color="auto"/>
        <w:bottom w:val="none" w:sz="0" w:space="0" w:color="auto"/>
        <w:right w:val="none" w:sz="0" w:space="0" w:color="auto"/>
      </w:divBdr>
    </w:div>
    <w:div w:id="1221677329">
      <w:bodyDiv w:val="1"/>
      <w:marLeft w:val="0"/>
      <w:marRight w:val="0"/>
      <w:marTop w:val="0"/>
      <w:marBottom w:val="0"/>
      <w:divBdr>
        <w:top w:val="none" w:sz="0" w:space="0" w:color="auto"/>
        <w:left w:val="none" w:sz="0" w:space="0" w:color="auto"/>
        <w:bottom w:val="none" w:sz="0" w:space="0" w:color="auto"/>
        <w:right w:val="none" w:sz="0" w:space="0" w:color="auto"/>
      </w:divBdr>
    </w:div>
    <w:div w:id="1268388417">
      <w:bodyDiv w:val="1"/>
      <w:marLeft w:val="0"/>
      <w:marRight w:val="0"/>
      <w:marTop w:val="0"/>
      <w:marBottom w:val="0"/>
      <w:divBdr>
        <w:top w:val="none" w:sz="0" w:space="0" w:color="auto"/>
        <w:left w:val="none" w:sz="0" w:space="0" w:color="auto"/>
        <w:bottom w:val="none" w:sz="0" w:space="0" w:color="auto"/>
        <w:right w:val="none" w:sz="0" w:space="0" w:color="auto"/>
      </w:divBdr>
    </w:div>
    <w:div w:id="1361474484">
      <w:bodyDiv w:val="1"/>
      <w:marLeft w:val="0"/>
      <w:marRight w:val="0"/>
      <w:marTop w:val="0"/>
      <w:marBottom w:val="0"/>
      <w:divBdr>
        <w:top w:val="none" w:sz="0" w:space="0" w:color="auto"/>
        <w:left w:val="none" w:sz="0" w:space="0" w:color="auto"/>
        <w:bottom w:val="none" w:sz="0" w:space="0" w:color="auto"/>
        <w:right w:val="none" w:sz="0" w:space="0" w:color="auto"/>
      </w:divBdr>
    </w:div>
    <w:div w:id="1362435012">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629699857">
      <w:bodyDiv w:val="1"/>
      <w:marLeft w:val="0"/>
      <w:marRight w:val="0"/>
      <w:marTop w:val="0"/>
      <w:marBottom w:val="0"/>
      <w:divBdr>
        <w:top w:val="none" w:sz="0" w:space="0" w:color="auto"/>
        <w:left w:val="none" w:sz="0" w:space="0" w:color="auto"/>
        <w:bottom w:val="none" w:sz="0" w:space="0" w:color="auto"/>
        <w:right w:val="none" w:sz="0" w:space="0" w:color="auto"/>
      </w:divBdr>
    </w:div>
    <w:div w:id="1661540041">
      <w:bodyDiv w:val="1"/>
      <w:marLeft w:val="0"/>
      <w:marRight w:val="0"/>
      <w:marTop w:val="0"/>
      <w:marBottom w:val="0"/>
      <w:divBdr>
        <w:top w:val="none" w:sz="0" w:space="0" w:color="auto"/>
        <w:left w:val="none" w:sz="0" w:space="0" w:color="auto"/>
        <w:bottom w:val="none" w:sz="0" w:space="0" w:color="auto"/>
        <w:right w:val="none" w:sz="0" w:space="0" w:color="auto"/>
      </w:divBdr>
    </w:div>
    <w:div w:id="1820030322">
      <w:bodyDiv w:val="1"/>
      <w:marLeft w:val="0"/>
      <w:marRight w:val="0"/>
      <w:marTop w:val="0"/>
      <w:marBottom w:val="0"/>
      <w:divBdr>
        <w:top w:val="none" w:sz="0" w:space="0" w:color="auto"/>
        <w:left w:val="none" w:sz="0" w:space="0" w:color="auto"/>
        <w:bottom w:val="none" w:sz="0" w:space="0" w:color="auto"/>
        <w:right w:val="none" w:sz="0" w:space="0" w:color="auto"/>
      </w:divBdr>
    </w:div>
    <w:div w:id="1888298184">
      <w:bodyDiv w:val="1"/>
      <w:marLeft w:val="0"/>
      <w:marRight w:val="0"/>
      <w:marTop w:val="0"/>
      <w:marBottom w:val="0"/>
      <w:divBdr>
        <w:top w:val="none" w:sz="0" w:space="0" w:color="auto"/>
        <w:left w:val="none" w:sz="0" w:space="0" w:color="auto"/>
        <w:bottom w:val="none" w:sz="0" w:space="0" w:color="auto"/>
        <w:right w:val="none" w:sz="0" w:space="0" w:color="auto"/>
      </w:divBdr>
    </w:div>
    <w:div w:id="1943678980">
      <w:bodyDiv w:val="1"/>
      <w:marLeft w:val="0"/>
      <w:marRight w:val="0"/>
      <w:marTop w:val="0"/>
      <w:marBottom w:val="0"/>
      <w:divBdr>
        <w:top w:val="none" w:sz="0" w:space="0" w:color="auto"/>
        <w:left w:val="none" w:sz="0" w:space="0" w:color="auto"/>
        <w:bottom w:val="none" w:sz="0" w:space="0" w:color="auto"/>
        <w:right w:val="none" w:sz="0" w:space="0" w:color="auto"/>
      </w:divBdr>
    </w:div>
    <w:div w:id="1958640123">
      <w:bodyDiv w:val="1"/>
      <w:marLeft w:val="0"/>
      <w:marRight w:val="0"/>
      <w:marTop w:val="0"/>
      <w:marBottom w:val="0"/>
      <w:divBdr>
        <w:top w:val="none" w:sz="0" w:space="0" w:color="auto"/>
        <w:left w:val="none" w:sz="0" w:space="0" w:color="auto"/>
        <w:bottom w:val="none" w:sz="0" w:space="0" w:color="auto"/>
        <w:right w:val="none" w:sz="0" w:space="0" w:color="auto"/>
      </w:divBdr>
    </w:div>
    <w:div w:id="1965042326">
      <w:bodyDiv w:val="1"/>
      <w:marLeft w:val="0"/>
      <w:marRight w:val="0"/>
      <w:marTop w:val="0"/>
      <w:marBottom w:val="0"/>
      <w:divBdr>
        <w:top w:val="none" w:sz="0" w:space="0" w:color="auto"/>
        <w:left w:val="none" w:sz="0" w:space="0" w:color="auto"/>
        <w:bottom w:val="none" w:sz="0" w:space="0" w:color="auto"/>
        <w:right w:val="none" w:sz="0" w:space="0" w:color="auto"/>
      </w:divBdr>
    </w:div>
    <w:div w:id="1970669131">
      <w:bodyDiv w:val="1"/>
      <w:marLeft w:val="0"/>
      <w:marRight w:val="0"/>
      <w:marTop w:val="0"/>
      <w:marBottom w:val="0"/>
      <w:divBdr>
        <w:top w:val="none" w:sz="0" w:space="0" w:color="auto"/>
        <w:left w:val="none" w:sz="0" w:space="0" w:color="auto"/>
        <w:bottom w:val="none" w:sz="0" w:space="0" w:color="auto"/>
        <w:right w:val="none" w:sz="0" w:space="0" w:color="auto"/>
      </w:divBdr>
    </w:div>
    <w:div w:id="1990867911">
      <w:bodyDiv w:val="1"/>
      <w:marLeft w:val="0"/>
      <w:marRight w:val="0"/>
      <w:marTop w:val="0"/>
      <w:marBottom w:val="0"/>
      <w:divBdr>
        <w:top w:val="none" w:sz="0" w:space="0" w:color="auto"/>
        <w:left w:val="none" w:sz="0" w:space="0" w:color="auto"/>
        <w:bottom w:val="none" w:sz="0" w:space="0" w:color="auto"/>
        <w:right w:val="none" w:sz="0" w:space="0" w:color="auto"/>
      </w:divBdr>
    </w:div>
    <w:div w:id="2010523246">
      <w:bodyDiv w:val="1"/>
      <w:marLeft w:val="0"/>
      <w:marRight w:val="0"/>
      <w:marTop w:val="0"/>
      <w:marBottom w:val="0"/>
      <w:divBdr>
        <w:top w:val="none" w:sz="0" w:space="0" w:color="auto"/>
        <w:left w:val="none" w:sz="0" w:space="0" w:color="auto"/>
        <w:bottom w:val="none" w:sz="0" w:space="0" w:color="auto"/>
        <w:right w:val="none" w:sz="0" w:space="0" w:color="auto"/>
      </w:divBdr>
    </w:div>
    <w:div w:id="2132896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37.jpeg" Id="rId117" /><Relationship Type="http://schemas.openxmlformats.org/officeDocument/2006/relationships/hyperlink" Target="https://www.santos.com/what-we-do/activities/south-australia/cooper-basin/" TargetMode="External" Id="rId299" /><Relationship Type="http://schemas.openxmlformats.org/officeDocument/2006/relationships/hyperlink" Target="http://www.ga.gov.au" TargetMode="External" Id="rId21" /><Relationship Type="http://schemas.openxmlformats.org/officeDocument/2006/relationships/hyperlink" Target="http://services.ga.gov.au/site_9/rest/services/Oil_Gas_Infrastructure/MapServer" TargetMode="External" Id="rId63" /><Relationship Type="http://schemas.openxmlformats.org/officeDocument/2006/relationships/image" Target="media/image54.jpeg" Id="rId159" /><Relationship Type="http://schemas.openxmlformats.org/officeDocument/2006/relationships/hyperlink" Target="http://dx.doi.org/10.11636/Record.2016.004" TargetMode="External" Id="rId324" /><Relationship Type="http://schemas.openxmlformats.org/officeDocument/2006/relationships/hyperlink" Target="http://www.bom.gov.au/water/geofabric/download.shtml" TargetMode="External" Id="rId366" /><Relationship Type="http://schemas.openxmlformats.org/officeDocument/2006/relationships/hyperlink" Target="https://www.dnrm.qld.gov.au/__data/assets/pdf_file/0007/345616/uwir-surat-basin-2016.pdf" TargetMode="External" Id="rId170" /><Relationship Type="http://schemas.openxmlformats.org/officeDocument/2006/relationships/hyperlink" Target="https://legislation.nsw.gov.au/" TargetMode="External" Id="rId226" /><Relationship Type="http://schemas.openxmlformats.org/officeDocument/2006/relationships/header" Target="header22.xml" Id="rId433" /><Relationship Type="http://schemas.openxmlformats.org/officeDocument/2006/relationships/hyperlink" Target="https://www.business.qld.gov.au/industries/invest/mining/resources-potential/petroleum-gas" TargetMode="External" Id="rId268" /><Relationship Type="http://schemas.openxmlformats.org/officeDocument/2006/relationships/image" Target="media/image110.jpeg" Id="rId475" /><Relationship Type="http://schemas.openxmlformats.org/officeDocument/2006/relationships/footer" Target="footer4.xml" Id="rId32" /><Relationship Type="http://schemas.openxmlformats.org/officeDocument/2006/relationships/hyperlink" Target="http://www.searchanddiscovery.com/documents/2015/10804nicholls/ndx_nicholls.pdf" TargetMode="External" Id="rId74" /><Relationship Type="http://schemas.openxmlformats.org/officeDocument/2006/relationships/hyperlink" Target="http://dx.doi.org/10.1046/j.1440-0952.2001.00909" TargetMode="External" Id="rId128" /><Relationship Type="http://schemas.openxmlformats.org/officeDocument/2006/relationships/hyperlink" Target="https://www.eia.gov/analysis/studies/worldshalegas/pdf/overview.pdf" TargetMode="External" Id="rId335" /><Relationship Type="http://schemas.openxmlformats.org/officeDocument/2006/relationships/hyperlink" Target="http://services.land.vic.gov.au/SpatialDatamart/viewMetadata.html?anzlicId=ANZVI0803002954&amp;extractionProviderId=1" TargetMode="External" Id="rId377" /><Relationship Type="http://schemas.openxmlformats.org/officeDocument/2006/relationships/hyperlink" Target="http://www.ga.gov.au/metadata-gateway/metadata/record/104440" TargetMode="External" Id="rId500" /><Relationship Type="http://schemas.openxmlformats.org/officeDocument/2006/relationships/hyperlink" Target="http://www.searchanddiscovery.com/pdfz/documents/2016/10866hayes/ndx_hayes.pdf.html" TargetMode="External" Id="rId181" /><Relationship Type="http://schemas.openxmlformats.org/officeDocument/2006/relationships/hyperlink" Target="https://ecat.ga.gov.au/geonetwork/srv/eng/search" TargetMode="External" Id="rId237" /><Relationship Type="http://schemas.openxmlformats.org/officeDocument/2006/relationships/hyperlink" Target="http://www.armourenergy.com.au/assets/2014/2014.07.16%20-%20ASX%20Announcement%20Maiden%20Contingence%20Resource%20Lawn%20Hill20Shale20Egilabria20220DW1.pdf" TargetMode="External" Id="rId402" /><Relationship Type="http://schemas.openxmlformats.org/officeDocument/2006/relationships/hyperlink" Target="https://www.eia.gov/analysis/studies/worldshalegas/pdf/overview.pdf" TargetMode="External" Id="rId279" /><Relationship Type="http://schemas.openxmlformats.org/officeDocument/2006/relationships/hyperlink" Target="https://www.armourenergy.com.au/northern-territory/" TargetMode="External" Id="rId444" /><Relationship Type="http://schemas.openxmlformats.org/officeDocument/2006/relationships/hyperlink" Target="http://www.bom.gov.au/water/geofabric/download.shtml" TargetMode="External" Id="rId486" /><Relationship Type="http://schemas.openxmlformats.org/officeDocument/2006/relationships/hyperlink" Target="http://www.ga.gov.au/aera" TargetMode="External" Id="rId43" /><Relationship Type="http://schemas.openxmlformats.org/officeDocument/2006/relationships/image" Target="media/image39.png" Id="rId139" /><Relationship Type="http://schemas.openxmlformats.org/officeDocument/2006/relationships/hyperlink" Target="https://www.legislation.qld.gov.au/LEGISLTN/CURRENT/W/WaterReGABP06.pdf" TargetMode="External" Id="rId290" /><Relationship Type="http://schemas.openxmlformats.org/officeDocument/2006/relationships/image" Target="media/image73.jpeg" Id="rId304" /><Relationship Type="http://schemas.openxmlformats.org/officeDocument/2006/relationships/hyperlink" Target="https://www.legislation.qld.gov.au/LEGISLTN/CURRENT/W/WaterReCCPl11.pdf" TargetMode="External" Id="rId346" /><Relationship Type="http://schemas.openxmlformats.org/officeDocument/2006/relationships/image" Target="media/image91.jpeg" Id="rId388" /><Relationship Type="http://schemas.openxmlformats.org/officeDocument/2006/relationships/image" Target="media/image115.jpeg" Id="rId511" /><Relationship Type="http://schemas.openxmlformats.org/officeDocument/2006/relationships/hyperlink" Target="http://www.spe.org/industry/docs/PRMS_guide_non_tech.pdf" TargetMode="External" Id="rId85" /><Relationship Type="http://schemas.openxmlformats.org/officeDocument/2006/relationships/image" Target="media/image45.png" Id="rId150" /><Relationship Type="http://schemas.openxmlformats.org/officeDocument/2006/relationships/image" Target="media/image56.jpeg" Id="rId192" /><Relationship Type="http://schemas.openxmlformats.org/officeDocument/2006/relationships/hyperlink" Target="https://www.environment.gov.au/land/nrs/science/capad/2016" TargetMode="External" Id="rId206" /><Relationship Type="http://schemas.openxmlformats.org/officeDocument/2006/relationships/hyperlink" Target="http://qldspatial.information.qld.gov.au/catalogue/custom/index.page" TargetMode="External" Id="rId413" /><Relationship Type="http://schemas.openxmlformats.org/officeDocument/2006/relationships/image" Target="media/image68.png" Id="rId248" /><Relationship Type="http://schemas.openxmlformats.org/officeDocument/2006/relationships/hyperlink" Target="https://www.eia.gov/analysis/studies/worldshalegas/pdf/overview.pdf" TargetMode="External" Id="rId455" /><Relationship Type="http://schemas.openxmlformats.org/officeDocument/2006/relationships/hyperlink" Target="https://sarigbasis.pir.sa.gov.au/WebtopEw/ws/samref/sarig1/image/DDD/PEDP012BROCHURE.pdf" TargetMode="External" Id="rId497" /><Relationship Type="http://schemas.openxmlformats.org/officeDocument/2006/relationships/endnotes" Target="endnotes.xml" Id="rId12" /><Relationship Type="http://schemas.openxmlformats.org/officeDocument/2006/relationships/image" Target="media/image29.png" Id="rId108" /><Relationship Type="http://schemas.openxmlformats.org/officeDocument/2006/relationships/hyperlink" Target="https://www.shale-gas.com.au/environment/regulation-and-licensing/" TargetMode="External" Id="rId315" /><Relationship Type="http://schemas.openxmlformats.org/officeDocument/2006/relationships/image" Target="media/image83.jpeg" Id="rId357" /><Relationship Type="http://schemas.openxmlformats.org/officeDocument/2006/relationships/hyperlink" Target="http://www.cometridge.com.au/Projects_Galilee.htm" TargetMode="External" Id="rId54" /><Relationship Type="http://schemas.openxmlformats.org/officeDocument/2006/relationships/image" Target="media/image17.png" Id="rId96" /><Relationship Type="http://schemas.openxmlformats.org/officeDocument/2006/relationships/hyperlink" Target="https://www.shale-gas.com.au/environment/regulation-and-licensing/" TargetMode="External" Id="rId161" /><Relationship Type="http://schemas.openxmlformats.org/officeDocument/2006/relationships/hyperlink" Target="http://www.chiefscientist.nsw.gov.au/__data/assets/pdf_file/0005/56849/Report_NSW_OCSE_May2012_FracturingCoal.pdf" TargetMode="External" Id="rId217" /><Relationship Type="http://schemas.openxmlformats.org/officeDocument/2006/relationships/hyperlink" Target="https://www.shale-gas.com.au/environment/regulation-and-licensing/" TargetMode="External" Id="rId399" /><Relationship Type="http://schemas.openxmlformats.org/officeDocument/2006/relationships/hyperlink" Target="http://www.beachenergy.com.au/irm/PDF/4564_0/MonthlyDrillingReportNovember2015" TargetMode="External" Id="rId259" /><Relationship Type="http://schemas.openxmlformats.org/officeDocument/2006/relationships/hyperlink" Target="https://www.business.qld.gov.au/industries/mining-energy-water/resources/applications-compliance/lodging-statutory-reports/petroleum-gas-reporting/petroleum-wells" TargetMode="External" Id="rId424" /><Relationship Type="http://schemas.openxmlformats.org/officeDocument/2006/relationships/hyperlink" Target="https://www.originenergy.com.au/content/origin-ui/en/about/investors-media/media-centre/beetaloo-extended-production-test-successfully-completed.html" TargetMode="External" Id="rId466" /><Relationship Type="http://schemas.openxmlformats.org/officeDocument/2006/relationships/hyperlink" Target="https://creativecommons.org/licenses/by/4.0/" TargetMode="External" Id="rId23" /><Relationship Type="http://schemas.openxmlformats.org/officeDocument/2006/relationships/hyperlink" Target="http://www.ga.gov.au/aera" TargetMode="External" Id="rId119" /><Relationship Type="http://schemas.openxmlformats.org/officeDocument/2006/relationships/hyperlink" Target="http://qldspatial.information.qld.gov.au/catalogue/custom/index.page%20" TargetMode="External" Id="rId270" /><Relationship Type="http://schemas.openxmlformats.org/officeDocument/2006/relationships/hyperlink" Target="http://centralpetroleum.com.au/our-business/our-licence-areas/georgina-basin/southern-georgina-basin/" TargetMode="External" Id="rId326" /><Relationship Type="http://schemas.openxmlformats.org/officeDocument/2006/relationships/hyperlink" Target="http://www.ga.gov.au/metadata-gateway/metadata/record/104440" TargetMode="External" Id="rId65" /><Relationship Type="http://schemas.openxmlformats.org/officeDocument/2006/relationships/hyperlink" Target="https://legislation.nt.gov.au/en/Legislation/WATER-ACT" TargetMode="External" Id="rId130" /><Relationship Type="http://schemas.openxmlformats.org/officeDocument/2006/relationships/hyperlink" Target="https://www.environment.gov.au/land/nrs/science/capad/2016" TargetMode="External" Id="rId368" /><Relationship Type="http://schemas.openxmlformats.org/officeDocument/2006/relationships/hyperlink" Target="https://www.business.qld.gov.au/industries/invest/mining/resources-potential/petroleum-gas" TargetMode="External" Id="rId172" /><Relationship Type="http://schemas.openxmlformats.org/officeDocument/2006/relationships/hyperlink" Target="http://www.resourcesandenergy.nsw.gov.au/__data/assets/pdf_file/0006/520368/metgasco-26-jun-2014.pdf" TargetMode="External" Id="rId228" /><Relationship Type="http://schemas.openxmlformats.org/officeDocument/2006/relationships/image" Target="media/image103.jpeg" Id="rId435" /><Relationship Type="http://schemas.openxmlformats.org/officeDocument/2006/relationships/header" Target="header24.xml" Id="rId477" /><Relationship Type="http://schemas.openxmlformats.org/officeDocument/2006/relationships/hyperlink" Target="https://ecat.ga.gov.au/geonetwork/srv/eng/search" TargetMode="External" Id="rId281" /><Relationship Type="http://schemas.openxmlformats.org/officeDocument/2006/relationships/hyperlink" Target="https://ecat.ga.gov.au/geonetwork/srv/eng/search" TargetMode="External" Id="rId337" /><Relationship Type="http://schemas.openxmlformats.org/officeDocument/2006/relationships/hyperlink" Target="https://statedevelopment.sa.gov.au/resourcesUNPUBLISHED/unconventional-gas-projects" TargetMode="External" Id="rId502" /><Relationship Type="http://schemas.openxmlformats.org/officeDocument/2006/relationships/image" Target="media/image9.jpg" Id="rId34" /><Relationship Type="http://schemas.openxmlformats.org/officeDocument/2006/relationships/hyperlink" Target="https://www.originenergy.com.au/about/investors-media/media-centre/beetaloo-basin-drilling-results-indicate-material-gas-resource.html" TargetMode="External" Id="rId76" /><Relationship Type="http://schemas.openxmlformats.org/officeDocument/2006/relationships/image" Target="media/image41.jpeg" Id="rId141" /><Relationship Type="http://schemas.openxmlformats.org/officeDocument/2006/relationships/hyperlink" Target="http://www.lakesoil.com.au/index.php/permits/onshore-gippsland-basin-vic" TargetMode="External" Id="rId379" /><Relationship Type="http://schemas.openxmlformats.org/officeDocument/2006/relationships/numbering" Target="numbering.xml" Id="rId7" /><Relationship Type="http://schemas.openxmlformats.org/officeDocument/2006/relationships/hyperlink" Target="https://www.mdba.gov.au/basin-plan" TargetMode="External" Id="rId183" /><Relationship Type="http://schemas.openxmlformats.org/officeDocument/2006/relationships/hyperlink" Target="file:///Z:\proj\ba2\CommsProducts\Reports\R2P2-2%20Report%20DRAFT\Appendix%20D%20-%20Basin%20Audit\R2P22_draft_appendix_basin_audit_Cooper_FINAL_260917.docx" TargetMode="External" Id="rId239" /><Relationship Type="http://schemas.openxmlformats.org/officeDocument/2006/relationships/image" Target="media/image93.jpeg" Id="rId390" /><Relationship Type="http://schemas.openxmlformats.org/officeDocument/2006/relationships/hyperlink" Target="http://www.bom.gov.au/water/geofabric/download.shtml" TargetMode="External" Id="rId404" /><Relationship Type="http://schemas.openxmlformats.org/officeDocument/2006/relationships/hyperlink" Target="http://www.bom.gov.au/water/groundwater/ngis/" TargetMode="External" Id="rId446" /><Relationship Type="http://schemas.openxmlformats.org/officeDocument/2006/relationships/image" Target="media/image70.png" Id="rId250" /><Relationship Type="http://schemas.openxmlformats.org/officeDocument/2006/relationships/hyperlink" Target="https://www.business.qld.gov.au/industries/mining-energy-water/resources/applications-compliance/lodging-statutory-reports/petroleum-gas-reporting/petroleum-wells" TargetMode="External" Id="rId292" /><Relationship Type="http://schemas.openxmlformats.org/officeDocument/2006/relationships/image" Target="media/image75.jpeg" Id="rId306" /><Relationship Type="http://schemas.openxmlformats.org/officeDocument/2006/relationships/hyperlink" Target="https://www.environment.gov.au/land/nrs/science/capad/2016" TargetMode="External" Id="rId488" /><Relationship Type="http://schemas.openxmlformats.org/officeDocument/2006/relationships/hyperlink" Target="http://www.armourenergy.com.au/assets/downloads/prospectus/armour-energy-limited-prospectus_with-apps_20120320.pdf" TargetMode="External" Id="rId45" /><Relationship Type="http://schemas.openxmlformats.org/officeDocument/2006/relationships/hyperlink" Target="http://www.strikeenergy.com.au/wp-content/uploads/2015/07/20150729-DUG-July-2015-Presentation.pdf" TargetMode="External" Id="rId87" /><Relationship Type="http://schemas.openxmlformats.org/officeDocument/2006/relationships/image" Target="media/image31.jpeg" Id="rId110" /><Relationship Type="http://schemas.openxmlformats.org/officeDocument/2006/relationships/hyperlink" Target="http://dx.doi.org/10.11636/9781925124668" TargetMode="External" Id="rId348" /><Relationship Type="http://schemas.openxmlformats.org/officeDocument/2006/relationships/image" Target="media/image116.jpeg" Id="rId513" /><Relationship Type="http://schemas.openxmlformats.org/officeDocument/2006/relationships/image" Target="media/image47.png" Id="rId152" /><Relationship Type="http://schemas.openxmlformats.org/officeDocument/2006/relationships/image" Target="media/image58.jpeg" Id="rId194" /><Relationship Type="http://schemas.openxmlformats.org/officeDocument/2006/relationships/hyperlink" Target="https://www.dnrm.qld.gov.au/__data/assets/pdf_file/0003/104844/upper-condamine-alluvium-" TargetMode="External" Id="rId208" /><Relationship Type="http://schemas.openxmlformats.org/officeDocument/2006/relationships/hyperlink" Target="http://services.ga.gov.au/site_9/rest/services/Oil_Gas_Infrastructure/MapServer" TargetMode="External" Id="rId415" /><Relationship Type="http://schemas.openxmlformats.org/officeDocument/2006/relationships/hyperlink" Target="https://frackinginquiry.nt.gov.au/?a=410609" TargetMode="External" Id="rId457" /><Relationship Type="http://schemas.openxmlformats.org/officeDocument/2006/relationships/hyperlink" Target="http://www.beachenergy.com.au/irm/PDF/6210_0/ReservesandContingentResourcesasat30June2016" TargetMode="External" Id="rId261" /><Relationship Type="http://schemas.openxmlformats.org/officeDocument/2006/relationships/hyperlink" Target="https://ecat.ga.gov.au/geonetwork/srv/eng/search" TargetMode="External" Id="rId499" /><Relationship Type="http://schemas.openxmlformats.org/officeDocument/2006/relationships/image" Target="media/image2.png" Id="rId14" /><Relationship Type="http://schemas.openxmlformats.org/officeDocument/2006/relationships/image" Target="media/image10.png" Id="rId35" /><Relationship Type="http://schemas.openxmlformats.org/officeDocument/2006/relationships/hyperlink" Target="https://core.nt.gov.au/__data/assets/pdf_file/0011/378416/Central-Petroleum.pdf" TargetMode="External" Id="rId56" /><Relationship Type="http://schemas.openxmlformats.org/officeDocument/2006/relationships/hyperlink" Target="http://www.spe.org/industry/docs/Petroleum_Resources_Management_System_2007.pdf" TargetMode="External" Id="rId77" /><Relationship Type="http://schemas.openxmlformats.org/officeDocument/2006/relationships/image" Target="media/image21.png" Id="rId100" /><Relationship Type="http://schemas.openxmlformats.org/officeDocument/2006/relationships/hyperlink" Target="https://statedevelopment.sa.gov.au/resourcesUNPUBLISHED/unconventional-gas-projects" TargetMode="External" Id="rId282" /><Relationship Type="http://schemas.openxmlformats.org/officeDocument/2006/relationships/hyperlink" Target="http://www.searchanddiscovery.com/pdfz/documents/2010/80125bennett/ndx_bennett.pdf.html" TargetMode="External" Id="rId317" /><Relationship Type="http://schemas.openxmlformats.org/officeDocument/2006/relationships/hyperlink" Target="https://ecat.ga.gov.au/geonetwork/srv/eng/search" TargetMode="External" Id="rId338" /><Relationship Type="http://schemas.openxmlformats.org/officeDocument/2006/relationships/header" Target="header19.xml" Id="rId359" /><Relationship Type="http://schemas.openxmlformats.org/officeDocument/2006/relationships/hyperlink" Target="http://services.land.vic.gov.au/SpatialDatamart/viewMetadata.html?anzlicId=ANZVI0803002766&amp;extractionProviderId=1" TargetMode="External" Id="rId503" /><Relationship Type="http://schemas.openxmlformats.org/officeDocument/2006/relationships/styles" Target="styles.xml" Id="rId8" /><Relationship Type="http://schemas.openxmlformats.org/officeDocument/2006/relationships/image" Target="media/image19.png" Id="rId98" /><Relationship Type="http://schemas.openxmlformats.org/officeDocument/2006/relationships/hyperlink" Target="http://www.bom.gov.au/water/geofabric/download.shtml" TargetMode="External" Id="rId121" /><Relationship Type="http://schemas.openxmlformats.org/officeDocument/2006/relationships/header" Target="header11.xml" Id="rId142" /><Relationship Type="http://schemas.openxmlformats.org/officeDocument/2006/relationships/hyperlink" Target="http://www.bom.gov.au/water/geofabric/download.shtml" TargetMode="External" Id="rId163" /><Relationship Type="http://schemas.openxmlformats.org/officeDocument/2006/relationships/hyperlink" Target="http://www.searchanddiscovery.com/documents/2015/10804nicholls/ndx_nicholls.pdf" TargetMode="External" Id="rId184" /><Relationship Type="http://schemas.openxmlformats.org/officeDocument/2006/relationships/hyperlink" Target="http://www.asx.com.au/asxpdf/20140214/pdf/42mqk629mcldfg.pdf" TargetMode="External" Id="rId219" /><Relationship Type="http://schemas.openxmlformats.org/officeDocument/2006/relationships/hyperlink" Target="https://www.aemo.com.au/-/media/Files/Gas/National_Planning_and_Forecasting/GSOO/2015/Core--Gas-Reserves-and-Resources.pdf" TargetMode="External" Id="rId370" /><Relationship Type="http://schemas.openxmlformats.org/officeDocument/2006/relationships/header" Target="header20.xml" Id="rId391" /><Relationship Type="http://schemas.openxmlformats.org/officeDocument/2006/relationships/hyperlink" Target="http://www.bom.gov.au/water/groundwater/ngis/" TargetMode="External" Id="rId405" /><Relationship Type="http://schemas.openxmlformats.org/officeDocument/2006/relationships/hyperlink" Target="https://ecat.ga.gov.au/geonetwork/srv/eng/search" TargetMode="External" Id="rId426" /><Relationship Type="http://schemas.openxmlformats.org/officeDocument/2006/relationships/hyperlink" Target="https://www.environment.gov.au/land/nrs/science/capad/2016" TargetMode="External" Id="rId447" /><Relationship Type="http://schemas.openxmlformats.org/officeDocument/2006/relationships/hyperlink" Target="https://www.legislation.qld.gov.au/LEGISLTN/CURRENT/W/WaterReGABP06.pdf" TargetMode="External" Id="rId230" /><Relationship Type="http://schemas.openxmlformats.org/officeDocument/2006/relationships/image" Target="media/image71.emf" Id="rId251" /><Relationship Type="http://schemas.openxmlformats.org/officeDocument/2006/relationships/hyperlink" Target="https://www.business.qld.gov.au/industries/mining-energy-water/resources/applications-compliance/lodging-statutory-reports/petroleum-gas-reporting/petroleum-wells" TargetMode="External" Id="rId468" /><Relationship Type="http://schemas.openxmlformats.org/officeDocument/2006/relationships/hyperlink" Target="http://www.yoursay.barwonwater.vic.gov.au/27010/documents/60176" TargetMode="External" Id="rId489" /><Relationship Type="http://schemas.openxmlformats.org/officeDocument/2006/relationships/hyperlink" Target="mailto:bioregionalassessments@environment.gov.au" TargetMode="External" Id="rId25" /><Relationship Type="http://schemas.openxmlformats.org/officeDocument/2006/relationships/hyperlink" Target="http://www.armourenergy.com.au/assets/2014/2014.07.16%20-%20ASX%20Announcement%20Maiden%20Contingence%20Resource%20Lawn%20Hill20Shale20Egilabria20220DW1.pdf" TargetMode="External" Id="rId46" /><Relationship Type="http://schemas.openxmlformats.org/officeDocument/2006/relationships/hyperlink" Target="http://www.searchanddiscovery.com/pdfz/documents/2016/10866hayes/ndx_hayes.pdf.html" TargetMode="External" Id="rId67" /><Relationship Type="http://schemas.openxmlformats.org/officeDocument/2006/relationships/hyperlink" Target="http://qldspatial.information.qld.gov.au/catalogue/custom/index.page" TargetMode="External" Id="rId272" /><Relationship Type="http://schemas.openxmlformats.org/officeDocument/2006/relationships/hyperlink" Target="http://dx.doi.org/10.11636/9781925124668" TargetMode="External" Id="rId293" /><Relationship Type="http://schemas.openxmlformats.org/officeDocument/2006/relationships/image" Target="media/image76.jpeg" Id="rId307" /><Relationship Type="http://schemas.openxmlformats.org/officeDocument/2006/relationships/hyperlink" Target="https://data.qld.gov.au/dataset/petroleum-gas-production-and-reserve-statistics/resource/351e9bd4-d9a1-4d60-a2ed-0e56cae79c4a" TargetMode="External" Id="rId328" /><Relationship Type="http://schemas.openxmlformats.org/officeDocument/2006/relationships/hyperlink" Target="https://www.ga.gov.au/products/servlet/controller?event=GEOCAT_DETAILS&amp;catno=69455" TargetMode="External" Id="rId349" /><Relationship Type="http://schemas.openxmlformats.org/officeDocument/2006/relationships/header" Target="header28.xml" Id="rId514" /><Relationship Type="http://schemas.openxmlformats.org/officeDocument/2006/relationships/hyperlink" Target="https://ecat.ga.gov.au/geonetwork/srv/eng/search" TargetMode="External" Id="rId88" /><Relationship Type="http://schemas.openxmlformats.org/officeDocument/2006/relationships/image" Target="media/image32.jpeg" Id="rId111" /><Relationship Type="http://schemas.openxmlformats.org/officeDocument/2006/relationships/hyperlink" Target="http://www.ntlis.nt.gov.au/metadata/export_data?type=html&amp;metadata_id=FB25348A02CB16B2E040CD9B2144584B" TargetMode="External" Id="rId132" /><Relationship Type="http://schemas.openxmlformats.org/officeDocument/2006/relationships/image" Target="media/image48.png" Id="rId153" /><Relationship Type="http://schemas.openxmlformats.org/officeDocument/2006/relationships/hyperlink" Target="http://qldspatial.information.qld.gov.au/catalogue/custom/detail.page?fid=%7bCBBE665F-60A8-4116-87C8-AEBF0D21B97C%7d" TargetMode="External" Id="rId174" /><Relationship Type="http://schemas.openxmlformats.org/officeDocument/2006/relationships/image" Target="media/image59.jpeg" Id="rId195" /><Relationship Type="http://schemas.openxmlformats.org/officeDocument/2006/relationships/hyperlink" Target="http://qldspatial.information.qld.gov.au/catalogue/custom/detail.page?fid=%7bCBBE665F-60A8-4116-87C8-AEBF0D21B97C%7d" TargetMode="External" Id="rId209" /><Relationship Type="http://schemas.openxmlformats.org/officeDocument/2006/relationships/image" Target="media/image84.png" Id="rId360" /><Relationship Type="http://schemas.openxmlformats.org/officeDocument/2006/relationships/hyperlink" Target="https://www.santos.com/media/3012/orbost-gas-plant-factsheet.pdf" TargetMode="External" Id="rId381" /><Relationship Type="http://schemas.openxmlformats.org/officeDocument/2006/relationships/hyperlink" Target="https://ecat.ga.gov.au/geonetwork/srv/eng/search" TargetMode="External" Id="rId416" /><Relationship Type="http://schemas.openxmlformats.org/officeDocument/2006/relationships/hyperlink" Target="http://www.chiefscientist.nsw.gov.au/__data/assets/pdf_file/0008/56924/140930-Final-Fracture-Stimulation.pdf" TargetMode="External" Id="rId220" /><Relationship Type="http://schemas.openxmlformats.org/officeDocument/2006/relationships/image" Target="media/image63.jpeg" Id="rId241" /><Relationship Type="http://schemas.openxmlformats.org/officeDocument/2006/relationships/image" Target="media/image105.emf" Id="rId437" /><Relationship Type="http://schemas.openxmlformats.org/officeDocument/2006/relationships/hyperlink" Target="http://services.ga.gov.au/site_9/rest/services/Oil_Gas_Infrastructure/MapServer" TargetMode="External" Id="rId458" /><Relationship Type="http://schemas.openxmlformats.org/officeDocument/2006/relationships/image" Target="media/image112.png" Id="rId479" /><Relationship Type="http://schemas.openxmlformats.org/officeDocument/2006/relationships/image" Target="media/image3.jpeg" Id="rId15" /><Relationship Type="http://schemas.openxmlformats.org/officeDocument/2006/relationships/header" Target="header4.xml" Id="rId36" /><Relationship Type="http://schemas.openxmlformats.org/officeDocument/2006/relationships/hyperlink" Target="https://www.business.qld.gov.au/industries/invest/mining/resources-potential/petroleum-gas" TargetMode="External" Id="rId57" /><Relationship Type="http://schemas.openxmlformats.org/officeDocument/2006/relationships/hyperlink" Target="http://www.bom.gov.au/water/geofabric/download.shtml" TargetMode="External" Id="rId262" /><Relationship Type="http://schemas.openxmlformats.org/officeDocument/2006/relationships/hyperlink" Target="https://sarigbasis.pir.sa.gov.au/WebtopEw/ws/samref/sarig1/image/DDD/PGSA004.pdf" TargetMode="External" Id="rId283" /><Relationship Type="http://schemas.openxmlformats.org/officeDocument/2006/relationships/hyperlink" Target="http://www.bom.gov.au/water/geofabric/download.shtml" TargetMode="External" Id="rId318" /><Relationship Type="http://schemas.openxmlformats.org/officeDocument/2006/relationships/hyperlink" Target="http://jemena.com.au/industry/pipelines/northern-gas-pipeline" TargetMode="External" Id="rId339" /><Relationship Type="http://schemas.openxmlformats.org/officeDocument/2006/relationships/hyperlink" Target="https://www.aemo.com.au/-/media/Files/Gas/National_Planning_and_Forecasting/GSOO/2015/Core--Gas-Reserves-and-Resources.pdf" TargetMode="External" Id="rId490" /><Relationship Type="http://schemas.openxmlformats.org/officeDocument/2006/relationships/hyperlink" Target="http://services.land.vic.gov.au/SpatialDatamart/viewMetadata.html?anzlicId=ANZVI0803002954&amp;extractionProviderId=1" TargetMode="External" Id="rId504" /><Relationship Type="http://schemas.openxmlformats.org/officeDocument/2006/relationships/hyperlink" Target="http://www.resourcesandenergy.nsw.gov.au/miners-and-explorers/geoscience-information/nsw-geology-overview/sedimentary-basins/darling-basin" TargetMode="External" Id="rId78" /><Relationship Type="http://schemas.openxmlformats.org/officeDocument/2006/relationships/image" Target="media/image20.png" Id="rId99" /><Relationship Type="http://schemas.openxmlformats.org/officeDocument/2006/relationships/image" Target="media/image22.jpeg" Id="rId101" /><Relationship Type="http://schemas.openxmlformats.org/officeDocument/2006/relationships/hyperlink" Target="http://www.bom.gov.au/water/groundwater/ngis/" TargetMode="External" Id="rId122" /><Relationship Type="http://schemas.openxmlformats.org/officeDocument/2006/relationships/image" Target="media/image42.jpeg" Id="rId143" /><Relationship Type="http://schemas.openxmlformats.org/officeDocument/2006/relationships/hyperlink" Target="http://www.bom.gov.au/water/groundwater/ngis/" TargetMode="External" Id="rId164" /><Relationship Type="http://schemas.openxmlformats.org/officeDocument/2006/relationships/hyperlink" Target="https://www.legislation.qld.gov.au/view/pdf/inforce/current/act-2000-034" TargetMode="External" Id="rId185" /><Relationship Type="http://schemas.openxmlformats.org/officeDocument/2006/relationships/hyperlink" Target="http://www.barakaenergy.com.au/pdfs/2012-10-15-004731Petroleum_Prospectivity__of_EP_127_and_128_8th_December.pdf" TargetMode="External" Id="rId350" /><Relationship Type="http://schemas.openxmlformats.org/officeDocument/2006/relationships/hyperlink" Target="http://earthresources.vic.gov.au/earth-resources/victorias-earth-resources/petroleum/petroleum-processing-plants,-refineries-and-infrastructure" TargetMode="External" Id="rId371" /><Relationship Type="http://schemas.openxmlformats.org/officeDocument/2006/relationships/hyperlink" Target="http://www.bom.gov.au/jsp/ncc/climate_averages/rainfall/index.jsp" TargetMode="External" Id="rId406" /><Relationship Type="http://schemas.openxmlformats.org/officeDocument/2006/relationships/settings" Target="settings.xml" Id="rId9" /><Relationship Type="http://schemas.openxmlformats.org/officeDocument/2006/relationships/hyperlink" Target="http://qldspatial.information.qld.gov.au/catalogue/custom/index.page%20" TargetMode="External" Id="rId210" /><Relationship Type="http://schemas.openxmlformats.org/officeDocument/2006/relationships/header" Target="header21.xml" Id="rId392" /><Relationship Type="http://schemas.openxmlformats.org/officeDocument/2006/relationships/hyperlink" Target="http://data.bioregionalassessments.gov.au/doc/BA-LEB-COO-110-ContextStatement-20150903.pdf" TargetMode="External" Id="rId427" /><Relationship Type="http://schemas.openxmlformats.org/officeDocument/2006/relationships/hyperlink" Target="http://dx.doi.org/10.11636/Record.2016.004" TargetMode="External" Id="rId448" /><Relationship Type="http://schemas.openxmlformats.org/officeDocument/2006/relationships/hyperlink" Target="https://www.ga.gov.au/products/servlet/controller?event=GEOCAT_DETAILS&amp;catno=69455" TargetMode="External" Id="rId469" /><Relationship Type="http://schemas.openxmlformats.org/officeDocument/2006/relationships/header" Target="header1.xml" Id="rId26" /><Relationship Type="http://schemas.openxmlformats.org/officeDocument/2006/relationships/hyperlink" Target="https://www.legislation.qld.gov.au/view/pdf/inforce/2007-05-04/sl-2006-0321" TargetMode="External" Id="rId231" /><Relationship Type="http://schemas.openxmlformats.org/officeDocument/2006/relationships/image" Target="media/image72.png" Id="rId252" /><Relationship Type="http://schemas.openxmlformats.org/officeDocument/2006/relationships/hyperlink" Target="https://map.sarig.sa.gov.au/" TargetMode="External" Id="rId273" /><Relationship Type="http://schemas.openxmlformats.org/officeDocument/2006/relationships/hyperlink" Target="http://www.realenergy.com.au/news-reports/announcements.html" TargetMode="External" Id="rId294" /><Relationship Type="http://schemas.openxmlformats.org/officeDocument/2006/relationships/header" Target="header16.xml" Id="rId308" /><Relationship Type="http://schemas.openxmlformats.org/officeDocument/2006/relationships/hyperlink" Target="https://www.business.qld.gov.au/industries/invest/mining/resources-potential/petroleum-gas" TargetMode="External" Id="rId329" /><Relationship Type="http://schemas.openxmlformats.org/officeDocument/2006/relationships/image" Target="media/image113.jpeg" Id="rId480" /><Relationship Type="http://schemas.openxmlformats.org/officeDocument/2006/relationships/footer" Target="footer9.xml" Id="rId515" /><Relationship Type="http://schemas.openxmlformats.org/officeDocument/2006/relationships/hyperlink" Target="http://www.armourenergy.com.au/assets/1475615.pdf" TargetMode="External" Id="rId47" /><Relationship Type="http://schemas.openxmlformats.org/officeDocument/2006/relationships/hyperlink" Target="http://www.lakesoil.com.au/index.php/reports-and-announcements?task=callelement&amp;format=raw&amp;item_id=85&amp;element=f85c494b-2b32-4109-b8c1-083cca2b7db6&amp;method=download&amp;args%5b0%5d=ba8d41bb1d9155ea73ef7c5896186f74" TargetMode="External" Id="rId68" /><Relationship Type="http://schemas.openxmlformats.org/officeDocument/2006/relationships/hyperlink" Target="http://www.chiefscientist.nsw.gov.au/reports/coal-seam-gas-review/csg-background-papers" TargetMode="External" Id="rId89" /><Relationship Type="http://schemas.openxmlformats.org/officeDocument/2006/relationships/image" Target="media/image33.jpeg" Id="rId112" /><Relationship Type="http://schemas.openxmlformats.org/officeDocument/2006/relationships/hyperlink" Target="http://www.environment.gov.au/resource/geology-uluru-kata-tjuta-national-park" TargetMode="External" Id="rId133" /><Relationship Type="http://schemas.openxmlformats.org/officeDocument/2006/relationships/image" Target="media/image49.png" Id="rId154" /><Relationship Type="http://schemas.openxmlformats.org/officeDocument/2006/relationships/hyperlink" Target="http://qldspatial.information.qld.gov.au/catalogue/custom/index.page%20" TargetMode="External" Id="rId175" /><Relationship Type="http://schemas.openxmlformats.org/officeDocument/2006/relationships/hyperlink" Target="http://www.geoscience.nt.gov.au/gemis/ntgsjspui/bitstream/1/77092/1/GR168-10_2012_GAS_01.pdf" TargetMode="External" Id="rId340" /><Relationship Type="http://schemas.openxmlformats.org/officeDocument/2006/relationships/image" Target="media/image85.png" Id="rId361" /><Relationship Type="http://schemas.openxmlformats.org/officeDocument/2006/relationships/image" Target="media/image60.jpeg" Id="rId196" /><Relationship Type="http://schemas.openxmlformats.org/officeDocument/2006/relationships/hyperlink" Target="http://www.bioregionalassessments.gov.au/" TargetMode="External" Id="rId200" /><Relationship Type="http://schemas.openxmlformats.org/officeDocument/2006/relationships/hyperlink" Target="https://ecat.ga.gov.au/geonetwork/srv/eng/search" TargetMode="External" Id="rId382" /><Relationship Type="http://schemas.openxmlformats.org/officeDocument/2006/relationships/hyperlink" Target="https://ecat.ga.gov.au/geonetwork/srv/eng/search" TargetMode="External" Id="rId417" /><Relationship Type="http://schemas.openxmlformats.org/officeDocument/2006/relationships/image" Target="media/image106.png" Id="rId438" /><Relationship Type="http://schemas.openxmlformats.org/officeDocument/2006/relationships/hyperlink" Target="https://ecat.ga.gov.au/geonetwork/srv/eng/search" TargetMode="External" Id="rId459" /><Relationship Type="http://schemas.openxmlformats.org/officeDocument/2006/relationships/image" Target="media/image4.png" Id="rId16" /><Relationship Type="http://schemas.openxmlformats.org/officeDocument/2006/relationships/hyperlink" Target="http://www.resourcesandenergy.nsw.gov.au/__data/assets/pdf_file/0005/534830/NSW-Gas-Plan.pdf" TargetMode="External" Id="rId221" /><Relationship Type="http://schemas.openxmlformats.org/officeDocument/2006/relationships/hyperlink" Target="file:///Z:\proj\ba2\CommsProducts\Reports\R2P2-2%20Report%20DRAFT\Appendix%20D%20-%20Basin%20Audit\R2P22_draft_appendix_basin_audit_Cooper_FINAL_260917.docx" TargetMode="External" Id="rId242" /><Relationship Type="http://schemas.openxmlformats.org/officeDocument/2006/relationships/hyperlink" Target="http://www.bom.gov.au/water/groundwater/ngis/" TargetMode="External" Id="rId263" /><Relationship Type="http://schemas.openxmlformats.org/officeDocument/2006/relationships/hyperlink" Target="https://sarigbasis.pir.sa.gov.au/WebtopEw/ws/samref/sarig1/image/DDD/PGSA004.pdf" TargetMode="External" Id="rId284" /><Relationship Type="http://schemas.openxmlformats.org/officeDocument/2006/relationships/hyperlink" Target="http://www.bom.gov.au/water/groundwater/ngis/" TargetMode="External" Id="rId319" /><Relationship Type="http://schemas.openxmlformats.org/officeDocument/2006/relationships/hyperlink" Target="http://www.falconoilandgas.com/uploads/pdf/UCV02226_Falcon_Combined_CPR_release_Main_Body.pdf" TargetMode="External" Id="rId470" /><Relationship Type="http://schemas.openxmlformats.org/officeDocument/2006/relationships/hyperlink" Target="http://www.cooperenergy.com.au/archive/images/files/2013/2013_03_06_Sawpit-2_Update.pdf" TargetMode="External" Id="rId491" /><Relationship Type="http://schemas.openxmlformats.org/officeDocument/2006/relationships/hyperlink" Target="https://sarigbasis.pir.sa.gov.au/WebtopEw/ws/samref/sarig1/image/DDD/RB201000010.pdf" TargetMode="External" Id="rId505" /><Relationship Type="http://schemas.openxmlformats.org/officeDocument/2006/relationships/header" Target="header5.xml" Id="rId37" /><Relationship Type="http://schemas.openxmlformats.org/officeDocument/2006/relationships/hyperlink" Target="http://petroleum.statedevelopment.sa.gov.au/prospectivity/resource_plays/cooper_basin_gas_well_information_for_unconventional_reservoir_plays" TargetMode="External" Id="rId58" /><Relationship Type="http://schemas.openxmlformats.org/officeDocument/2006/relationships/hyperlink" Target="http://www.resourcesandenergy.nsw.gov.au/miners-and-explorers/geoscience-information/nsw-geology-overview/sedimentary-basins/oaklands-basin" TargetMode="External" Id="rId79" /><Relationship Type="http://schemas.openxmlformats.org/officeDocument/2006/relationships/image" Target="media/image23.png" Id="rId102" /><Relationship Type="http://schemas.openxmlformats.org/officeDocument/2006/relationships/hyperlink" Target="http://www.environment.gov.au/land/nrs/science/capad/2016" TargetMode="External" Id="rId123" /><Relationship Type="http://schemas.openxmlformats.org/officeDocument/2006/relationships/footer" Target="footer7.xml" Id="rId144" /><Relationship Type="http://schemas.openxmlformats.org/officeDocument/2006/relationships/hyperlink" Target="http://qldspatial.information.qld.gov.au/catalogue/custom/detail.page?fid=%7bCBBE665F-60A8-4116-87C8-AEBF0D21B97C%7d" TargetMode="External" Id="rId330" /><Relationship Type="http://schemas.openxmlformats.org/officeDocument/2006/relationships/header" Target="header9.xml" Id="rId90" /><Relationship Type="http://schemas.openxmlformats.org/officeDocument/2006/relationships/hyperlink" Target="https://www.environment.gov.au/land/nrs/science/capad/2016" TargetMode="External" Id="rId165" /><Relationship Type="http://schemas.openxmlformats.org/officeDocument/2006/relationships/hyperlink" Target="https://www.legislation.qld.gov.au/LEGISLTN/CURRENT/W/WaterReGABP06.pdf" TargetMode="External" Id="rId186" /><Relationship Type="http://schemas.openxmlformats.org/officeDocument/2006/relationships/hyperlink" Target="https://www.statoil.com/content/dam/statoil/documents/annual-reports/2014/Statoil-20-F-2014.pdf" TargetMode="External" Id="rId351" /><Relationship Type="http://schemas.openxmlformats.org/officeDocument/2006/relationships/hyperlink" Target="http://services.ga.gov.au/site_9/rest/services/Oil_Gas_Infrastructure/MapServer" TargetMode="External" Id="rId372" /><Relationship Type="http://schemas.openxmlformats.org/officeDocument/2006/relationships/image" Target="media/image94.png" Id="rId393" /><Relationship Type="http://schemas.openxmlformats.org/officeDocument/2006/relationships/hyperlink" Target="http://www.bom.gov.au/water/rwi/" TargetMode="External" Id="rId407" /><Relationship Type="http://schemas.openxmlformats.org/officeDocument/2006/relationships/hyperlink" Target="https://ecat.ga.gov.au/geonetwork/srv/eng/search" TargetMode="External" Id="rId428" /><Relationship Type="http://schemas.openxmlformats.org/officeDocument/2006/relationships/hyperlink" Target="https://www.business.qld.gov.au/industries/invest/mining/resources-potential/petroleum-gas" TargetMode="External" Id="rId449" /><Relationship Type="http://schemas.openxmlformats.org/officeDocument/2006/relationships/hyperlink" Target="http://qldspatial.information.qld.gov.au/catalogue/custom/index.page" TargetMode="External" Id="rId211" /><Relationship Type="http://schemas.openxmlformats.org/officeDocument/2006/relationships/hyperlink" Target="https://www.legislation.qld.gov.au/view/pdf/inforce/current/sl-2007-0031" TargetMode="External" Id="rId232" /><Relationship Type="http://schemas.openxmlformats.org/officeDocument/2006/relationships/hyperlink" Target="https://www.aer.gov.au/publications/state-of-the-energy-market-reports/state-of-the-energy-market-may-2017" TargetMode="External" Id="rId253" /><Relationship Type="http://schemas.openxmlformats.org/officeDocument/2006/relationships/hyperlink" Target="http://petroleum.statedevelopment.sa.gov.au/prospectivity/resource_plays/cooper_basin_gas_well_information_for_unconventional_reservoir_plays" TargetMode="External" Id="rId274" /><Relationship Type="http://schemas.openxmlformats.org/officeDocument/2006/relationships/hyperlink" Target="https://www.environment.sa.gov.au/parks/Find_a_Park/Browse_by_region/flinders-ranges-outback/malkumba-coongie-lakes-national-park" TargetMode="External" Id="rId295" /><Relationship Type="http://schemas.openxmlformats.org/officeDocument/2006/relationships/header" Target="header17.xml" Id="rId309" /><Relationship Type="http://schemas.openxmlformats.org/officeDocument/2006/relationships/hyperlink" Target="https://ecat.ga.gov.au/geonetwork/srv/eng/search" TargetMode="External" Id="rId460" /><Relationship Type="http://schemas.openxmlformats.org/officeDocument/2006/relationships/image" Target="media/image114.png" Id="rId481" /><Relationship Type="http://schemas.openxmlformats.org/officeDocument/2006/relationships/fontTable" Target="fontTable.xml" Id="rId516" /><Relationship Type="http://schemas.openxmlformats.org/officeDocument/2006/relationships/header" Target="header2.xml" Id="rId27" /><Relationship Type="http://schemas.openxmlformats.org/officeDocument/2006/relationships/hyperlink" Target="http://www.asx.com.au/documents/rules/Chapter05.pdf" TargetMode="External" Id="rId48" /><Relationship Type="http://schemas.openxmlformats.org/officeDocument/2006/relationships/hyperlink" Target="http://www.lakesoil.com.au/index.php/reports-and-announcements/item/lko-beach-ready-to-exploit-tight-gas-onshore-gippsland?category_id=3" TargetMode="External" Id="rId69" /><Relationship Type="http://schemas.openxmlformats.org/officeDocument/2006/relationships/image" Target="media/image34.jpeg" Id="rId113" /><Relationship Type="http://schemas.openxmlformats.org/officeDocument/2006/relationships/hyperlink" Target="https://www.powerwater.com.au/community_and_education/mereenie_aquifer_alice_springs" TargetMode="External" Id="rId134" /><Relationship Type="http://schemas.openxmlformats.org/officeDocument/2006/relationships/hyperlink" Target="http://www.bom.gov.au/jsp/ncc/climate_averages/rainfall/index.jsp" TargetMode="External" Id="rId320" /><Relationship Type="http://schemas.openxmlformats.org/officeDocument/2006/relationships/hyperlink" Target="http://www.resourcesandenergy.nsw.gov.au/__data/assets/pdf_file/0018/516114/Code-of-Practice-for-Coal-Seam-Gas-Fracture-Stimulation.pdf" TargetMode="External" Id="rId80" /><Relationship Type="http://schemas.openxmlformats.org/officeDocument/2006/relationships/image" Target="media/image50.png" Id="rId155" /><Relationship Type="http://schemas.openxmlformats.org/officeDocument/2006/relationships/hyperlink" Target="http://qldspatial.information.qld.gov.au/catalogue/custom/index.page" TargetMode="External" Id="rId176" /><Relationship Type="http://schemas.openxmlformats.org/officeDocument/2006/relationships/header" Target="header13.xml" Id="rId197" /><Relationship Type="http://schemas.openxmlformats.org/officeDocument/2006/relationships/hyperlink" Target="http://www.ntlis.nt.gov.au/mpds/get_file?file_id=4072" TargetMode="External" Id="rId341" /><Relationship Type="http://schemas.openxmlformats.org/officeDocument/2006/relationships/image" Target="media/image86.emf" Id="rId362" /><Relationship Type="http://schemas.openxmlformats.org/officeDocument/2006/relationships/hyperlink" Target="http://www.premier.vic.gov.au/fracking-banned-in-victoria-giving-certainty-to-farmers/" TargetMode="External" Id="rId383" /><Relationship Type="http://schemas.openxmlformats.org/officeDocument/2006/relationships/hyperlink" Target="http://jemena.com.au/industry/pipelines/northern-gas-pipeline" TargetMode="External" Id="rId418" /><Relationship Type="http://schemas.openxmlformats.org/officeDocument/2006/relationships/image" Target="media/image107.png" Id="rId439" /><Relationship Type="http://schemas.openxmlformats.org/officeDocument/2006/relationships/image" Target="media/image62.png" Id="rId201" /><Relationship Type="http://schemas.openxmlformats.org/officeDocument/2006/relationships/hyperlink" Target="http://www.resourcesandenergy.nsw.gov.au/__data/assets/pdf_file/0018/516114/Code-of-Practice-for-Coal-Seam-Gas-Fracture-Stimulation.pdf" TargetMode="External" Id="rId222" /><Relationship Type="http://schemas.openxmlformats.org/officeDocument/2006/relationships/image" Target="media/image64.jpeg" Id="rId243" /><Relationship Type="http://schemas.openxmlformats.org/officeDocument/2006/relationships/hyperlink" Target="https://www.environment.gov.au/land/nrs/science/capad/2016" TargetMode="External" Id="rId264" /><Relationship Type="http://schemas.openxmlformats.org/officeDocument/2006/relationships/hyperlink" Target="http://dx.doi.org/10.11636/Record.2015.031" TargetMode="External" Id="rId285" /><Relationship Type="http://schemas.openxmlformats.org/officeDocument/2006/relationships/hyperlink" Target="http://qldspatial.information.qld.gov.au/catalogue/custom/detail.page?fid=%7bCBBE665F-60A8-4116-87C8-AEBF0D21B97C%7d" TargetMode="External" Id="rId450" /><Relationship Type="http://schemas.openxmlformats.org/officeDocument/2006/relationships/hyperlink" Target="http://www.searchanddiscovery.com/documents/2011/10295silverman/ndx_silverman.pdf" TargetMode="External" Id="rId471" /><Relationship Type="http://schemas.openxmlformats.org/officeDocument/2006/relationships/hyperlink" Target="https://ecat.ga.gov.au/geonetwork/srv/eng/search" TargetMode="External" Id="rId506" /><Relationship Type="http://schemas.openxmlformats.org/officeDocument/2006/relationships/image" Target="media/image5.png" Id="rId17" /><Relationship Type="http://schemas.openxmlformats.org/officeDocument/2006/relationships/footer" Target="footer6.xml" Id="rId38" /><Relationship Type="http://schemas.openxmlformats.org/officeDocument/2006/relationships/hyperlink" Target="http://www.asx.com.au/asxpdf/20150826/pdf/430t3gtkqdgjjt.pdf" TargetMode="External" Id="rId59" /><Relationship Type="http://schemas.openxmlformats.org/officeDocument/2006/relationships/image" Target="media/image24.png" Id="rId103" /><Relationship Type="http://schemas.openxmlformats.org/officeDocument/2006/relationships/hyperlink" Target="http://dx.doi.org/10.11636/Record.2016.004" TargetMode="External" Id="rId124" /><Relationship Type="http://schemas.openxmlformats.org/officeDocument/2006/relationships/image" Target="media/image77.jpeg" Id="rId310" /><Relationship Type="http://schemas.openxmlformats.org/officeDocument/2006/relationships/hyperlink" Target="http://www.cooperenergy.com.au/Upload/Documents/AnnouncementsItem/Bungaloo-1-spudded-in-Penola-Trough,-Otway-Basin.pdf" TargetMode="External" Id="rId492" /><Relationship Type="http://schemas.openxmlformats.org/officeDocument/2006/relationships/hyperlink" Target="http://lakesoil.net.au/2017/10/19/onshore-gippsland-basin-permits/" TargetMode="External" Id="rId70" /><Relationship Type="http://schemas.openxmlformats.org/officeDocument/2006/relationships/image" Target="media/image12.png" Id="rId91" /><Relationship Type="http://schemas.openxmlformats.org/officeDocument/2006/relationships/header" Target="header12.xml" Id="rId145" /><Relationship Type="http://schemas.openxmlformats.org/officeDocument/2006/relationships/hyperlink" Target="http://riverhealth.org.au/wp-content/uploads/2017/05/A-study-of-the-cumulative-impacts-on-water-quality-of-mining-activites-i....pdf" TargetMode="External" Id="rId166" /><Relationship Type="http://schemas.openxmlformats.org/officeDocument/2006/relationships/hyperlink" Target="https://www.business.qld.gov.au/industries/mining-energy-water/resources/applications-compliance/lodging-statutory-reports/petroleum-gas-reporting/petroleum-wells" TargetMode="External" Id="rId187" /><Relationship Type="http://schemas.openxmlformats.org/officeDocument/2006/relationships/hyperlink" Target="http://qldspatial.information.qld.gov.au/catalogue/custom/index.page%20" TargetMode="External" Id="rId331" /><Relationship Type="http://schemas.openxmlformats.org/officeDocument/2006/relationships/hyperlink" Target="https://ecat.ga.gov.au/geonetwork/srv/eng/search" TargetMode="External" Id="rId352" /><Relationship Type="http://schemas.openxmlformats.org/officeDocument/2006/relationships/hyperlink" Target="https://ecat.ga.gov.au/geonetwork/srv/eng/search" TargetMode="External" Id="rId373" /><Relationship Type="http://schemas.openxmlformats.org/officeDocument/2006/relationships/image" Target="media/image95.png" Id="rId394" /><Relationship Type="http://schemas.openxmlformats.org/officeDocument/2006/relationships/hyperlink" Target="https://www.environment.gov.au/land/nrs/science/capad/2016" TargetMode="External" Id="rId408" /><Relationship Type="http://schemas.openxmlformats.org/officeDocument/2006/relationships/image" Target="media/image99.jpeg" Id="rId429" /><Relationship Type="http://schemas.openxmlformats.org/officeDocument/2006/relationships/hyperlink" Target="http://qldspatial.information.qld.gov.au/catalogue/custom/index.page" TargetMode="External" Id="rId212" /><Relationship Type="http://schemas.openxmlformats.org/officeDocument/2006/relationships/hyperlink" Target="https://www.legislation.qld.gov.au/view/pdf/2014-06-27/sl-2007-0025" TargetMode="External" Id="rId233" /><Relationship Type="http://schemas.openxmlformats.org/officeDocument/2006/relationships/hyperlink" Target="http://www.ga.gov.au/aera" TargetMode="External" Id="rId254" /><Relationship Type="http://schemas.openxmlformats.org/officeDocument/2006/relationships/hyperlink" Target="https://www.aer.gov.au/publications/state-of-the-energy-market-reports/state-of-the-energy-market-may-2017" TargetMode="External" Id="rId440" /><Relationship Type="http://schemas.openxmlformats.org/officeDocument/2006/relationships/footer" Target="footer1.xml" Id="rId28" /><Relationship Type="http://schemas.openxmlformats.org/officeDocument/2006/relationships/hyperlink" Target="http://www.mrt.tas.gov.au/mrtdoc/dominfo/download/GSB71/GSB71.pdf" TargetMode="External" Id="rId49" /><Relationship Type="http://schemas.openxmlformats.org/officeDocument/2006/relationships/image" Target="media/image35.jpeg" Id="rId114" /><Relationship Type="http://schemas.openxmlformats.org/officeDocument/2006/relationships/hyperlink" Target="http://petroleum.statedevelopment.sa.gov.au/latest_updates/pace_gas" TargetMode="External" Id="rId275" /><Relationship Type="http://schemas.openxmlformats.org/officeDocument/2006/relationships/hyperlink" Target="https://www.santos.com/media-centre/announcements/cooper-basin-unconventional-gas-opportunities-and-commercialisation/" TargetMode="External" Id="rId296" /><Relationship Type="http://schemas.openxmlformats.org/officeDocument/2006/relationships/hyperlink" Target="http://www.senexenergy.com.au/investor-centre/files/major-contingent-gas-resource-upgrade-to-5-5-tcf/" TargetMode="External" Id="rId300" /><Relationship Type="http://schemas.openxmlformats.org/officeDocument/2006/relationships/hyperlink" Target="http://jemena.com.au/industry/pipelines/northern-gas-pipeline" TargetMode="External" Id="rId461" /><Relationship Type="http://schemas.openxmlformats.org/officeDocument/2006/relationships/hyperlink" Target="https://www.aer.gov.au/publications/state-of-the-energy-market-reports/state-of-the-energy-market-may-2017" TargetMode="External" Id="rId482" /><Relationship Type="http://schemas.openxmlformats.org/officeDocument/2006/relationships/theme" Target="theme/theme1.xml" Id="rId517" /><Relationship Type="http://schemas.openxmlformats.org/officeDocument/2006/relationships/hyperlink" Target="http://www.asx.com.au/asxpdf/20110411/pdf/41xyzxdrpth0gg.pdf" TargetMode="External" Id="rId60" /><Relationship Type="http://schemas.openxmlformats.org/officeDocument/2006/relationships/hyperlink" Target="http://www.asx.com.au/documents/asx-compliance/asx-oil-and-gas-risc-presentation-july-2013_2.pdf" TargetMode="External" Id="rId81" /><Relationship Type="http://schemas.openxmlformats.org/officeDocument/2006/relationships/hyperlink" Target="https://www.ga.gov.au/products/servlet/controller?event=GEOCAT_DETAILS&amp;catno=69455" TargetMode="External" Id="rId135" /><Relationship Type="http://schemas.openxmlformats.org/officeDocument/2006/relationships/image" Target="media/image51.png" Id="rId156" /><Relationship Type="http://schemas.openxmlformats.org/officeDocument/2006/relationships/hyperlink" Target="http://qldspatial.information.qld.gov.au/catalogue/custom/index.page" TargetMode="External" Id="rId177" /><Relationship Type="http://schemas.openxmlformats.org/officeDocument/2006/relationships/header" Target="header14.xml" Id="rId198" /><Relationship Type="http://schemas.openxmlformats.org/officeDocument/2006/relationships/hyperlink" Target="http://www.bom.gov.au/water/groundwater/gde/" TargetMode="External" Id="rId321" /><Relationship Type="http://schemas.openxmlformats.org/officeDocument/2006/relationships/hyperlink" Target="https://legislation.nt.gov.au/en/Legislation/WATER-ACT" TargetMode="External" Id="rId342" /><Relationship Type="http://schemas.openxmlformats.org/officeDocument/2006/relationships/image" Target="media/image87.png" Id="rId363" /><Relationship Type="http://schemas.openxmlformats.org/officeDocument/2006/relationships/hyperlink" Target="http://www.vewh.vic.gov.au/watering-program/seasonal-watering-plan" TargetMode="External" Id="rId384" /><Relationship Type="http://schemas.openxmlformats.org/officeDocument/2006/relationships/hyperlink" Target="http://www.geoscience.nt.gov.au/gemis/ntgsjspui/handle/1/79187" TargetMode="External" Id="rId419" /><Relationship Type="http://schemas.openxmlformats.org/officeDocument/2006/relationships/hyperlink" Target="https://www.aer.gov.au/publications/state-of-the-energy-market-reports/state-of-the-energy-market-may-2017" TargetMode="External" Id="rId202" /><Relationship Type="http://schemas.openxmlformats.org/officeDocument/2006/relationships/hyperlink" Target="https://legislation.nsw.gov.au/" TargetMode="External" Id="rId223" /><Relationship Type="http://schemas.openxmlformats.org/officeDocument/2006/relationships/image" Target="media/image65.jpeg" Id="rId244" /><Relationship Type="http://schemas.openxmlformats.org/officeDocument/2006/relationships/image" Target="media/image100.jpeg" Id="rId430" /><Relationship Type="http://schemas.openxmlformats.org/officeDocument/2006/relationships/image" Target="media/image6.jpeg" Id="rId18" /><Relationship Type="http://schemas.openxmlformats.org/officeDocument/2006/relationships/image" Target="media/image11.jpeg" Id="rId39" /><Relationship Type="http://schemas.openxmlformats.org/officeDocument/2006/relationships/hyperlink" Target="http://dx.doi.org/10.11636/Record.2016.004" TargetMode="External" Id="rId265" /><Relationship Type="http://schemas.openxmlformats.org/officeDocument/2006/relationships/hyperlink" Target="http://dx.doi.org/10.11636/Record.2016.006" TargetMode="External" Id="rId286" /><Relationship Type="http://schemas.openxmlformats.org/officeDocument/2006/relationships/hyperlink" Target="http://qldspatial.information.qld.gov.au/catalogue/custom/index.page%20" TargetMode="External" Id="rId451" /><Relationship Type="http://schemas.openxmlformats.org/officeDocument/2006/relationships/hyperlink" Target="https://ecat.ga.gov.au/geonetwork/srv/eng/search" TargetMode="External" Id="rId472" /><Relationship Type="http://schemas.openxmlformats.org/officeDocument/2006/relationships/hyperlink" Target="https://map.sarig.sa.gov.au/" TargetMode="External" Id="rId493" /><Relationship Type="http://schemas.openxmlformats.org/officeDocument/2006/relationships/hyperlink" Target="https://ecat.ga.gov.au/geonetwork/srv/eng/search" TargetMode="External" Id="rId507" /><Relationship Type="http://schemas.openxmlformats.org/officeDocument/2006/relationships/hyperlink" Target="http://www.beachenergy.com.au/irm/PDF/4440_0/2015BeachEnergyLtdAnnualReport" TargetMode="External" Id="rId50" /><Relationship Type="http://schemas.openxmlformats.org/officeDocument/2006/relationships/image" Target="media/image25.png" Id="rId104" /><Relationship Type="http://schemas.openxmlformats.org/officeDocument/2006/relationships/hyperlink" Target="http://centralpetroleum.com.au/our-business/our-licence-areas/amadeus/mereenie-oil-and-gas-field-ol4-ol5/" TargetMode="External" Id="rId125" /><Relationship Type="http://schemas.openxmlformats.org/officeDocument/2006/relationships/footer" Target="footer8.xml" Id="rId146" /><Relationship Type="http://schemas.openxmlformats.org/officeDocument/2006/relationships/hyperlink" Target="http://www.environment.gov.au/fed/catalog/search/resource/details.page?uuid=%7BE6C815D9-FB67-4372-AC25-81C7473CCD21%7D" TargetMode="External" Id="rId167" /><Relationship Type="http://schemas.openxmlformats.org/officeDocument/2006/relationships/hyperlink" Target="https://ecat.ga.gov.au/geonetwork/srv/eng/search" TargetMode="External" Id="rId188" /><Relationship Type="http://schemas.openxmlformats.org/officeDocument/2006/relationships/image" Target="media/image78.emf" Id="rId311" /><Relationship Type="http://schemas.openxmlformats.org/officeDocument/2006/relationships/hyperlink" Target="http://qldspatial.information.qld.gov.au/catalogue/custom/index.page" TargetMode="External" Id="rId332" /><Relationship Type="http://schemas.openxmlformats.org/officeDocument/2006/relationships/hyperlink" Target="https://ecat.ga.gov.au/geonetwork/srv/eng/search" TargetMode="External" Id="rId353" /><Relationship Type="http://schemas.openxmlformats.org/officeDocument/2006/relationships/hyperlink" Target="http://www.ga.gov.au/metadata-gateway/metadata/record/104422" TargetMode="External" Id="rId374" /><Relationship Type="http://schemas.openxmlformats.org/officeDocument/2006/relationships/image" Target="media/image96.png" Id="rId395" /><Relationship Type="http://schemas.openxmlformats.org/officeDocument/2006/relationships/hyperlink" Target="https://wcsecure.weblink.com.au/pdf/AJQ/01616806.pdf" TargetMode="External" Id="rId409" /><Relationship Type="http://schemas.openxmlformats.org/officeDocument/2006/relationships/hyperlink" Target="http://www.lincenergy.com/sapex_shale_oil.php" TargetMode="External" Id="rId71" /><Relationship Type="http://schemas.openxmlformats.org/officeDocument/2006/relationships/image" Target="media/image13.png" Id="rId92" /><Relationship Type="http://schemas.openxmlformats.org/officeDocument/2006/relationships/hyperlink" Target="http://dwh.minerals.nsw.gov.au/CI/warehouse" TargetMode="External" Id="rId213" /><Relationship Type="http://schemas.openxmlformats.org/officeDocument/2006/relationships/hyperlink" Target="https://www.business.qld.gov.au/industries/mining-energy-water/resources/applications-compliance/lodging-statutory-reports/petroleum-gas-reporting/petroleum-wells" TargetMode="External" Id="rId234" /><Relationship Type="http://schemas.openxmlformats.org/officeDocument/2006/relationships/hyperlink" Target="http://www.ntlis.nt.gov.au/metadata/export_data?type=html&amp;metadata_id=FB25348A02CB16B2E040CD9B2144584B" TargetMode="External" Id="rId420" /><Relationship Type="http://schemas.openxmlformats.org/officeDocument/2006/relationships/footer" Target="footer2.xml" Id="rId29" /><Relationship Type="http://schemas.openxmlformats.org/officeDocument/2006/relationships/hyperlink" Target="https://sarigbasis.pir.sa.gov.au/WebtopEw/ws/samref/sarig1/image/DDD/PGSA004.pdf" TargetMode="External" Id="rId255" /><Relationship Type="http://schemas.openxmlformats.org/officeDocument/2006/relationships/hyperlink" Target="https://map.sarig.sa.gov.au/" TargetMode="External" Id="rId276" /><Relationship Type="http://schemas.openxmlformats.org/officeDocument/2006/relationships/hyperlink" Target="http://www.asx.com.au/asxpdf/20131219/pdf/42lqm1v2lzkh1w.pdf" TargetMode="External" Id="rId297" /><Relationship Type="http://schemas.openxmlformats.org/officeDocument/2006/relationships/hyperlink" Target="http://www.ga.gov.au/aera" TargetMode="External" Id="rId441" /><Relationship Type="http://schemas.openxmlformats.org/officeDocument/2006/relationships/hyperlink" Target="http://www.ntlis.nt.gov.au/mpds/get_file?file_id=4072" TargetMode="External" Id="rId462" /><Relationship Type="http://schemas.openxmlformats.org/officeDocument/2006/relationships/hyperlink" Target="https://www.shale-gas.com.au/environment/regulation-and-licensing/" TargetMode="External" Id="rId483" /><Relationship Type="http://schemas.openxmlformats.org/officeDocument/2006/relationships/header" Target="header6.xml" Id="rId40" /><Relationship Type="http://schemas.openxmlformats.org/officeDocument/2006/relationships/header" Target="header10.xml" Id="rId115" /><Relationship Type="http://schemas.openxmlformats.org/officeDocument/2006/relationships/hyperlink" Target="https://ecat.ga.gov.au/geonetwork/srv/eng/search" TargetMode="External" Id="rId136" /><Relationship Type="http://schemas.openxmlformats.org/officeDocument/2006/relationships/image" Target="media/image52.png" Id="rId157" /><Relationship Type="http://schemas.openxmlformats.org/officeDocument/2006/relationships/hyperlink" Target="https://www.legislation.gov.au/Details/F2017C00078" TargetMode="External" Id="rId178" /><Relationship Type="http://schemas.openxmlformats.org/officeDocument/2006/relationships/hyperlink" Target="http://data.bioregionalassessments.gov.au/doc/BA-LEB-COO-110-ContextStatement-20150903.pdf" TargetMode="External" Id="rId301" /><Relationship Type="http://schemas.openxmlformats.org/officeDocument/2006/relationships/hyperlink" Target="http://www.searchanddiscovery.com/pdfz/documents/2012/50752boult/ndx_boult.pdf.html" TargetMode="External" Id="rId322" /><Relationship Type="http://schemas.openxmlformats.org/officeDocument/2006/relationships/hyperlink" Target="http://www.geoscience.nt.gov.au/gemis/ntgsjspui/handle/1/79187" TargetMode="External" Id="rId343" /><Relationship Type="http://schemas.openxmlformats.org/officeDocument/2006/relationships/hyperlink" Target="https://www.aer.gov.au/publications/state-of-the-energy-market-reports/state-of-the-energy-market-may-2017" TargetMode="External" Id="rId364" /><Relationship Type="http://schemas.openxmlformats.org/officeDocument/2006/relationships/hyperlink" Target="https://www.eia.gov/analysis/studies/worldshalegas/pdf/overview.pdf" TargetMode="External" Id="rId61" /><Relationship Type="http://schemas.openxmlformats.org/officeDocument/2006/relationships/hyperlink" Target="https://www.santos.com/media-centre/announcements/cooper-basin-unconventional-gas-opportunities-and-commercialisation/" TargetMode="External" Id="rId82" /><Relationship Type="http://schemas.openxmlformats.org/officeDocument/2006/relationships/image" Target="media/image61.png" Id="rId199" /><Relationship Type="http://schemas.openxmlformats.org/officeDocument/2006/relationships/hyperlink" Target="https://www.shale-gas.com.au/environment/regulation-and-licensing/" TargetMode="External" Id="rId203" /><Relationship Type="http://schemas.openxmlformats.org/officeDocument/2006/relationships/image" Target="media/image88.png" Id="rId385" /><Relationship Type="http://schemas.openxmlformats.org/officeDocument/2006/relationships/hyperlink" Target="http://www.bioregionalassessments.gov.au" TargetMode="External" Id="rId19" /><Relationship Type="http://schemas.openxmlformats.org/officeDocument/2006/relationships/hyperlink" Target="https://legislation.nsw.gov.au/" TargetMode="External" Id="rId224" /><Relationship Type="http://schemas.openxmlformats.org/officeDocument/2006/relationships/image" Target="media/image66.jpeg" Id="rId245" /><Relationship Type="http://schemas.openxmlformats.org/officeDocument/2006/relationships/hyperlink" Target="https://www.aemo.com.au/-/media/Files/Gas/National_Planning_and_Forecasting/GSOO/2015/Core--Gas-Reserves-and-Resources.pdf" TargetMode="External" Id="rId266" /><Relationship Type="http://schemas.openxmlformats.org/officeDocument/2006/relationships/hyperlink" Target="http://dx.doi.org/10.11636/Record.2016.029" TargetMode="External" Id="rId287" /><Relationship Type="http://schemas.openxmlformats.org/officeDocument/2006/relationships/hyperlink" Target="https://www.business.qld.gov.au/industries/invest/mining/resources-potential/petroleum-gas" TargetMode="External" Id="rId410" /><Relationship Type="http://schemas.openxmlformats.org/officeDocument/2006/relationships/image" Target="media/image101.jpeg" Id="rId431" /><Relationship Type="http://schemas.openxmlformats.org/officeDocument/2006/relationships/hyperlink" Target="http://qldspatial.information.qld.gov.au/catalogue/custom/index.page" TargetMode="External" Id="rId452" /><Relationship Type="http://schemas.openxmlformats.org/officeDocument/2006/relationships/image" Target="media/image108.png" Id="rId473" /><Relationship Type="http://schemas.openxmlformats.org/officeDocument/2006/relationships/hyperlink" Target="http://petroleum.statedevelopment.sa.gov.au/latest_updates/pace_gas" TargetMode="External" Id="rId494" /><Relationship Type="http://schemas.openxmlformats.org/officeDocument/2006/relationships/hyperlink" Target="http://www.premier.vic.gov.au/fracking-banned-in-victoria-giving-certainty-to-farmers/" TargetMode="External" Id="rId508" /><Relationship Type="http://schemas.openxmlformats.org/officeDocument/2006/relationships/header" Target="header3.xml" Id="rId30" /><Relationship Type="http://schemas.openxmlformats.org/officeDocument/2006/relationships/image" Target="media/image26.png" Id="rId105" /><Relationship Type="http://schemas.openxmlformats.org/officeDocument/2006/relationships/hyperlink" Target="http://services.ga.gov.au/site_9/rest/services/Oil_Gas_Infrastructure/MapServer" TargetMode="External" Id="rId126" /><Relationship Type="http://schemas.openxmlformats.org/officeDocument/2006/relationships/image" Target="media/image43.jpeg" Id="rId147" /><Relationship Type="http://schemas.openxmlformats.org/officeDocument/2006/relationships/hyperlink" Target="https://www.dnrm.qld.gov.au/water/catchments-planning/qmdb/water-resource-planning" TargetMode="External" Id="rId168" /><Relationship Type="http://schemas.openxmlformats.org/officeDocument/2006/relationships/image" Target="media/image79.png" Id="rId312" /><Relationship Type="http://schemas.openxmlformats.org/officeDocument/2006/relationships/hyperlink" Target="http://qldspatial.information.qld.gov.au/catalogue/custom/index.page" TargetMode="External" Id="rId333" /><Relationship Type="http://schemas.openxmlformats.org/officeDocument/2006/relationships/image" Target="media/image80.jpeg" Id="rId354" /><Relationship Type="http://schemas.openxmlformats.org/officeDocument/2006/relationships/hyperlink" Target="https://blueenergy.com.au/files/media/bul_ar_2013_web.pdf" TargetMode="External" Id="rId51" /><Relationship Type="http://schemas.openxmlformats.org/officeDocument/2006/relationships/hyperlink" Target="http://www.asx.com.au/asx/statistics/displayAnnouncement.do?display=pdf&amp;idsId=01146528" TargetMode="External" Id="rId72" /><Relationship Type="http://schemas.openxmlformats.org/officeDocument/2006/relationships/image" Target="media/image14.png" Id="rId93" /><Relationship Type="http://schemas.openxmlformats.org/officeDocument/2006/relationships/hyperlink" Target="https://ecat.ga.gov.au/geonetwork/srv/eng/search" TargetMode="External" Id="rId189" /><Relationship Type="http://schemas.openxmlformats.org/officeDocument/2006/relationships/hyperlink" Target="http://www.vvg.org.au/cb_pages/files/207086.pdf" TargetMode="External" Id="rId375" /><Relationship Type="http://schemas.openxmlformats.org/officeDocument/2006/relationships/image" Target="media/image97.png" Id="rId396" /><Relationship Type="http://schemas.openxmlformats.org/officeDocument/2006/relationships/hyperlink" Target="https://www.legislation.gov.au/Details/F2017C00078" TargetMode="External" Id="rId214" /><Relationship Type="http://schemas.openxmlformats.org/officeDocument/2006/relationships/hyperlink" Target="https://ecat.ga.gov.au/geonetwork/srv/eng/search" TargetMode="External" Id="rId235" /><Relationship Type="http://schemas.openxmlformats.org/officeDocument/2006/relationships/hyperlink" Target="https://www.shale-gas.com.au/environment/regulation-and-licensing/" TargetMode="External" Id="rId256" /><Relationship Type="http://schemas.openxmlformats.org/officeDocument/2006/relationships/hyperlink" Target="https://map.sarig.sa.gov.au/" TargetMode="External" Id="rId277" /><Relationship Type="http://schemas.openxmlformats.org/officeDocument/2006/relationships/hyperlink" Target="https://www.santos.com/media/2132/130828_moomba_191_and_beyond.pdf" TargetMode="External" Id="rId298" /><Relationship Type="http://schemas.openxmlformats.org/officeDocument/2006/relationships/hyperlink" Target="https://wcsecure.weblink.com.au/pdf/AJQ/01446411.pdf" TargetMode="External" Id="rId400" /><Relationship Type="http://schemas.openxmlformats.org/officeDocument/2006/relationships/hyperlink" Target="https://www.legislation.qld.gov.au/view/pdf/inforce/2014-06-27/sl-2004-0152" TargetMode="External" Id="rId421" /><Relationship Type="http://schemas.openxmlformats.org/officeDocument/2006/relationships/hyperlink" Target="https://www.shale-gas.com.au/environment/regulation-and-licensing/" TargetMode="External" Id="rId442" /><Relationship Type="http://schemas.openxmlformats.org/officeDocument/2006/relationships/hyperlink" Target="https://denr.nt.gov.au/__data/assets/pdf_file/0020/254612/water-allocation-plan-tindall-2016-2019.pdf" TargetMode="External" Id="rId463" /><Relationship Type="http://schemas.openxmlformats.org/officeDocument/2006/relationships/hyperlink" Target="http://www.asx.com.au/asxpdf/20120510/pdf/4265z4bqyh37mz.pdf" TargetMode="External" Id="rId484" /><Relationship Type="http://schemas.openxmlformats.org/officeDocument/2006/relationships/image" Target="media/image36.jpeg" Id="rId116" /><Relationship Type="http://schemas.openxmlformats.org/officeDocument/2006/relationships/hyperlink" Target="https://ecat.ga.gov.au/geonetwork/srv/eng/search" TargetMode="External" Id="rId137" /><Relationship Type="http://schemas.openxmlformats.org/officeDocument/2006/relationships/image" Target="media/image53.png" Id="rId158" /><Relationship Type="http://schemas.openxmlformats.org/officeDocument/2006/relationships/hyperlink" Target="http://www.strikeenergy.com.au/wp-content/uploads/2015/07/20150729-DUG-July-2015-Presentation.pdf" TargetMode="External" Id="rId302" /><Relationship Type="http://schemas.openxmlformats.org/officeDocument/2006/relationships/hyperlink" Target="https://www.environment.gov.au/land/nrs/science/capad/2016" TargetMode="External" Id="rId323" /><Relationship Type="http://schemas.openxmlformats.org/officeDocument/2006/relationships/hyperlink" Target="http://www.ntlis.nt.gov.au/metadata/export_data?type=html&amp;metadata_id=FB25348A02CB16B2E040CD9B2144584B" TargetMode="External" Id="rId344" /><Relationship Type="http://schemas.openxmlformats.org/officeDocument/2006/relationships/hyperlink" Target="http://www.environment.gov.au" TargetMode="External" Id="rId20" /><Relationship Type="http://schemas.openxmlformats.org/officeDocument/2006/relationships/header" Target="header7.xml" Id="rId41" /><Relationship Type="http://schemas.openxmlformats.org/officeDocument/2006/relationships/hyperlink" Target="https://www.google.com.au/url?sa=t&amp;rct=j&amp;q=&amp;esrc=s&amp;source=web&amp;cd=10&amp;ved=0ahUKEwjXyonPjLDVAhVIgLwKHR2uDv4QFghLMAk&amp;url=http%3A%2F%2Fwww.asx.com.au%2Fasxpdf%2F20120510%2Fpdf%2F4265wmkn0fw9n0.pdf&amp;usg=AFQjCNFvJXYWD_gqa6p0ZeOdLQqL7R5MIA" TargetMode="External" Id="rId62" /><Relationship Type="http://schemas.openxmlformats.org/officeDocument/2006/relationships/hyperlink" Target="https://www.santos.com/what-we-do/activities/new-south-wales/gunnedah-basin/narrabri-gas-project/" TargetMode="External" Id="rId83" /><Relationship Type="http://schemas.openxmlformats.org/officeDocument/2006/relationships/hyperlink" Target="http://services.ga.gov.au/site_9/rest/services/Oil_Gas_Infrastructure/MapServer" TargetMode="External" Id="rId179" /><Relationship Type="http://schemas.openxmlformats.org/officeDocument/2006/relationships/hyperlink" Target="https://www.shale-gas.com.au/environment/regulation-and-licensing/" TargetMode="External" Id="rId365" /><Relationship Type="http://schemas.openxmlformats.org/officeDocument/2006/relationships/image" Target="media/image89.png" Id="rId386" /><Relationship Type="http://schemas.openxmlformats.org/officeDocument/2006/relationships/hyperlink" Target="https://www.arrowenergy.com.au/__data/assets/pdf_file/0008/3869/Appendix-L_Groundwater-and-Geology-Technical-Report.pdf" TargetMode="External" Id="rId190" /><Relationship Type="http://schemas.openxmlformats.org/officeDocument/2006/relationships/hyperlink" Target="http://www.bom.gov.au/water/geofabric/download.shtml" TargetMode="External" Id="rId204" /><Relationship Type="http://schemas.openxmlformats.org/officeDocument/2006/relationships/hyperlink" Target="https://www.legislation.nsw.gov.au/" TargetMode="External" Id="rId225" /><Relationship Type="http://schemas.openxmlformats.org/officeDocument/2006/relationships/header" Target="header15.xml" Id="rId246" /><Relationship Type="http://schemas.openxmlformats.org/officeDocument/2006/relationships/hyperlink" Target="http://petroleum.statedevelopment.sa.gov.au/prospectivity/cooper_basin/core_energy_cooper-eromanga_basin_outlook_2035" TargetMode="External" Id="rId267" /><Relationship Type="http://schemas.openxmlformats.org/officeDocument/2006/relationships/hyperlink" Target="http://www.asx.com.au/asxpdf/20151124/pdf/4337wzg3zqbcnx.pdf" TargetMode="External" Id="rId288" /><Relationship Type="http://schemas.openxmlformats.org/officeDocument/2006/relationships/hyperlink" Target="http://qldspatial.information.qld.gov.au/catalogue/custom/detail.page?fid=%7bCBBE665F-60A8-4116-87C8-AEBF0D21B97C%7d" TargetMode="External" Id="rId411" /><Relationship Type="http://schemas.openxmlformats.org/officeDocument/2006/relationships/image" Target="media/image102.jpeg" Id="rId432" /><Relationship Type="http://schemas.openxmlformats.org/officeDocument/2006/relationships/hyperlink" Target="http://qldspatial.information.qld.gov.au/catalogue/custom/index.page" TargetMode="External" Id="rId453" /><Relationship Type="http://schemas.openxmlformats.org/officeDocument/2006/relationships/image" Target="media/image109.png" Id="rId474" /><Relationship Type="http://schemas.openxmlformats.org/officeDocument/2006/relationships/header" Target="header26.xml" Id="rId509" /><Relationship Type="http://schemas.openxmlformats.org/officeDocument/2006/relationships/image" Target="media/image27.png" Id="rId106" /><Relationship Type="http://schemas.openxmlformats.org/officeDocument/2006/relationships/hyperlink" Target="https://ecat.ga.gov.au/geonetwork/srv/eng/search" TargetMode="External" Id="rId127" /><Relationship Type="http://schemas.openxmlformats.org/officeDocument/2006/relationships/hyperlink" Target="https://www.aer.gov.au/publications/state-of-the-energy-market-reports/state-of-the-energy-market-may-2017" TargetMode="External" Id="rId313" /><Relationship Type="http://schemas.openxmlformats.org/officeDocument/2006/relationships/hyperlink" Target="https://map.sarig.sa.gov.au/" TargetMode="External" Id="rId495" /><Relationship Type="http://schemas.openxmlformats.org/officeDocument/2006/relationships/webSettings" Target="webSettings.xml" Id="rId10" /><Relationship Type="http://schemas.openxmlformats.org/officeDocument/2006/relationships/footer" Target="footer3.xml" Id="rId31" /><Relationship Type="http://schemas.openxmlformats.org/officeDocument/2006/relationships/hyperlink" Target="http://centralpetroleum.com.au/our-business/our-licence-areas/amadeus/mereenie-oil-and-gas-field-ol4-ol5/" TargetMode="External" Id="rId52" /><Relationship Type="http://schemas.openxmlformats.org/officeDocument/2006/relationships/hyperlink" Target="http://www.metgasco.com.au/asx-announcements/metgasco-plans-recommence-gas-exploration-northern-rivers-nsw" TargetMode="External" Id="rId73" /><Relationship Type="http://schemas.openxmlformats.org/officeDocument/2006/relationships/image" Target="media/image15.png" Id="rId94" /><Relationship Type="http://schemas.openxmlformats.org/officeDocument/2006/relationships/image" Target="media/image44.jpeg" Id="rId148" /><Relationship Type="http://schemas.openxmlformats.org/officeDocument/2006/relationships/hyperlink" Target="https://www.dnrm.qld.gov.au/__data/assets/pdf_file/0003/298650/fitzroy-rop-amendment-2015.pdf" TargetMode="External" Id="rId169" /><Relationship Type="http://schemas.openxmlformats.org/officeDocument/2006/relationships/hyperlink" Target="http://www.asx.com.au/asxpdf/20110411/pdf/41xyzxdrpth0gg.pdf" TargetMode="External" Id="rId334" /><Relationship Type="http://schemas.openxmlformats.org/officeDocument/2006/relationships/image" Target="media/image81.jpeg" Id="rId355" /><Relationship Type="http://schemas.openxmlformats.org/officeDocument/2006/relationships/hyperlink" Target="http://services.land.vic.gov.au/SpatialDatamart/viewMetadata.html?anzlicId=ANZVI0803002766&amp;extractionProviderId=1" TargetMode="External" Id="rId376" /><Relationship Type="http://schemas.openxmlformats.org/officeDocument/2006/relationships/image" Target="media/image98.png" Id="rId397" /><Relationship Type="http://schemas.openxmlformats.org/officeDocument/2006/relationships/hyperlink" Target="https://ecat.ga.gov.au/geonetwork/srv/eng/search" TargetMode="External" Id="rId180" /><Relationship Type="http://schemas.openxmlformats.org/officeDocument/2006/relationships/hyperlink" Target="http://services.ga.gov.au/site_9/rest/services/Oil_Gas_Infrastructure/MapServer" TargetMode="External" Id="rId215" /><Relationship Type="http://schemas.openxmlformats.org/officeDocument/2006/relationships/hyperlink" Target="https://eprints.qut.edu.au/29322/1/Vivien_Rudorfer_Thesis.pdf" TargetMode="External" Id="rId236" /><Relationship Type="http://schemas.openxmlformats.org/officeDocument/2006/relationships/hyperlink" Target="http://www.asx.com.au/asxpdf/20140828/pdf/42rtkq464xqggw.pdf" TargetMode="External" Id="rId257" /><Relationship Type="http://schemas.openxmlformats.org/officeDocument/2006/relationships/hyperlink" Target="http://www.asx.com.au/asxpdf/20150826/pdf/430t3gtkqdgjjt.pdf" TargetMode="External" Id="rId278" /><Relationship Type="http://schemas.openxmlformats.org/officeDocument/2006/relationships/hyperlink" Target="https://wcsecure.weblink.com.au/pdf/AJQ/01564041.pdf" TargetMode="External" Id="rId401" /><Relationship Type="http://schemas.openxmlformats.org/officeDocument/2006/relationships/hyperlink" Target="https://www.legislation.qld.gov.au/LEGISLTN/CURRENT/W/WaterReGABP06.pdf" TargetMode="External" Id="rId422" /><Relationship Type="http://schemas.openxmlformats.org/officeDocument/2006/relationships/hyperlink" Target="http://www.armourenergy.com.au/assets/downloads/prospectus/armour-energy-limited-prospectus_with-apps_20120320.pdf" TargetMode="External" Id="rId443" /><Relationship Type="http://schemas.openxmlformats.org/officeDocument/2006/relationships/hyperlink" Target="http://www.geoscience.nt.gov.au/gemis/ntgsjspui/handle/1/79187" TargetMode="External" Id="rId464" /><Relationship Type="http://schemas.openxmlformats.org/officeDocument/2006/relationships/hyperlink" Target="https://pubs.usgs.gov/fs/2016/3050/fs20163050.pdf" TargetMode="External" Id="rId303" /><Relationship Type="http://schemas.openxmlformats.org/officeDocument/2006/relationships/hyperlink" Target="http://www.beachenergy.com.au/irm/PDF/3361_0/BeachcompletesOtwayBasinwell" TargetMode="External" Id="rId485" /><Relationship Type="http://schemas.openxmlformats.org/officeDocument/2006/relationships/header" Target="header8.xml" Id="rId42" /><Relationship Type="http://schemas.openxmlformats.org/officeDocument/2006/relationships/hyperlink" Target="http://www.senexenergy.com.au/investor-centre/files/major-contingent-gas-resource-upgrade-to-5-5-tcf/" TargetMode="External" Id="rId84" /><Relationship Type="http://schemas.openxmlformats.org/officeDocument/2006/relationships/image" Target="media/image38.png" Id="rId138" /><Relationship Type="http://schemas.openxmlformats.org/officeDocument/2006/relationships/hyperlink" Target="https://www.legislation.qld.gov.au/LEGISLTN/CURRENT/W/WaterReGABP06.pdf" TargetMode="External" Id="rId345" /><Relationship Type="http://schemas.openxmlformats.org/officeDocument/2006/relationships/image" Target="media/image90.png" Id="rId387" /><Relationship Type="http://schemas.openxmlformats.org/officeDocument/2006/relationships/header" Target="header27.xml" Id="rId510" /><Relationship Type="http://schemas.openxmlformats.org/officeDocument/2006/relationships/image" Target="media/image55.png" Id="rId191" /><Relationship Type="http://schemas.openxmlformats.org/officeDocument/2006/relationships/hyperlink" Target="http://www.bom.gov.au/water/groundwater/ngis/" TargetMode="External" Id="rId205" /><Relationship Type="http://schemas.openxmlformats.org/officeDocument/2006/relationships/image" Target="media/image67.jpeg" Id="rId247" /><Relationship Type="http://schemas.openxmlformats.org/officeDocument/2006/relationships/hyperlink" Target="http://qldspatial.information.qld.gov.au/catalogue/custom/index.page%20" TargetMode="External" Id="rId412" /><Relationship Type="http://schemas.openxmlformats.org/officeDocument/2006/relationships/image" Target="media/image28.png" Id="rId107" /><Relationship Type="http://schemas.openxmlformats.org/officeDocument/2006/relationships/hyperlink" Target="https://www.legislation.qld.gov.au/view/pdf/inforce/current/sl-2004-0151" TargetMode="External" Id="rId289" /><Relationship Type="http://schemas.openxmlformats.org/officeDocument/2006/relationships/hyperlink" Target="http://www.environment.gov.au/water/wetlands/publications/wetlands-australia/national-wetlands-update-february-2012-8" TargetMode="External" Id="rId454" /><Relationship Type="http://schemas.openxmlformats.org/officeDocument/2006/relationships/hyperlink" Target="https://map.sarig.sa.gov.au/" TargetMode="External" Id="rId496" /><Relationship Type="http://schemas.openxmlformats.org/officeDocument/2006/relationships/footnotes" Target="footnotes.xml" Id="rId11" /><Relationship Type="http://schemas.openxmlformats.org/officeDocument/2006/relationships/hyperlink" Target="http://www.asx.com.au/asxpdf/20110526/pdf/41yw60sk5b7r1s.pdf" TargetMode="External" Id="rId53" /><Relationship Type="http://schemas.openxmlformats.org/officeDocument/2006/relationships/hyperlink" Target="http://www.bioregionalassessments.gov.au/data-resource/load/9596/RmlndXJlIDIxIEh5ZHJvc3RyYXRpZ3JhcGhpYyByZWxhdGlvbnNoaXBzIGluIHRoZSBTdXJhdCBCYXNpbiwgQ29vbmFtYmxlIEVtYmF5bWVudCBhbmQgYWRqb2luaW5nIEVyb21hbmdhIEJhc2luIG9mIHRoZSBHcmVhdCBBcnRlc2lhbiBCYXNpbg%253D%253D" TargetMode="External" Id="rId149" /><Relationship Type="http://schemas.openxmlformats.org/officeDocument/2006/relationships/hyperlink" Target="http://www.ga.gov.au/aera" TargetMode="External" Id="rId314" /><Relationship Type="http://schemas.openxmlformats.org/officeDocument/2006/relationships/image" Target="media/image82.jpeg" Id="rId356" /><Relationship Type="http://schemas.openxmlformats.org/officeDocument/2006/relationships/hyperlink" Target="https://www.aer.gov.au/publications/state-of-the-energy-market-reports/state-of-the-energy-market-may-2017" TargetMode="External" Id="rId398" /><Relationship Type="http://schemas.openxmlformats.org/officeDocument/2006/relationships/image" Target="media/image16.png" Id="rId95" /><Relationship Type="http://schemas.openxmlformats.org/officeDocument/2006/relationships/hyperlink" Target="https://www.aer.gov.au/publications/state-of-the-energy-market-reports/state-of-the-energy-market-may-2017" TargetMode="External" Id="rId160" /><Relationship Type="http://schemas.openxmlformats.org/officeDocument/2006/relationships/hyperlink" Target="https://ecat.ga.gov.au/geonetwork/srv/eng/search" TargetMode="External" Id="rId216" /><Relationship Type="http://schemas.openxmlformats.org/officeDocument/2006/relationships/hyperlink" Target="https://www.legislation.qld.gov.au/view/pdf/2017-09-02/sl-2007-0268" TargetMode="External" Id="rId423" /><Relationship Type="http://schemas.openxmlformats.org/officeDocument/2006/relationships/hyperlink" Target="http://www.beachenergy.com.au/irm/PDF/4440_0/2015BeachEnergyLtdAnnualReport" TargetMode="External" Id="rId258" /><Relationship Type="http://schemas.openxmlformats.org/officeDocument/2006/relationships/hyperlink" Target="http://www.ntlis.nt.gov.au/metadata/export_data?type=html&amp;metadata_id=FB25348A02CB16B2E040CD9B2144584B" TargetMode="External" Id="rId465" /><Relationship Type="http://schemas.openxmlformats.org/officeDocument/2006/relationships/image" Target="media/image7.png" Id="rId22" /><Relationship Type="http://schemas.openxmlformats.org/officeDocument/2006/relationships/hyperlink" Target="http://www.ga.gov.au/metadata-gateway/metadata/record/104422" TargetMode="External" Id="rId64" /><Relationship Type="http://schemas.openxmlformats.org/officeDocument/2006/relationships/hyperlink" Target="https://www.aer.gov.au/publications/state-of-the-energy-market-reports/state-of-the-energy-market-may-2017" TargetMode="External" Id="rId118" /><Relationship Type="http://schemas.openxmlformats.org/officeDocument/2006/relationships/hyperlink" Target="http://www.asx.com.au/asxpdf/20110718/pdf/41zthwzbm2qknq.pdf" TargetMode="External" Id="rId325" /><Relationship Type="http://schemas.openxmlformats.org/officeDocument/2006/relationships/hyperlink" Target="http://www.bom.gov.au/water/groundwater/ngis/" TargetMode="External" Id="rId367" /><Relationship Type="http://schemas.openxmlformats.org/officeDocument/2006/relationships/hyperlink" Target="https://www.dnrm.qld.gov.au/__data/assets/pdf_file/0008/1237742/qld-petroleum-coal-seam-gas-2017.pdf" TargetMode="External" Id="rId171" /><Relationship Type="http://schemas.openxmlformats.org/officeDocument/2006/relationships/hyperlink" Target="https://www.legislation.nsw.gov.au/" TargetMode="External" Id="rId227" /><Relationship Type="http://schemas.openxmlformats.org/officeDocument/2006/relationships/hyperlink" Target="http://qldspatial.information.qld.gov.au/catalogue/custom/detail.page?fid=%7bCBBE665F-60A8-4116-87C8-AEBF0D21B97C%7d" TargetMode="External" Id="rId269" /><Relationship Type="http://schemas.openxmlformats.org/officeDocument/2006/relationships/header" Target="header23.xml" Id="rId434" /><Relationship Type="http://schemas.openxmlformats.org/officeDocument/2006/relationships/image" Target="media/image111.jpeg" Id="rId476" /><Relationship Type="http://schemas.openxmlformats.org/officeDocument/2006/relationships/footer" Target="footer5.xml" Id="rId33" /><Relationship Type="http://schemas.openxmlformats.org/officeDocument/2006/relationships/hyperlink" Target="https://frackinginquiry.wa.gov.au/" TargetMode="External" Id="rId129" /><Relationship Type="http://schemas.openxmlformats.org/officeDocument/2006/relationships/hyperlink" Target="http://services.ga.gov.au/site_9/rest/services/Oil_Gas_Infrastructure/MapServer" TargetMode="External" Id="rId280" /><Relationship Type="http://schemas.openxmlformats.org/officeDocument/2006/relationships/hyperlink" Target="http://services.ga.gov.au/site_9/rest/services/Oil_Gas_Infrastructure/MapServer" TargetMode="External" Id="rId336" /><Relationship Type="http://schemas.openxmlformats.org/officeDocument/2006/relationships/hyperlink" Target="http://www.vewh.vic.gov.au/__data/assets/pdf_file/0004/357529/Glenelg-River-EWMP-FINAL-reduced-size.pdf" TargetMode="External" Id="rId501" /><Relationship Type="http://schemas.openxmlformats.org/officeDocument/2006/relationships/hyperlink" Target="http://www.chiefscientist.nsw.gov.au/reports/coal-seam-gas-review/csg-background-papers" TargetMode="External" Id="rId75" /><Relationship Type="http://schemas.openxmlformats.org/officeDocument/2006/relationships/image" Target="media/image40.png" Id="rId140" /><Relationship Type="http://schemas.openxmlformats.org/officeDocument/2006/relationships/hyperlink" Target="https://www.mdba.gov.au/discover-basin/catchments/condamine-balonne" TargetMode="External" Id="rId182" /><Relationship Type="http://schemas.openxmlformats.org/officeDocument/2006/relationships/hyperlink" Target="http://www.groundwater.com.au/media/W1siZiIsIjIwMTMvMDcvMDkvMTdfNDJfNDBfMTEyX0hhcmFsZF9Ib2ZtYW5uX1BoRF9zbWFsbC5wZGYiXV0/Harald_Hofmann_PhD_small.pdf" TargetMode="External" Id="rId378" /><Relationship Type="http://schemas.openxmlformats.org/officeDocument/2006/relationships/hyperlink" Target="http://www.armourenergy.com.au/assets/1475615.pdf" TargetMode="External" Id="rId403" /><Relationship Type="http://schemas.openxmlformats.org/officeDocument/2006/relationships/hyperlink" Target="file:///Z:\proj\ba2\CommsProducts\Reports\R2P2-2%20Report%20DRAFT\Appendix%20D%20-%20Basin%20Audit\R2P22_draft_appendix_basin_audit_Cooper_FINAL_260917.docx" TargetMode="External" Id="rId238" /><Relationship Type="http://schemas.openxmlformats.org/officeDocument/2006/relationships/hyperlink" Target="http://www.bom.gov.au/water/geofabric/download.shtml" TargetMode="External" Id="rId445" /><Relationship Type="http://schemas.openxmlformats.org/officeDocument/2006/relationships/hyperlink" Target="http://www.bom.gov.au/water/groundwater/ngis/" TargetMode="External" Id="rId487" /><Relationship Type="http://schemas.openxmlformats.org/officeDocument/2006/relationships/hyperlink" Target="https://www.legislation.qld.gov.au/LEGISLTN/CURRENT/W/WaterReCCPl11.pdf" TargetMode="External" Id="rId291" /><Relationship Type="http://schemas.openxmlformats.org/officeDocument/2006/relationships/image" Target="media/image74.jpeg" Id="rId305" /><Relationship Type="http://schemas.openxmlformats.org/officeDocument/2006/relationships/hyperlink" Target="https://www.business.qld.gov.au/industries/mining-energy-water/resources/applications-compliance/lodging-statutory-reports/petroleum-gas-reporting/petroleum-wells" TargetMode="External" Id="rId347" /><Relationship Type="http://schemas.openxmlformats.org/officeDocument/2006/relationships/hyperlink" Target="http://www.bioregionalassessments.gov.au" TargetMode="External" Id="rId512" /><Relationship Type="http://schemas.openxmlformats.org/officeDocument/2006/relationships/hyperlink" Target="https://www.agl.com.au/about-agl/how-we-source-energy/natural-gas/natural-gas-projects/camden-gas-project" TargetMode="External" Id="rId44" /><Relationship Type="http://schemas.openxmlformats.org/officeDocument/2006/relationships/hyperlink" Target="https://ecat.ga.gov.au/geonetwork/srv/eng/search" TargetMode="External" Id="rId86" /><Relationship Type="http://schemas.openxmlformats.org/officeDocument/2006/relationships/image" Target="media/image46.png" Id="rId151" /><Relationship Type="http://schemas.openxmlformats.org/officeDocument/2006/relationships/image" Target="media/image92.png" Id="rId389" /><Relationship Type="http://schemas.openxmlformats.org/officeDocument/2006/relationships/image" Target="media/image57.jpeg" Id="rId193" /><Relationship Type="http://schemas.openxmlformats.org/officeDocument/2006/relationships/hyperlink" Target="https://www.aemo.com.au/-/media/Files/Gas/National_Planning_and_Forecasting/GSOO/2015/Core--Gas-Reserves-and-Resources.pdf" TargetMode="External" Id="rId207" /><Relationship Type="http://schemas.openxmlformats.org/officeDocument/2006/relationships/image" Target="media/image69.png" Id="rId249" /><Relationship Type="http://schemas.openxmlformats.org/officeDocument/2006/relationships/hyperlink" Target="http://qldspatial.information.qld.gov.au/catalogue/custom/index.page" TargetMode="External" Id="rId414" /><Relationship Type="http://schemas.openxmlformats.org/officeDocument/2006/relationships/hyperlink" Target="http://www.falconoilandgas.com/uploads/pdf/Beetaloo_material_gas_resource.pdf" TargetMode="External" Id="rId456" /><Relationship Type="http://schemas.openxmlformats.org/officeDocument/2006/relationships/hyperlink" Target="http://services.ga.gov.au/site_9/rest/services/Oil_Gas_Infrastructure/MapServer" TargetMode="External" Id="rId498" /><Relationship Type="http://schemas.openxmlformats.org/officeDocument/2006/relationships/image" Target="media/image1.png" Id="rId13" /><Relationship Type="http://schemas.openxmlformats.org/officeDocument/2006/relationships/image" Target="media/image30.png" Id="rId109" /><Relationship Type="http://schemas.openxmlformats.org/officeDocument/2006/relationships/hyperlink" Target="http://www.beachenergy.com.au/IRM/Company/ShowPage.aspx/PDFs/3985-10000000/NTNGContingentResources" TargetMode="External" Id="rId260" /><Relationship Type="http://schemas.openxmlformats.org/officeDocument/2006/relationships/hyperlink" Target="http://www.barakaenergy.com.au/pdfs/2012-10-15-012917Confirmation_of_Oil_in_the_Southern_Georgina_Basin_15Oct2012.pdf" TargetMode="External" Id="rId316" /><Relationship Type="http://schemas.openxmlformats.org/officeDocument/2006/relationships/hyperlink" Target="http://www.cometridge.com.au/Projects_NSW.htm" TargetMode="External" Id="rId55" /><Relationship Type="http://schemas.openxmlformats.org/officeDocument/2006/relationships/image" Target="media/image18.png" Id="rId97" /><Relationship Type="http://schemas.openxmlformats.org/officeDocument/2006/relationships/hyperlink" Target="https://www.shale-gas.com.au/environment/regulation-and-licensing/" TargetMode="External" Id="rId120" /><Relationship Type="http://schemas.openxmlformats.org/officeDocument/2006/relationships/header" Target="header18.xml" Id="rId358" /><Relationship Type="http://schemas.openxmlformats.org/officeDocument/2006/relationships/hyperlink" Target="https://www.arrowenergy.com.au/__data/assets/pdf_file/0003/3837/Section_14-Groundwater.pdf" TargetMode="External" Id="rId162" /><Relationship Type="http://schemas.openxmlformats.org/officeDocument/2006/relationships/hyperlink" Target="http://www.asx.com.au/asxpdf/20110131/pdf/41whjc35hlh7cz.pdf" TargetMode="External" Id="rId218" /><Relationship Type="http://schemas.openxmlformats.org/officeDocument/2006/relationships/hyperlink" Target="http://dx.doi.org/10.11636/9781925124668" TargetMode="External" Id="rId425" /><Relationship Type="http://schemas.openxmlformats.org/officeDocument/2006/relationships/hyperlink" Target="https://www.originenergy.com.au/about/investors-media/media-centre/beetaloo-basin-drilling-results-indicate-material-gas-resource.html" TargetMode="External" Id="rId467" /><Relationship Type="http://schemas.openxmlformats.org/officeDocument/2006/relationships/hyperlink" Target="http://qldspatial.information.qld.gov.au/catalogue/custom/index.page" TargetMode="External" Id="rId271" /><Relationship Type="http://schemas.openxmlformats.org/officeDocument/2006/relationships/hyperlink" Target="http://www.bioregionalassessments.gov.au" TargetMode="External" Id="rId24" /><Relationship Type="http://schemas.openxmlformats.org/officeDocument/2006/relationships/hyperlink" Target="https://statedevelopment.sa.gov.au/resourcesUNPUBLISHED/unconventional-gas-projects" TargetMode="External" Id="rId66" /><Relationship Type="http://schemas.openxmlformats.org/officeDocument/2006/relationships/hyperlink" Target="http://www.geoscience.nt.gov.au/gemis/ntgsjspui/handle/1/79187" TargetMode="External" Id="rId131" /><Relationship Type="http://schemas.openxmlformats.org/officeDocument/2006/relationships/hyperlink" Target="https://data.qld.gov.au/dataset/petroleum-gas-production-and-reserve-statistics/resource/9746212a-e0c6-484d-95ad-b2be1c46027d" TargetMode="External" Id="rId327" /><Relationship Type="http://schemas.openxmlformats.org/officeDocument/2006/relationships/hyperlink" Target="http://www.cooperenergy.com.au/Upload/Documents/AnnouncementsItem/2017.02.27-ASX-Sole-Gas-Project.pdf" TargetMode="External" Id="rId369" /><Relationship Type="http://schemas.openxmlformats.org/officeDocument/2006/relationships/hyperlink" Target="https://www.dnrm.qld.gov.au/__data/assets/pdf_file/0020/1253090/burdekin-basin-water-management-protocol.pdf" TargetMode="External" Id="rId173" /><Relationship Type="http://schemas.openxmlformats.org/officeDocument/2006/relationships/hyperlink" Target="https://www.legislation.qld.gov.au/view/pdf/inforce/current/sl-2004-0151" TargetMode="External" Id="rId229" /><Relationship Type="http://schemas.openxmlformats.org/officeDocument/2006/relationships/hyperlink" Target="https://ecat.ga.gov.au/geonetwork/srv/eng/search" TargetMode="External" Id="rId380" /><Relationship Type="http://schemas.openxmlformats.org/officeDocument/2006/relationships/image" Target="media/image104.emf" Id="rId436" /><Relationship Type="http://schemas.openxmlformats.org/officeDocument/2006/relationships/hyperlink" Target="file:///Z:\proj\ba2\CommsProducts\Reports\R2P2-2%20Report%20DRAFT\Appendix%20D%20-%20Basin%20Audit\R2P22_draft_appendix_basin_audit_Cooper_FINAL_260917.docx" TargetMode="External" Id="rId240" /><Relationship Type="http://schemas.openxmlformats.org/officeDocument/2006/relationships/header" Target="header25.xml" Id="rId478" /></Relationships>
</file>

<file path=word/_rels/foot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308</Pages>
  <Words>68558</Words>
  <Characters>485094</Characters>
  <Application>Microsoft Office Word</Application>
  <DocSecurity>0</DocSecurity>
  <Lines>4042</Lines>
  <Paragraphs>1105</Paragraphs>
  <ScaleCrop>false</ScaleCrop>
  <HeadingPairs>
    <vt:vector size="2" baseType="variant">
      <vt:variant>
        <vt:lpstr>Title</vt:lpstr>
      </vt:variant>
      <vt:variant>
        <vt:i4>1</vt:i4>
      </vt:variant>
    </vt:vector>
  </HeadingPairs>
  <Company/>
  <LinksUpToDate>false</LinksUpToDate>
  <CharactersWithSpaces>552547</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2018-07-04T03:30:00Z</dcterms:created>
  <dcterms:modified xsi:type="dcterms:W3CDTF">2018-07-04T03:30:00Z</dcterms:modified>
  <cp:category/>
</cp:coreProperties>
</file>

<file path=docProps/custom3.xml><?xml version="1.0" encoding="utf-8"?>
<op:Properties xmlns:op="http://schemas.openxmlformats.org/officeDocument/2006/custom-properties">
  <op:property fmtid="{D5CDD505-2E9C-101B-9397-08002B2CF9AE}" pid="3" name="_MarkAsFinal">
    <vt:bool xmlns:vt="http://schemas.openxmlformats.org/officeDocument/2006/docPropsVTypes">true</vt:bool>
  </op:property>
</op:Properties>
</file>