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45CC84" w14:textId="30F0DFCE" w:rsidR="00D62B82" w:rsidRDefault="00F4136A" w:rsidP="005A3281">
      <w:pPr>
        <w:spacing w:after="60"/>
      </w:pPr>
      <w:r>
        <w:rPr>
          <w:noProof/>
        </w:rPr>
        <w:drawing>
          <wp:anchor distT="0" distB="0" distL="114300" distR="114300" simplePos="0" relativeHeight="251681792" behindDoc="1" locked="0" layoutInCell="1" allowOverlap="1" wp14:anchorId="71EFEEC0" wp14:editId="1CDBE286">
            <wp:simplePos x="0" y="0"/>
            <wp:positionH relativeFrom="column">
              <wp:posOffset>-175260</wp:posOffset>
            </wp:positionH>
            <wp:positionV relativeFrom="paragraph">
              <wp:posOffset>-532765</wp:posOffset>
            </wp:positionV>
            <wp:extent cx="2400300" cy="1154545"/>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BA%20logo%20with%20partners%20-%20DAW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00300" cy="1154545"/>
                    </a:xfrm>
                    <a:prstGeom prst="rect">
                      <a:avLst/>
                    </a:prstGeom>
                  </pic:spPr>
                </pic:pic>
              </a:graphicData>
            </a:graphic>
            <wp14:sizeRelH relativeFrom="margin">
              <wp14:pctWidth>0</wp14:pctWidth>
            </wp14:sizeRelH>
            <wp14:sizeRelV relativeFrom="margin">
              <wp14:pctHeight>0</wp14:pctHeight>
            </wp14:sizeRelV>
          </wp:anchor>
        </w:drawing>
      </w:r>
    </w:p>
    <w:p w14:paraId="73C3AAC2" w14:textId="492598D2" w:rsidR="00D62B82" w:rsidRDefault="00D62B82" w:rsidP="005A3281">
      <w:pPr>
        <w:spacing w:after="60"/>
      </w:pPr>
    </w:p>
    <w:p w14:paraId="347AC745" w14:textId="426499F0" w:rsidR="00C50D66" w:rsidRDefault="00AB3CB8" w:rsidP="005A3281">
      <w:pPr>
        <w:spacing w:after="60"/>
      </w:pPr>
      <w:r>
        <w:rPr>
          <w:noProof/>
        </w:rPr>
        <mc:AlternateContent>
          <mc:Choice Requires="wps">
            <w:drawing>
              <wp:anchor distT="0" distB="0" distL="114300" distR="114300" simplePos="0" relativeHeight="251659264" behindDoc="0" locked="0" layoutInCell="1" allowOverlap="1" wp14:anchorId="0468D604" wp14:editId="71C8B0D4">
                <wp:simplePos x="0" y="0"/>
                <wp:positionH relativeFrom="column">
                  <wp:posOffset>5715</wp:posOffset>
                </wp:positionH>
                <wp:positionV relativeFrom="paragraph">
                  <wp:posOffset>95885</wp:posOffset>
                </wp:positionV>
                <wp:extent cx="6982460" cy="762000"/>
                <wp:effectExtent l="0" t="0" r="0" b="0"/>
                <wp:wrapNone/>
                <wp:docPr id="1" name="Text Box 1"/>
                <wp:cNvGraphicFramePr/>
                <a:graphic xmlns:a="http://schemas.openxmlformats.org/drawingml/2006/main">
                  <a:graphicData uri="http://schemas.microsoft.com/office/word/2010/wordprocessingShape">
                    <wps:wsp>
                      <wps:cNvSpPr txBox="1"/>
                      <wps:spPr>
                        <a:xfrm>
                          <a:off x="0" y="0"/>
                          <a:ext cx="6982460" cy="762000"/>
                        </a:xfrm>
                        <a:prstGeom prst="rect">
                          <a:avLst/>
                        </a:prstGeom>
                        <a:noFill/>
                        <a:ln>
                          <a:noFill/>
                        </a:ln>
                      </wps:spPr>
                      <wps:txbx>
                        <w:txbxContent>
                          <w:p w14:paraId="29EAD906" w14:textId="77777777" w:rsidR="006F7C25" w:rsidRPr="00692EBE" w:rsidRDefault="008D30FF" w:rsidP="006F7C25">
                            <w:pPr>
                              <w:jc w:val="center"/>
                              <w:rPr>
                                <w:rFonts w:asciiTheme="minorHAnsi" w:hAnsiTheme="minorHAnsi" w:cstheme="minorHAnsi"/>
                                <w:color w:val="auto"/>
                                <w:sz w:val="96"/>
                                <w:szCs w:val="72"/>
                                <w:lang w:val="en-US"/>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92EBE">
                              <w:rPr>
                                <w:rFonts w:asciiTheme="minorHAnsi" w:hAnsiTheme="minorHAnsi" w:cstheme="minorHAnsi"/>
                                <w:color w:val="auto"/>
                                <w:sz w:val="96"/>
                                <w:szCs w:val="72"/>
                                <w:lang w:val="en-US"/>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14:props3d w14:extrusionH="57150" w14:contourW="0" w14:prstMaterial="matte">
                                  <w14:bevelT w14:w="63500" w14:h="12700" w14:prst="angle"/>
                                  <w14:contourClr>
                                    <w14:schemeClr w14:val="bg1">
                                      <w14:lumMod w14:val="65000"/>
                                    </w14:schemeClr>
                                  </w14:contourClr>
                                </w14:props3d>
                              </w:rPr>
                              <w:t>The GBA Bulletin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0468D604" id="_x0000_t202" coordsize="21600,21600" o:spt="202" path="m,l,21600r21600,l21600,xe">
                <v:stroke joinstyle="miter"/>
                <v:path gradientshapeok="t" o:connecttype="rect"/>
              </v:shapetype>
              <v:shape id="Text Box 1" o:spid="_x0000_s1026" type="#_x0000_t202" style="position:absolute;left:0;text-align:left;margin-left:.45pt;margin-top:7.55pt;width:549.8pt;height:6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1pFhgIAAAYFAAAOAAAAZHJzL2Uyb0RvYy54bWysVMtu2zAQvBfoPxC8N7IdPxIhcuAmSFsg&#10;L8AucqYpyhJAkSxJWUq/vkNKdty0p6IXark7Wu7ODnl13dWS7IV1lVYZHZ+NKBGK67xSu4x+39x9&#10;uqDEeaZyJrUSGX0Vjl4vP364ak0qJrrUMheWIIlyaWsyWnpv0iRxvBQ1c2faCIVgoW3NPLZ2l+SW&#10;tchey2QyGs2TVtvcWM2Fc/De9kG6jPmLQnD/VBROeCIzitp8XG1ct2FNllcs3VlmyooPZbB/qKJm&#10;lcKhx1S3zDPS2OqPVHXFrXa68Gdc14kuioqL2AO6GY/edbMumRGxF5DjzJEm9//S8sf9syVVjtlR&#10;oliNEW1E58ln3ZFxYKc1LgVobQDzHdwBOfgdnKHprrB1+KIdgjh4fj1yG5JxOOeXF5PpHCGO2GKO&#10;2UXyk7e/jXX+i9A1CUZGLWYXKWX7e+dxIqAHSDhM6btKyjg/qX5zABg8SSi9LzFYvtt2Q91bnb+i&#10;Hat7OTjD7yqcec+cf2YW80eZ0LR/wlJI3WZUDxYlpbY//+YPeIwFUUpa6Cmj7kfDrKBEflMY2OV4&#10;Og0CjJvpbDHBxp5GtqcR1dQ3GpLFUFBdNAPey4NZWF2/QPqrcCpCTHGcnVF/MG98r3JcHS5WqwiC&#10;5Azz92pteEgdSAuMbroXZs1Au8fAHvVBeSx9x36P7eleNV4XVRgNA8/nOcGvtgkvwdeMzhbjGeoK&#10;+R+YF7ZiaAeX2AdBs3Qr9kJuCKidn88gBVKioskiWP34mdpJ0V9PrpXXjb2RUWzxaRDYkH1Iud31&#10;jcimftB575sj40FdR3gU0GkqyCRUPQil18SwwWWL8OFhCLf5dB9Rb8/X8hcAAAD//wMAUEsDBBQA&#10;BgAIAAAAIQAPukS72gAAAAgBAAAPAAAAZHJzL2Rvd25yZXYueG1sTI9BT8MwDIXvSPyHyEjcmFOg&#10;iJWmEwJxBTFg0m5Z47UVjVM12Vr+Pd4JbvZ7T8+fy9Xse3WkMXaBDWQLDYq4Dq7jxsDnx8vVPaiY&#10;LDvbByYDPxRhVZ2flbZwYeJ3Oq5To6SEY2ENtCkNBWKsW/I2LsJALN4+jN4mWccG3WgnKfc9Xmt9&#10;h952LBdaO9BTS/X3+uANfL3ut5tb/dY8+3yYwqyR/RKNubyYHx9AJZrTXxhO+IIOlTDtwoFdVL2B&#10;peREzTNQJzfTOge1k+lGJKxK/P9A9QsAAP//AwBQSwECLQAUAAYACAAAACEAtoM4kv4AAADhAQAA&#10;EwAAAAAAAAAAAAAAAAAAAAAAW0NvbnRlbnRfVHlwZXNdLnhtbFBLAQItABQABgAIAAAAIQA4/SH/&#10;1gAAAJQBAAALAAAAAAAAAAAAAAAAAC8BAABfcmVscy8ucmVsc1BLAQItABQABgAIAAAAIQDRy1pF&#10;hgIAAAYFAAAOAAAAAAAAAAAAAAAAAC4CAABkcnMvZTJvRG9jLnhtbFBLAQItABQABgAIAAAAIQAP&#10;ukS72gAAAAgBAAAPAAAAAAAAAAAAAAAAAOAEAABkcnMvZG93bnJldi54bWxQSwUGAAAAAAQABADz&#10;AAAA5wUAAAAA&#10;" filled="f" stroked="f">
                <v:textbox>
                  <w:txbxContent>
                    <w:p w14:paraId="29EAD906" w14:textId="77777777" w:rsidR="006F7C25" w:rsidRPr="00692EBE" w:rsidRDefault="008D30FF" w:rsidP="006F7C25">
                      <w:pPr>
                        <w:jc w:val="center"/>
                        <w:rPr>
                          <w:rFonts w:asciiTheme="minorHAnsi" w:hAnsiTheme="minorHAnsi" w:cstheme="minorHAnsi"/>
                          <w:color w:val="auto"/>
                          <w:sz w:val="96"/>
                          <w:szCs w:val="72"/>
                          <w:lang w:val="en-US"/>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92EBE">
                        <w:rPr>
                          <w:rFonts w:asciiTheme="minorHAnsi" w:hAnsiTheme="minorHAnsi" w:cstheme="minorHAnsi"/>
                          <w:color w:val="auto"/>
                          <w:sz w:val="96"/>
                          <w:szCs w:val="72"/>
                          <w:lang w:val="en-US"/>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14:props3d w14:extrusionH="57150" w14:contourW="0" w14:prstMaterial="matte">
                            <w14:bevelT w14:w="63500" w14:h="12700" w14:prst="angle"/>
                            <w14:contourClr>
                              <w14:schemeClr w14:val="bg1">
                                <w14:lumMod w14:val="65000"/>
                              </w14:schemeClr>
                            </w14:contourClr>
                          </w14:props3d>
                        </w:rPr>
                        <w:t>The GBA Bulletin</w:t>
                      </w:r>
                    </w:p>
                  </w:txbxContent>
                </v:textbox>
              </v:shape>
            </w:pict>
          </mc:Fallback>
        </mc:AlternateContent>
      </w:r>
    </w:p>
    <w:p w14:paraId="653B6008" w14:textId="537A1C19" w:rsidR="00C50D66" w:rsidRDefault="00C50D66" w:rsidP="005A3281">
      <w:pPr>
        <w:spacing w:after="60"/>
      </w:pPr>
    </w:p>
    <w:p w14:paraId="31DFF510" w14:textId="435C24DF" w:rsidR="00C50D66" w:rsidRDefault="00C50D66" w:rsidP="005A3281">
      <w:pPr>
        <w:spacing w:after="60"/>
      </w:pPr>
    </w:p>
    <w:p w14:paraId="77C93EB3" w14:textId="40FF62D1" w:rsidR="00D62B82" w:rsidRDefault="00AB3CB8" w:rsidP="00AB3CB8">
      <w:pPr>
        <w:spacing w:after="240"/>
      </w:pPr>
      <w:r>
        <w:rPr>
          <w:noProof/>
        </w:rPr>
        <mc:AlternateContent>
          <mc:Choice Requires="wps">
            <w:drawing>
              <wp:anchor distT="0" distB="0" distL="114300" distR="114300" simplePos="0" relativeHeight="251669504" behindDoc="0" locked="0" layoutInCell="1" allowOverlap="1" wp14:anchorId="6D114FD9" wp14:editId="35DEF713">
                <wp:simplePos x="0" y="0"/>
                <wp:positionH relativeFrom="page">
                  <wp:posOffset>285750</wp:posOffset>
                </wp:positionH>
                <wp:positionV relativeFrom="paragraph">
                  <wp:posOffset>67945</wp:posOffset>
                </wp:positionV>
                <wp:extent cx="6982460" cy="304800"/>
                <wp:effectExtent l="0" t="0" r="0" b="0"/>
                <wp:wrapNone/>
                <wp:docPr id="4" name="Text Box 4"/>
                <wp:cNvGraphicFramePr/>
                <a:graphic xmlns:a="http://schemas.openxmlformats.org/drawingml/2006/main">
                  <a:graphicData uri="http://schemas.microsoft.com/office/word/2010/wordprocessingShape">
                    <wps:wsp>
                      <wps:cNvSpPr txBox="1"/>
                      <wps:spPr>
                        <a:xfrm>
                          <a:off x="0" y="0"/>
                          <a:ext cx="6982460" cy="304800"/>
                        </a:xfrm>
                        <a:prstGeom prst="rect">
                          <a:avLst/>
                        </a:prstGeom>
                        <a:noFill/>
                        <a:ln>
                          <a:noFill/>
                        </a:ln>
                      </wps:spPr>
                      <wps:txbx>
                        <w:txbxContent>
                          <w:p w14:paraId="29E6CC5B" w14:textId="77777777" w:rsidR="00B30E6B" w:rsidRPr="00B30E6B" w:rsidRDefault="00B30E6B" w:rsidP="00AB3CB8">
                            <w:pPr>
                              <w:autoSpaceDE w:val="0"/>
                              <w:autoSpaceDN w:val="0"/>
                              <w:adjustRightInd w:val="0"/>
                              <w:spacing w:after="0" w:line="240" w:lineRule="auto"/>
                              <w:ind w:left="0" w:firstLine="0"/>
                              <w:jc w:val="center"/>
                              <w:rPr>
                                <w:rFonts w:ascii="Calibri-Bold" w:eastAsiaTheme="minorEastAsia" w:hAnsi="Calibri-Bold" w:cs="Calibri-Bold"/>
                                <w:b/>
                                <w:bCs/>
                                <w:color w:val="auto"/>
                              </w:rPr>
                            </w:pPr>
                            <w:r w:rsidRPr="00B30E6B">
                              <w:rPr>
                                <w:rFonts w:ascii="Calibri-Bold" w:eastAsiaTheme="minorEastAsia" w:hAnsi="Calibri-Bold" w:cs="Calibri-Bold"/>
                                <w:b/>
                                <w:bCs/>
                                <w:color w:val="auto"/>
                              </w:rPr>
                              <w:t>Issue 2, February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D114FD9" id="Text Box 4" o:spid="_x0000_s1027" type="#_x0000_t202" style="position:absolute;left:0;text-align:left;margin-left:22.5pt;margin-top:5.35pt;width:549.8pt;height:24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GZigIAAA0FAAAOAAAAZHJzL2Uyb0RvYy54bWysVMtu2zAQvBfoPxC8N7Id2UmMyIGbIG2B&#10;vIC4yJmmKEsAxWVJ2lb69R1StuOmPRW9UPvScnd2lpdXXavZRjnfkCn48GTAmTKSysasCv59cfvp&#10;nDMfhCmFJqMK/qo8v5p9/HC5tVM1opp0qRxDEuOnW1vwOgQ7zTIva9UKf0JWGTgrcq0IUN0qK53Y&#10;Inurs9FgMMm25ErrSCrvYb3pnXyW8leVkuGxqrwKTBcctYV0unQu45nNLsV05YStG7krQ/xDFa1o&#10;DC49pLoRQbC1a/5I1TbSkacqnEhqM6qqRqrUA7oZDt5181wLq1IvAMfbA0z+/6WVD5snx5qy4Dln&#10;RrQY0UJ1gX2mjuURna31UwQ9W4SFDmZMeW/3MMamu8q18Yt2GPzA+fWAbUwmYZxcnI/yCVwSvtNB&#10;fj5I4Gdvf1vnwxdFLYtCwR1mlyAVmzsfUAlC9yHxMkO3jdZpftr8ZkBgtGSx9L7EKIVu2aVGD+Uv&#10;qXxFV456VngrbxtcfSd8eBIONEC1oHZ4xFFp2hacdhJnNbmff7PHeEwHXs62oFXB/Y+1cIoz/c1g&#10;bhfDPI88TEo+PhtBccee5bHHrNtrAnOHWCIrkxjjg96LlaP2BRswj7fCJYzE3QUPe/E69GTHBkk1&#10;n6cgMM+KcGeerYypI3YR2EX3IpzdoR8wtwfaE1BM3w2hj+1Rn68DVU2ckADcpyXDr24dH4SvBR+f&#10;DceoK+a/F0G5RqAd7HKIvBbTpdoovWCAdnI6BiNYjYpGZ1HqWSDMSqt+SyWZQGt3rRPn0guhoLBN&#10;TLlc9Y3odXtPZW+bIOOeZIfwxKPjVGBLrHrHl54TOwU7l8J370Nc6mM9Rb29YrNfAAAA//8DAFBL&#10;AwQUAAYACAAAACEAlCnjON4AAAAJAQAADwAAAGRycy9kb3ducmV2LnhtbEyPS2/CMBCE75X6H6yt&#10;1FuxqRIeIRtUteq1FfQhcTPxkkTE6yg2JP33NSc4zs5q5pt8PdpWnKn3jWOE6USBIC6dabhC+P56&#10;f1qA8EGz0a1jQvgjD+vi/i7XmXEDb+i8DZWIIewzjVCH0GVS+rImq/3EdcTRO7je6hBlX0nT6yGG&#10;21Y+KzWTVjccG2rd0WtN5XF7sgg/H4fdb6I+qzebdoMblWS7lIiPD+PLCkSgMVyf4YIf0aGITHt3&#10;YuNFi5CkcUqIdzUHcfGnSTIDsUdIF3OQRS5vFxT/AAAA//8DAFBLAQItABQABgAIAAAAIQC2gziS&#10;/gAAAOEBAAATAAAAAAAAAAAAAAAAAAAAAABbQ29udGVudF9UeXBlc10ueG1sUEsBAi0AFAAGAAgA&#10;AAAhADj9If/WAAAAlAEAAAsAAAAAAAAAAAAAAAAALwEAAF9yZWxzLy5yZWxzUEsBAi0AFAAGAAgA&#10;AAAhAOZRUZmKAgAADQUAAA4AAAAAAAAAAAAAAAAALgIAAGRycy9lMm9Eb2MueG1sUEsBAi0AFAAG&#10;AAgAAAAhAJQp4zjeAAAACQEAAA8AAAAAAAAAAAAAAAAA5AQAAGRycy9kb3ducmV2LnhtbFBLBQYA&#10;AAAABAAEAPMAAADvBQAAAAA=&#10;" filled="f" stroked="f">
                <v:textbox>
                  <w:txbxContent>
                    <w:p w14:paraId="29E6CC5B" w14:textId="77777777" w:rsidR="00B30E6B" w:rsidRPr="00B30E6B" w:rsidRDefault="00B30E6B" w:rsidP="00AB3CB8">
                      <w:pPr>
                        <w:autoSpaceDE w:val="0"/>
                        <w:autoSpaceDN w:val="0"/>
                        <w:adjustRightInd w:val="0"/>
                        <w:spacing w:after="0" w:line="240" w:lineRule="auto"/>
                        <w:ind w:left="0" w:firstLine="0"/>
                        <w:jc w:val="center"/>
                        <w:rPr>
                          <w:rFonts w:ascii="Calibri-Bold" w:eastAsiaTheme="minorEastAsia" w:hAnsi="Calibri-Bold" w:cs="Calibri-Bold"/>
                          <w:b/>
                          <w:bCs/>
                          <w:color w:val="auto"/>
                        </w:rPr>
                      </w:pPr>
                      <w:r w:rsidRPr="00B30E6B">
                        <w:rPr>
                          <w:rFonts w:ascii="Calibri-Bold" w:eastAsiaTheme="minorEastAsia" w:hAnsi="Calibri-Bold" w:cs="Calibri-Bold"/>
                          <w:b/>
                          <w:bCs/>
                          <w:color w:val="auto"/>
                        </w:rPr>
                        <w:t>Issue 2, February 2020</w:t>
                      </w:r>
                    </w:p>
                  </w:txbxContent>
                </v:textbox>
                <w10:wrap anchorx="page"/>
              </v:shape>
            </w:pict>
          </mc:Fallback>
        </mc:AlternateContent>
      </w:r>
    </w:p>
    <w:tbl>
      <w:tblPr>
        <w:tblStyle w:val="TableGrid"/>
        <w:tblpPr w:vertAnchor="text" w:horzAnchor="margin" w:tblpX="32"/>
        <w:tblOverlap w:val="never"/>
        <w:tblW w:w="10928" w:type="dxa"/>
        <w:tblInd w:w="0" w:type="dxa"/>
        <w:tblCellMar>
          <w:top w:w="50" w:type="dxa"/>
          <w:left w:w="50" w:type="dxa"/>
          <w:right w:w="102" w:type="dxa"/>
        </w:tblCellMar>
        <w:tblLook w:val="04A0" w:firstRow="1" w:lastRow="0" w:firstColumn="1" w:lastColumn="0" w:noHBand="0" w:noVBand="1"/>
      </w:tblPr>
      <w:tblGrid>
        <w:gridCol w:w="10928"/>
      </w:tblGrid>
      <w:tr w:rsidR="00D90293" w14:paraId="142F419E" w14:textId="77777777" w:rsidTr="001D5EBF">
        <w:trPr>
          <w:trHeight w:val="4197"/>
        </w:trPr>
        <w:tc>
          <w:tcPr>
            <w:tcW w:w="10928" w:type="dxa"/>
            <w:shd w:val="clear" w:color="auto" w:fill="D3D2D2"/>
          </w:tcPr>
          <w:p w14:paraId="7E775BB3" w14:textId="6BC99F29" w:rsidR="005A3281" w:rsidRDefault="005A3281" w:rsidP="00AB3CB8">
            <w:pPr>
              <w:autoSpaceDE w:val="0"/>
              <w:autoSpaceDN w:val="0"/>
              <w:adjustRightInd w:val="0"/>
              <w:spacing w:after="0" w:line="240" w:lineRule="auto"/>
              <w:ind w:left="0" w:firstLine="0"/>
              <w:rPr>
                <w:rFonts w:ascii="Calibri-Bold" w:eastAsiaTheme="minorEastAsia" w:hAnsi="Calibri-Bold" w:cs="Calibri-Bold"/>
                <w:b/>
                <w:bCs/>
                <w:color w:val="auto"/>
              </w:rPr>
            </w:pPr>
            <w:r>
              <w:rPr>
                <w:rFonts w:ascii="Calibri-Bold" w:eastAsiaTheme="minorEastAsia" w:hAnsi="Calibri-Bold" w:cs="Calibri-Bold"/>
                <w:b/>
                <w:bCs/>
                <w:color w:val="auto"/>
              </w:rPr>
              <w:t>Introducing Emily Turner</w:t>
            </w:r>
          </w:p>
          <w:p w14:paraId="4405D9D6" w14:textId="797434CC" w:rsidR="005A3281" w:rsidRDefault="005A3281" w:rsidP="005A3281">
            <w:pPr>
              <w:autoSpaceDE w:val="0"/>
              <w:autoSpaceDN w:val="0"/>
              <w:adjustRightInd w:val="0"/>
              <w:spacing w:after="60" w:line="240" w:lineRule="auto"/>
              <w:ind w:left="0" w:firstLine="0"/>
              <w:rPr>
                <w:rFonts w:eastAsiaTheme="minorEastAsia"/>
                <w:color w:val="auto"/>
                <w:sz w:val="20"/>
                <w:szCs w:val="20"/>
              </w:rPr>
            </w:pPr>
            <w:r>
              <w:rPr>
                <w:rFonts w:eastAsiaTheme="minorEastAsia"/>
                <w:color w:val="auto"/>
                <w:sz w:val="20"/>
                <w:szCs w:val="20"/>
              </w:rPr>
              <w:t xml:space="preserve">Hi, I’m Emily, the new </w:t>
            </w:r>
            <w:r w:rsidR="003C43EE">
              <w:rPr>
                <w:rFonts w:eastAsiaTheme="minorEastAsia"/>
                <w:color w:val="auto"/>
                <w:sz w:val="20"/>
                <w:szCs w:val="20"/>
              </w:rPr>
              <w:t>Geological and Bioregional Assessments (GBA)</w:t>
            </w:r>
            <w:r>
              <w:rPr>
                <w:rFonts w:eastAsiaTheme="minorEastAsia"/>
                <w:color w:val="auto"/>
                <w:sz w:val="20"/>
                <w:szCs w:val="20"/>
              </w:rPr>
              <w:t xml:space="preserve"> Program Director. I’m very excited to join the team! I’ve recently worked on regulation of coal seam gas</w:t>
            </w:r>
            <w:r w:rsidR="00B30E6B">
              <w:rPr>
                <w:rFonts w:eastAsiaTheme="minorEastAsia"/>
                <w:color w:val="auto"/>
                <w:sz w:val="20"/>
                <w:szCs w:val="20"/>
              </w:rPr>
              <w:t xml:space="preserve"> </w:t>
            </w:r>
            <w:r>
              <w:rPr>
                <w:rFonts w:eastAsiaTheme="minorEastAsia"/>
                <w:color w:val="auto"/>
                <w:sz w:val="20"/>
                <w:szCs w:val="20"/>
              </w:rPr>
              <w:t>approvals in Queensland and previously worked on the Bioregional Assessment Program. I’m looking forward to seeing a lot of our</w:t>
            </w:r>
            <w:r w:rsidR="00B30E6B">
              <w:rPr>
                <w:rFonts w:eastAsiaTheme="minorEastAsia"/>
                <w:color w:val="auto"/>
                <w:sz w:val="20"/>
                <w:szCs w:val="20"/>
              </w:rPr>
              <w:t xml:space="preserve"> </w:t>
            </w:r>
            <w:r>
              <w:rPr>
                <w:rFonts w:eastAsiaTheme="minorEastAsia"/>
                <w:color w:val="auto"/>
                <w:sz w:val="20"/>
                <w:szCs w:val="20"/>
              </w:rPr>
              <w:t>beautiful country in the coming months, so hope to meet many of you soon. Anthony Swirepik has contributed so much to the</w:t>
            </w:r>
            <w:r w:rsidR="00B30E6B">
              <w:rPr>
                <w:rFonts w:eastAsiaTheme="minorEastAsia"/>
                <w:color w:val="auto"/>
                <w:sz w:val="20"/>
                <w:szCs w:val="20"/>
              </w:rPr>
              <w:t xml:space="preserve"> </w:t>
            </w:r>
            <w:r>
              <w:rPr>
                <w:rFonts w:eastAsiaTheme="minorEastAsia"/>
                <w:color w:val="auto"/>
                <w:sz w:val="20"/>
                <w:szCs w:val="20"/>
              </w:rPr>
              <w:t>Program and we wish him all the best in his new role in the Department.</w:t>
            </w:r>
            <w:r w:rsidR="00B30E6B">
              <w:rPr>
                <w:rFonts w:eastAsiaTheme="minorEastAsia"/>
                <w:color w:val="auto"/>
                <w:sz w:val="20"/>
                <w:szCs w:val="20"/>
              </w:rPr>
              <w:t xml:space="preserve"> </w:t>
            </w:r>
            <w:r>
              <w:rPr>
                <w:rFonts w:eastAsiaTheme="minorEastAsia"/>
                <w:color w:val="auto"/>
                <w:sz w:val="20"/>
                <w:szCs w:val="20"/>
              </w:rPr>
              <w:t xml:space="preserve">Our team also farewells Rod Dann and Alex Tomlinson and welcomes Megan Stanford and Jason Hendriks. Megan will focus on making sure the assessments are useful to our key audiences and Jason will use his IT expertise to </w:t>
            </w:r>
            <w:r w:rsidR="00B821BD">
              <w:rPr>
                <w:rFonts w:eastAsiaTheme="minorEastAsia"/>
                <w:color w:val="auto"/>
                <w:sz w:val="20"/>
                <w:szCs w:val="20"/>
              </w:rPr>
              <w:t>assist</w:t>
            </w:r>
            <w:r>
              <w:rPr>
                <w:rFonts w:eastAsiaTheme="minorEastAsia"/>
                <w:color w:val="auto"/>
                <w:sz w:val="20"/>
                <w:szCs w:val="20"/>
              </w:rPr>
              <w:t xml:space="preserve"> on our data and information systems.</w:t>
            </w:r>
          </w:p>
          <w:p w14:paraId="2F82D1AB" w14:textId="68C025A1" w:rsidR="005A3281" w:rsidRDefault="005A3281" w:rsidP="00784FE0">
            <w:pPr>
              <w:autoSpaceDE w:val="0"/>
              <w:autoSpaceDN w:val="0"/>
              <w:adjustRightInd w:val="0"/>
              <w:spacing w:after="0" w:line="240" w:lineRule="auto"/>
              <w:ind w:left="0" w:firstLine="0"/>
              <w:rPr>
                <w:rFonts w:ascii="Calibri-Bold" w:eastAsiaTheme="minorEastAsia" w:hAnsi="Calibri-Bold" w:cs="Calibri-Bold"/>
                <w:b/>
                <w:bCs/>
                <w:color w:val="auto"/>
              </w:rPr>
            </w:pPr>
            <w:r>
              <w:rPr>
                <w:rFonts w:ascii="Calibri-Bold" w:eastAsiaTheme="minorEastAsia" w:hAnsi="Calibri-Bold" w:cs="Calibri-Bold"/>
                <w:b/>
                <w:bCs/>
                <w:color w:val="auto"/>
              </w:rPr>
              <w:t>Program Progress</w:t>
            </w:r>
          </w:p>
          <w:p w14:paraId="48B24850" w14:textId="0D8A60A5" w:rsidR="00D90293" w:rsidRDefault="005A3281" w:rsidP="00B30E6B">
            <w:pPr>
              <w:autoSpaceDE w:val="0"/>
              <w:autoSpaceDN w:val="0"/>
              <w:adjustRightInd w:val="0"/>
              <w:spacing w:after="60" w:line="240" w:lineRule="auto"/>
              <w:ind w:left="0" w:firstLine="0"/>
              <w:rPr>
                <w:rFonts w:eastAsiaTheme="minorEastAsia"/>
                <w:color w:val="auto"/>
                <w:sz w:val="20"/>
                <w:szCs w:val="20"/>
              </w:rPr>
            </w:pPr>
            <w:r>
              <w:rPr>
                <w:rFonts w:eastAsiaTheme="minorEastAsia"/>
                <w:color w:val="auto"/>
                <w:sz w:val="20"/>
                <w:szCs w:val="20"/>
              </w:rPr>
              <w:t>Work has commenced on Stage 3 of the Program, Impact Analysis and Management. Stage 3 will analyse the potential impacts to</w:t>
            </w:r>
            <w:r w:rsidR="00B30E6B">
              <w:rPr>
                <w:rFonts w:eastAsiaTheme="minorEastAsia"/>
                <w:color w:val="auto"/>
                <w:sz w:val="20"/>
                <w:szCs w:val="20"/>
              </w:rPr>
              <w:t xml:space="preserve"> </w:t>
            </w:r>
            <w:r>
              <w:rPr>
                <w:rFonts w:eastAsiaTheme="minorEastAsia"/>
                <w:color w:val="auto"/>
                <w:sz w:val="20"/>
                <w:szCs w:val="20"/>
              </w:rPr>
              <w:t>water resources and matters of environmental significance to inform and support Commonwealth and State management and</w:t>
            </w:r>
            <w:r w:rsidR="00B30E6B">
              <w:rPr>
                <w:rFonts w:eastAsiaTheme="minorEastAsia"/>
                <w:color w:val="auto"/>
                <w:sz w:val="20"/>
                <w:szCs w:val="20"/>
              </w:rPr>
              <w:t xml:space="preserve"> </w:t>
            </w:r>
            <w:r>
              <w:rPr>
                <w:rFonts w:eastAsiaTheme="minorEastAsia"/>
                <w:color w:val="auto"/>
                <w:sz w:val="20"/>
                <w:szCs w:val="20"/>
              </w:rPr>
              <w:t>compliance activities. Stage 3 will be finalised in 2021.</w:t>
            </w:r>
          </w:p>
          <w:p w14:paraId="7A8D11EE" w14:textId="77777777" w:rsidR="00B30E6B" w:rsidRPr="00617FB8" w:rsidRDefault="00B30E6B" w:rsidP="00617FB8">
            <w:pPr>
              <w:autoSpaceDE w:val="0"/>
              <w:autoSpaceDN w:val="0"/>
              <w:adjustRightInd w:val="0"/>
              <w:spacing w:after="0" w:line="240" w:lineRule="auto"/>
              <w:ind w:left="0" w:firstLine="0"/>
              <w:rPr>
                <w:rFonts w:ascii="Calibri-Bold" w:eastAsiaTheme="minorEastAsia" w:hAnsi="Calibri-Bold" w:cs="Calibri-Bold"/>
                <w:b/>
                <w:bCs/>
                <w:color w:val="auto"/>
              </w:rPr>
            </w:pPr>
            <w:r w:rsidRPr="00617FB8">
              <w:rPr>
                <w:rFonts w:ascii="Calibri-Bold" w:eastAsiaTheme="minorEastAsia" w:hAnsi="Calibri-Bold" w:cs="Calibri-Bold"/>
                <w:b/>
                <w:bCs/>
                <w:color w:val="auto"/>
              </w:rPr>
              <w:t>Machinery of Government Change</w:t>
            </w:r>
          </w:p>
          <w:p w14:paraId="41EF4B79" w14:textId="720A76DE" w:rsidR="00B30E6B" w:rsidRPr="00784FE0" w:rsidRDefault="00B30E6B" w:rsidP="00F27F57">
            <w:pPr>
              <w:pStyle w:val="NoParagraphStyle"/>
              <w:spacing w:line="240" w:lineRule="auto"/>
              <w:rPr>
                <w:rFonts w:ascii="Calibri" w:hAnsi="Calibri" w:cs="Calibri"/>
                <w:sz w:val="20"/>
                <w:szCs w:val="20"/>
              </w:rPr>
            </w:pPr>
            <w:r>
              <w:rPr>
                <w:rFonts w:ascii="Calibri" w:hAnsi="Calibri" w:cs="Calibri"/>
                <w:sz w:val="20"/>
                <w:szCs w:val="20"/>
              </w:rPr>
              <w:t xml:space="preserve">On 5 December 2019 the Prime Minister, the Hon Scott Morrison MP, announced a reduction in the number of government </w:t>
            </w:r>
            <w:r>
              <w:rPr>
                <w:sz w:val="20"/>
                <w:szCs w:val="20"/>
              </w:rPr>
              <w:t>departments from 18 to 14 to ensure services Australians rely on are delivered efficiently and effectively. As of 1 February 2020, the environment functions of the Department of</w:t>
            </w:r>
            <w:r w:rsidR="003C43EE">
              <w:rPr>
                <w:sz w:val="20"/>
                <w:szCs w:val="20"/>
              </w:rPr>
              <w:t xml:space="preserve"> the</w:t>
            </w:r>
            <w:r>
              <w:rPr>
                <w:sz w:val="20"/>
                <w:szCs w:val="20"/>
              </w:rPr>
              <w:t xml:space="preserve"> Environment and Energy</w:t>
            </w:r>
            <w:r w:rsidR="0043622D">
              <w:rPr>
                <w:sz w:val="20"/>
                <w:szCs w:val="20"/>
              </w:rPr>
              <w:t xml:space="preserve">, including the </w:t>
            </w:r>
            <w:r w:rsidR="003C43EE">
              <w:rPr>
                <w:sz w:val="20"/>
                <w:szCs w:val="20"/>
              </w:rPr>
              <w:t>P</w:t>
            </w:r>
            <w:r w:rsidR="0043622D">
              <w:rPr>
                <w:sz w:val="20"/>
                <w:szCs w:val="20"/>
              </w:rPr>
              <w:t>rogram,</w:t>
            </w:r>
            <w:r>
              <w:rPr>
                <w:sz w:val="20"/>
                <w:szCs w:val="20"/>
              </w:rPr>
              <w:t xml:space="preserve"> will be consolidated with the Department of Agriculture to form the Department of Agriculture, Water and the Environment. </w:t>
            </w:r>
          </w:p>
        </w:tc>
      </w:tr>
    </w:tbl>
    <w:p w14:paraId="73F50A02" w14:textId="466938B7" w:rsidR="00D90293" w:rsidRDefault="00255709" w:rsidP="00AB3CB8">
      <w:pPr>
        <w:pStyle w:val="Heading1"/>
        <w:spacing w:before="120"/>
        <w:ind w:left="22"/>
      </w:pPr>
      <w:r>
        <w:rPr>
          <w:noProof/>
        </w:rPr>
        <mc:AlternateContent>
          <mc:Choice Requires="wps">
            <w:drawing>
              <wp:anchor distT="0" distB="0" distL="114300" distR="114300" simplePos="0" relativeHeight="251670528" behindDoc="0" locked="0" layoutInCell="1" allowOverlap="1" wp14:anchorId="158D7679" wp14:editId="07FD2AA4">
                <wp:simplePos x="0" y="0"/>
                <wp:positionH relativeFrom="column">
                  <wp:posOffset>3446467</wp:posOffset>
                </wp:positionH>
                <wp:positionV relativeFrom="paragraph">
                  <wp:posOffset>3002494</wp:posOffset>
                </wp:positionV>
                <wp:extent cx="0" cy="4640655"/>
                <wp:effectExtent l="0" t="0" r="38100" b="26670"/>
                <wp:wrapNone/>
                <wp:docPr id="7" name="Straight Connector 7"/>
                <wp:cNvGraphicFramePr/>
                <a:graphic xmlns:a="http://schemas.openxmlformats.org/drawingml/2006/main">
                  <a:graphicData uri="http://schemas.microsoft.com/office/word/2010/wordprocessingShape">
                    <wps:wsp>
                      <wps:cNvCnPr/>
                      <wps:spPr>
                        <a:xfrm>
                          <a:off x="0" y="0"/>
                          <a:ext cx="0" cy="464065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9CE3CCF" id="Straight Connector 7" o:spid="_x0000_s1026" style="position:absolute;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1.4pt,236.4pt" to="271.4pt,60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1+n1wEAAA0EAAAOAAAAZHJzL2Uyb0RvYy54bWysU8GO2yAQvVfqPyDujZ3VJttacfaQ1fZS&#10;tVF3+wEshhgJGDTQOPn7DthxVm1VqVUv2Azz3sx7DJv7k7PsqDAa8C1fLmrOlJfQGX9o+bfnx3fv&#10;OYtJ+E5Y8KrlZxX5/fbtm80QGnUDPdhOISMSH5shtLxPKTRVFWWvnIgLCMrToQZ0ItEWD1WHYiB2&#10;Z6ubul5XA2AXEKSKkaIP4yHfFn6tlUxftI4qMdty6i2VFcv6ktdquxHNAUXojZzaEP/QhRPGU9GZ&#10;6kEkwb6j+YXKGYkQQaeFBFeB1kaqooHULOuf1Dz1IqiihcyJYbYp/j9a+fm4R2a6lt9x5oWjK3pK&#10;KMyhT2wH3pOBgOwu+zSE2FD6zu9x2sWwxyz6pNHlL8lhp+LtefZWnRKTY1BS9HZ9W69Xq8xXXYEB&#10;Y/qowLH803JrfJYtGnH8FNOYeknJYevZQMP2oV7VJS2CNd2jsTYfltFRO4vsKOjS02k5FXuVRaWt&#10;pw6ypFFE+Utnq0b+r0qTKdT2ciyQx/HKKaRUPl14rafsDNPUwQycOvsTcMrPUFVG9W/AM6JUBp9m&#10;sDMe8HdtX63QY/7FgVF3tuAFunO53mINzVy5pul95KF+vS/w6yve/gAAAP//AwBQSwMEFAAGAAgA&#10;AAAhAAJb7AbhAAAADAEAAA8AAABkcnMvZG93bnJldi54bWxMj01PwkAQhu8m/ofNmHghsqUiSOmW&#10;aKMJNxUIXpfu0Fa7s013geqvd4gHvc3Hk3eeSRe9bcQRO187UjAaRiCQCmdqKhVs1s839yB80GR0&#10;4wgVfKGHRXZ5kerEuBO94XEVSsEh5BOtoAqhTaT0RYVW+6FrkXi3d53VgduulKbTJw63jYyjaCKt&#10;rokvVLrFvMLic3WwCvYvs+3j+yB/fVrb5TQflR9+0H8rdX3VP8xBBOzDHwxnfVaHjJ127kDGi0bB&#10;3Thm9aBgPD0XTPxOdozG0e0EZJbK/09kPwAAAP//AwBQSwECLQAUAAYACAAAACEAtoM4kv4AAADh&#10;AQAAEwAAAAAAAAAAAAAAAAAAAAAAW0NvbnRlbnRfVHlwZXNdLnhtbFBLAQItABQABgAIAAAAIQA4&#10;/SH/1gAAAJQBAAALAAAAAAAAAAAAAAAAAC8BAABfcmVscy8ucmVsc1BLAQItABQABgAIAAAAIQCS&#10;I1+n1wEAAA0EAAAOAAAAAAAAAAAAAAAAAC4CAABkcnMvZTJvRG9jLnhtbFBLAQItABQABgAIAAAA&#10;IQACW+wG4QAAAAwBAAAPAAAAAAAAAAAAAAAAADEEAABkcnMvZG93bnJldi54bWxQSwUGAAAAAAQA&#10;BADzAAAAPwUAAAAA&#10;" strokecolor="black [3213]" strokeweight="1.5pt">
                <v:stroke joinstyle="miter"/>
              </v:line>
            </w:pict>
          </mc:Fallback>
        </mc:AlternateContent>
      </w:r>
      <w:r w:rsidR="008D30FF">
        <w:t xml:space="preserve">Isa GBA </w:t>
      </w:r>
      <w:r w:rsidR="00733FF3">
        <w:t>r</w:t>
      </w:r>
      <w:r w:rsidR="008D30FF">
        <w:t>egion</w:t>
      </w:r>
    </w:p>
    <w:p w14:paraId="1A8DF719" w14:textId="74850EB9" w:rsidR="00D90293" w:rsidRDefault="008D30FF" w:rsidP="0085214F">
      <w:pPr>
        <w:pStyle w:val="Heading2"/>
        <w:ind w:left="6"/>
      </w:pPr>
      <w:r>
        <w:t>User panel</w:t>
      </w:r>
    </w:p>
    <w:p w14:paraId="534D4409" w14:textId="72E9722E" w:rsidR="00D90293" w:rsidRDefault="008D30FF" w:rsidP="005A3281">
      <w:pPr>
        <w:spacing w:after="60"/>
        <w:ind w:left="22" w:right="11"/>
      </w:pPr>
      <w:r>
        <w:t xml:space="preserve">The second Isa user panel meeting was held in Normanton, </w:t>
      </w:r>
      <w:r w:rsidR="00657C87">
        <w:t>F</w:t>
      </w:r>
      <w:r>
        <w:t xml:space="preserve">ar </w:t>
      </w:r>
      <w:r w:rsidR="00657C87">
        <w:t>N</w:t>
      </w:r>
      <w:r>
        <w:t>orth Queensland in mid-August</w:t>
      </w:r>
      <w:r w:rsidR="00657C87">
        <w:t xml:space="preserve"> 2019</w:t>
      </w:r>
      <w:r>
        <w:t xml:space="preserve">. Progress on Stage 2 of the </w:t>
      </w:r>
      <w:r w:rsidR="003C43EE">
        <w:t>Program was</w:t>
      </w:r>
      <w:r>
        <w:t xml:space="preserve"> reported and the potential direction for the next stage of work was discussed.</w:t>
      </w:r>
    </w:p>
    <w:p w14:paraId="5637F1D3" w14:textId="129B301C" w:rsidR="00D90293" w:rsidRDefault="008D30FF" w:rsidP="005A3281">
      <w:pPr>
        <w:spacing w:after="60"/>
        <w:ind w:left="22" w:right="11"/>
      </w:pPr>
      <w:r>
        <w:t>Topics covered at the meeting included:</w:t>
      </w:r>
    </w:p>
    <w:p w14:paraId="3B44FC5A" w14:textId="0E6C8046" w:rsidR="00D90293" w:rsidRDefault="008D30FF" w:rsidP="005A3281">
      <w:pPr>
        <w:numPr>
          <w:ilvl w:val="0"/>
          <w:numId w:val="1"/>
        </w:numPr>
        <w:spacing w:after="60" w:line="236" w:lineRule="auto"/>
        <w:ind w:right="11" w:hanging="360"/>
      </w:pPr>
      <w:r>
        <w:t>The limited science data and knowledge for the Isa GBA region which creates problems in modelling future impacts on water, the environment and possible development scenarios.</w:t>
      </w:r>
    </w:p>
    <w:p w14:paraId="6091D439" w14:textId="3F23ABBB" w:rsidR="00D90293" w:rsidRDefault="008D30FF" w:rsidP="005A3281">
      <w:pPr>
        <w:numPr>
          <w:ilvl w:val="0"/>
          <w:numId w:val="1"/>
        </w:numPr>
        <w:spacing w:after="60"/>
        <w:ind w:right="11" w:hanging="360"/>
      </w:pPr>
      <w:r>
        <w:t>Remote sensing techniques to identify groundwater dependent ecosystems (See in focus: GDEs).</w:t>
      </w:r>
    </w:p>
    <w:p w14:paraId="55876C24" w14:textId="20485757" w:rsidR="00D90293" w:rsidRDefault="008D30FF" w:rsidP="005A3281">
      <w:pPr>
        <w:numPr>
          <w:ilvl w:val="0"/>
          <w:numId w:val="1"/>
        </w:numPr>
        <w:spacing w:after="60"/>
        <w:ind w:right="11" w:hanging="360"/>
      </w:pPr>
      <w:r>
        <w:t>Cultural and food related matters of importance to local Traditional Owners.</w:t>
      </w:r>
    </w:p>
    <w:p w14:paraId="474C8E53" w14:textId="4A7200FB" w:rsidR="00DA35A6" w:rsidRDefault="00AB3CB8" w:rsidP="007723C7">
      <w:pPr>
        <w:spacing w:after="60"/>
        <w:ind w:left="22" w:right="11"/>
      </w:pPr>
      <w:r>
        <w:rPr>
          <w:noProof/>
        </w:rPr>
        <w:drawing>
          <wp:anchor distT="0" distB="0" distL="114300" distR="114300" simplePos="0" relativeHeight="251663360" behindDoc="0" locked="0" layoutInCell="1" allowOverlap="1" wp14:anchorId="36E2DA69" wp14:editId="572C8C3E">
            <wp:simplePos x="0" y="0"/>
            <wp:positionH relativeFrom="column">
              <wp:posOffset>167640</wp:posOffset>
            </wp:positionH>
            <wp:positionV relativeFrom="paragraph">
              <wp:posOffset>725170</wp:posOffset>
            </wp:positionV>
            <wp:extent cx="2867025" cy="1633855"/>
            <wp:effectExtent l="38100" t="38100" r="104775" b="9969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867025" cy="163385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D30FF">
        <w:t>A communique from the meeting</w:t>
      </w:r>
      <w:r w:rsidR="007723C7">
        <w:t xml:space="preserve"> is at: </w:t>
      </w:r>
      <w:hyperlink r:id="rId15" w:history="1">
        <w:r w:rsidR="007723C7" w:rsidRPr="00BD5A2D">
          <w:rPr>
            <w:rStyle w:val="Hyperlink"/>
          </w:rPr>
          <w:t>https://www.bioregionalassessments.gov.au/assessments/geological-and-bioregional-assessment-program/isa-superbasin/isa-superbasin-user-panel-communiques</w:t>
        </w:r>
      </w:hyperlink>
      <w:r w:rsidR="00657C87">
        <w:t>.</w:t>
      </w:r>
    </w:p>
    <w:p w14:paraId="5EFCD98C" w14:textId="46F243BD" w:rsidR="0081240C" w:rsidRDefault="0081240C" w:rsidP="005A3281">
      <w:pPr>
        <w:spacing w:after="60" w:line="259" w:lineRule="auto"/>
        <w:ind w:left="-118" w:right="-126" w:firstLine="0"/>
      </w:pPr>
    </w:p>
    <w:p w14:paraId="2532B012" w14:textId="1A0D24BA" w:rsidR="0081240C" w:rsidRDefault="0081240C" w:rsidP="005A3281">
      <w:pPr>
        <w:spacing w:after="60" w:line="259" w:lineRule="auto"/>
        <w:ind w:left="-118" w:right="-126" w:firstLine="0"/>
      </w:pPr>
    </w:p>
    <w:p w14:paraId="3B3D020F" w14:textId="56506AB6" w:rsidR="00044836" w:rsidRDefault="00044836" w:rsidP="005A3281">
      <w:pPr>
        <w:spacing w:after="60" w:line="259" w:lineRule="auto"/>
        <w:ind w:left="-118" w:right="-126" w:firstLine="0"/>
      </w:pPr>
    </w:p>
    <w:p w14:paraId="75B4A997" w14:textId="1271B2CF" w:rsidR="00044836" w:rsidRDefault="00044836" w:rsidP="005A3281">
      <w:pPr>
        <w:spacing w:after="60" w:line="259" w:lineRule="auto"/>
        <w:ind w:left="-118" w:right="-126" w:firstLine="0"/>
      </w:pPr>
    </w:p>
    <w:p w14:paraId="19A493A2" w14:textId="571D77E2" w:rsidR="00044836" w:rsidRDefault="00AB3CB8" w:rsidP="005A3281">
      <w:pPr>
        <w:spacing w:after="60" w:line="259" w:lineRule="auto"/>
        <w:ind w:left="-118" w:right="-126" w:firstLine="0"/>
      </w:pPr>
      <w:r>
        <w:rPr>
          <w:noProof/>
        </w:rPr>
        <mc:AlternateContent>
          <mc:Choice Requires="wps">
            <w:drawing>
              <wp:anchor distT="45720" distB="45720" distL="114300" distR="114300" simplePos="0" relativeHeight="251665408" behindDoc="0" locked="0" layoutInCell="1" allowOverlap="1" wp14:anchorId="6B1847D9" wp14:editId="5BCB7F03">
                <wp:simplePos x="0" y="0"/>
                <wp:positionH relativeFrom="column">
                  <wp:posOffset>110490</wp:posOffset>
                </wp:positionH>
                <wp:positionV relativeFrom="paragraph">
                  <wp:posOffset>521970</wp:posOffset>
                </wp:positionV>
                <wp:extent cx="2979420" cy="30861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308610"/>
                        </a:xfrm>
                        <a:prstGeom prst="rect">
                          <a:avLst/>
                        </a:prstGeom>
                        <a:solidFill>
                          <a:srgbClr val="FFFFFF">
                            <a:alpha val="74902"/>
                          </a:srgbClr>
                        </a:solidFill>
                        <a:ln w="9525">
                          <a:noFill/>
                          <a:miter lim="800000"/>
                          <a:headEnd/>
                          <a:tailEnd/>
                        </a:ln>
                      </wps:spPr>
                      <wps:txbx>
                        <w:txbxContent>
                          <w:p w14:paraId="7BCC86D7" w14:textId="77777777" w:rsidR="0092467E" w:rsidRDefault="0092467E" w:rsidP="000D1C6E">
                            <w:pPr>
                              <w:autoSpaceDE w:val="0"/>
                              <w:autoSpaceDN w:val="0"/>
                              <w:adjustRightInd w:val="0"/>
                              <w:spacing w:after="0" w:line="240" w:lineRule="auto"/>
                              <w:ind w:left="0" w:firstLine="0"/>
                              <w:jc w:val="center"/>
                              <w:rPr>
                                <w:rFonts w:ascii="Calibri-Italic" w:eastAsiaTheme="minorEastAsia" w:hAnsi="Calibri-Italic" w:cs="Calibri-Italic"/>
                                <w:i/>
                                <w:iCs/>
                                <w:color w:val="auto"/>
                                <w:sz w:val="14"/>
                                <w:szCs w:val="14"/>
                              </w:rPr>
                            </w:pPr>
                            <w:r>
                              <w:rPr>
                                <w:rFonts w:ascii="Calibri-Italic" w:eastAsiaTheme="minorEastAsia" w:hAnsi="Calibri-Italic" w:cs="Calibri-Italic"/>
                                <w:i/>
                                <w:iCs/>
                                <w:color w:val="auto"/>
                                <w:sz w:val="14"/>
                                <w:szCs w:val="14"/>
                              </w:rPr>
                              <w:t>The Norman river downstream of Normanton. Source: Geological and Bioregional Assessment program, Steve Lewis (Geoscience Australia)</w:t>
                            </w:r>
                          </w:p>
                          <w:p w14:paraId="5B622D00" w14:textId="77777777" w:rsidR="0092467E" w:rsidRDefault="0092467E" w:rsidP="0092467E">
                            <w:pPr>
                              <w:autoSpaceDE w:val="0"/>
                              <w:autoSpaceDN w:val="0"/>
                              <w:adjustRightInd w:val="0"/>
                              <w:spacing w:before="100" w:beforeAutospacing="1" w:after="0" w:line="240" w:lineRule="auto"/>
                              <w:ind w:left="0" w:firstLine="0"/>
                              <w:jc w:val="center"/>
                            </w:pPr>
                            <w:r>
                              <w:rPr>
                                <w:rFonts w:ascii="Calibri-Italic" w:eastAsiaTheme="minorEastAsia" w:hAnsi="Calibri-Italic" w:cs="Calibri-Italic"/>
                                <w:i/>
                                <w:iCs/>
                                <w:color w:val="auto"/>
                                <w:sz w:val="14"/>
                                <w:szCs w:val="14"/>
                              </w:rPr>
                              <w:t>Steve Lewis (Geoscience Australia)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847D9" id="Text Box 2" o:spid="_x0000_s1028" type="#_x0000_t202" style="position:absolute;left:0;text-align:left;margin-left:8.7pt;margin-top:41.1pt;width:234.6pt;height:24.3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Wp/MgIAAEQEAAAOAAAAZHJzL2Uyb0RvYy54bWysU9uO2yAQfa/Uf0C8N3bcZJNYcVbbbFNV&#10;2l6k3X4AxjhGxQwFEnv79TtAkqbtW1UeEDAzZ4ZzZta3Y6/IUVgnQVd0OskpEZpDI/W+ot+edm+W&#10;lDjPdMMUaFHRZ+Ho7eb1q/VgSlFAB6oRliCIduVgKtp5b8osc7wTPXMTMEKjsQXbM49Xu88aywZE&#10;71VW5PlNNoBtjAUunMPX+2Skm4jftoL7L23rhCeqolibj7uNex32bLNm5d4y00l+KoP9QxU9kxqT&#10;XqDumWfkYOVfUL3kFhy0fsKhz6BtJRfxD/ibaf7Hbx47ZkT8C5LjzIUm9/9g+efjV0tkU9FiQYlm&#10;PWr0JEZP3sFIikDPYFyJXo8G/fyIzyhz/KozD8C/O6Jh2zG9F3fWwtAJ1mB50xCZXYUmHBdA6uET&#10;NJiGHTxEoLG1feAO2SCIjjI9X6QJpXB8LFaL1axAE0fb23x5M43aZaw8Rxvr/AcBPQmHilqUPqKz&#10;44PzoRpWnl1CMgdKNjupVLzYfb1VlhwZtskurhSrTMfS62K2yiMfiOOSe8T8DUdpMlR0NS/mMVxD&#10;SBBbrJce+1zJvqLLPKzUeYGu97qJLp5Jlc6YQukTf4GyRJ4f6zEpdZalhuYZCbWQ2hrHEA8d2J+U&#10;DNjSFXU/DswKStRHjaKsprNZmIF4mc0XgU57bamvLUxzhKqopyQdtz7OTeBLwx2K18rIa1A5VXIq&#10;GVs1UnMaqzAL1/fo9Wv4Ny8AAAD//wMAUEsDBBQABgAIAAAAIQBHxe453AAAAAkBAAAPAAAAZHJz&#10;L2Rvd25yZXYueG1sTI/BTsMwEETvSPyDtUhcELUbqhBCnAohuKK2VOLqxtskIl5HttOGv2c50ePo&#10;jWbfVuvZDeKEIfaeNCwXCgRS421PrYb95/t9ASImQ9YMnlDDD0ZY19dXlSmtP9MWT7vUCh6hWBoN&#10;XUpjKWVsOnQmLvyIxOzogzOJY2ilDebM426QmVK5dKYnvtCZEV87bL53k9Ng1XHTTk8+fSy/wobu&#10;4tuE273WtzfzyzOIhHP6L8OfPqtDzU4HP5GNYuD8uOKmhiLLQDBfFXkO4sDgQRUg60peflD/AgAA&#10;//8DAFBLAQItABQABgAIAAAAIQC2gziS/gAAAOEBAAATAAAAAAAAAAAAAAAAAAAAAABbQ29udGVu&#10;dF9UeXBlc10ueG1sUEsBAi0AFAAGAAgAAAAhADj9If/WAAAAlAEAAAsAAAAAAAAAAAAAAAAALwEA&#10;AF9yZWxzLy5yZWxzUEsBAi0AFAAGAAgAAAAhAIdJan8yAgAARAQAAA4AAAAAAAAAAAAAAAAALgIA&#10;AGRycy9lMm9Eb2MueG1sUEsBAi0AFAAGAAgAAAAhAEfF7jncAAAACQEAAA8AAAAAAAAAAAAAAAAA&#10;jAQAAGRycy9kb3ducmV2LnhtbFBLBQYAAAAABAAEAPMAAACVBQAAAAA=&#10;" stroked="f">
                <v:fill opacity="49087f"/>
                <v:textbox>
                  <w:txbxContent>
                    <w:p w14:paraId="7BCC86D7" w14:textId="77777777" w:rsidR="0092467E" w:rsidRDefault="0092467E" w:rsidP="000D1C6E">
                      <w:pPr>
                        <w:autoSpaceDE w:val="0"/>
                        <w:autoSpaceDN w:val="0"/>
                        <w:adjustRightInd w:val="0"/>
                        <w:spacing w:after="0" w:line="240" w:lineRule="auto"/>
                        <w:ind w:left="0" w:firstLine="0"/>
                        <w:jc w:val="center"/>
                        <w:rPr>
                          <w:rFonts w:ascii="Calibri-Italic" w:eastAsiaTheme="minorEastAsia" w:hAnsi="Calibri-Italic" w:cs="Calibri-Italic"/>
                          <w:i/>
                          <w:iCs/>
                          <w:color w:val="auto"/>
                          <w:sz w:val="14"/>
                          <w:szCs w:val="14"/>
                        </w:rPr>
                      </w:pPr>
                      <w:r>
                        <w:rPr>
                          <w:rFonts w:ascii="Calibri-Italic" w:eastAsiaTheme="minorEastAsia" w:hAnsi="Calibri-Italic" w:cs="Calibri-Italic"/>
                          <w:i/>
                          <w:iCs/>
                          <w:color w:val="auto"/>
                          <w:sz w:val="14"/>
                          <w:szCs w:val="14"/>
                        </w:rPr>
                        <w:t>The Norman river downstream of Normanton. Source: Geological and Bioregional Assessment program, Steve Lewis (Geoscience Australia)</w:t>
                      </w:r>
                    </w:p>
                    <w:p w14:paraId="5B622D00" w14:textId="77777777" w:rsidR="0092467E" w:rsidRDefault="0092467E" w:rsidP="0092467E">
                      <w:pPr>
                        <w:autoSpaceDE w:val="0"/>
                        <w:autoSpaceDN w:val="0"/>
                        <w:adjustRightInd w:val="0"/>
                        <w:spacing w:before="100" w:beforeAutospacing="1" w:after="0" w:line="240" w:lineRule="auto"/>
                        <w:ind w:left="0" w:firstLine="0"/>
                        <w:jc w:val="center"/>
                      </w:pPr>
                      <w:r>
                        <w:rPr>
                          <w:rFonts w:ascii="Calibri-Italic" w:eastAsiaTheme="minorEastAsia" w:hAnsi="Calibri-Italic" w:cs="Calibri-Italic"/>
                          <w:i/>
                          <w:iCs/>
                          <w:color w:val="auto"/>
                          <w:sz w:val="14"/>
                          <w:szCs w:val="14"/>
                        </w:rPr>
                        <w:t>Steve Lewis (Geoscience Australia)</w:t>
                      </w:r>
                    </w:p>
                  </w:txbxContent>
                </v:textbox>
              </v:shape>
            </w:pict>
          </mc:Fallback>
        </mc:AlternateContent>
      </w:r>
    </w:p>
    <w:p w14:paraId="33640EA7" w14:textId="3EE72AD0" w:rsidR="00044836" w:rsidRDefault="00044836" w:rsidP="005A3281">
      <w:pPr>
        <w:spacing w:after="60" w:line="259" w:lineRule="auto"/>
        <w:ind w:left="-118" w:right="-126" w:firstLine="0"/>
      </w:pPr>
    </w:p>
    <w:p w14:paraId="2AD31A20" w14:textId="3F4C616D" w:rsidR="0081240C" w:rsidRDefault="0081240C" w:rsidP="00B30E6B">
      <w:pPr>
        <w:spacing w:after="120" w:line="259" w:lineRule="auto"/>
        <w:ind w:left="-118" w:right="-126" w:firstLine="0"/>
      </w:pPr>
    </w:p>
    <w:p w14:paraId="7F9E0554" w14:textId="5808DEE2" w:rsidR="0081240C" w:rsidRDefault="0081240C" w:rsidP="005A3281">
      <w:pPr>
        <w:spacing w:after="60" w:line="259" w:lineRule="auto"/>
        <w:ind w:left="-118" w:right="-126" w:firstLine="0"/>
      </w:pPr>
    </w:p>
    <w:p w14:paraId="6C3F6132" w14:textId="77777777" w:rsidR="0081240C" w:rsidRDefault="0081240C" w:rsidP="005A3281">
      <w:pPr>
        <w:spacing w:after="60" w:line="259" w:lineRule="auto"/>
        <w:ind w:left="-118" w:right="-126" w:firstLine="0"/>
      </w:pPr>
    </w:p>
    <w:p w14:paraId="5680BAC4" w14:textId="77777777" w:rsidR="0081240C" w:rsidRDefault="0081240C" w:rsidP="005A3281">
      <w:pPr>
        <w:spacing w:after="60" w:line="259" w:lineRule="auto"/>
        <w:ind w:left="-118" w:right="-126" w:firstLine="0"/>
      </w:pPr>
    </w:p>
    <w:p w14:paraId="2389D7EF" w14:textId="1F53E685" w:rsidR="0081240C" w:rsidRDefault="0081240C" w:rsidP="005A3281">
      <w:pPr>
        <w:spacing w:after="60" w:line="259" w:lineRule="auto"/>
        <w:ind w:left="-118" w:right="-126" w:firstLine="0"/>
      </w:pPr>
    </w:p>
    <w:p w14:paraId="7A2DA06C" w14:textId="77777777" w:rsidR="0081240C" w:rsidRDefault="0081240C" w:rsidP="00044836">
      <w:pPr>
        <w:spacing w:after="120" w:line="259" w:lineRule="auto"/>
        <w:ind w:left="-118" w:right="-126" w:firstLine="0"/>
      </w:pPr>
    </w:p>
    <w:p w14:paraId="43D5ADC4" w14:textId="2BD14924" w:rsidR="0081240C" w:rsidRDefault="00B821BD" w:rsidP="00044836">
      <w:pPr>
        <w:spacing w:after="60" w:line="259" w:lineRule="auto"/>
        <w:ind w:left="-118" w:right="-126" w:firstLine="0"/>
        <w:jc w:val="center"/>
      </w:pPr>
      <w:r>
        <w:rPr>
          <w:noProof/>
        </w:rPr>
        <mc:AlternateContent>
          <mc:Choice Requires="wps">
            <w:drawing>
              <wp:anchor distT="45720" distB="45720" distL="114300" distR="114300" simplePos="0" relativeHeight="251667456" behindDoc="0" locked="0" layoutInCell="1" allowOverlap="1" wp14:anchorId="70520D28" wp14:editId="4E08CB4B">
                <wp:simplePos x="0" y="0"/>
                <wp:positionH relativeFrom="margin">
                  <wp:posOffset>3629660</wp:posOffset>
                </wp:positionH>
                <wp:positionV relativeFrom="paragraph">
                  <wp:posOffset>4318635</wp:posOffset>
                </wp:positionV>
                <wp:extent cx="3362944" cy="45720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944" cy="457200"/>
                        </a:xfrm>
                        <a:prstGeom prst="rect">
                          <a:avLst/>
                        </a:prstGeom>
                        <a:noFill/>
                        <a:ln w="9525">
                          <a:noFill/>
                          <a:miter lim="800000"/>
                          <a:headEnd/>
                          <a:tailEnd/>
                        </a:ln>
                      </wps:spPr>
                      <wps:txbx>
                        <w:txbxContent>
                          <w:p w14:paraId="5E006425" w14:textId="77777777" w:rsidR="0092467E" w:rsidRDefault="0092467E" w:rsidP="0092467E">
                            <w:pPr>
                              <w:autoSpaceDE w:val="0"/>
                              <w:autoSpaceDN w:val="0"/>
                              <w:adjustRightInd w:val="0"/>
                              <w:spacing w:after="0" w:line="240" w:lineRule="auto"/>
                              <w:ind w:left="0" w:firstLine="0"/>
                              <w:jc w:val="center"/>
                              <w:rPr>
                                <w:rFonts w:ascii="Calibri-Italic" w:eastAsiaTheme="minorEastAsia" w:hAnsi="Calibri-Italic" w:cs="Calibri-Italic"/>
                                <w:i/>
                                <w:iCs/>
                                <w:color w:val="auto"/>
                                <w:sz w:val="14"/>
                                <w:szCs w:val="14"/>
                              </w:rPr>
                            </w:pPr>
                            <w:r>
                              <w:rPr>
                                <w:rFonts w:ascii="Calibri-Italic" w:eastAsiaTheme="minorEastAsia" w:hAnsi="Calibri-Italic" w:cs="Calibri-Italic"/>
                                <w:i/>
                                <w:iCs/>
                                <w:color w:val="auto"/>
                                <w:sz w:val="14"/>
                                <w:szCs w:val="14"/>
                              </w:rPr>
                              <w:t>The Burketown Bore, with the bore fed wetland in the background</w:t>
                            </w:r>
                          </w:p>
                          <w:p w14:paraId="723F5821" w14:textId="77777777" w:rsidR="000D1C6E" w:rsidRDefault="0092467E" w:rsidP="0092467E">
                            <w:pPr>
                              <w:autoSpaceDE w:val="0"/>
                              <w:autoSpaceDN w:val="0"/>
                              <w:adjustRightInd w:val="0"/>
                              <w:spacing w:after="0" w:line="240" w:lineRule="auto"/>
                              <w:ind w:left="0" w:firstLine="0"/>
                              <w:jc w:val="center"/>
                              <w:rPr>
                                <w:rFonts w:ascii="Calibri-Italic" w:eastAsiaTheme="minorEastAsia" w:hAnsi="Calibri-Italic" w:cs="Calibri-Italic"/>
                                <w:i/>
                                <w:iCs/>
                                <w:color w:val="auto"/>
                                <w:sz w:val="14"/>
                                <w:szCs w:val="14"/>
                              </w:rPr>
                            </w:pPr>
                            <w:r>
                              <w:rPr>
                                <w:rFonts w:ascii="Calibri-Italic" w:eastAsiaTheme="minorEastAsia" w:hAnsi="Calibri-Italic" w:cs="Calibri-Italic"/>
                                <w:i/>
                                <w:iCs/>
                                <w:color w:val="auto"/>
                                <w:sz w:val="14"/>
                                <w:szCs w:val="14"/>
                              </w:rPr>
                              <w:t xml:space="preserve">Source: Geological and Bioregional Assessment program, </w:t>
                            </w:r>
                          </w:p>
                          <w:p w14:paraId="500EB8FB" w14:textId="546643AE" w:rsidR="0092467E" w:rsidRDefault="0092467E" w:rsidP="0092467E">
                            <w:pPr>
                              <w:autoSpaceDE w:val="0"/>
                              <w:autoSpaceDN w:val="0"/>
                              <w:adjustRightInd w:val="0"/>
                              <w:spacing w:after="0" w:line="240" w:lineRule="auto"/>
                              <w:ind w:left="0" w:firstLine="0"/>
                              <w:jc w:val="center"/>
                            </w:pPr>
                            <w:r>
                              <w:rPr>
                                <w:rFonts w:ascii="Calibri-Italic" w:eastAsiaTheme="minorEastAsia" w:hAnsi="Calibri-Italic" w:cs="Calibri-Italic"/>
                                <w:i/>
                                <w:iCs/>
                                <w:color w:val="auto"/>
                                <w:sz w:val="14"/>
                                <w:szCs w:val="14"/>
                              </w:rPr>
                              <w:t>Steve Lewis (Geoscience Australia)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20D28" id="_x0000_s1029" type="#_x0000_t202" style="position:absolute;left:0;text-align:left;margin-left:285.8pt;margin-top:340.05pt;width:264.8pt;height:36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DtDQIAAPoDAAAOAAAAZHJzL2Uyb0RvYy54bWysU8tu2zAQvBfoPxC817JlO40Fy0GaNEWB&#10;9AEk/YA1RVlESS5L0pbSr++Ssl2jvRXVQSC53NmdmeX6ZjCaHaQPCm3NZ5MpZ9IKbJTd1fzb88Ob&#10;a85CBNuARitr/iIDv9m8frXuXSVL7FA30jMCsaHqXc27GF1VFEF00kCYoJOWgi16A5G2flc0HnpC&#10;N7oop9OrokffOI9ChkCn92OQbzJ+20oRv7RtkJHpmlNvMf99/m/Tv9isodp5cJ0SxzbgH7owoCwV&#10;PUPdQwS29+ovKKOEx4BtnAg0BbatEjJzIDaz6R9snjpwMnMhcYI7yxT+H6z4fPjqmWpqXpJTFgx5&#10;9CyHyN7hwMokT+9CRbeeHN2LAx2TzZlqcI8ovgdm8a4Du5O33mPfSWiovVnKLC5SR5yQQLb9J2yo&#10;DOwjZqCh9SZpR2owQiebXs7WpFYEHc7nV+VqseBMUGyxfEve5xJQnbKdD/GDRMPSouaerM/ocHgM&#10;MXUD1elKKmbxQWmd7deW9TVfLctlTriIGBVpOrUyNb+epm+cl0TyvW1ycgSlxzUV0PbIOhEdKcdh&#10;O2R95ycxt9i8kAwex2Gkx0OLDv1PznoaxJqHH3vwkjP90ZKUq9likSY3bzJzzvxlZHsZASsIquaR&#10;s3F5F/O0j5RvSfJWZTWSN2Mnx5ZpwLJIx8eQJvhyn2/9frKbXwAAAP//AwBQSwMEFAAGAAgAAAAh&#10;AN6wcxfgAAAADAEAAA8AAABkcnMvZG93bnJldi54bWxMj8tOwzAQRfdI/IM1SOyo7YikbcikQiC2&#10;IMpD6s5NpklEPI5itwl/j7uiy9E9uvdMsZltL040+s4xgl4oEMSVqztuED4/Xu5WIHwwXJveMSH8&#10;kodNeX1VmLx2E7/TaRsaEUvY5wahDWHIpfRVS9b4hRuIY3ZwozUhnmMj69FMsdz2MlEqk9Z0HBda&#10;M9BTS9XP9mgRvl4Pu+979dY823SY3Kwk27VEvL2ZHx9ABJrDPwxn/agOZXTauyPXXvQI6VJnEUXI&#10;VkqDOBNa6QTEHmGZJhpkWcjLJ8o/AAAA//8DAFBLAQItABQABgAIAAAAIQC2gziS/gAAAOEBAAAT&#10;AAAAAAAAAAAAAAAAAAAAAABbQ29udGVudF9UeXBlc10ueG1sUEsBAi0AFAAGAAgAAAAhADj9If/W&#10;AAAAlAEAAAsAAAAAAAAAAAAAAAAALwEAAF9yZWxzLy5yZWxzUEsBAi0AFAAGAAgAAAAhAIxJkO0N&#10;AgAA+gMAAA4AAAAAAAAAAAAAAAAALgIAAGRycy9lMm9Eb2MueG1sUEsBAi0AFAAGAAgAAAAhAN6w&#10;cxfgAAAADAEAAA8AAAAAAAAAAAAAAAAAZwQAAGRycy9kb3ducmV2LnhtbFBLBQYAAAAABAAEAPMA&#10;AAB0BQAAAAA=&#10;" filled="f" stroked="f">
                <v:textbox>
                  <w:txbxContent>
                    <w:p w14:paraId="5E006425" w14:textId="77777777" w:rsidR="0092467E" w:rsidRDefault="0092467E" w:rsidP="0092467E">
                      <w:pPr>
                        <w:autoSpaceDE w:val="0"/>
                        <w:autoSpaceDN w:val="0"/>
                        <w:adjustRightInd w:val="0"/>
                        <w:spacing w:after="0" w:line="240" w:lineRule="auto"/>
                        <w:ind w:left="0" w:firstLine="0"/>
                        <w:jc w:val="center"/>
                        <w:rPr>
                          <w:rFonts w:ascii="Calibri-Italic" w:eastAsiaTheme="minorEastAsia" w:hAnsi="Calibri-Italic" w:cs="Calibri-Italic"/>
                          <w:i/>
                          <w:iCs/>
                          <w:color w:val="auto"/>
                          <w:sz w:val="14"/>
                          <w:szCs w:val="14"/>
                        </w:rPr>
                      </w:pPr>
                      <w:r>
                        <w:rPr>
                          <w:rFonts w:ascii="Calibri-Italic" w:eastAsiaTheme="minorEastAsia" w:hAnsi="Calibri-Italic" w:cs="Calibri-Italic"/>
                          <w:i/>
                          <w:iCs/>
                          <w:color w:val="auto"/>
                          <w:sz w:val="14"/>
                          <w:szCs w:val="14"/>
                        </w:rPr>
                        <w:t>The Burketown Bore, with the bore fed wetland in the background</w:t>
                      </w:r>
                    </w:p>
                    <w:p w14:paraId="723F5821" w14:textId="77777777" w:rsidR="000D1C6E" w:rsidRDefault="0092467E" w:rsidP="0092467E">
                      <w:pPr>
                        <w:autoSpaceDE w:val="0"/>
                        <w:autoSpaceDN w:val="0"/>
                        <w:adjustRightInd w:val="0"/>
                        <w:spacing w:after="0" w:line="240" w:lineRule="auto"/>
                        <w:ind w:left="0" w:firstLine="0"/>
                        <w:jc w:val="center"/>
                        <w:rPr>
                          <w:rFonts w:ascii="Calibri-Italic" w:eastAsiaTheme="minorEastAsia" w:hAnsi="Calibri-Italic" w:cs="Calibri-Italic"/>
                          <w:i/>
                          <w:iCs/>
                          <w:color w:val="auto"/>
                          <w:sz w:val="14"/>
                          <w:szCs w:val="14"/>
                        </w:rPr>
                      </w:pPr>
                      <w:r>
                        <w:rPr>
                          <w:rFonts w:ascii="Calibri-Italic" w:eastAsiaTheme="minorEastAsia" w:hAnsi="Calibri-Italic" w:cs="Calibri-Italic"/>
                          <w:i/>
                          <w:iCs/>
                          <w:color w:val="auto"/>
                          <w:sz w:val="14"/>
                          <w:szCs w:val="14"/>
                        </w:rPr>
                        <w:t xml:space="preserve">Source: Geological and Bioregional Assessment program, </w:t>
                      </w:r>
                    </w:p>
                    <w:p w14:paraId="500EB8FB" w14:textId="546643AE" w:rsidR="0092467E" w:rsidRDefault="0092467E" w:rsidP="0092467E">
                      <w:pPr>
                        <w:autoSpaceDE w:val="0"/>
                        <w:autoSpaceDN w:val="0"/>
                        <w:adjustRightInd w:val="0"/>
                        <w:spacing w:after="0" w:line="240" w:lineRule="auto"/>
                        <w:ind w:left="0" w:firstLine="0"/>
                        <w:jc w:val="center"/>
                      </w:pPr>
                      <w:r>
                        <w:rPr>
                          <w:rFonts w:ascii="Calibri-Italic" w:eastAsiaTheme="minorEastAsia" w:hAnsi="Calibri-Italic" w:cs="Calibri-Italic"/>
                          <w:i/>
                          <w:iCs/>
                          <w:color w:val="auto"/>
                          <w:sz w:val="14"/>
                          <w:szCs w:val="14"/>
                        </w:rPr>
                        <w:t>Steve Lewis (Geoscience Australia)</w:t>
                      </w:r>
                    </w:p>
                  </w:txbxContent>
                </v:textbox>
                <w10:wrap anchorx="margin"/>
              </v:shape>
            </w:pict>
          </mc:Fallback>
        </mc:AlternateContent>
      </w:r>
      <w:r w:rsidR="00DA35A6">
        <w:rPr>
          <w:noProof/>
        </w:rPr>
        <w:drawing>
          <wp:inline distT="0" distB="0" distL="0" distR="0" wp14:anchorId="33F087B6" wp14:editId="57B49DD3">
            <wp:extent cx="2740726" cy="1570124"/>
            <wp:effectExtent l="38100" t="38100" r="97790" b="876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52648" cy="1576954"/>
                    </a:xfrm>
                    <a:prstGeom prst="rect">
                      <a:avLst/>
                    </a:prstGeom>
                    <a:effectLst>
                      <a:outerShdw blurRad="50800" dist="38100" dir="2700000" algn="tl" rotWithShape="0">
                        <a:prstClr val="black">
                          <a:alpha val="40000"/>
                        </a:prstClr>
                      </a:outerShdw>
                    </a:effectLst>
                  </pic:spPr>
                </pic:pic>
              </a:graphicData>
            </a:graphic>
          </wp:inline>
        </w:drawing>
      </w:r>
    </w:p>
    <w:p w14:paraId="71641B94" w14:textId="239BD1ED" w:rsidR="00044836" w:rsidRDefault="00044836" w:rsidP="005A3281">
      <w:pPr>
        <w:spacing w:after="60" w:line="259" w:lineRule="auto"/>
        <w:ind w:left="-118" w:right="-126" w:firstLine="0"/>
      </w:pPr>
    </w:p>
    <w:p w14:paraId="07922053" w14:textId="730F80E3" w:rsidR="005B5566" w:rsidRDefault="00044836" w:rsidP="00044836">
      <w:pPr>
        <w:spacing w:after="60" w:line="259" w:lineRule="auto"/>
        <w:ind w:left="-118" w:right="-126" w:firstLine="0"/>
        <w:rPr>
          <w:b/>
        </w:rPr>
      </w:pPr>
      <w:r w:rsidRPr="007723C7">
        <w:rPr>
          <w:b/>
          <w:noProof/>
        </w:rPr>
        <mc:AlternateContent>
          <mc:Choice Requires="wps">
            <w:drawing>
              <wp:anchor distT="45720" distB="45720" distL="114300" distR="114300" simplePos="0" relativeHeight="251676672" behindDoc="0" locked="0" layoutInCell="1" allowOverlap="1" wp14:anchorId="7E829199" wp14:editId="12CC6787">
                <wp:simplePos x="0" y="0"/>
                <wp:positionH relativeFrom="margin">
                  <wp:posOffset>3601085</wp:posOffset>
                </wp:positionH>
                <wp:positionV relativeFrom="paragraph">
                  <wp:posOffset>59245</wp:posOffset>
                </wp:positionV>
                <wp:extent cx="3524250" cy="3295650"/>
                <wp:effectExtent l="0" t="0" r="1905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3295650"/>
                        </a:xfrm>
                        <a:prstGeom prst="rect">
                          <a:avLst/>
                        </a:prstGeom>
                        <a:solidFill>
                          <a:schemeClr val="bg1">
                            <a:lumMod val="85000"/>
                          </a:schemeClr>
                        </a:solidFill>
                        <a:ln w="9525">
                          <a:solidFill>
                            <a:schemeClr val="bg1">
                              <a:lumMod val="85000"/>
                            </a:schemeClr>
                          </a:solidFill>
                          <a:miter lim="800000"/>
                          <a:headEnd/>
                          <a:tailEnd/>
                        </a:ln>
                      </wps:spPr>
                      <wps:txbx>
                        <w:txbxContent>
                          <w:p w14:paraId="29E57F88" w14:textId="2FCBFBB7" w:rsidR="007723C7" w:rsidRPr="00B41CCF" w:rsidRDefault="007723C7" w:rsidP="007723C7">
                            <w:pPr>
                              <w:rPr>
                                <w:b/>
                              </w:rPr>
                            </w:pPr>
                            <w:r w:rsidRPr="00B41CCF">
                              <w:rPr>
                                <w:b/>
                              </w:rPr>
                              <w:t xml:space="preserve">In </w:t>
                            </w:r>
                            <w:r w:rsidR="00733FF3">
                              <w:rPr>
                                <w:b/>
                              </w:rPr>
                              <w:t>f</w:t>
                            </w:r>
                            <w:r w:rsidRPr="00B41CCF">
                              <w:rPr>
                                <w:b/>
                              </w:rPr>
                              <w:t>ocus: GDEs</w:t>
                            </w:r>
                          </w:p>
                          <w:p w14:paraId="645A4E82" w14:textId="77777777" w:rsidR="007723C7" w:rsidRDefault="007723C7" w:rsidP="007723C7">
                            <w:r>
                              <w:t xml:space="preserve">Groundwater dependent ecosystems (GDE) are terrestrial and aquatic systems that rely on groundwater for at least some portion of their life history. These systems can vary greatly, they could be a waterhole fed by a spring, or an area of vegetation whose roots can reach a source of groundwater. </w:t>
                            </w:r>
                          </w:p>
                          <w:p w14:paraId="7782C3B7" w14:textId="37475078" w:rsidR="007723C7" w:rsidRDefault="007723C7" w:rsidP="007723C7">
                            <w:r>
                              <w:t>GDE’s support important ecological communities or provide refuge habitat for vulnerable species during</w:t>
                            </w:r>
                            <w:r w:rsidR="00733FF3">
                              <w:t xml:space="preserve"> dry </w:t>
                            </w:r>
                            <w:r>
                              <w:t xml:space="preserve">periods </w:t>
                            </w:r>
                            <w:r w:rsidR="00733FF3">
                              <w:t>o</w:t>
                            </w:r>
                            <w:r>
                              <w:t xml:space="preserve">r drought. Increased extraction from groundwater sources may impact GDE’s. The </w:t>
                            </w:r>
                            <w:r w:rsidR="00733FF3">
                              <w:t>P</w:t>
                            </w:r>
                            <w:r>
                              <w:t>rogram</w:t>
                            </w:r>
                            <w:r w:rsidR="00733FF3">
                              <w:t>,</w:t>
                            </w:r>
                            <w:r>
                              <w:t xml:space="preserve"> through regional conceptualisations</w:t>
                            </w:r>
                            <w:r w:rsidR="00733FF3">
                              <w:t>,</w:t>
                            </w:r>
                            <w:r>
                              <w:t xml:space="preserve"> is aiming to investigate connections between groundwater and surface </w:t>
                            </w:r>
                            <w:proofErr w:type="gramStart"/>
                            <w:r>
                              <w:t>systems, and</w:t>
                            </w:r>
                            <w:proofErr w:type="gramEnd"/>
                            <w:r>
                              <w:t xml:space="preserve"> build a picture of regional GDE’s. More information can be found at </w:t>
                            </w:r>
                            <w:hyperlink r:id="rId17" w:history="1">
                              <w:r w:rsidRPr="00BD5A2D">
                                <w:rPr>
                                  <w:rStyle w:val="Hyperlink"/>
                                </w:rPr>
                                <w:t>http://www.ga.gov.au/scientific-topics/water/groundwater/understanding-groundwater-resources/groundwater-dependant-ecosystems</w:t>
                              </w:r>
                            </w:hyperlink>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29199" id="_x0000_s1030" type="#_x0000_t202" style="position:absolute;left:0;text-align:left;margin-left:283.55pt;margin-top:4.65pt;width:277.5pt;height:259.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8LVMwIAAJIEAAAOAAAAZHJzL2Uyb0RvYy54bWy0VNuO0zAQfUfiHyy/07TZprRR09XSZRHS&#10;cpF2+QDHcRoL22Nst0n5esZOWwq8IXixPJ7JmTNzZrK+HbQiB+G8BFPR2WRKiTAcGml2Ff3y/PBq&#10;SYkPzDRMgREVPQpPbzcvX6x7W4ocOlCNcARBjC97W9EuBFtmmeed0MxPwAqDzhacZgFNt8sax3pE&#10;1yrLp9NF1oNrrAMuvMfX+9FJNwm/bQUPn9rWi0BURZFbSKdLZx3PbLNm5c4x20l+osH+goVm0mDS&#10;C9Q9C4zsnfwDSkvuwEMbJhx0Bm0ruUg1YDWz6W/VPHXMilQLNsfbS5v8v4PlHw+fHZFNRReUGKZR&#10;omcxBPIGBpLH7vTWlxj0ZDEsDPiMKqdKvX0E/tUTA9uOmZ24cw76TrAG2c3il9nVpyOOjyB1/wEa&#10;TMP2ARLQ0DodW4fNIIiOKh0vykQqHB9vinyeF+ji6LvJV8UCjZiDlefPrfPhnQBN4qWiDqVP8Ozw&#10;6MMYeg6J2Two2TxIpZIRx01slSMHhoNS78YS1V4j1/FtWUyn55RpOmN4IvALkjKkr+iqyIuxSf8n&#10;i5YBt0ZJXdEl0hqJsTJ2/61psFhWBibVeMceKXOSIyowahGGeki6z88q19AcUR8H45LgUuOlA/ed&#10;kh4XpKL+2545QYl6b1Dj1Ww+jxuVjHnxOkfDXXvqaw8zHKEqGigZr9uQtjBSNXCHs9DKpFIcmpHJ&#10;iTIOfmrzaUnjZl3bKernr2TzAwAA//8DAFBLAwQUAAYACAAAACEAYXG1gN8AAAAKAQAADwAAAGRy&#10;cy9kb3ducmV2LnhtbEyPwU7DMAyG70i8Q2QkbixNK8bomk5oCAmQOFB24Og1Xlutcaom68rbk53g&#10;aH+/fn8uNrPtxUSj7xxrUIsEBHHtTMeNht3Xy90KhA/IBnvHpOGHPGzK66sCc+PO/ElTFRoRS9jn&#10;qKENYcil9HVLFv3CDcSRHdxoMcRxbKQZ8RzLbS/TJFlKix3HCy0OtG2pPlYnq+EjG6a3euu/VfWq&#10;Bnz3x2fMdlrf3sxPaxCB5vAXhot+VIcyOu3diY0XvYb75YOKUQ2PGYgLV2kaF/tI0lUGsizk/xfK&#10;XwAAAP//AwBQSwECLQAUAAYACAAAACEAtoM4kv4AAADhAQAAEwAAAAAAAAAAAAAAAAAAAAAAW0Nv&#10;bnRlbnRfVHlwZXNdLnhtbFBLAQItABQABgAIAAAAIQA4/SH/1gAAAJQBAAALAAAAAAAAAAAAAAAA&#10;AC8BAABfcmVscy8ucmVsc1BLAQItABQABgAIAAAAIQBzY8LVMwIAAJIEAAAOAAAAAAAAAAAAAAAA&#10;AC4CAABkcnMvZTJvRG9jLnhtbFBLAQItABQABgAIAAAAIQBhcbWA3wAAAAoBAAAPAAAAAAAAAAAA&#10;AAAAAI0EAABkcnMvZG93bnJldi54bWxQSwUGAAAAAAQABADzAAAAmQUAAAAA&#10;" fillcolor="#d8d8d8 [2732]" strokecolor="#d8d8d8 [2732]">
                <v:textbox>
                  <w:txbxContent>
                    <w:p w14:paraId="29E57F88" w14:textId="2FCBFBB7" w:rsidR="007723C7" w:rsidRPr="00B41CCF" w:rsidRDefault="007723C7" w:rsidP="007723C7">
                      <w:pPr>
                        <w:rPr>
                          <w:b/>
                        </w:rPr>
                      </w:pPr>
                      <w:r w:rsidRPr="00B41CCF">
                        <w:rPr>
                          <w:b/>
                        </w:rPr>
                        <w:t xml:space="preserve">In </w:t>
                      </w:r>
                      <w:r w:rsidR="00733FF3">
                        <w:rPr>
                          <w:b/>
                        </w:rPr>
                        <w:t>f</w:t>
                      </w:r>
                      <w:r w:rsidRPr="00B41CCF">
                        <w:rPr>
                          <w:b/>
                        </w:rPr>
                        <w:t>ocus: GDEs</w:t>
                      </w:r>
                    </w:p>
                    <w:p w14:paraId="645A4E82" w14:textId="77777777" w:rsidR="007723C7" w:rsidRDefault="007723C7" w:rsidP="007723C7">
                      <w:r>
                        <w:t xml:space="preserve">Groundwater dependent ecosystems (GDE) are terrestrial and aquatic systems that rely on groundwater for at least some portion of their life history. These systems can vary greatly, they could be a waterhole fed by a spring, or an area of vegetation whose roots can reach a source of groundwater. </w:t>
                      </w:r>
                    </w:p>
                    <w:p w14:paraId="7782C3B7" w14:textId="37475078" w:rsidR="007723C7" w:rsidRDefault="007723C7" w:rsidP="007723C7">
                      <w:r>
                        <w:t>GDE’s support important ecological communities or provide refuge habitat for vulnerable species during</w:t>
                      </w:r>
                      <w:r w:rsidR="00733FF3">
                        <w:t xml:space="preserve"> dry </w:t>
                      </w:r>
                      <w:r>
                        <w:t xml:space="preserve">periods </w:t>
                      </w:r>
                      <w:r w:rsidR="00733FF3">
                        <w:t>o</w:t>
                      </w:r>
                      <w:r>
                        <w:t xml:space="preserve">r drought. Increased extraction from groundwater sources may impact GDE’s. The </w:t>
                      </w:r>
                      <w:r w:rsidR="00733FF3">
                        <w:t>P</w:t>
                      </w:r>
                      <w:r>
                        <w:t>rogram</w:t>
                      </w:r>
                      <w:r w:rsidR="00733FF3">
                        <w:t>,</w:t>
                      </w:r>
                      <w:r>
                        <w:t xml:space="preserve"> through regional conceptualisations</w:t>
                      </w:r>
                      <w:r w:rsidR="00733FF3">
                        <w:t>,</w:t>
                      </w:r>
                      <w:r>
                        <w:t xml:space="preserve"> is aiming to investigate connections between groundwater and surface </w:t>
                      </w:r>
                      <w:proofErr w:type="gramStart"/>
                      <w:r>
                        <w:t>systems, and</w:t>
                      </w:r>
                      <w:proofErr w:type="gramEnd"/>
                      <w:r>
                        <w:t xml:space="preserve"> build a picture of regional GDE’s. More information can be found at </w:t>
                      </w:r>
                      <w:hyperlink r:id="rId18" w:history="1">
                        <w:r w:rsidRPr="00BD5A2D">
                          <w:rPr>
                            <w:rStyle w:val="Hyperlink"/>
                          </w:rPr>
                          <w:t>http://www.ga.gov.au/scientific-topics/water/groundwater/understanding-groundwater-resources/groundwater-dependant-ecosystems</w:t>
                        </w:r>
                      </w:hyperlink>
                      <w:r>
                        <w:t xml:space="preserve">. </w:t>
                      </w:r>
                    </w:p>
                  </w:txbxContent>
                </v:textbox>
                <w10:wrap anchorx="margin"/>
              </v:shape>
            </w:pict>
          </mc:Fallback>
        </mc:AlternateContent>
      </w:r>
    </w:p>
    <w:p w14:paraId="0BEED05F" w14:textId="77777777" w:rsidR="007723C7" w:rsidRDefault="007723C7" w:rsidP="007723C7"/>
    <w:p w14:paraId="63BC732C" w14:textId="77777777" w:rsidR="007723C7" w:rsidRDefault="007723C7" w:rsidP="007723C7"/>
    <w:p w14:paraId="4F9B54B2" w14:textId="77777777" w:rsidR="007723C7" w:rsidRDefault="007723C7" w:rsidP="007723C7"/>
    <w:p w14:paraId="150D1838" w14:textId="77777777" w:rsidR="007723C7" w:rsidRDefault="007723C7" w:rsidP="007723C7"/>
    <w:p w14:paraId="3266D0DF" w14:textId="77777777" w:rsidR="007723C7" w:rsidRDefault="007723C7" w:rsidP="007723C7"/>
    <w:p w14:paraId="2D67BB27" w14:textId="77777777" w:rsidR="007723C7" w:rsidRDefault="007723C7" w:rsidP="007723C7"/>
    <w:p w14:paraId="7F838D39" w14:textId="77777777" w:rsidR="007723C7" w:rsidRDefault="007723C7" w:rsidP="007723C7"/>
    <w:p w14:paraId="74CDBD8A" w14:textId="77777777" w:rsidR="007723C7" w:rsidRDefault="007723C7" w:rsidP="007723C7"/>
    <w:p w14:paraId="13ED3E76" w14:textId="77777777" w:rsidR="007723C7" w:rsidRDefault="007723C7" w:rsidP="007723C7"/>
    <w:p w14:paraId="0F81FAEE" w14:textId="77777777" w:rsidR="007723C7" w:rsidRDefault="007723C7" w:rsidP="007723C7"/>
    <w:p w14:paraId="08842992" w14:textId="77777777" w:rsidR="007723C7" w:rsidRPr="007723C7" w:rsidRDefault="007723C7" w:rsidP="007723C7"/>
    <w:p w14:paraId="513B86DA" w14:textId="4AA87BA6" w:rsidR="005B5566" w:rsidRDefault="005B5566" w:rsidP="005A3281">
      <w:pPr>
        <w:pStyle w:val="Heading1"/>
        <w:spacing w:after="60"/>
        <w:ind w:left="0" w:firstLine="0"/>
        <w:rPr>
          <w:b w:val="0"/>
          <w:sz w:val="22"/>
        </w:rPr>
      </w:pPr>
    </w:p>
    <w:p w14:paraId="3C9C60C1" w14:textId="77777777" w:rsidR="001D5EBF" w:rsidRPr="001D5EBF" w:rsidRDefault="001D5EBF" w:rsidP="001D5EBF"/>
    <w:p w14:paraId="3CB36AAB" w14:textId="77777777" w:rsidR="00B821BD" w:rsidRDefault="00B821BD" w:rsidP="00B821BD">
      <w:pPr>
        <w:pStyle w:val="Heading1"/>
        <w:ind w:left="0" w:firstLine="0"/>
      </w:pPr>
    </w:p>
    <w:p w14:paraId="5F174282" w14:textId="77777777" w:rsidR="00B821BD" w:rsidRDefault="00B821BD" w:rsidP="00B821BD">
      <w:pPr>
        <w:pStyle w:val="Heading1"/>
        <w:ind w:left="0" w:firstLine="0"/>
      </w:pPr>
    </w:p>
    <w:p w14:paraId="73B1379A" w14:textId="4A0FE6D4" w:rsidR="00D90293" w:rsidRDefault="00B24929" w:rsidP="00B821BD">
      <w:pPr>
        <w:pStyle w:val="Heading1"/>
        <w:ind w:left="0" w:firstLine="0"/>
      </w:pPr>
      <w:r>
        <w:rPr>
          <w:noProof/>
        </w:rPr>
        <mc:AlternateContent>
          <mc:Choice Requires="wps">
            <w:drawing>
              <wp:anchor distT="0" distB="0" distL="114300" distR="114300" simplePos="0" relativeHeight="251674624" behindDoc="0" locked="0" layoutInCell="1" allowOverlap="1" wp14:anchorId="36D12D5A" wp14:editId="11C5B9BA">
                <wp:simplePos x="0" y="0"/>
                <wp:positionH relativeFrom="margin">
                  <wp:align>center</wp:align>
                </wp:positionH>
                <wp:positionV relativeFrom="paragraph">
                  <wp:posOffset>262255</wp:posOffset>
                </wp:positionV>
                <wp:extent cx="0" cy="8229600"/>
                <wp:effectExtent l="0" t="0" r="38100" b="19050"/>
                <wp:wrapNone/>
                <wp:docPr id="11" name="Straight Connector 11"/>
                <wp:cNvGraphicFramePr/>
                <a:graphic xmlns:a="http://schemas.openxmlformats.org/drawingml/2006/main">
                  <a:graphicData uri="http://schemas.microsoft.com/office/word/2010/wordprocessingShape">
                    <wps:wsp>
                      <wps:cNvCnPr/>
                      <wps:spPr>
                        <a:xfrm>
                          <a:off x="0" y="0"/>
                          <a:ext cx="0" cy="82296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A771338" id="Straight Connector 11" o:spid="_x0000_s1026" style="position:absolute;z-index:2516746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 from="0,20.65pt" to="0,6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o7i1wEAAA8EAAAOAAAAZHJzL2Uyb0RvYy54bWysU9Fu2yAUfZ+0f0C8L3YirWqtOH1I1b5M&#10;W7RuH0AxxEjARRcWO3+/C3acqpsmbdoLNnDP4ZzDZXs/OstOCqMB3/L1quZMeQmd8ceWf//2+OGW&#10;s5iE74QFr1p+VpHf796/2w6hURvowXYKGZH42Ayh5X1KoamqKHvlRFxBUJ42NaATiaZ4rDoUA7E7&#10;W23q+qYaALuAIFWMtPowbfJd4ddayfRF66gSsy0nbamMWMaXPFa7rWiOKEJv5CxD/IMKJ4ynQxeq&#10;B5EE+4HmFypnJEIEnVYSXAVaG6mKB3Kzrt+4ee5FUMULhRPDElP8f7Ty8+mAzHR0d2vOvHB0R88J&#10;hTn2ie3Be0oQkNEmJTWE2BBg7w84z2I4YLY9anT5S4bYWNI9L+mqMTE5LUpavd1s7m7qknx1BQaM&#10;6UmBY/mn5db4bFw04vQpJjqMSi8ledl6NpDku/pjXcoiWNM9GmvzZmketbfIToKuPY1FPDG8qqKZ&#10;9USbLU0myl86WzXxf1WaYiHZ6+mA3JBXTiGl8unCaz1VZ5gmBQtwVvYn4Fyfoao069+AF0Q5GXxa&#10;wM54wN/Jvkahp/pLApPvHMELdOdyvSUa6rqS/fxCclu/nhf49R3vfgIAAP//AwBQSwMEFAAGAAgA&#10;AAAhAL+H0XrcAAAABQEAAA8AAABkcnMvZG93bnJldi54bWxMj8FOwzAQRO9I/IO1SFwq6oQgCiFO&#10;BRFI3IAWwXUbb5NAvI5itw18PcsJjqMZzbwplpPr1Z7G0Hk2kM4TUMS1tx03Bl7XD2dXoEJEtth7&#10;JgNfFGBZHh8VmFt/4Bfar2KjpIRDjgbaGIdc61C35DDM/UAs3taPDqPIsdF2xIOUu16fJ8mldtix&#10;LLQ4UNVS/bnaOQPbp+u3u/dZ9Xy/do+LKm0+wmz6Nub0ZLq9ARVpin9h+MUXdCiFaeN3bIPqDciR&#10;aOAizUCJK2ojmSxbZKDLQv+nL38AAAD//wMAUEsBAi0AFAAGAAgAAAAhALaDOJL+AAAA4QEAABMA&#10;AAAAAAAAAAAAAAAAAAAAAFtDb250ZW50X1R5cGVzXS54bWxQSwECLQAUAAYACAAAACEAOP0h/9YA&#10;AACUAQAACwAAAAAAAAAAAAAAAAAvAQAAX3JlbHMvLnJlbHNQSwECLQAUAAYACAAAACEA5a6O4tcB&#10;AAAPBAAADgAAAAAAAAAAAAAAAAAuAgAAZHJzL2Uyb0RvYy54bWxQSwECLQAUAAYACAAAACEAv4fR&#10;etwAAAAFAQAADwAAAAAAAAAAAAAAAAAxBAAAZHJzL2Rvd25yZXYueG1sUEsFBgAAAAAEAAQA8wAA&#10;ADoFAAAAAA==&#10;" strokecolor="black [3213]" strokeweight="1.5pt">
                <v:stroke joinstyle="miter"/>
                <w10:wrap anchorx="margin"/>
              </v:line>
            </w:pict>
          </mc:Fallback>
        </mc:AlternateContent>
      </w:r>
      <w:r w:rsidR="008D30FF">
        <w:t>Cooper GBA Region</w:t>
      </w:r>
    </w:p>
    <w:p w14:paraId="70AF0A0D" w14:textId="77777777" w:rsidR="00D90293" w:rsidRDefault="008D30FF" w:rsidP="007723C7">
      <w:pPr>
        <w:pStyle w:val="Heading2"/>
        <w:ind w:left="6"/>
      </w:pPr>
      <w:r>
        <w:t>Field work</w:t>
      </w:r>
    </w:p>
    <w:p w14:paraId="06217F59" w14:textId="2F85F22C" w:rsidR="00D90293" w:rsidRDefault="008D30FF" w:rsidP="007723C7">
      <w:pPr>
        <w:spacing w:after="0"/>
        <w:ind w:left="22" w:right="11"/>
      </w:pPr>
      <w:r>
        <w:t xml:space="preserve">Field work to support </w:t>
      </w:r>
      <w:r w:rsidR="00733FF3">
        <w:t>I</w:t>
      </w:r>
      <w:r>
        <w:t xml:space="preserve">mpact </w:t>
      </w:r>
      <w:r w:rsidR="00733FF3">
        <w:t>A</w:t>
      </w:r>
      <w:r>
        <w:t xml:space="preserve">nalysis and </w:t>
      </w:r>
      <w:r w:rsidR="00733FF3">
        <w:t>M</w:t>
      </w:r>
      <w:r>
        <w:t xml:space="preserve">anagement (Stage 3) has begun in the Cooper GBA region. Two field trips have been completed and a third is planned for March 2020 </w:t>
      </w:r>
      <w:r w:rsidR="00733FF3">
        <w:t>.F</w:t>
      </w:r>
      <w:r>
        <w:t xml:space="preserve">actsheet </w:t>
      </w:r>
      <w:r w:rsidR="007723C7">
        <w:t>a</w:t>
      </w:r>
      <w:r w:rsidR="00733FF3">
        <w:t>vailable:</w:t>
      </w:r>
      <w:r w:rsidR="007723C7">
        <w:t xml:space="preserve"> </w:t>
      </w:r>
      <w:hyperlink r:id="rId19" w:history="1">
        <w:r w:rsidR="007723C7">
          <w:rPr>
            <w:rStyle w:val="Hyperlink"/>
          </w:rPr>
          <w:t>https://www.bioregionalassessments.gov.au/assessments/geological-and-bioregional-assessment-program/fact-sheets/fact-sheets</w:t>
        </w:r>
      </w:hyperlink>
      <w:r>
        <w:t xml:space="preserve">. The planned field work </w:t>
      </w:r>
      <w:r w:rsidR="00733FF3">
        <w:t>will</w:t>
      </w:r>
      <w:r>
        <w:t xml:space="preserve"> collect information to address knowledge gaps related to floods and the floodplain, waterholes, and the regions groundwater systems. Water samples will help build a better understanding of possible connections between shallow groundwater on the floodplain and deeper groundwater systems, as well as </w:t>
      </w:r>
      <w:r w:rsidR="00733FF3">
        <w:t>GDEs</w:t>
      </w:r>
      <w:r>
        <w:t xml:space="preserve"> across the floodplain.</w:t>
      </w:r>
    </w:p>
    <w:p w14:paraId="4E1F3F17" w14:textId="77777777" w:rsidR="005B5566" w:rsidRDefault="005A3281" w:rsidP="007723C7">
      <w:pPr>
        <w:spacing w:after="0"/>
        <w:ind w:left="22" w:right="11"/>
        <w:jc w:val="center"/>
      </w:pPr>
      <w:r w:rsidRPr="005A3281">
        <w:rPr>
          <w:noProof/>
        </w:rPr>
        <w:drawing>
          <wp:inline distT="0" distB="0" distL="0" distR="0" wp14:anchorId="6972DADA" wp14:editId="7642C591">
            <wp:extent cx="3236595" cy="2438400"/>
            <wp:effectExtent l="38100" t="38100" r="97155" b="952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6595" cy="24384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FC43351" w14:textId="77777777" w:rsidR="005A3281" w:rsidRDefault="005A3281" w:rsidP="007723C7">
      <w:pPr>
        <w:autoSpaceDE w:val="0"/>
        <w:autoSpaceDN w:val="0"/>
        <w:adjustRightInd w:val="0"/>
        <w:spacing w:after="0" w:line="240" w:lineRule="auto"/>
        <w:ind w:left="0" w:firstLine="0"/>
        <w:jc w:val="center"/>
        <w:rPr>
          <w:rFonts w:ascii="Calibri-Italic" w:eastAsiaTheme="minorEastAsia" w:hAnsi="Calibri-Italic" w:cs="Calibri-Italic"/>
          <w:i/>
          <w:iCs/>
          <w:color w:val="auto"/>
          <w:sz w:val="14"/>
          <w:szCs w:val="14"/>
        </w:rPr>
      </w:pPr>
      <w:r>
        <w:rPr>
          <w:rFonts w:ascii="Calibri-Italic" w:eastAsiaTheme="minorEastAsia" w:hAnsi="Calibri-Italic" w:cs="Calibri-Italic"/>
          <w:i/>
          <w:iCs/>
          <w:color w:val="auto"/>
          <w:sz w:val="14"/>
          <w:szCs w:val="14"/>
        </w:rPr>
        <w:t>Sampling of a Great Artesian Basin bore in the Cooper GBA region</w:t>
      </w:r>
    </w:p>
    <w:p w14:paraId="44F17BB9" w14:textId="77777777" w:rsidR="005B5566" w:rsidRDefault="005A3281" w:rsidP="007723C7">
      <w:pPr>
        <w:spacing w:after="60" w:line="240" w:lineRule="auto"/>
        <w:ind w:left="22" w:right="11"/>
        <w:jc w:val="center"/>
      </w:pPr>
      <w:r>
        <w:rPr>
          <w:rFonts w:ascii="Calibri-Italic" w:eastAsiaTheme="minorEastAsia" w:hAnsi="Calibri-Italic" w:cs="Calibri-Italic"/>
          <w:i/>
          <w:iCs/>
          <w:color w:val="auto"/>
          <w:sz w:val="14"/>
          <w:szCs w:val="14"/>
        </w:rPr>
        <w:t xml:space="preserve">Source: Geological and Bioregional Assessment program, Matthias </w:t>
      </w:r>
      <w:proofErr w:type="spellStart"/>
      <w:r>
        <w:rPr>
          <w:rFonts w:ascii="Calibri-Italic" w:eastAsiaTheme="minorEastAsia" w:hAnsi="Calibri-Italic" w:cs="Calibri-Italic"/>
          <w:i/>
          <w:iCs/>
          <w:color w:val="auto"/>
          <w:sz w:val="14"/>
          <w:szCs w:val="14"/>
        </w:rPr>
        <w:t>Raiber</w:t>
      </w:r>
      <w:proofErr w:type="spellEnd"/>
      <w:r>
        <w:rPr>
          <w:rFonts w:ascii="Calibri-Italic" w:eastAsiaTheme="minorEastAsia" w:hAnsi="Calibri-Italic" w:cs="Calibri-Italic"/>
          <w:i/>
          <w:iCs/>
          <w:color w:val="auto"/>
          <w:sz w:val="14"/>
          <w:szCs w:val="14"/>
        </w:rPr>
        <w:t xml:space="preserve"> &amp; Jorge Martinez</w:t>
      </w:r>
    </w:p>
    <w:p w14:paraId="7F24451D" w14:textId="4EED85D5" w:rsidR="005B5566" w:rsidRPr="005B5566" w:rsidRDefault="00733FF3" w:rsidP="005A3281">
      <w:pPr>
        <w:spacing w:after="60"/>
        <w:ind w:left="22" w:right="11"/>
        <w:rPr>
          <w:b/>
          <w:sz w:val="24"/>
        </w:rPr>
      </w:pPr>
      <w:r>
        <w:rPr>
          <w:b/>
          <w:sz w:val="24"/>
        </w:rPr>
        <w:t>U</w:t>
      </w:r>
      <w:r w:rsidR="005B5566" w:rsidRPr="005B5566">
        <w:rPr>
          <w:b/>
          <w:sz w:val="24"/>
        </w:rPr>
        <w:t xml:space="preserve">ser </w:t>
      </w:r>
      <w:r>
        <w:rPr>
          <w:b/>
          <w:sz w:val="24"/>
        </w:rPr>
        <w:t>p</w:t>
      </w:r>
      <w:r w:rsidR="005B5566" w:rsidRPr="005B5566">
        <w:rPr>
          <w:b/>
          <w:sz w:val="24"/>
        </w:rPr>
        <w:t>anel</w:t>
      </w:r>
    </w:p>
    <w:p w14:paraId="2D7C72BB" w14:textId="77777777" w:rsidR="00C50D66" w:rsidRDefault="00C50D66" w:rsidP="005A3281">
      <w:pPr>
        <w:autoSpaceDE w:val="0"/>
        <w:autoSpaceDN w:val="0"/>
        <w:adjustRightInd w:val="0"/>
        <w:spacing w:after="60" w:line="240" w:lineRule="auto"/>
        <w:ind w:left="0" w:firstLine="0"/>
        <w:rPr>
          <w:rFonts w:eastAsiaTheme="minorEastAsia"/>
          <w:color w:val="000000"/>
        </w:rPr>
      </w:pPr>
      <w:r>
        <w:rPr>
          <w:rFonts w:eastAsiaTheme="minorEastAsia"/>
          <w:color w:val="000000"/>
        </w:rPr>
        <w:t>The third Cooper GBA region user panel was held in</w:t>
      </w:r>
      <w:r w:rsidR="002C2294">
        <w:rPr>
          <w:rFonts w:eastAsiaTheme="minorEastAsia"/>
          <w:color w:val="000000"/>
        </w:rPr>
        <w:t xml:space="preserve"> </w:t>
      </w:r>
      <w:r>
        <w:rPr>
          <w:rFonts w:eastAsiaTheme="minorEastAsia"/>
          <w:color w:val="000000"/>
        </w:rPr>
        <w:t>Brisbane on 1 August 2019.</w:t>
      </w:r>
    </w:p>
    <w:p w14:paraId="1A4A39E4" w14:textId="0DE7A2B3" w:rsidR="00657C87" w:rsidRDefault="00C50D66" w:rsidP="005A3281">
      <w:pPr>
        <w:autoSpaceDE w:val="0"/>
        <w:autoSpaceDN w:val="0"/>
        <w:adjustRightInd w:val="0"/>
        <w:spacing w:after="60" w:line="240" w:lineRule="auto"/>
        <w:ind w:left="0" w:firstLine="0"/>
        <w:rPr>
          <w:rFonts w:eastAsiaTheme="minorEastAsia"/>
          <w:color w:val="000000"/>
        </w:rPr>
      </w:pPr>
      <w:r>
        <w:rPr>
          <w:rFonts w:eastAsiaTheme="minorEastAsia"/>
          <w:color w:val="000000"/>
        </w:rPr>
        <w:t xml:space="preserve">CSIRO and Geoscience Australia updated the panel on the work being finalised in the </w:t>
      </w:r>
      <w:r w:rsidR="00733FF3">
        <w:rPr>
          <w:rFonts w:eastAsiaTheme="minorEastAsia"/>
          <w:color w:val="000000"/>
        </w:rPr>
        <w:t>G</w:t>
      </w:r>
      <w:r>
        <w:rPr>
          <w:rFonts w:eastAsiaTheme="minorEastAsia"/>
          <w:color w:val="000000"/>
        </w:rPr>
        <w:t xml:space="preserve">eological and </w:t>
      </w:r>
      <w:r w:rsidR="00733FF3">
        <w:rPr>
          <w:rFonts w:eastAsiaTheme="minorEastAsia"/>
          <w:color w:val="000000"/>
        </w:rPr>
        <w:t>E</w:t>
      </w:r>
      <w:r>
        <w:rPr>
          <w:rFonts w:eastAsiaTheme="minorEastAsia"/>
          <w:color w:val="000000"/>
        </w:rPr>
        <w:t xml:space="preserve">nvironmental </w:t>
      </w:r>
      <w:r w:rsidR="00733FF3">
        <w:rPr>
          <w:rFonts w:eastAsiaTheme="minorEastAsia"/>
          <w:color w:val="000000"/>
        </w:rPr>
        <w:t>B</w:t>
      </w:r>
      <w:r>
        <w:rPr>
          <w:rFonts w:eastAsiaTheme="minorEastAsia"/>
          <w:color w:val="000000"/>
        </w:rPr>
        <w:t xml:space="preserve">aseline </w:t>
      </w:r>
      <w:r w:rsidR="00733FF3">
        <w:rPr>
          <w:rFonts w:eastAsiaTheme="minorEastAsia"/>
          <w:color w:val="000000"/>
        </w:rPr>
        <w:t>A</w:t>
      </w:r>
      <w:r>
        <w:rPr>
          <w:rFonts w:eastAsiaTheme="minorEastAsia"/>
          <w:color w:val="000000"/>
        </w:rPr>
        <w:t xml:space="preserve">ssessment (Stage 2). </w:t>
      </w:r>
    </w:p>
    <w:p w14:paraId="2C9B9E05" w14:textId="77777777" w:rsidR="00C50D66" w:rsidRDefault="00C50D66" w:rsidP="005A3281">
      <w:pPr>
        <w:autoSpaceDE w:val="0"/>
        <w:autoSpaceDN w:val="0"/>
        <w:adjustRightInd w:val="0"/>
        <w:spacing w:after="60" w:line="240" w:lineRule="auto"/>
        <w:ind w:left="0" w:firstLine="0"/>
        <w:rPr>
          <w:rFonts w:eastAsiaTheme="minorEastAsia"/>
          <w:color w:val="000000"/>
        </w:rPr>
      </w:pPr>
      <w:r>
        <w:rPr>
          <w:rFonts w:eastAsiaTheme="minorEastAsia"/>
          <w:color w:val="000000"/>
        </w:rPr>
        <w:t xml:space="preserve">A question and answer session focused on the Cooper creek floodplain and recent flood events. Discussions about the risk analysis and management work (Stage 3) included defining resource development scenarios for shale, tight and deep coal gas, and the need for </w:t>
      </w:r>
      <w:proofErr w:type="gramStart"/>
      <w:r>
        <w:rPr>
          <w:rFonts w:eastAsiaTheme="minorEastAsia"/>
          <w:color w:val="000000"/>
        </w:rPr>
        <w:t>topic</w:t>
      </w:r>
      <w:r w:rsidR="00B30E6B">
        <w:rPr>
          <w:rFonts w:eastAsiaTheme="minorEastAsia"/>
          <w:color w:val="000000"/>
        </w:rPr>
        <w:t xml:space="preserve"> </w:t>
      </w:r>
      <w:r w:rsidR="005A3281">
        <w:rPr>
          <w:rFonts w:eastAsiaTheme="minorEastAsia"/>
          <w:color w:val="000000"/>
        </w:rPr>
        <w:t>b</w:t>
      </w:r>
      <w:r>
        <w:rPr>
          <w:rFonts w:eastAsiaTheme="minorEastAsia"/>
          <w:color w:val="000000"/>
        </w:rPr>
        <w:t>ased</w:t>
      </w:r>
      <w:proofErr w:type="gramEnd"/>
      <w:r>
        <w:rPr>
          <w:rFonts w:eastAsiaTheme="minorEastAsia"/>
          <w:color w:val="000000"/>
        </w:rPr>
        <w:t xml:space="preserve"> communication materials.</w:t>
      </w:r>
    </w:p>
    <w:p w14:paraId="6909F683" w14:textId="1AB310E7" w:rsidR="005B5566" w:rsidRDefault="00B24929" w:rsidP="00B24929">
      <w:pPr>
        <w:autoSpaceDE w:val="0"/>
        <w:autoSpaceDN w:val="0"/>
        <w:adjustRightInd w:val="0"/>
        <w:spacing w:after="0" w:line="240" w:lineRule="auto"/>
        <w:ind w:left="0" w:firstLine="0"/>
      </w:pPr>
      <w:r w:rsidRPr="00B24929">
        <w:rPr>
          <w:rFonts w:eastAsiaTheme="minorEastAsia"/>
          <w:noProof/>
          <w:color w:val="000000"/>
        </w:rPr>
        <mc:AlternateContent>
          <mc:Choice Requires="wps">
            <w:drawing>
              <wp:anchor distT="45720" distB="45720" distL="114300" distR="114300" simplePos="0" relativeHeight="251680768" behindDoc="0" locked="0" layoutInCell="1" allowOverlap="1" wp14:anchorId="7AA24CD9" wp14:editId="3F6B26BB">
                <wp:simplePos x="0" y="0"/>
                <wp:positionH relativeFrom="margin">
                  <wp:posOffset>-89535</wp:posOffset>
                </wp:positionH>
                <wp:positionV relativeFrom="paragraph">
                  <wp:posOffset>154940</wp:posOffset>
                </wp:positionV>
                <wp:extent cx="3429000" cy="1404620"/>
                <wp:effectExtent l="0" t="0" r="0" b="381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404620"/>
                        </a:xfrm>
                        <a:prstGeom prst="rect">
                          <a:avLst/>
                        </a:prstGeom>
                        <a:solidFill>
                          <a:srgbClr val="FFFFFF">
                            <a:alpha val="74902"/>
                          </a:srgbClr>
                        </a:solidFill>
                        <a:ln w="9525">
                          <a:noFill/>
                          <a:miter lim="800000"/>
                          <a:headEnd/>
                          <a:tailEnd/>
                        </a:ln>
                      </wps:spPr>
                      <wps:txbx>
                        <w:txbxContent>
                          <w:p w14:paraId="52E58053" w14:textId="77777777" w:rsidR="00B24929" w:rsidRDefault="00B821BD">
                            <w:hyperlink r:id="rId21" w:history="1">
                              <w:r w:rsidR="00B24929" w:rsidRPr="00B24929">
                                <w:rPr>
                                  <w:rStyle w:val="Hyperlink"/>
                                  <w:rFonts w:eastAsiaTheme="minorEastAsia"/>
                                  <w:sz w:val="20"/>
                                </w:rPr>
                                <w:t>https://www.bioregionalassessments.gov.au/assessments/geological-and-bioregional-assessment-program/cooper-basin/cooper-basin-user-panel-communiques</w:t>
                              </w:r>
                            </w:hyperlink>
                            <w:r w:rsidR="00B24929" w:rsidRPr="00B24929">
                              <w:rPr>
                                <w:rFonts w:eastAsiaTheme="minorEastAsia"/>
                                <w:color w:val="000000"/>
                                <w:shd w:val="clear" w:color="auto" w:fill="FFFFFF" w:themeFill="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A24CD9" id="_x0000_s1031" type="#_x0000_t202" style="position:absolute;margin-left:-7.05pt;margin-top:12.2pt;width:270pt;height:110.6pt;z-index:251680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PsNAIAAEYEAAAOAAAAZHJzL2Uyb0RvYy54bWysU9tu2zAMfR+wfxD0vtjxnLYx4hRdugwD&#10;ugvQ7gNkWY6FSaImKbG7ry8lJ1m2vQ3zg0GR1BF5Drm6HbUiB+G8BFPT+SynRBgOrTS7mn572r65&#10;ocQHZlqmwIiaPgtPb9evX60GW4kCelCtcARBjK8GW9M+BFtlmee90MzPwAqDwQ6cZgGPbpe1jg2I&#10;rlVW5PlVNoBrrQMuvEfv/RSk64TfdYKHL13nRSCqplhbSH+X/k38Z+sVq3aO2V7yYxnsH6rQTBp8&#10;9Ax1zwIjeyf/gtKSO/DQhRkHnUHXSS5SD9jNPP+jm8eeWZF6QXK8PdPk/x8s/3z46ohsUbvlghLD&#10;NIr0JMZA3sFIisjPYH2FaY8WE8OIbsxNvXr7APy7JwY2PTM7ceccDL1gLdY3jzezi6sTjo8gzfAJ&#10;WnyG7QMkoLFzOpKHdBBER52ez9rEUjg635bFMs8xxDE2L/PyqkjqZaw6XbfOhw8CNIlGTR2Kn+DZ&#10;4cGHWA6rTinxNQ9KtlupVDq4XbNRjhwYDso2fdNdZXs2ea/LZZ4IQRw/pSfM33CUIUNNl4tika4b&#10;iA+kIdMy4KQrqWt6g41gK8kd+Xpv2mQHJtVk4xPKHAmMnE3shbEZk1aLky4NtM/IqINpsHER0ejB&#10;/aRkwKGuqf+xZ05Qoj4aVGU5L8u4BelQLq6RQuIuI81lhBmOUDUNlEzmJqTNSXzZO1RvKxOvUeap&#10;kmPJOKyJmuNixW24PKesX+u/fgEAAP//AwBQSwMEFAAGAAgAAAAhALQ30VfjAAAACgEAAA8AAABk&#10;cnMvZG93bnJldi54bWxMj8FKw0AQhu9C32EZwYu0m8SkmDSbUgQRD1ZaC/a4zY5JaHY2ZLdJ9Ond&#10;nvQ4Mx//fH++nnTLBuxtY0hAuAiAIZVGNVQJOHw8zx+BWSdJydYQCvhGC+tidpPLTJmRdjjsXcV8&#10;CNlMCqid6zLObVmjlnZhOiR/+zK9ls6PfcVVL0cfrlseBcGSa9mQ/1DLDp9qLM/7ixagk/HlNX04&#10;7t4+t+/RT5we7ofqLMTd7bRZAXM4uT8YrvpeHQrvdDIXUpa1AuZhHHpUQBTHwDyQREkK7HRdJEvg&#10;Rc7/Vyh+AQAA//8DAFBLAQItABQABgAIAAAAIQC2gziS/gAAAOEBAAATAAAAAAAAAAAAAAAAAAAA&#10;AABbQ29udGVudF9UeXBlc10ueG1sUEsBAi0AFAAGAAgAAAAhADj9If/WAAAAlAEAAAsAAAAAAAAA&#10;AAAAAAAALwEAAF9yZWxzLy5yZWxzUEsBAi0AFAAGAAgAAAAhAFE3M+w0AgAARgQAAA4AAAAAAAAA&#10;AAAAAAAALgIAAGRycy9lMm9Eb2MueG1sUEsBAi0AFAAGAAgAAAAhALQ30VfjAAAACgEAAA8AAAAA&#10;AAAAAAAAAAAAjgQAAGRycy9kb3ducmV2LnhtbFBLBQYAAAAABAAEAPMAAACeBQAAAAA=&#10;" stroked="f">
                <v:fill opacity="49087f"/>
                <v:textbox style="mso-fit-shape-to-text:t">
                  <w:txbxContent>
                    <w:p w14:paraId="52E58053" w14:textId="77777777" w:rsidR="00B24929" w:rsidRDefault="00B821BD">
                      <w:hyperlink r:id="rId22" w:history="1">
                        <w:r w:rsidR="00B24929" w:rsidRPr="00B24929">
                          <w:rPr>
                            <w:rStyle w:val="Hyperlink"/>
                            <w:rFonts w:eastAsiaTheme="minorEastAsia"/>
                            <w:sz w:val="20"/>
                          </w:rPr>
                          <w:t>https://www.bioregionalassessments.gov.au/assessments/geological-and-bioregional-assessment-program/cooper-basin/cooper-basin-user-panel-communiques</w:t>
                        </w:r>
                      </w:hyperlink>
                      <w:r w:rsidR="00B24929" w:rsidRPr="00B24929">
                        <w:rPr>
                          <w:rFonts w:eastAsiaTheme="minorEastAsia"/>
                          <w:color w:val="000000"/>
                          <w:shd w:val="clear" w:color="auto" w:fill="FFFFFF" w:themeFill="background1"/>
                        </w:rPr>
                        <w:t>.</w:t>
                      </w:r>
                    </w:p>
                  </w:txbxContent>
                </v:textbox>
                <w10:wrap anchorx="margin"/>
              </v:shape>
            </w:pict>
          </mc:Fallback>
        </mc:AlternateContent>
      </w:r>
      <w:r w:rsidR="00733FF3">
        <w:rPr>
          <w:rFonts w:eastAsiaTheme="minorEastAsia"/>
          <w:color w:val="000000"/>
        </w:rPr>
        <w:t>C</w:t>
      </w:r>
      <w:r w:rsidR="00C50D66">
        <w:rPr>
          <w:rFonts w:eastAsiaTheme="minorEastAsia"/>
          <w:color w:val="000000"/>
        </w:rPr>
        <w:t xml:space="preserve">ommunique </w:t>
      </w:r>
      <w:r w:rsidR="00733FF3">
        <w:rPr>
          <w:rFonts w:eastAsiaTheme="minorEastAsia"/>
          <w:color w:val="000000"/>
        </w:rPr>
        <w:t>available:</w:t>
      </w:r>
      <w:r w:rsidR="007723C7">
        <w:rPr>
          <w:rFonts w:eastAsiaTheme="minorEastAsia"/>
          <w:color w:val="000000"/>
        </w:rPr>
        <w:t xml:space="preserve"> </w:t>
      </w:r>
    </w:p>
    <w:p w14:paraId="3E42F17B" w14:textId="77777777" w:rsidR="00B24929" w:rsidRDefault="00B24929" w:rsidP="00B24929">
      <w:pPr>
        <w:pStyle w:val="Heading2"/>
        <w:ind w:left="6"/>
      </w:pPr>
    </w:p>
    <w:p w14:paraId="2936D91F" w14:textId="77777777" w:rsidR="00B24929" w:rsidRDefault="00B24929" w:rsidP="00B24929">
      <w:pPr>
        <w:pStyle w:val="Heading2"/>
        <w:ind w:left="6"/>
      </w:pPr>
    </w:p>
    <w:p w14:paraId="38344125" w14:textId="77777777" w:rsidR="00B24929" w:rsidRDefault="00B24929" w:rsidP="00B24929">
      <w:pPr>
        <w:pStyle w:val="Heading2"/>
        <w:ind w:left="6"/>
      </w:pPr>
    </w:p>
    <w:p w14:paraId="47B3FBD6" w14:textId="10D49E37" w:rsidR="005B5566" w:rsidRDefault="005B5566" w:rsidP="00AB3CB8">
      <w:pPr>
        <w:pStyle w:val="Heading2"/>
        <w:spacing w:before="120"/>
        <w:ind w:left="6"/>
      </w:pPr>
      <w:r>
        <w:t xml:space="preserve">Cooper </w:t>
      </w:r>
      <w:r w:rsidR="00733FF3">
        <w:t>C</w:t>
      </w:r>
      <w:r>
        <w:t xml:space="preserve">reek </w:t>
      </w:r>
      <w:r w:rsidR="00733FF3">
        <w:t>f</w:t>
      </w:r>
      <w:r>
        <w:t>lood</w:t>
      </w:r>
      <w:r w:rsidR="00733FF3">
        <w:t>p</w:t>
      </w:r>
      <w:r>
        <w:t>lain</w:t>
      </w:r>
    </w:p>
    <w:p w14:paraId="5ED120F3" w14:textId="77777777" w:rsidR="00657C87" w:rsidRDefault="005B5566" w:rsidP="00B30E6B">
      <w:pPr>
        <w:spacing w:after="60"/>
        <w:ind w:left="22" w:right="11"/>
      </w:pPr>
      <w:r>
        <w:t>The floodplain of Cooper Creek (known as ‘Channel Country’) exceeds 60 km at its widest</w:t>
      </w:r>
      <w:r w:rsidR="00657C87">
        <w:t>.</w:t>
      </w:r>
      <w:r>
        <w:t xml:space="preserve"> </w:t>
      </w:r>
    </w:p>
    <w:p w14:paraId="17E9ECD0" w14:textId="77777777" w:rsidR="005B5566" w:rsidRDefault="005B5566" w:rsidP="00B30E6B">
      <w:pPr>
        <w:spacing w:after="60"/>
        <w:ind w:left="22" w:right="11"/>
      </w:pPr>
      <w:r>
        <w:t>Understanding how surface water flows across and is stored in this floodplain is important for studying the potential impacts of disturbance to surface water flows.</w:t>
      </w:r>
    </w:p>
    <w:p w14:paraId="042E9593" w14:textId="77777777" w:rsidR="005B5566" w:rsidRDefault="005B5566" w:rsidP="00B24929">
      <w:pPr>
        <w:spacing w:after="0"/>
        <w:ind w:left="22" w:right="11"/>
      </w:pPr>
      <w:r>
        <w:t>Light Detection and Ranging (LiDAR) data has been collected for the Cooper Channel and data uploaded and shared with the Queensland Government (</w:t>
      </w:r>
      <w:hyperlink r:id="rId23" w:history="1">
        <w:r w:rsidR="00B24929">
          <w:rPr>
            <w:rStyle w:val="Hyperlink"/>
          </w:rPr>
          <w:t>https://data.gov.au/data/dataset/801320f9-901a-4482-a8e8-9029c55a472c</w:t>
        </w:r>
      </w:hyperlink>
      <w:r>
        <w:t>). This data will be used for surface water models of Cooper Creek flow patterns and flooding.</w:t>
      </w:r>
    </w:p>
    <w:p w14:paraId="0A2CC9C0" w14:textId="77777777" w:rsidR="005B5566" w:rsidRDefault="005A3281" w:rsidP="00B24929">
      <w:pPr>
        <w:spacing w:after="0"/>
        <w:ind w:left="22" w:right="11"/>
        <w:jc w:val="center"/>
      </w:pPr>
      <w:r w:rsidRPr="005A3281">
        <w:rPr>
          <w:noProof/>
        </w:rPr>
        <w:drawing>
          <wp:inline distT="0" distB="0" distL="0" distR="0" wp14:anchorId="0CB99E31" wp14:editId="6D24BD92">
            <wp:extent cx="3303567" cy="3584213"/>
            <wp:effectExtent l="57150" t="57150" r="106680" b="1117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1029" cy="3614008"/>
                    </a:xfrm>
                    <a:prstGeom prst="rect">
                      <a:avLst/>
                    </a:prstGeom>
                    <a:noFill/>
                    <a:ln>
                      <a:solidFill>
                        <a:schemeClr val="bg1">
                          <a:lumMod val="65000"/>
                        </a:schemeClr>
                      </a:solidFill>
                    </a:ln>
                    <a:effectLst>
                      <a:outerShdw blurRad="50800" dist="38100" dir="2700000" algn="tl" rotWithShape="0">
                        <a:prstClr val="black">
                          <a:alpha val="40000"/>
                        </a:prstClr>
                      </a:outerShdw>
                    </a:effectLst>
                  </pic:spPr>
                </pic:pic>
              </a:graphicData>
            </a:graphic>
          </wp:inline>
        </w:drawing>
      </w:r>
    </w:p>
    <w:p w14:paraId="734477B4" w14:textId="77777777" w:rsidR="005A3281" w:rsidRDefault="005A3281" w:rsidP="005A3281">
      <w:pPr>
        <w:autoSpaceDE w:val="0"/>
        <w:autoSpaceDN w:val="0"/>
        <w:adjustRightInd w:val="0"/>
        <w:spacing w:after="0" w:line="240" w:lineRule="auto"/>
        <w:ind w:left="0" w:firstLine="0"/>
        <w:jc w:val="center"/>
        <w:rPr>
          <w:rFonts w:ascii="Calibri-Italic" w:eastAsiaTheme="minorEastAsia" w:hAnsi="Calibri-Italic" w:cs="Calibri-Italic"/>
          <w:i/>
          <w:iCs/>
          <w:color w:val="auto"/>
          <w:sz w:val="14"/>
          <w:szCs w:val="14"/>
        </w:rPr>
      </w:pPr>
      <w:r>
        <w:rPr>
          <w:rFonts w:ascii="Calibri-Italic" w:eastAsiaTheme="minorEastAsia" w:hAnsi="Calibri-Italic" w:cs="Calibri-Italic"/>
          <w:i/>
          <w:iCs/>
          <w:color w:val="auto"/>
          <w:sz w:val="14"/>
          <w:szCs w:val="14"/>
        </w:rPr>
        <w:t>Map of the extent of LiDAR flown over the Cooper GBA region.</w:t>
      </w:r>
    </w:p>
    <w:p w14:paraId="24B133FF" w14:textId="4545D92C" w:rsidR="005B5566" w:rsidRDefault="00D43F6A" w:rsidP="005A3281">
      <w:pPr>
        <w:spacing w:after="60"/>
        <w:ind w:left="22" w:right="11"/>
        <w:jc w:val="center"/>
        <w:rPr>
          <w:rFonts w:ascii="Calibri-Italic" w:eastAsiaTheme="minorEastAsia" w:hAnsi="Calibri-Italic" w:cs="Calibri-Italic"/>
          <w:i/>
          <w:iCs/>
          <w:color w:val="auto"/>
          <w:sz w:val="14"/>
          <w:szCs w:val="14"/>
        </w:rPr>
      </w:pPr>
      <w:r w:rsidRPr="00B24929">
        <w:rPr>
          <w:rFonts w:eastAsiaTheme="minorEastAsia"/>
          <w:noProof/>
          <w:color w:val="000000"/>
        </w:rPr>
        <mc:AlternateContent>
          <mc:Choice Requires="wps">
            <w:drawing>
              <wp:anchor distT="45720" distB="45720" distL="114300" distR="114300" simplePos="0" relativeHeight="251678720" behindDoc="0" locked="0" layoutInCell="1" allowOverlap="1" wp14:anchorId="546D2213" wp14:editId="518845FC">
                <wp:simplePos x="0" y="0"/>
                <wp:positionH relativeFrom="margin">
                  <wp:posOffset>3606165</wp:posOffset>
                </wp:positionH>
                <wp:positionV relativeFrom="paragraph">
                  <wp:posOffset>164275</wp:posOffset>
                </wp:positionV>
                <wp:extent cx="3524250" cy="1404620"/>
                <wp:effectExtent l="0" t="0" r="19050" b="2349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404620"/>
                        </a:xfrm>
                        <a:prstGeom prst="rect">
                          <a:avLst/>
                        </a:prstGeom>
                        <a:solidFill>
                          <a:schemeClr val="bg1">
                            <a:lumMod val="85000"/>
                          </a:schemeClr>
                        </a:solidFill>
                        <a:ln w="9525">
                          <a:solidFill>
                            <a:schemeClr val="bg1">
                              <a:lumMod val="85000"/>
                            </a:schemeClr>
                          </a:solidFill>
                          <a:miter lim="800000"/>
                          <a:headEnd/>
                          <a:tailEnd/>
                        </a:ln>
                      </wps:spPr>
                      <wps:txbx>
                        <w:txbxContent>
                          <w:p w14:paraId="3A73E0BD" w14:textId="77777777" w:rsidR="00B24929" w:rsidRDefault="00B24929" w:rsidP="00B24929">
                            <w:pPr>
                              <w:spacing w:after="60" w:line="259" w:lineRule="auto"/>
                              <w:ind w:left="0" w:firstLine="0"/>
                            </w:pPr>
                            <w:r>
                              <w:rPr>
                                <w:b/>
                                <w:sz w:val="24"/>
                              </w:rPr>
                              <w:t>The Australasian Groundwater Conference 2019</w:t>
                            </w:r>
                          </w:p>
                          <w:p w14:paraId="0A81860F" w14:textId="45317A94" w:rsidR="00B24929" w:rsidRDefault="00B24929" w:rsidP="00B24929">
                            <w:pPr>
                              <w:spacing w:after="60" w:line="236" w:lineRule="auto"/>
                              <w:ind w:left="0" w:firstLine="0"/>
                            </w:pPr>
                            <w:r>
                              <w:t>Scientists and staff from CSIRO, Geoscience Australia and the Department of</w:t>
                            </w:r>
                            <w:r w:rsidR="00733FF3">
                              <w:t xml:space="preserve"> the</w:t>
                            </w:r>
                            <w:r>
                              <w:t xml:space="preserve"> Environment and Energy gave presentations related to the </w:t>
                            </w:r>
                            <w:r w:rsidR="00733FF3">
                              <w:t>P</w:t>
                            </w:r>
                            <w:r>
                              <w:t xml:space="preserve">rogram at the Australasian Groundwater Conference 2019 held in Brisbane. </w:t>
                            </w:r>
                          </w:p>
                          <w:p w14:paraId="2600A74C" w14:textId="77777777" w:rsidR="00B24929" w:rsidRDefault="00B24929" w:rsidP="00B24929">
                            <w:r>
                              <w:t xml:space="preserve">Abstracts from the presentations can be found at </w:t>
                            </w:r>
                            <w:hyperlink r:id="rId25" w:history="1">
                              <w:r>
                                <w:rPr>
                                  <w:rStyle w:val="Hyperlink"/>
                                </w:rPr>
                                <w:t>https://dspace.flinders.edu.au/xmlui/handle/2328/39338</w:t>
                              </w:r>
                            </w:hyperlink>
                            <w:r>
                              <w:t xml:space="preserve">. </w:t>
                            </w:r>
                          </w:p>
                          <w:p w14:paraId="021ECAC8" w14:textId="56389099" w:rsidR="00B24929" w:rsidRDefault="00B24929" w:rsidP="00B24929">
                            <w:r>
                              <w:t>A poster outlining the GBA program displayed at the conference has also been added to the Bioregional Assessments website</w:t>
                            </w:r>
                            <w:r w:rsidR="001D5EBF">
                              <w:t>:</w:t>
                            </w:r>
                            <w:r>
                              <w:t xml:space="preserve"> </w:t>
                            </w:r>
                            <w:hyperlink r:id="rId26" w:history="1">
                              <w:r>
                                <w:rPr>
                                  <w:rStyle w:val="Hyperlink"/>
                                </w:rPr>
                                <w:t>https://www.bioregionalassessments.gov.au/assessments/geological-and-bioregional-assessment-program/fact-sheets/fact-sheets</w:t>
                              </w:r>
                            </w:hyperlink>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6D2213" id="_x0000_s1032" type="#_x0000_t202" style="position:absolute;left:0;text-align:left;margin-left:283.95pt;margin-top:12.95pt;width:277.5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e6sNAIAAJMEAAAOAAAAZHJzL2Uyb0RvYy54bWy0VNuO2yAQfa/Uf0C8N3bcJM1acVbbbFNV&#10;2l6k3X4AxjhGBYYCiZ1+/Q44SdP2rWpfEDDDmTNzZljdDlqRg3BegqnodJJTIgyHRppdRb8+bV8t&#10;KfGBmYYpMKKiR+Hp7frli1VvS1FAB6oRjiCI8WVvK9qFYMss87wTmvkJWGHQ2ILTLODR7bLGsR7R&#10;tcqKPF9kPbjGOuDCe7y9H410nfDbVvDwuW29CERVFLmFtLq01nHN1itW7hyzneQnGuwvWGgmDQa9&#10;QN2zwMjeyT+gtOQOPLRhwkFn0LaSi5QDZjPNf8vmsWNWpFywON5eyuT/HSz/dPjiiGxQu4ISwzRq&#10;9CSGQN7CQIpYnt76Er0eLfqFAa/RNaXq7QPwb54Y2HTM7MSdc9B3gjVIbxpfZldPRxwfQer+IzQY&#10;hu0DJKChdTrWDqtBEB1lOl6kiVQ4Xr6eF7NijiaOtuksny2KJF7GyvNz63x4L0CTuKmoQ+0TPDs8&#10;+BDpsPLsEqN5ULLZSqXSIfab2ChHDgw7pd6NKaq9Rq7j3XKe5+eQqT2je0L9BUkZ0lf0Zl7MxyL9&#10;nyhaBhwbJXVFl0hrJMbKWP13pklNHZhU4x4TV+YkR1Rg1CIM9ZCEX5xVrqE5oj4OxinBqcZNB+4H&#10;JT1OSEX99z1zghL1waDGN9PZLI5UOszmb1AQ4q4t9bWFGY5QFQ2UjNtNSGOYqm/vsBe2MqkUm2Zk&#10;cqKMnZ/KfJrSOFrX5+T18y9ZPwMAAP//AwBQSwMEFAAGAAgAAAAhAMuRSYXhAAAACwEAAA8AAABk&#10;cnMvZG93bnJldi54bWxMj19LwzAUxd8Fv0O4gm8ubXDdVpuOIfgggrI5hr5lTUyKzU1p0q1+e++e&#10;9On+O5zzu9V68h07mSG2ASXkswyYwSboFq2E/fvT3RJYTAq16gIaCT8mwrq+vqpUqcMZt+a0S5aR&#10;CcZSSXAp9SXnsXHGqzgLvUG6fYXBq0TjYLke1JnMfcdFlhXcqxYpwanePDrTfO9GL2H8OKQwrQ5i&#10;/xqL5+Wbs5vPFyvl7c20eQCWzJT+xHDBJ3SoiekYRtSRdRLmxWJFUgliTvUiyIWg7kib+0UOvK74&#10;/x/qXwAAAP//AwBQSwECLQAUAAYACAAAACEAtoM4kv4AAADhAQAAEwAAAAAAAAAAAAAAAAAAAAAA&#10;W0NvbnRlbnRfVHlwZXNdLnhtbFBLAQItABQABgAIAAAAIQA4/SH/1gAAAJQBAAALAAAAAAAAAAAA&#10;AAAAAC8BAABfcmVscy8ucmVsc1BLAQItABQABgAIAAAAIQBATe6sNAIAAJMEAAAOAAAAAAAAAAAA&#10;AAAAAC4CAABkcnMvZTJvRG9jLnhtbFBLAQItABQABgAIAAAAIQDLkUmF4QAAAAsBAAAPAAAAAAAA&#10;AAAAAAAAAI4EAABkcnMvZG93bnJldi54bWxQSwUGAAAAAAQABADzAAAAnAUAAAAA&#10;" fillcolor="#d8d8d8 [2732]" strokecolor="#d8d8d8 [2732]">
                <v:textbox style="mso-fit-shape-to-text:t">
                  <w:txbxContent>
                    <w:p w14:paraId="3A73E0BD" w14:textId="77777777" w:rsidR="00B24929" w:rsidRDefault="00B24929" w:rsidP="00B24929">
                      <w:pPr>
                        <w:spacing w:after="60" w:line="259" w:lineRule="auto"/>
                        <w:ind w:left="0" w:firstLine="0"/>
                      </w:pPr>
                      <w:r>
                        <w:rPr>
                          <w:b/>
                          <w:sz w:val="24"/>
                        </w:rPr>
                        <w:t>The Australasian Groundwater Conference 2019</w:t>
                      </w:r>
                    </w:p>
                    <w:p w14:paraId="0A81860F" w14:textId="45317A94" w:rsidR="00B24929" w:rsidRDefault="00B24929" w:rsidP="00B24929">
                      <w:pPr>
                        <w:spacing w:after="60" w:line="236" w:lineRule="auto"/>
                        <w:ind w:left="0" w:firstLine="0"/>
                      </w:pPr>
                      <w:r>
                        <w:t>Scientists and staff from CSIRO, Geoscience Australia and the Department of</w:t>
                      </w:r>
                      <w:r w:rsidR="00733FF3">
                        <w:t xml:space="preserve"> the</w:t>
                      </w:r>
                      <w:r>
                        <w:t xml:space="preserve"> Environment and Energy gave presentations related to the </w:t>
                      </w:r>
                      <w:r w:rsidR="00733FF3">
                        <w:t>P</w:t>
                      </w:r>
                      <w:r>
                        <w:t xml:space="preserve">rogram at the Australasian Groundwater Conference 2019 held in Brisbane. </w:t>
                      </w:r>
                    </w:p>
                    <w:p w14:paraId="2600A74C" w14:textId="77777777" w:rsidR="00B24929" w:rsidRDefault="00B24929" w:rsidP="00B24929">
                      <w:r>
                        <w:t xml:space="preserve">Abstracts from the presentations can be found at </w:t>
                      </w:r>
                      <w:hyperlink r:id="rId27" w:history="1">
                        <w:r>
                          <w:rPr>
                            <w:rStyle w:val="Hyperlink"/>
                          </w:rPr>
                          <w:t>https://dspace.flinders.edu.au/xmlui/handle/2328/39338</w:t>
                        </w:r>
                      </w:hyperlink>
                      <w:r>
                        <w:t xml:space="preserve">. </w:t>
                      </w:r>
                    </w:p>
                    <w:p w14:paraId="021ECAC8" w14:textId="56389099" w:rsidR="00B24929" w:rsidRDefault="00B24929" w:rsidP="00B24929">
                      <w:r>
                        <w:t>A poster outlining the GBA program displayed at the conference has also been added to the Bioregional Assessments website</w:t>
                      </w:r>
                      <w:r w:rsidR="001D5EBF">
                        <w:t>:</w:t>
                      </w:r>
                      <w:r>
                        <w:t xml:space="preserve"> </w:t>
                      </w:r>
                      <w:hyperlink r:id="rId28" w:history="1">
                        <w:r>
                          <w:rPr>
                            <w:rStyle w:val="Hyperlink"/>
                          </w:rPr>
                          <w:t>https://www.bioregionalassessments.gov.au/assessments/geological-and-bioregional-assessment-program/fact-sheets/fact-sheets</w:t>
                        </w:r>
                      </w:hyperlink>
                      <w:r>
                        <w:t>.</w:t>
                      </w:r>
                    </w:p>
                  </w:txbxContent>
                </v:textbox>
                <w10:wrap anchorx="margin"/>
              </v:shape>
            </w:pict>
          </mc:Fallback>
        </mc:AlternateContent>
      </w:r>
      <w:r w:rsidR="005A3281">
        <w:rPr>
          <w:rFonts w:ascii="Calibri-Italic" w:eastAsiaTheme="minorEastAsia" w:hAnsi="Calibri-Italic" w:cs="Calibri-Italic"/>
          <w:i/>
          <w:iCs/>
          <w:color w:val="auto"/>
          <w:sz w:val="14"/>
          <w:szCs w:val="14"/>
        </w:rPr>
        <w:t>Source: Geological</w:t>
      </w:r>
      <w:r w:rsidR="002C2294">
        <w:rPr>
          <w:rFonts w:ascii="Calibri-Italic" w:eastAsiaTheme="minorEastAsia" w:hAnsi="Calibri-Italic" w:cs="Calibri-Italic"/>
          <w:i/>
          <w:iCs/>
          <w:color w:val="auto"/>
          <w:sz w:val="14"/>
          <w:szCs w:val="14"/>
        </w:rPr>
        <w:t xml:space="preserve"> and</w:t>
      </w:r>
      <w:r w:rsidR="005A3281">
        <w:rPr>
          <w:rFonts w:ascii="Calibri-Italic" w:eastAsiaTheme="minorEastAsia" w:hAnsi="Calibri-Italic" w:cs="Calibri-Italic"/>
          <w:i/>
          <w:iCs/>
          <w:color w:val="auto"/>
          <w:sz w:val="14"/>
          <w:szCs w:val="14"/>
        </w:rPr>
        <w:t xml:space="preserve"> Bioregional Assessment Program</w:t>
      </w:r>
    </w:p>
    <w:p w14:paraId="524BBEA5" w14:textId="07AAFA02" w:rsidR="00B24929" w:rsidRDefault="00B24929" w:rsidP="00D43F6A">
      <w:pPr>
        <w:spacing w:after="60"/>
        <w:ind w:right="11"/>
      </w:pPr>
    </w:p>
    <w:p w14:paraId="3EDD968F" w14:textId="77777777" w:rsidR="00B24929" w:rsidRDefault="00B24929" w:rsidP="005A3281">
      <w:pPr>
        <w:spacing w:after="60"/>
        <w:ind w:left="22" w:right="11"/>
      </w:pPr>
    </w:p>
    <w:p w14:paraId="55E5C4E3" w14:textId="77777777" w:rsidR="00B24929" w:rsidRDefault="00B24929" w:rsidP="005A3281">
      <w:pPr>
        <w:spacing w:after="60"/>
        <w:ind w:left="22" w:right="11"/>
      </w:pPr>
    </w:p>
    <w:p w14:paraId="6ABF299B" w14:textId="77777777" w:rsidR="00B24929" w:rsidRDefault="00B24929" w:rsidP="005A3281">
      <w:pPr>
        <w:spacing w:after="60"/>
        <w:ind w:left="22" w:right="11"/>
      </w:pPr>
    </w:p>
    <w:p w14:paraId="42AC03CA" w14:textId="77777777" w:rsidR="005B5566" w:rsidRDefault="005B5566" w:rsidP="005A3281">
      <w:pPr>
        <w:spacing w:after="60"/>
        <w:ind w:left="22" w:right="11"/>
      </w:pPr>
    </w:p>
    <w:p w14:paraId="5C1A261C" w14:textId="77777777" w:rsidR="005B5566" w:rsidRDefault="005B5566" w:rsidP="005A3281">
      <w:pPr>
        <w:spacing w:after="60"/>
        <w:ind w:left="22" w:right="11"/>
      </w:pPr>
    </w:p>
    <w:p w14:paraId="7234F62E" w14:textId="77777777" w:rsidR="005B5566" w:rsidRDefault="005B5566" w:rsidP="005A3281">
      <w:pPr>
        <w:spacing w:after="60"/>
        <w:ind w:left="22" w:right="11"/>
      </w:pPr>
    </w:p>
    <w:p w14:paraId="74D54622" w14:textId="77777777" w:rsidR="00B24929" w:rsidRDefault="00B24929" w:rsidP="005A3281">
      <w:pPr>
        <w:pStyle w:val="Heading1"/>
        <w:spacing w:after="60"/>
        <w:ind w:left="22"/>
      </w:pPr>
    </w:p>
    <w:p w14:paraId="34F07745" w14:textId="77777777" w:rsidR="00B24929" w:rsidRDefault="00B24929" w:rsidP="005A3281">
      <w:pPr>
        <w:pStyle w:val="Heading1"/>
        <w:spacing w:after="60"/>
        <w:ind w:left="22"/>
      </w:pPr>
      <w:bookmarkStart w:id="0" w:name="_GoBack"/>
      <w:bookmarkEnd w:id="0"/>
    </w:p>
    <w:p w14:paraId="081C61B8" w14:textId="3E4DA219" w:rsidR="00D90293" w:rsidRDefault="008D30FF" w:rsidP="005A3281">
      <w:pPr>
        <w:pStyle w:val="Heading1"/>
        <w:spacing w:after="60"/>
        <w:ind w:left="22"/>
      </w:pPr>
      <w:r>
        <w:t>Beetaloo GBA Region</w:t>
      </w:r>
    </w:p>
    <w:p w14:paraId="43DD868B" w14:textId="77777777" w:rsidR="00D90293" w:rsidRDefault="008D30FF" w:rsidP="005A3281">
      <w:pPr>
        <w:spacing w:after="60"/>
        <w:ind w:left="22" w:right="11"/>
      </w:pPr>
      <w:r>
        <w:t>In 2019 the Beetaloo GBA region assessment received an additional $5.022 million to align with the Northern Territory Government’s Strategic Regional</w:t>
      </w:r>
      <w:r w:rsidR="002C2294">
        <w:t xml:space="preserve"> </w:t>
      </w:r>
      <w:r>
        <w:t>Environmental and Baseline Assessment (SREBA). Activities have already commenced using this additional funding:</w:t>
      </w:r>
    </w:p>
    <w:p w14:paraId="247F4CE7" w14:textId="77777777" w:rsidR="00D90293" w:rsidRDefault="008D30FF" w:rsidP="005A3281">
      <w:pPr>
        <w:spacing w:after="60" w:line="236" w:lineRule="auto"/>
        <w:ind w:left="22"/>
      </w:pPr>
      <w:r>
        <w:rPr>
          <w:b/>
        </w:rPr>
        <w:t>Land and water biodiversity surveys</w:t>
      </w:r>
      <w:r>
        <w:t xml:space="preserve"> – including terrestrial, aquatic and stygofauna (see In Focus) baseline biodiversity surveys to be carried out over the next two years, and the establishment of an ecological steering committee to oversee fieldwork and biodiversity baseline surveys.</w:t>
      </w:r>
    </w:p>
    <w:p w14:paraId="42B5FB8E" w14:textId="551B6DF1" w:rsidR="00D90293" w:rsidRDefault="008D30FF" w:rsidP="005A3281">
      <w:pPr>
        <w:spacing w:after="60"/>
        <w:ind w:left="22" w:right="11"/>
      </w:pPr>
      <w:r>
        <w:rPr>
          <w:b/>
        </w:rPr>
        <w:t>Geological seismic monitoring</w:t>
      </w:r>
      <w:r>
        <w:t xml:space="preserve"> – installation of an initial seismic monitoring network by Geoscience Australia to detect and locate natural seismic activity (i.e.,</w:t>
      </w:r>
      <w:r w:rsidR="002C2294">
        <w:t xml:space="preserve"> </w:t>
      </w:r>
      <w:r>
        <w:t>earthquakes) in the area, as well as human-induced seismicity as a result of hydrocarbon extraction activities.</w:t>
      </w:r>
    </w:p>
    <w:p w14:paraId="5A8054EB" w14:textId="6057A859" w:rsidR="00D90293" w:rsidRDefault="008D30FF" w:rsidP="005A3281">
      <w:pPr>
        <w:spacing w:after="60"/>
        <w:ind w:left="22" w:right="11"/>
      </w:pPr>
      <w:r>
        <w:t xml:space="preserve">More information can be found </w:t>
      </w:r>
      <w:r w:rsidR="00B24929">
        <w:t xml:space="preserve">at: </w:t>
      </w:r>
      <w:hyperlink r:id="rId29" w:history="1">
        <w:r w:rsidR="00B24929" w:rsidRPr="00BD5A2D">
          <w:rPr>
            <w:rStyle w:val="Hyperlink"/>
          </w:rPr>
          <w:t>https://www.ga.gov.au/about/projects/safety/beetaloo-sub-basin-seismic-monitoring-project</w:t>
        </w:r>
      </w:hyperlink>
      <w:r>
        <w:t>.</w:t>
      </w:r>
    </w:p>
    <w:p w14:paraId="0846AF83" w14:textId="68A520E1" w:rsidR="00D90293" w:rsidRDefault="00097F65" w:rsidP="00B30E6B">
      <w:pPr>
        <w:autoSpaceDE w:val="0"/>
        <w:autoSpaceDN w:val="0"/>
        <w:adjustRightInd w:val="0"/>
        <w:spacing w:after="60" w:line="240" w:lineRule="auto"/>
        <w:ind w:left="0" w:firstLine="0"/>
        <w:rPr>
          <w:rFonts w:eastAsiaTheme="minorEastAsia"/>
          <w:color w:val="auto"/>
        </w:rPr>
      </w:pPr>
      <w:r w:rsidRPr="005A3281">
        <w:rPr>
          <w:noProof/>
        </w:rPr>
        <w:drawing>
          <wp:anchor distT="0" distB="0" distL="114300" distR="114300" simplePos="0" relativeHeight="251660288" behindDoc="0" locked="0" layoutInCell="1" allowOverlap="1" wp14:anchorId="562AA054" wp14:editId="23E84369">
            <wp:simplePos x="0" y="0"/>
            <wp:positionH relativeFrom="page">
              <wp:posOffset>751205</wp:posOffset>
            </wp:positionH>
            <wp:positionV relativeFrom="paragraph">
              <wp:posOffset>969455</wp:posOffset>
            </wp:positionV>
            <wp:extent cx="6002655" cy="3456940"/>
            <wp:effectExtent l="38100" t="38100" r="93345" b="8636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02655" cy="345694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D30FF">
        <w:rPr>
          <w:b/>
        </w:rPr>
        <w:t>Water sampling</w:t>
      </w:r>
      <w:r w:rsidR="008D30FF">
        <w:t xml:space="preserve"> – </w:t>
      </w:r>
      <w:r w:rsidR="002C2294">
        <w:rPr>
          <w:rFonts w:eastAsiaTheme="minorEastAsia"/>
          <w:color w:val="auto"/>
        </w:rPr>
        <w:t>collection of groundwater samples</w:t>
      </w:r>
      <w:r w:rsidR="00B30E6B">
        <w:rPr>
          <w:rFonts w:eastAsiaTheme="minorEastAsia"/>
          <w:color w:val="auto"/>
        </w:rPr>
        <w:t xml:space="preserve"> </w:t>
      </w:r>
      <w:r w:rsidR="002C2294">
        <w:rPr>
          <w:rFonts w:eastAsiaTheme="minorEastAsia"/>
          <w:color w:val="auto"/>
        </w:rPr>
        <w:t>to improve understanding of recharge mechanisms into</w:t>
      </w:r>
      <w:r w:rsidR="00B30E6B">
        <w:rPr>
          <w:rFonts w:eastAsiaTheme="minorEastAsia"/>
          <w:color w:val="auto"/>
        </w:rPr>
        <w:t xml:space="preserve"> </w:t>
      </w:r>
      <w:r w:rsidR="002C2294">
        <w:rPr>
          <w:rFonts w:eastAsiaTheme="minorEastAsia"/>
          <w:color w:val="auto"/>
        </w:rPr>
        <w:t>the Cambrian Limestone Aquifer and contributing water</w:t>
      </w:r>
      <w:r w:rsidR="00B30E6B">
        <w:rPr>
          <w:rFonts w:eastAsiaTheme="minorEastAsia"/>
          <w:color w:val="auto"/>
        </w:rPr>
        <w:t xml:space="preserve"> </w:t>
      </w:r>
      <w:r w:rsidR="002C2294">
        <w:rPr>
          <w:rFonts w:eastAsiaTheme="minorEastAsia"/>
          <w:color w:val="auto"/>
        </w:rPr>
        <w:t>sources to Mataranka Springs.</w:t>
      </w:r>
      <w:r w:rsidR="00F27F57">
        <w:rPr>
          <w:rFonts w:eastAsiaTheme="minorEastAsia"/>
          <w:color w:val="auto"/>
        </w:rPr>
        <w:br w:type="column"/>
      </w:r>
    </w:p>
    <w:p w14:paraId="21C3B6E3" w14:textId="77777777" w:rsidR="00F27F57" w:rsidRDefault="00F27F57" w:rsidP="00B30E6B">
      <w:pPr>
        <w:autoSpaceDE w:val="0"/>
        <w:autoSpaceDN w:val="0"/>
        <w:adjustRightInd w:val="0"/>
        <w:spacing w:after="60" w:line="240" w:lineRule="auto"/>
        <w:ind w:left="0" w:firstLine="0"/>
        <w:rPr>
          <w:rFonts w:eastAsiaTheme="minorEastAsia"/>
          <w:color w:val="auto"/>
        </w:rPr>
      </w:pPr>
    </w:p>
    <w:p w14:paraId="0A70BF0C" w14:textId="77777777" w:rsidR="00F27F57" w:rsidRDefault="00F27F57" w:rsidP="00F27F57">
      <w:pPr>
        <w:autoSpaceDE w:val="0"/>
        <w:autoSpaceDN w:val="0"/>
        <w:adjustRightInd w:val="0"/>
        <w:spacing w:after="0" w:line="240" w:lineRule="auto"/>
        <w:ind w:left="0" w:firstLine="0"/>
        <w:rPr>
          <w:rFonts w:eastAsiaTheme="minorEastAsia"/>
          <w:color w:val="auto"/>
        </w:rPr>
      </w:pPr>
    </w:p>
    <w:p w14:paraId="3181F7AA" w14:textId="43506BBA" w:rsidR="00F27F57" w:rsidRDefault="00097F65" w:rsidP="00F27F57">
      <w:pPr>
        <w:autoSpaceDE w:val="0"/>
        <w:autoSpaceDN w:val="0"/>
        <w:adjustRightInd w:val="0"/>
        <w:spacing w:after="0" w:line="240" w:lineRule="auto"/>
        <w:ind w:left="0" w:firstLine="0"/>
      </w:pPr>
      <w:r>
        <w:rPr>
          <w:noProof/>
        </w:rPr>
        <mc:AlternateContent>
          <mc:Choice Requires="wps">
            <w:drawing>
              <wp:anchor distT="0" distB="0" distL="114300" distR="114300" simplePos="0" relativeHeight="251672576" behindDoc="0" locked="0" layoutInCell="1" allowOverlap="1" wp14:anchorId="01E6DA99" wp14:editId="766891D1">
                <wp:simplePos x="0" y="0"/>
                <wp:positionH relativeFrom="page">
                  <wp:align>center</wp:align>
                </wp:positionH>
                <wp:positionV relativeFrom="paragraph">
                  <wp:posOffset>211834</wp:posOffset>
                </wp:positionV>
                <wp:extent cx="0" cy="4655127"/>
                <wp:effectExtent l="0" t="0" r="38100" b="31750"/>
                <wp:wrapNone/>
                <wp:docPr id="8" name="Straight Connector 8"/>
                <wp:cNvGraphicFramePr/>
                <a:graphic xmlns:a="http://schemas.openxmlformats.org/drawingml/2006/main">
                  <a:graphicData uri="http://schemas.microsoft.com/office/word/2010/wordprocessingShape">
                    <wps:wsp>
                      <wps:cNvCnPr/>
                      <wps:spPr>
                        <a:xfrm>
                          <a:off x="0" y="0"/>
                          <a:ext cx="0" cy="465512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69C52F" id="Straight Connector 8" o:spid="_x0000_s1026" style="position:absolute;z-index:2516725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from="0,16.7pt" to="0,3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pW31wEAAA0EAAAOAAAAZHJzL2Uyb0RvYy54bWysU8GO2yAQvVfqPyDujZ1os91acfaQ1fZS&#10;tVG3/QAWQ4wEDBponPx9B+w4q7aq1Gov2MC8N/PeDJv7k7PsqDAa8C1fLmrOlJfQGX9o+fdvj+/u&#10;OItJ+E5Y8KrlZxX5/fbtm80QGrWCHmynkBGJj80QWt6nFJqqirJXTsQFBOXpUgM6kWiLh6pDMRC7&#10;s9Wqrm+rAbALCFLFSKcP4yXfFn6tlUxftI4qMdtyqi2VFcv6nNdquxHNAUXojZzKEP9RhRPGU9KZ&#10;6kEkwX6g+Y3KGYkQQaeFBFeB1kaqooHULOtf1Dz1IqiihcyJYbYpvh6t/HzcIzNdy6lRXjhq0VNC&#10;YQ59YjvwngwEZHfZpyHEhsJ3fo/TLoY9ZtEnjS5/SQ47FW/Ps7fqlJgcDyWd3tyu18vV+8xXXYEB&#10;Y/qowLH803JrfJYtGnH8FNMYegnJx9azgYbtQ72uS1gEa7pHY22+LKOjdhbZUVDT02k5JXsRRamt&#10;pwqypFFE+Utnq0b+r0qTKVT2ckyQx/HKKaRUPl14rafoDNNUwQycKvsbcIrPUFVG9V/AM6JkBp9m&#10;sDMe8E9lX63QY/zFgVF3tuAZunNpb7GGZq60aXofeahf7gv8+oq3PwEAAP//AwBQSwMEFAAGAAgA&#10;AAAhAE+JcP7cAAAABAEAAA8AAABkcnMvZG93bnJldi54bWxMj8FOwzAQRO9I/IO1SFwq6pRCCiGb&#10;CiKQuAEtgqsbb5NAvI5itw18PcsJjqMZzbzJl6Pr1J6G0HpGmE0TUMSVty3XCK/rh7MrUCEatqbz&#10;TAhfFGBZHB/lJrP+wC+0X8VaSQmHzCA0MfaZ1qFqyJkw9T2xeFs/OBNFDrW2gzlIuev0eZKk2pmW&#10;ZaExPZUNVZ+rnUPYPl2/3b1Pyuf7tXtclLP6I0zGb8TTk/H2BlSkMf6F4Rdf0KEQpo3fsQ2qQ5Aj&#10;EWE+vwAlrqgNwiJNL0EXuf4PX/wAAAD//wMAUEsBAi0AFAAGAAgAAAAhALaDOJL+AAAA4QEAABMA&#10;AAAAAAAAAAAAAAAAAAAAAFtDb250ZW50X1R5cGVzXS54bWxQSwECLQAUAAYACAAAACEAOP0h/9YA&#10;AACUAQAACwAAAAAAAAAAAAAAAAAvAQAAX3JlbHMvLnJlbHNQSwECLQAUAAYACAAAACEAaJKVt9cB&#10;AAANBAAADgAAAAAAAAAAAAAAAAAuAgAAZHJzL2Uyb0RvYy54bWxQSwECLQAUAAYACAAAACEAT4lw&#10;/twAAAAEAQAADwAAAAAAAAAAAAAAAAAxBAAAZHJzL2Rvd25yZXYueG1sUEsFBgAAAAAEAAQA8wAA&#10;ADoFAAAAAA==&#10;" strokecolor="black [3213]" strokeweight="1.5pt">
                <v:stroke joinstyle="miter"/>
                <w10:wrap anchorx="page"/>
              </v:line>
            </w:pict>
          </mc:Fallback>
        </mc:AlternateContent>
      </w:r>
    </w:p>
    <w:p w14:paraId="214332EF" w14:textId="77777777" w:rsidR="00F27F57" w:rsidRDefault="008D30FF" w:rsidP="00B30E6B">
      <w:pPr>
        <w:autoSpaceDE w:val="0"/>
        <w:autoSpaceDN w:val="0"/>
        <w:adjustRightInd w:val="0"/>
        <w:spacing w:after="0" w:line="240" w:lineRule="auto"/>
        <w:ind w:left="0" w:firstLine="0"/>
        <w:rPr>
          <w:rFonts w:eastAsiaTheme="minorEastAsia"/>
          <w:color w:val="auto"/>
        </w:rPr>
      </w:pPr>
      <w:r>
        <w:rPr>
          <w:b/>
        </w:rPr>
        <w:t>Transparent delivery of data</w:t>
      </w:r>
      <w:r>
        <w:t xml:space="preserve"> – </w:t>
      </w:r>
      <w:r w:rsidR="002C2294">
        <w:rPr>
          <w:rFonts w:eastAsiaTheme="minorEastAsia"/>
          <w:color w:val="auto"/>
        </w:rPr>
        <w:t>work has commenced to</w:t>
      </w:r>
      <w:r w:rsidR="00B30E6B">
        <w:rPr>
          <w:rFonts w:eastAsiaTheme="minorEastAsia"/>
          <w:color w:val="auto"/>
        </w:rPr>
        <w:t xml:space="preserve"> </w:t>
      </w:r>
    </w:p>
    <w:p w14:paraId="1AC7FCE6" w14:textId="21A28B8B" w:rsidR="00D90293" w:rsidRDefault="002C2294" w:rsidP="00B30E6B">
      <w:pPr>
        <w:autoSpaceDE w:val="0"/>
        <w:autoSpaceDN w:val="0"/>
        <w:adjustRightInd w:val="0"/>
        <w:spacing w:after="0" w:line="240" w:lineRule="auto"/>
        <w:ind w:left="0" w:firstLine="0"/>
      </w:pPr>
      <w:r>
        <w:rPr>
          <w:rFonts w:eastAsiaTheme="minorEastAsia"/>
          <w:color w:val="auto"/>
        </w:rPr>
        <w:t>build a public facing, low maintenance and interactive</w:t>
      </w:r>
      <w:r w:rsidR="00B30E6B">
        <w:rPr>
          <w:rFonts w:eastAsiaTheme="minorEastAsia"/>
          <w:color w:val="auto"/>
        </w:rPr>
        <w:t xml:space="preserve"> </w:t>
      </w:r>
      <w:r>
        <w:rPr>
          <w:rFonts w:eastAsiaTheme="minorEastAsia"/>
          <w:color w:val="auto"/>
        </w:rPr>
        <w:t>data management platform for sharing information</w:t>
      </w:r>
      <w:r w:rsidR="00B30E6B">
        <w:rPr>
          <w:rFonts w:eastAsiaTheme="minorEastAsia"/>
          <w:color w:val="auto"/>
        </w:rPr>
        <w:t xml:space="preserve"> </w:t>
      </w:r>
      <w:r>
        <w:rPr>
          <w:rFonts w:eastAsiaTheme="minorEastAsia"/>
          <w:color w:val="auto"/>
        </w:rPr>
        <w:t xml:space="preserve">from the Beetaloo </w:t>
      </w:r>
      <w:r w:rsidR="00733FF3">
        <w:rPr>
          <w:rFonts w:eastAsiaTheme="minorEastAsia"/>
          <w:color w:val="auto"/>
        </w:rPr>
        <w:t>GBA region</w:t>
      </w:r>
      <w:r>
        <w:rPr>
          <w:rFonts w:eastAsiaTheme="minorEastAsia"/>
          <w:color w:val="auto"/>
        </w:rPr>
        <w:t>, the</w:t>
      </w:r>
      <w:r w:rsidR="00B30E6B">
        <w:rPr>
          <w:rFonts w:eastAsiaTheme="minorEastAsia"/>
          <w:color w:val="auto"/>
        </w:rPr>
        <w:t xml:space="preserve"> </w:t>
      </w:r>
      <w:r>
        <w:rPr>
          <w:rFonts w:eastAsiaTheme="minorEastAsia"/>
          <w:color w:val="auto"/>
        </w:rPr>
        <w:t>SREBA and to support and complement other Northern</w:t>
      </w:r>
      <w:r w:rsidR="00B30E6B">
        <w:rPr>
          <w:rFonts w:eastAsiaTheme="minorEastAsia"/>
          <w:color w:val="auto"/>
        </w:rPr>
        <w:t xml:space="preserve"> </w:t>
      </w:r>
      <w:r>
        <w:rPr>
          <w:rFonts w:eastAsiaTheme="minorEastAsia"/>
          <w:color w:val="auto"/>
        </w:rPr>
        <w:t>Territory Government systems and processes.</w:t>
      </w:r>
    </w:p>
    <w:p w14:paraId="2142A19B" w14:textId="433DC23C" w:rsidR="00C50D66" w:rsidRDefault="00C50D66" w:rsidP="005A3281">
      <w:pPr>
        <w:spacing w:after="60" w:line="236" w:lineRule="auto"/>
        <w:ind w:left="22"/>
      </w:pPr>
    </w:p>
    <w:tbl>
      <w:tblPr>
        <w:tblStyle w:val="TableGrid0"/>
        <w:tblW w:w="5103" w:type="dxa"/>
        <w:tblLook w:val="04A0" w:firstRow="1" w:lastRow="0" w:firstColumn="1" w:lastColumn="0" w:noHBand="0" w:noVBand="1"/>
      </w:tblPr>
      <w:tblGrid>
        <w:gridCol w:w="5103"/>
      </w:tblGrid>
      <w:tr w:rsidR="00C50D66" w14:paraId="6DE6D6EB" w14:textId="77777777" w:rsidTr="00097F65">
        <w:tc>
          <w:tcPr>
            <w:tcW w:w="5103" w:type="dxa"/>
            <w:tcBorders>
              <w:top w:val="nil"/>
              <w:left w:val="nil"/>
              <w:bottom w:val="nil"/>
              <w:right w:val="nil"/>
            </w:tcBorders>
            <w:shd w:val="clear" w:color="auto" w:fill="D9D9D9" w:themeFill="background1" w:themeFillShade="D9"/>
          </w:tcPr>
          <w:p w14:paraId="143E822A" w14:textId="54837C14" w:rsidR="00C50D66" w:rsidRPr="00B41CCF" w:rsidRDefault="00C50D66" w:rsidP="005A3281">
            <w:pPr>
              <w:autoSpaceDE w:val="0"/>
              <w:autoSpaceDN w:val="0"/>
              <w:adjustRightInd w:val="0"/>
              <w:spacing w:before="120" w:after="60" w:line="240" w:lineRule="auto"/>
              <w:ind w:left="0" w:firstLine="0"/>
              <w:rPr>
                <w:rFonts w:ascii="Calibri-Bold" w:eastAsiaTheme="minorEastAsia" w:hAnsi="Calibri-Bold" w:cs="Calibri-Bold"/>
                <w:b/>
                <w:bCs/>
                <w:color w:val="auto"/>
                <w:sz w:val="24"/>
              </w:rPr>
            </w:pPr>
            <w:r w:rsidRPr="00B41CCF">
              <w:rPr>
                <w:rFonts w:ascii="Calibri-Bold" w:eastAsiaTheme="minorEastAsia" w:hAnsi="Calibri-Bold" w:cs="Calibri-Bold"/>
                <w:b/>
                <w:bCs/>
                <w:color w:val="auto"/>
                <w:sz w:val="24"/>
              </w:rPr>
              <w:t xml:space="preserve">In focus: </w:t>
            </w:r>
            <w:proofErr w:type="spellStart"/>
            <w:r w:rsidRPr="00B41CCF">
              <w:rPr>
                <w:rFonts w:ascii="Calibri-Bold" w:eastAsiaTheme="minorEastAsia" w:hAnsi="Calibri-Bold" w:cs="Calibri-Bold"/>
                <w:b/>
                <w:bCs/>
                <w:color w:val="auto"/>
                <w:sz w:val="24"/>
              </w:rPr>
              <w:t>Stygo</w:t>
            </w:r>
            <w:proofErr w:type="spellEnd"/>
            <w:r w:rsidRPr="00B41CCF">
              <w:rPr>
                <w:rFonts w:ascii="Calibri-Bold" w:eastAsiaTheme="minorEastAsia" w:hAnsi="Calibri-Bold" w:cs="Calibri-Bold"/>
                <w:b/>
                <w:bCs/>
                <w:color w:val="auto"/>
                <w:sz w:val="24"/>
              </w:rPr>
              <w:t>-what?</w:t>
            </w:r>
          </w:p>
          <w:p w14:paraId="3D144A58" w14:textId="75B3C803" w:rsidR="00C50D66" w:rsidRDefault="00C50D66" w:rsidP="005A3281">
            <w:pPr>
              <w:autoSpaceDE w:val="0"/>
              <w:autoSpaceDN w:val="0"/>
              <w:adjustRightInd w:val="0"/>
              <w:spacing w:after="60" w:line="240" w:lineRule="auto"/>
              <w:ind w:left="0" w:firstLine="0"/>
              <w:rPr>
                <w:rFonts w:eastAsiaTheme="minorEastAsia"/>
                <w:color w:val="auto"/>
              </w:rPr>
            </w:pPr>
            <w:r>
              <w:rPr>
                <w:rFonts w:eastAsiaTheme="minorEastAsia"/>
                <w:color w:val="auto"/>
              </w:rPr>
              <w:t xml:space="preserve">Stygofauna are animals that live permanently in groundwater, either in the pore space between sand grains or in larger open cave systems. With no light, they are blind, lack pigmentation, and tend to be fragile and have elongated shapes. While some species are fish, most tend to be small crustaceans between 0.3 – 10mm. Stygofauna </w:t>
            </w:r>
            <w:r w:rsidR="009F5525">
              <w:rPr>
                <w:rFonts w:eastAsiaTheme="minorEastAsia"/>
                <w:color w:val="auto"/>
              </w:rPr>
              <w:t>can be</w:t>
            </w:r>
            <w:r>
              <w:rPr>
                <w:rFonts w:eastAsiaTheme="minorEastAsia"/>
                <w:color w:val="auto"/>
              </w:rPr>
              <w:t xml:space="preserve"> highly endemic (native and restricted to a certain place) with species localised to specific aquifers and areas.</w:t>
            </w:r>
          </w:p>
          <w:p w14:paraId="4E74D794" w14:textId="5E453FAA" w:rsidR="00C50D66" w:rsidRDefault="00C50D66" w:rsidP="005A3281">
            <w:pPr>
              <w:autoSpaceDE w:val="0"/>
              <w:autoSpaceDN w:val="0"/>
              <w:adjustRightInd w:val="0"/>
              <w:spacing w:after="60" w:line="240" w:lineRule="auto"/>
              <w:ind w:left="0" w:firstLine="0"/>
              <w:rPr>
                <w:rFonts w:eastAsiaTheme="minorEastAsia"/>
                <w:color w:val="auto"/>
              </w:rPr>
            </w:pPr>
            <w:r>
              <w:rPr>
                <w:rFonts w:eastAsiaTheme="minorEastAsia"/>
                <w:color w:val="auto"/>
              </w:rPr>
              <w:t>Stygofauna help maintain water quality</w:t>
            </w:r>
            <w:r w:rsidR="002C2294">
              <w:rPr>
                <w:rFonts w:eastAsiaTheme="minorEastAsia"/>
                <w:color w:val="auto"/>
              </w:rPr>
              <w:t xml:space="preserve"> and flow</w:t>
            </w:r>
            <w:r>
              <w:rPr>
                <w:rFonts w:eastAsiaTheme="minorEastAsia"/>
                <w:color w:val="auto"/>
              </w:rPr>
              <w:t xml:space="preserve"> by removing organic matter. They are susceptible to pollution and changes in the water table.</w:t>
            </w:r>
          </w:p>
          <w:p w14:paraId="737F18C9" w14:textId="3A196BFB" w:rsidR="00C50D66" w:rsidRDefault="00C50D66" w:rsidP="005A3281">
            <w:pPr>
              <w:autoSpaceDE w:val="0"/>
              <w:autoSpaceDN w:val="0"/>
              <w:adjustRightInd w:val="0"/>
              <w:spacing w:after="60" w:line="240" w:lineRule="auto"/>
              <w:ind w:left="0" w:firstLine="0"/>
            </w:pPr>
            <w:r>
              <w:rPr>
                <w:rFonts w:eastAsiaTheme="minorEastAsia"/>
                <w:color w:val="auto"/>
              </w:rPr>
              <w:t xml:space="preserve">Understanding stygofauna diversity and distribution for the Beetaloo </w:t>
            </w:r>
            <w:r w:rsidR="00DE37A5">
              <w:rPr>
                <w:rFonts w:eastAsiaTheme="minorEastAsia"/>
                <w:color w:val="auto"/>
              </w:rPr>
              <w:t>Sub-b</w:t>
            </w:r>
            <w:r>
              <w:rPr>
                <w:rFonts w:eastAsiaTheme="minorEastAsia"/>
                <w:color w:val="auto"/>
              </w:rPr>
              <w:t>asin was recommended by the Scientific Inquiry into Hydraulic Fracturing in the Northern Territory and may be useful in assessing any potential impacts of industry development on water resources.</w:t>
            </w:r>
          </w:p>
        </w:tc>
      </w:tr>
    </w:tbl>
    <w:p w14:paraId="4BCFF7F9" w14:textId="21EB36E6" w:rsidR="00D90293" w:rsidRDefault="00097F65" w:rsidP="005A3281">
      <w:pPr>
        <w:spacing w:after="60" w:line="259" w:lineRule="auto"/>
        <w:ind w:left="0" w:right="-5150" w:firstLine="0"/>
      </w:pPr>
      <w:r>
        <w:rPr>
          <w:noProof/>
        </w:rPr>
        <mc:AlternateContent>
          <mc:Choice Requires="wps">
            <w:drawing>
              <wp:anchor distT="45720" distB="45720" distL="114300" distR="114300" simplePos="0" relativeHeight="251662336" behindDoc="0" locked="0" layoutInCell="1" allowOverlap="1" wp14:anchorId="388A3080" wp14:editId="613C992D">
                <wp:simplePos x="0" y="0"/>
                <wp:positionH relativeFrom="page">
                  <wp:posOffset>1551305</wp:posOffset>
                </wp:positionH>
                <wp:positionV relativeFrom="paragraph">
                  <wp:posOffset>3699700</wp:posOffset>
                </wp:positionV>
                <wp:extent cx="4457700" cy="352425"/>
                <wp:effectExtent l="0" t="0" r="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352425"/>
                        </a:xfrm>
                        <a:prstGeom prst="rect">
                          <a:avLst/>
                        </a:prstGeom>
                        <a:solidFill>
                          <a:srgbClr val="FFFFFF">
                            <a:alpha val="74902"/>
                          </a:srgbClr>
                        </a:solidFill>
                        <a:ln w="9525">
                          <a:noFill/>
                          <a:miter lim="800000"/>
                          <a:headEnd/>
                          <a:tailEnd/>
                        </a:ln>
                      </wps:spPr>
                      <wps:txbx>
                        <w:txbxContent>
                          <w:p w14:paraId="69972977" w14:textId="77777777" w:rsidR="005A3281" w:rsidRDefault="005A3281" w:rsidP="005A3281">
                            <w:pPr>
                              <w:autoSpaceDE w:val="0"/>
                              <w:autoSpaceDN w:val="0"/>
                              <w:adjustRightInd w:val="0"/>
                              <w:spacing w:after="0" w:line="240" w:lineRule="auto"/>
                              <w:ind w:left="0" w:firstLine="0"/>
                              <w:jc w:val="center"/>
                              <w:rPr>
                                <w:rFonts w:ascii="Calibri-Italic" w:eastAsiaTheme="minorEastAsia" w:hAnsi="Calibri-Italic" w:cs="Calibri-Italic"/>
                                <w:i/>
                                <w:iCs/>
                                <w:color w:val="auto"/>
                                <w:sz w:val="16"/>
                                <w:szCs w:val="16"/>
                              </w:rPr>
                            </w:pPr>
                            <w:r>
                              <w:rPr>
                                <w:rFonts w:ascii="Calibri-Italic" w:eastAsiaTheme="minorEastAsia" w:hAnsi="Calibri-Italic" w:cs="Calibri-Italic"/>
                                <w:i/>
                                <w:iCs/>
                                <w:color w:val="auto"/>
                                <w:sz w:val="16"/>
                                <w:szCs w:val="16"/>
                              </w:rPr>
                              <w:t>Swimming access point for Bitter Springs part of the Mataranka Thermal Pools,</w:t>
                            </w:r>
                            <w:r w:rsidR="00B24929">
                              <w:rPr>
                                <w:rFonts w:ascii="Calibri-Italic" w:eastAsiaTheme="minorEastAsia" w:hAnsi="Calibri-Italic" w:cs="Calibri-Italic"/>
                                <w:i/>
                                <w:iCs/>
                                <w:color w:val="auto"/>
                                <w:sz w:val="16"/>
                                <w:szCs w:val="16"/>
                              </w:rPr>
                              <w:t xml:space="preserve"> </w:t>
                            </w:r>
                            <w:r>
                              <w:rPr>
                                <w:rFonts w:ascii="Calibri-Italic" w:eastAsiaTheme="minorEastAsia" w:hAnsi="Calibri-Italic" w:cs="Calibri-Italic"/>
                                <w:i/>
                                <w:iCs/>
                                <w:color w:val="auto"/>
                                <w:sz w:val="16"/>
                                <w:szCs w:val="16"/>
                              </w:rPr>
                              <w:t>Northern Territory.</w:t>
                            </w:r>
                          </w:p>
                          <w:p w14:paraId="671EA48D" w14:textId="77777777" w:rsidR="005A3281" w:rsidRDefault="005A3281" w:rsidP="005A3281">
                            <w:pPr>
                              <w:jc w:val="center"/>
                            </w:pPr>
                            <w:r>
                              <w:rPr>
                                <w:rFonts w:ascii="Calibri-Italic" w:eastAsiaTheme="minorEastAsia" w:hAnsi="Calibri-Italic" w:cs="Calibri-Italic"/>
                                <w:i/>
                                <w:iCs/>
                                <w:color w:val="auto"/>
                                <w:sz w:val="16"/>
                                <w:szCs w:val="16"/>
                              </w:rPr>
                              <w:t>Source: Geological and Bioregional Assessment</w:t>
                            </w:r>
                            <w:r w:rsidR="002C2294">
                              <w:rPr>
                                <w:rFonts w:ascii="Calibri-Italic" w:eastAsiaTheme="minorEastAsia" w:hAnsi="Calibri-Italic" w:cs="Calibri-Italic"/>
                                <w:i/>
                                <w:iCs/>
                                <w:color w:val="auto"/>
                                <w:sz w:val="16"/>
                                <w:szCs w:val="16"/>
                              </w:rPr>
                              <w:t xml:space="preserve"> Program</w:t>
                            </w:r>
                            <w:r>
                              <w:rPr>
                                <w:rFonts w:ascii="Calibri-Italic" w:eastAsiaTheme="minorEastAsia" w:hAnsi="Calibri-Italic" w:cs="Calibri-Italic"/>
                                <w:i/>
                                <w:iCs/>
                                <w:color w:val="auto"/>
                                <w:sz w:val="16"/>
                                <w:szCs w:val="16"/>
                              </w:rPr>
                              <w:t>, Clare Brandon (CSIRO)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8A3080" id="_x0000_s1033" type="#_x0000_t202" style="position:absolute;margin-left:122.15pt;margin-top:291.3pt;width:351pt;height:27.75pt;z-index:25166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YCkMQIAAEUEAAAOAAAAZHJzL2Uyb0RvYy54bWysU9uO0zAQfUfiHyy/06Qhpduo6WrpUoS0&#10;XKRdPsBxnMbC8RjbbbJ8PWO7LQXeEH6wbM/4zMw5M+vbaVDkKKyToGs6n+WUCM2hlXpf069Pu1c3&#10;lDjPdMsUaFHTZ+Ho7ebli/VoKlFAD6oVliCIdtVoatp7b6osc7wXA3MzMEKjsQM7MI9Xu89ay0ZE&#10;H1RW5PmbbATbGgtcOIev98lINxG/6wT3n7vOCU9UTTE3H3cb9ybs2WbNqr1lppf8lAb7hywGJjUG&#10;vUDdM8/Iwcq/oAbJLTjo/IzDkEHXSS5iDVjNPP+jmseeGRFrQXKcudDk/h8s/3T8Yolsa1rMl5Ro&#10;NqBIT2Ly5C1MpAj8jMZV6PZo0NFP+Iw6x1qdeQD+zREN257pvbizFsZesBbzm4ef2dXXhOMCSDN+&#10;hBbDsIOHCDR1dgjkIR0E0VGn54s2IRWOj2W5WC5zNHG0vV4UZbGIIVh1/m2s8+8FDCQcampR+4jO&#10;jg/Oh2xYdXYJwRwo2e6kUvFi981WWXJk2Ce7uNJfZXqWXpflKo98II5L7hHzNxylyVjT1QKTC7Aa&#10;QoDYY4P02OhKDjW9ycNKrRfoeqfb6OKZVOmMIZQ+8RcoS+T5qZmiVMuzLA20z0iohdTXOId46MH+&#10;oGTEnq6p+35gVlCiPmgUZTUvyzAE8YJ8Fnix15bm2sI0R6iaekrScevj4KTC7lC8TkZeg8opk1PK&#10;2KuRmtNchWG4vkevX9O/+QkAAP//AwBQSwMEFAAGAAgAAAAhAIsA4B3fAAAACwEAAA8AAABkcnMv&#10;ZG93bnJldi54bWxMj8FOg0AQhu8mvsNmTLwYu0CRUMrQGKNX09YmXrfsFEjZWcIuLb6968keZ+bL&#10;P99fbmbTiwuNrrOMEC8iEMS11R03CIevj+cchPOKteotE8IPOdhU93elKrS98o4ue9+IEMKuUAit&#10;90MhpatbMsot7EAcbic7GuXDODZSj+oawk0vkyjKpFEdhw+tGuitpfq8nwyCjk7bZlpZ/xl/j1t+&#10;cu8T7Q6Ijw/z6xqEp9n/w/CnH9ShCk5HO7F2okdI0nQZUISXPMlABGKVZmFzRMiWeQyyKuVth+oX&#10;AAD//wMAUEsBAi0AFAAGAAgAAAAhALaDOJL+AAAA4QEAABMAAAAAAAAAAAAAAAAAAAAAAFtDb250&#10;ZW50X1R5cGVzXS54bWxQSwECLQAUAAYACAAAACEAOP0h/9YAAACUAQAACwAAAAAAAAAAAAAAAAAv&#10;AQAAX3JlbHMvLnJlbHNQSwECLQAUAAYACAAAACEA7NmApDECAABFBAAADgAAAAAAAAAAAAAAAAAu&#10;AgAAZHJzL2Uyb0RvYy54bWxQSwECLQAUAAYACAAAACEAiwDgHd8AAAALAQAADwAAAAAAAAAAAAAA&#10;AACLBAAAZHJzL2Rvd25yZXYueG1sUEsFBgAAAAAEAAQA8wAAAJcFAAAAAA==&#10;" stroked="f">
                <v:fill opacity="49087f"/>
                <v:textbox>
                  <w:txbxContent>
                    <w:p w14:paraId="69972977" w14:textId="77777777" w:rsidR="005A3281" w:rsidRDefault="005A3281" w:rsidP="005A3281">
                      <w:pPr>
                        <w:autoSpaceDE w:val="0"/>
                        <w:autoSpaceDN w:val="0"/>
                        <w:adjustRightInd w:val="0"/>
                        <w:spacing w:after="0" w:line="240" w:lineRule="auto"/>
                        <w:ind w:left="0" w:firstLine="0"/>
                        <w:jc w:val="center"/>
                        <w:rPr>
                          <w:rFonts w:ascii="Calibri-Italic" w:eastAsiaTheme="minorEastAsia" w:hAnsi="Calibri-Italic" w:cs="Calibri-Italic"/>
                          <w:i/>
                          <w:iCs/>
                          <w:color w:val="auto"/>
                          <w:sz w:val="16"/>
                          <w:szCs w:val="16"/>
                        </w:rPr>
                      </w:pPr>
                      <w:r>
                        <w:rPr>
                          <w:rFonts w:ascii="Calibri-Italic" w:eastAsiaTheme="minorEastAsia" w:hAnsi="Calibri-Italic" w:cs="Calibri-Italic"/>
                          <w:i/>
                          <w:iCs/>
                          <w:color w:val="auto"/>
                          <w:sz w:val="16"/>
                          <w:szCs w:val="16"/>
                        </w:rPr>
                        <w:t>Swimming access point for Bitter Springs part of the Mataranka Thermal Pools,</w:t>
                      </w:r>
                      <w:r w:rsidR="00B24929">
                        <w:rPr>
                          <w:rFonts w:ascii="Calibri-Italic" w:eastAsiaTheme="minorEastAsia" w:hAnsi="Calibri-Italic" w:cs="Calibri-Italic"/>
                          <w:i/>
                          <w:iCs/>
                          <w:color w:val="auto"/>
                          <w:sz w:val="16"/>
                          <w:szCs w:val="16"/>
                        </w:rPr>
                        <w:t xml:space="preserve"> </w:t>
                      </w:r>
                      <w:r>
                        <w:rPr>
                          <w:rFonts w:ascii="Calibri-Italic" w:eastAsiaTheme="minorEastAsia" w:hAnsi="Calibri-Italic" w:cs="Calibri-Italic"/>
                          <w:i/>
                          <w:iCs/>
                          <w:color w:val="auto"/>
                          <w:sz w:val="16"/>
                          <w:szCs w:val="16"/>
                        </w:rPr>
                        <w:t>Northern Territory.</w:t>
                      </w:r>
                    </w:p>
                    <w:p w14:paraId="671EA48D" w14:textId="77777777" w:rsidR="005A3281" w:rsidRDefault="005A3281" w:rsidP="005A3281">
                      <w:pPr>
                        <w:jc w:val="center"/>
                      </w:pPr>
                      <w:r>
                        <w:rPr>
                          <w:rFonts w:ascii="Calibri-Italic" w:eastAsiaTheme="minorEastAsia" w:hAnsi="Calibri-Italic" w:cs="Calibri-Italic"/>
                          <w:i/>
                          <w:iCs/>
                          <w:color w:val="auto"/>
                          <w:sz w:val="16"/>
                          <w:szCs w:val="16"/>
                        </w:rPr>
                        <w:t>Source: Geological and Bioregional Assessment</w:t>
                      </w:r>
                      <w:r w:rsidR="002C2294">
                        <w:rPr>
                          <w:rFonts w:ascii="Calibri-Italic" w:eastAsiaTheme="minorEastAsia" w:hAnsi="Calibri-Italic" w:cs="Calibri-Italic"/>
                          <w:i/>
                          <w:iCs/>
                          <w:color w:val="auto"/>
                          <w:sz w:val="16"/>
                          <w:szCs w:val="16"/>
                        </w:rPr>
                        <w:t xml:space="preserve"> Program</w:t>
                      </w:r>
                      <w:r>
                        <w:rPr>
                          <w:rFonts w:ascii="Calibri-Italic" w:eastAsiaTheme="minorEastAsia" w:hAnsi="Calibri-Italic" w:cs="Calibri-Italic"/>
                          <w:i/>
                          <w:iCs/>
                          <w:color w:val="auto"/>
                          <w:sz w:val="16"/>
                          <w:szCs w:val="16"/>
                        </w:rPr>
                        <w:t>, Clare Brandon (CSIRO)</w:t>
                      </w:r>
                    </w:p>
                  </w:txbxContent>
                </v:textbox>
                <w10:wrap anchorx="page"/>
              </v:shape>
            </w:pict>
          </mc:Fallback>
        </mc:AlternateContent>
      </w:r>
    </w:p>
    <w:sectPr w:rsidR="00D90293" w:rsidSect="00C50D66">
      <w:headerReference w:type="default" r:id="rId31"/>
      <w:footerReference w:type="default" r:id="rId32"/>
      <w:type w:val="continuous"/>
      <w:pgSz w:w="11906" w:h="16838"/>
      <w:pgMar w:top="720" w:right="566" w:bottom="720" w:left="426" w:header="720" w:footer="720" w:gutter="0"/>
      <w:cols w:num="2"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44A60E" w14:textId="77777777" w:rsidR="00D62B82" w:rsidRDefault="00D62B82" w:rsidP="00D62B82">
      <w:pPr>
        <w:spacing w:after="0" w:line="240" w:lineRule="auto"/>
      </w:pPr>
      <w:r>
        <w:separator/>
      </w:r>
    </w:p>
  </w:endnote>
  <w:endnote w:type="continuationSeparator" w:id="0">
    <w:p w14:paraId="27893D9B" w14:textId="77777777" w:rsidR="00D62B82" w:rsidRDefault="00D62B82" w:rsidP="00D62B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Calibri-Bold">
    <w:altName w:val="Calibri"/>
    <w:panose1 w:val="00000000000000000000"/>
    <w:charset w:val="00"/>
    <w:family w:val="roman"/>
    <w:notTrueType/>
    <w:pitch w:val="default"/>
  </w:font>
  <w:font w:name="Calibri-Italic">
    <w:altName w:val="Calibri"/>
    <w:charset w:val="00"/>
    <w:family w:val="swiss"/>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
        <w:color w:val="000000" w:themeColor="text1"/>
      </w:rPr>
      <w:id w:val="1875343448"/>
      <w:docPartObj>
        <w:docPartGallery w:val="Page Numbers (Bottom of Page)"/>
        <w:docPartUnique/>
      </w:docPartObj>
    </w:sdtPr>
    <w:sdtEndPr>
      <w:rPr>
        <w:noProof/>
      </w:rPr>
    </w:sdtEndPr>
    <w:sdtContent>
      <w:p w14:paraId="7D6DC061" w14:textId="3AE3496B" w:rsidR="001D5EBF" w:rsidRPr="001D5EBF" w:rsidRDefault="001D5EBF">
        <w:pPr>
          <w:pStyle w:val="Footer"/>
          <w:jc w:val="center"/>
          <w:rPr>
            <w:b/>
            <w:color w:val="000000" w:themeColor="text1"/>
          </w:rPr>
        </w:pPr>
        <w:r w:rsidRPr="001D5EBF">
          <w:rPr>
            <w:b/>
            <w:noProof/>
            <w:color w:val="000000" w:themeColor="text1"/>
          </w:rPr>
          <w:drawing>
            <wp:anchor distT="0" distB="0" distL="114300" distR="114300" simplePos="0" relativeHeight="251659264" behindDoc="1" locked="0" layoutInCell="1" allowOverlap="1" wp14:anchorId="4919282D" wp14:editId="78A79DC5">
              <wp:simplePos x="0" y="0"/>
              <wp:positionH relativeFrom="page">
                <wp:align>right</wp:align>
              </wp:positionH>
              <wp:positionV relativeFrom="paragraph">
                <wp:posOffset>-566841</wp:posOffset>
              </wp:positionV>
              <wp:extent cx="8128635" cy="1352550"/>
              <wp:effectExtent l="0" t="0" r="571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BA footer image.jpg"/>
                      <pic:cNvPicPr/>
                    </pic:nvPicPr>
                    <pic:blipFill>
                      <a:blip r:embed="rId1">
                        <a:extLst>
                          <a:ext uri="{28A0092B-C50C-407E-A947-70E740481C1C}">
                            <a14:useLocalDpi xmlns:a14="http://schemas.microsoft.com/office/drawing/2010/main" val="0"/>
                          </a:ext>
                        </a:extLst>
                      </a:blip>
                      <a:stretch>
                        <a:fillRect/>
                      </a:stretch>
                    </pic:blipFill>
                    <pic:spPr>
                      <a:xfrm>
                        <a:off x="0" y="0"/>
                        <a:ext cx="8128635" cy="1352550"/>
                      </a:xfrm>
                      <a:prstGeom prst="rect">
                        <a:avLst/>
                      </a:prstGeom>
                    </pic:spPr>
                  </pic:pic>
                </a:graphicData>
              </a:graphic>
              <wp14:sizeRelH relativeFrom="margin">
                <wp14:pctWidth>0</wp14:pctWidth>
              </wp14:sizeRelH>
              <wp14:sizeRelV relativeFrom="margin">
                <wp14:pctHeight>0</wp14:pctHeight>
              </wp14:sizeRelV>
            </wp:anchor>
          </w:drawing>
        </w:r>
      </w:p>
    </w:sdtContent>
  </w:sdt>
  <w:p w14:paraId="7AD33DA2" w14:textId="73D681EB" w:rsidR="00D62B82" w:rsidRPr="001D5EBF" w:rsidRDefault="00D62B82">
    <w:pPr>
      <w:pStyle w:val="Footer"/>
      <w:rPr>
        <w:b/>
        <w:color w:val="000000" w:themeColor="text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F7376A" w14:textId="77777777" w:rsidR="00D62B82" w:rsidRDefault="00D62B82" w:rsidP="00D62B82">
      <w:pPr>
        <w:spacing w:after="0" w:line="240" w:lineRule="auto"/>
      </w:pPr>
      <w:r>
        <w:separator/>
      </w:r>
    </w:p>
  </w:footnote>
  <w:footnote w:type="continuationSeparator" w:id="0">
    <w:p w14:paraId="585EC313" w14:textId="77777777" w:rsidR="00D62B82" w:rsidRDefault="00D62B82" w:rsidP="00D62B8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A2E985" w14:textId="7079AD17" w:rsidR="00D62B82" w:rsidRDefault="00D62B82">
    <w:pPr>
      <w:pStyle w:val="Header"/>
    </w:pPr>
    <w:r>
      <w:rPr>
        <w:noProof/>
      </w:rPr>
      <w:drawing>
        <wp:anchor distT="0" distB="0" distL="114300" distR="114300" simplePos="0" relativeHeight="251658240" behindDoc="1" locked="0" layoutInCell="1" allowOverlap="1" wp14:anchorId="0E062403" wp14:editId="2F006B9D">
          <wp:simplePos x="0" y="0"/>
          <wp:positionH relativeFrom="page">
            <wp:posOffset>-47625</wp:posOffset>
          </wp:positionH>
          <wp:positionV relativeFrom="paragraph">
            <wp:posOffset>-453200</wp:posOffset>
          </wp:positionV>
          <wp:extent cx="7667698" cy="1276310"/>
          <wp:effectExtent l="0" t="0" r="0" b="63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BA header image.jpg"/>
                  <pic:cNvPicPr/>
                </pic:nvPicPr>
                <pic:blipFill>
                  <a:blip r:embed="rId1">
                    <a:extLst>
                      <a:ext uri="{28A0092B-C50C-407E-A947-70E740481C1C}">
                        <a14:useLocalDpi xmlns:a14="http://schemas.microsoft.com/office/drawing/2010/main" val="0"/>
                      </a:ext>
                    </a:extLst>
                  </a:blip>
                  <a:stretch>
                    <a:fillRect/>
                  </a:stretch>
                </pic:blipFill>
                <pic:spPr>
                  <a:xfrm>
                    <a:off x="0" y="0"/>
                    <a:ext cx="7667698" cy="127631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BE7EB7"/>
    <w:multiLevelType w:val="hybridMultilevel"/>
    <w:tmpl w:val="2034C600"/>
    <w:lvl w:ilvl="0" w:tplc="A9D26516">
      <w:start w:val="1"/>
      <w:numFmt w:val="bullet"/>
      <w:lvlText w:val="•"/>
      <w:lvlJc w:val="left"/>
      <w:pPr>
        <w:ind w:left="37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6DB8A028">
      <w:start w:val="1"/>
      <w:numFmt w:val="bullet"/>
      <w:lvlText w:val="o"/>
      <w:lvlJc w:val="left"/>
      <w:pPr>
        <w:ind w:left="108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B22E30CE">
      <w:start w:val="1"/>
      <w:numFmt w:val="bullet"/>
      <w:lvlText w:val="▪"/>
      <w:lvlJc w:val="left"/>
      <w:pPr>
        <w:ind w:left="180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BDBED6D4">
      <w:start w:val="1"/>
      <w:numFmt w:val="bullet"/>
      <w:lvlText w:val="•"/>
      <w:lvlJc w:val="left"/>
      <w:pPr>
        <w:ind w:left="252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267CBC78">
      <w:start w:val="1"/>
      <w:numFmt w:val="bullet"/>
      <w:lvlText w:val="o"/>
      <w:lvlJc w:val="left"/>
      <w:pPr>
        <w:ind w:left="324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02D4D346">
      <w:start w:val="1"/>
      <w:numFmt w:val="bullet"/>
      <w:lvlText w:val="▪"/>
      <w:lvlJc w:val="left"/>
      <w:pPr>
        <w:ind w:left="396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9D847B34">
      <w:start w:val="1"/>
      <w:numFmt w:val="bullet"/>
      <w:lvlText w:val="•"/>
      <w:lvlJc w:val="left"/>
      <w:pPr>
        <w:ind w:left="468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E872FABA">
      <w:start w:val="1"/>
      <w:numFmt w:val="bullet"/>
      <w:lvlText w:val="o"/>
      <w:lvlJc w:val="left"/>
      <w:pPr>
        <w:ind w:left="540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6DD60E96">
      <w:start w:val="1"/>
      <w:numFmt w:val="bullet"/>
      <w:lvlText w:val="▪"/>
      <w:lvlJc w:val="left"/>
      <w:pPr>
        <w:ind w:left="612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0293"/>
    <w:rsid w:val="00044836"/>
    <w:rsid w:val="00097F65"/>
    <w:rsid w:val="000D1C6E"/>
    <w:rsid w:val="00175425"/>
    <w:rsid w:val="001A34FE"/>
    <w:rsid w:val="001D5EBF"/>
    <w:rsid w:val="00225B53"/>
    <w:rsid w:val="00255709"/>
    <w:rsid w:val="002C2294"/>
    <w:rsid w:val="003C43EE"/>
    <w:rsid w:val="0043622D"/>
    <w:rsid w:val="00537D57"/>
    <w:rsid w:val="005A3281"/>
    <w:rsid w:val="005B5566"/>
    <w:rsid w:val="00617FB8"/>
    <w:rsid w:val="00657C87"/>
    <w:rsid w:val="00692EBE"/>
    <w:rsid w:val="006F7C25"/>
    <w:rsid w:val="00733FF3"/>
    <w:rsid w:val="007723C7"/>
    <w:rsid w:val="00784FE0"/>
    <w:rsid w:val="0081240C"/>
    <w:rsid w:val="0085214F"/>
    <w:rsid w:val="008D30FF"/>
    <w:rsid w:val="0092467E"/>
    <w:rsid w:val="009F5525"/>
    <w:rsid w:val="00A3101B"/>
    <w:rsid w:val="00AB3CB8"/>
    <w:rsid w:val="00B24929"/>
    <w:rsid w:val="00B30E6B"/>
    <w:rsid w:val="00B41CCF"/>
    <w:rsid w:val="00B821BD"/>
    <w:rsid w:val="00C50D66"/>
    <w:rsid w:val="00D43F6A"/>
    <w:rsid w:val="00D62B82"/>
    <w:rsid w:val="00D90293"/>
    <w:rsid w:val="00DA35A6"/>
    <w:rsid w:val="00DE37A5"/>
    <w:rsid w:val="00EF1628"/>
    <w:rsid w:val="00F27F57"/>
    <w:rsid w:val="00F413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0B578493"/>
  <w15:docId w15:val="{921A86C2-CFFC-4079-8FFD-2826655CD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44" w:line="248" w:lineRule="auto"/>
      <w:ind w:left="21" w:hanging="10"/>
    </w:pPr>
    <w:rPr>
      <w:rFonts w:ascii="Calibri" w:eastAsia="Calibri" w:hAnsi="Calibri" w:cs="Calibri"/>
      <w:color w:val="181717"/>
    </w:rPr>
  </w:style>
  <w:style w:type="paragraph" w:styleId="Heading1">
    <w:name w:val="heading 1"/>
    <w:next w:val="Normal"/>
    <w:link w:val="Heading1Char"/>
    <w:uiPriority w:val="9"/>
    <w:qFormat/>
    <w:pPr>
      <w:keepNext/>
      <w:keepLines/>
      <w:spacing w:after="0"/>
      <w:ind w:left="21" w:hanging="10"/>
      <w:outlineLvl w:val="0"/>
    </w:pPr>
    <w:rPr>
      <w:rFonts w:ascii="Calibri" w:eastAsia="Calibri" w:hAnsi="Calibri" w:cs="Calibri"/>
      <w:b/>
      <w:color w:val="181717"/>
      <w:sz w:val="28"/>
    </w:rPr>
  </w:style>
  <w:style w:type="paragraph" w:styleId="Heading2">
    <w:name w:val="heading 2"/>
    <w:next w:val="Normal"/>
    <w:link w:val="Heading2Char"/>
    <w:uiPriority w:val="9"/>
    <w:unhideWhenUsed/>
    <w:qFormat/>
    <w:pPr>
      <w:keepNext/>
      <w:keepLines/>
      <w:spacing w:after="0"/>
      <w:ind w:left="21" w:hanging="10"/>
      <w:outlineLvl w:val="1"/>
    </w:pPr>
    <w:rPr>
      <w:rFonts w:ascii="Calibri" w:eastAsia="Calibri" w:hAnsi="Calibri" w:cs="Calibri"/>
      <w:b/>
      <w:color w:val="181717"/>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181717"/>
      <w:sz w:val="24"/>
    </w:rPr>
  </w:style>
  <w:style w:type="character" w:customStyle="1" w:styleId="Heading1Char">
    <w:name w:val="Heading 1 Char"/>
    <w:link w:val="Heading1"/>
    <w:rPr>
      <w:rFonts w:ascii="Calibri" w:eastAsia="Calibri" w:hAnsi="Calibri" w:cs="Calibri"/>
      <w:b/>
      <w:color w:val="181717"/>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D62B82"/>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2B82"/>
    <w:rPr>
      <w:rFonts w:ascii="Calibri" w:eastAsia="Calibri" w:hAnsi="Calibri" w:cs="Calibri"/>
      <w:color w:val="181717"/>
    </w:rPr>
  </w:style>
  <w:style w:type="paragraph" w:styleId="Footer">
    <w:name w:val="footer"/>
    <w:basedOn w:val="Normal"/>
    <w:link w:val="FooterChar"/>
    <w:uiPriority w:val="99"/>
    <w:unhideWhenUsed/>
    <w:rsid w:val="00D62B8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2B82"/>
    <w:rPr>
      <w:rFonts w:ascii="Calibri" w:eastAsia="Calibri" w:hAnsi="Calibri" w:cs="Calibri"/>
      <w:color w:val="181717"/>
    </w:rPr>
  </w:style>
  <w:style w:type="paragraph" w:styleId="BalloonText">
    <w:name w:val="Balloon Text"/>
    <w:basedOn w:val="Normal"/>
    <w:link w:val="BalloonTextChar"/>
    <w:uiPriority w:val="99"/>
    <w:semiHidden/>
    <w:unhideWhenUsed/>
    <w:rsid w:val="00D62B8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2B82"/>
    <w:rPr>
      <w:rFonts w:ascii="Segoe UI" w:eastAsia="Calibri" w:hAnsi="Segoe UI" w:cs="Segoe UI"/>
      <w:color w:val="181717"/>
      <w:sz w:val="18"/>
      <w:szCs w:val="18"/>
    </w:rPr>
  </w:style>
  <w:style w:type="table" w:styleId="TableGrid0">
    <w:name w:val="Table Grid"/>
    <w:basedOn w:val="TableNormal"/>
    <w:uiPriority w:val="39"/>
    <w:rsid w:val="00C50D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ParagraphStyle">
    <w:name w:val="[No Paragraph Style]"/>
    <w:rsid w:val="00B30E6B"/>
    <w:pPr>
      <w:autoSpaceDE w:val="0"/>
      <w:autoSpaceDN w:val="0"/>
      <w:adjustRightInd w:val="0"/>
      <w:spacing w:after="0" w:line="288" w:lineRule="auto"/>
      <w:textAlignment w:val="center"/>
    </w:pPr>
    <w:rPr>
      <w:rFonts w:ascii="MinionPro-Regular" w:hAnsi="MinionPro-Regular" w:cs="MinionPro-Regular"/>
      <w:color w:val="000000"/>
      <w:sz w:val="24"/>
      <w:szCs w:val="24"/>
      <w:lang w:val="en-GB"/>
    </w:rPr>
  </w:style>
  <w:style w:type="character" w:styleId="Hyperlink">
    <w:name w:val="Hyperlink"/>
    <w:basedOn w:val="DefaultParagraphFont"/>
    <w:uiPriority w:val="99"/>
    <w:rsid w:val="00B30E6B"/>
    <w:rPr>
      <w:color w:val="265A9B"/>
      <w:u w:val="thick"/>
    </w:rPr>
  </w:style>
  <w:style w:type="character" w:customStyle="1" w:styleId="UnresolvedMention1">
    <w:name w:val="Unresolved Mention1"/>
    <w:basedOn w:val="DefaultParagraphFont"/>
    <w:uiPriority w:val="99"/>
    <w:semiHidden/>
    <w:unhideWhenUsed/>
    <w:rsid w:val="00B30E6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hyperlink" Target="http://www.ga.gov.au/scientific-topics/water/groundwater/understanding-groundwater-resources/groundwater-dependant-ecosystems" TargetMode="External"/><Relationship Id="rId26" Type="http://schemas.openxmlformats.org/officeDocument/2006/relationships/hyperlink" Target="https://www.bioregionalassessments.gov.au/assessments/geological-and-bioregional-assessment-program/fact-sheets/fact-sheets" TargetMode="External"/><Relationship Id="rId3" Type="http://schemas.openxmlformats.org/officeDocument/2006/relationships/customXml" Target="../customXml/item3.xml"/><Relationship Id="rId21" Type="http://schemas.openxmlformats.org/officeDocument/2006/relationships/hyperlink" Target="https://www.bioregionalassessments.gov.au/assessments/geological-and-bioregional-assessment-program/cooper-basin/cooper-basin-user-panel-communiques" TargetMode="External"/><Relationship Id="rId34" Type="http://schemas.openxmlformats.org/officeDocument/2006/relationships/theme" Target="theme/theme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yperlink" Target="http://www.ga.gov.au/scientific-topics/water/groundwater/understanding-groundwater-resources/groundwater-dependant-ecosystems" TargetMode="External"/><Relationship Id="rId25" Type="http://schemas.openxmlformats.org/officeDocument/2006/relationships/hyperlink" Target="https://dspace.flinders.edu.au/xmlui/handle/2328/39338"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4.emf"/><Relationship Id="rId29" Type="http://schemas.openxmlformats.org/officeDocument/2006/relationships/hyperlink" Target="https://www.ga.gov.au/about/projects/safety/beetaloo-sub-basin-seismic-monitoring-project"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5.emf"/><Relationship Id="rId32"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hyperlink" Target="https://www.bioregionalassessments.gov.au/assessments/geological-and-bioregional-assessment-program/isa-superbasin/isa-superbasin-user-panel-communiques" TargetMode="External"/><Relationship Id="rId23" Type="http://schemas.openxmlformats.org/officeDocument/2006/relationships/hyperlink" Target="https://data.gov.au/data/dataset/801320f9-901a-4482-a8e8-9029c55a472c" TargetMode="External"/><Relationship Id="rId28" Type="http://schemas.openxmlformats.org/officeDocument/2006/relationships/hyperlink" Target="https://www.bioregionalassessments.gov.au/assessments/geological-and-bioregional-assessment-program/fact-sheets/fact-sheets" TargetMode="External"/><Relationship Id="rId10" Type="http://schemas.openxmlformats.org/officeDocument/2006/relationships/webSettings" Target="webSettings.xml"/><Relationship Id="rId19" Type="http://schemas.openxmlformats.org/officeDocument/2006/relationships/hyperlink" Target="https://www.bioregionalassessments.gov.au/assessments/geological-and-bioregional-assessment-program/fact-sheets/fact-sheets" TargetMode="External"/><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yperlink" Target="https://www.bioregionalassessments.gov.au/assessments/geological-and-bioregional-assessment-program/cooper-basin/cooper-basin-user-panel-communiques" TargetMode="External"/><Relationship Id="rId27" Type="http://schemas.openxmlformats.org/officeDocument/2006/relationships/hyperlink" Target="https://dspace.flinders.edu.au/xmlui/handle/2328/39338" TargetMode="External"/><Relationship Id="rId30" Type="http://schemas.openxmlformats.org/officeDocument/2006/relationships/image" Target="media/image6.emf"/></Relationships>
</file>

<file path=word/_rels/footer1.xml.rels><?xml version="1.0" encoding="UTF-8" standalone="yes"?>
<Relationships xmlns="http://schemas.openxmlformats.org/package/2006/relationships"><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umentDescription xmlns="aa3e7952-617a-4d1d-acc5-2dff72d3e0ca">GBA Bulletin - Issue 2 - Feb 2020</DocumentDescription>
    <Function xmlns="aa3e7952-617a-4d1d-acc5-2dff72d3e0ca">Program Admin</Function>
    <IconOverlay xmlns="http://schemas.microsoft.com/sharepoint/v4" xsi:nil="true"/>
    <Approval xmlns="aa3e7952-617a-4d1d-acc5-2dff72d3e0ca" xsi:nil="true"/>
    <RecordNumber xmlns="aa3e7952-617a-4d1d-acc5-2dff72d3e0ca">003098038</RecordNumber>
  </documentManagement>
</p:properties>
</file>

<file path=customXml/item4.xml><?xml version="1.0" encoding="utf-8"?>
<ct:contentTypeSchema xmlns:ct="http://schemas.microsoft.com/office/2006/metadata/contentType" xmlns:ma="http://schemas.microsoft.com/office/2006/metadata/properties/metaAttributes" ct:_="" ma:_="" ma:contentTypeName="SPIRE Document" ma:contentTypeID="0x0101004B053E8A7B22804ABD3AFA2474FA5D6800A95E9B467DDF844A9F2F37CC67887F8F" ma:contentTypeVersion="7" ma:contentTypeDescription="SPIRE Document" ma:contentTypeScope="" ma:versionID="e7ca8dde8e04da0adb81be17d43ac969">
  <xsd:schema xmlns:xsd="http://www.w3.org/2001/XMLSchema" xmlns:xs="http://www.w3.org/2001/XMLSchema" xmlns:p="http://schemas.microsoft.com/office/2006/metadata/properties" xmlns:ns2="aa3e7952-617a-4d1d-acc5-2dff72d3e0ca" xmlns:ns3="http://schemas.microsoft.com/sharepoint/v4" targetNamespace="http://schemas.microsoft.com/office/2006/metadata/properties" ma:root="true" ma:fieldsID="20cb7968d386cb31a2c66f5e30f8b2a0" ns2:_="" ns3:_="">
    <xsd:import namespace="aa3e7952-617a-4d1d-acc5-2dff72d3e0ca"/>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e7952-617a-4d1d-acc5-2dff72d3e0ca"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customXsn xmlns="http://schemas.microsoft.com/office/2006/metadata/customXsn">
  <xsnLocation/>
  <cached>True</cached>
  <openByDefault>True</openByDefault>
  <xsnScope/>
</customXsn>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175FA-6319-4274-846B-03938937E7FC}"/>
</file>

<file path=customXml/itemProps2.xml><?xml version="1.0" encoding="utf-8"?>
<ds:datastoreItem xmlns:ds="http://schemas.openxmlformats.org/officeDocument/2006/customXml" ds:itemID="{58652EED-4143-4D4A-BF5C-5E829367E973}"/>
</file>

<file path=customXml/itemProps3.xml><?xml version="1.0" encoding="utf-8"?>
<ds:datastoreItem xmlns:ds="http://schemas.openxmlformats.org/officeDocument/2006/customXml" ds:itemID="{897813EF-1887-4BFF-8C10-AAB83C427249}"/>
</file>

<file path=customXml/itemProps4.xml><?xml version="1.0" encoding="utf-8"?>
<ds:datastoreItem xmlns:ds="http://schemas.openxmlformats.org/officeDocument/2006/customXml" ds:itemID="{4E89E2E3-08E9-4A87-8697-9FB4667711E4}"/>
</file>

<file path=customXml/itemProps5.xml><?xml version="1.0" encoding="utf-8"?>
<ds:datastoreItem xmlns:ds="http://schemas.openxmlformats.org/officeDocument/2006/customXml" ds:itemID="{D75A1787-D76B-49D9-9E95-9366D02CDE23}"/>
</file>

<file path=customXml/itemProps6.xml><?xml version="1.0" encoding="utf-8"?>
<ds:datastoreItem xmlns:ds="http://schemas.openxmlformats.org/officeDocument/2006/customXml" ds:itemID="{267043D3-526D-41A7-90BC-EF4215D859D0}"/>
</file>

<file path=docProps/app.xml><?xml version="1.0" encoding="utf-8"?>
<Properties xmlns="http://schemas.openxmlformats.org/officeDocument/2006/extended-properties" xmlns:vt="http://schemas.openxmlformats.org/officeDocument/2006/docPropsVTypes">
  <Template>CE098D98.dotm</Template>
  <TotalTime>92</TotalTime>
  <Pages>3</Pages>
  <Words>1110</Words>
  <Characters>6327</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GBA Newsletter 2 - Qtr 1 2020</vt:lpstr>
    </vt:vector>
  </TitlesOfParts>
  <Company>Department of the Environment and Enerfy</Company>
  <LinksUpToDate>false</LinksUpToDate>
  <CharactersWithSpaces>7423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GBA Bulletin - Issue 2 - Feb 2020</dc:title>
  <dc:subject/>
  <dc:creator>Mitchell Baskys</dc:creator>
  <cp:keywords/>
  <cp:lastModifiedBy>Mitchell Baskys</cp:lastModifiedBy>
  <cp:revision>13</cp:revision>
  <cp:lastPrinted>2020-02-11T23:43:00Z</cp:lastPrinted>
  <dcterms:created xsi:type="dcterms:W3CDTF">2020-02-04T21:21:00Z</dcterms:created>
  <dcterms:modified xsi:type="dcterms:W3CDTF">2020-02-17T00:53:00Z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0x0101004B053E8A7B22804ABD3AFA2474FA5D6800A95E9B467DDF844A9F2F37CC67887F8F</vt:lpwstr>
  </property>
  <property fmtid="{D5CDD505-2E9C-101B-9397-08002B2CF9AE}" pid="3" name="RecordPoint_ActiveItemUniqueId">
    <vt:lpwstr>{5b974533-c534-4204-a01f-c4488fd24dc4}</vt:lpwstr>
  </property>
  <property fmtid="{D5CDD505-2E9C-101B-9397-08002B2CF9AE}" pid="4" name="RecordPoint_SubmissionCompleted">
    <vt:lpwstr>2020-02-15T15:23:38.9452164+11:00</vt:lpwstr>
  </property>
  <property fmtid="{D5CDD505-2E9C-101B-9397-08002B2CF9AE}" pid="5" name="RecordPoint_WorkflowType">
    <vt:lpwstr>ActiveSubmitStub</vt:lpwstr>
  </property>
  <property fmtid="{D5CDD505-2E9C-101B-9397-08002B2CF9AE}" pid="6" name="RecordPoint_ActiveItemSiteId">
    <vt:lpwstr>{4b445ea7-761d-43d2-909a-116082cfbf41}</vt:lpwstr>
  </property>
  <property fmtid="{D5CDD505-2E9C-101B-9397-08002B2CF9AE}" pid="7" name="RecordPoint_ActiveItemListId">
    <vt:lpwstr>{73c573e4-bf63-4daa-89f5-745b8bb524e2}</vt:lpwstr>
  </property>
  <property fmtid="{D5CDD505-2E9C-101B-9397-08002B2CF9AE}" pid="8" name="RecordPoint_ActiveItemWebId">
    <vt:lpwstr>{aa3e7952-617a-4d1d-acc5-2dff72d3e0ca}</vt:lpwstr>
  </property>
  <property fmtid="{D5CDD505-2E9C-101B-9397-08002B2CF9AE}" pid="9" name="RecordPoint_RecordNumberSubmitted">
    <vt:lpwstr>003098038</vt:lpwstr>
  </property>
</Properties>
</file>