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9A4615" w14:textId="2BDEBE42" w:rsidR="00047DC8" w:rsidRPr="00985B69" w:rsidRDefault="00C122F9" w:rsidP="00C122F9">
      <w:pPr>
        <w:pStyle w:val="BodyText"/>
        <w:jc w:val="center"/>
        <w:rPr>
          <w:b/>
          <w:bCs/>
          <w:noProof/>
        </w:rPr>
      </w:pPr>
      <w:bookmarkStart w:id="0" w:name="_Toc367791208"/>
      <w:r>
        <w:rPr>
          <w:noProof/>
        </w:rPr>
        <w:drawing>
          <wp:inline distT="0" distB="0" distL="0" distR="0" wp14:anchorId="1B35BA3A" wp14:editId="77360B26">
            <wp:extent cx="4165200" cy="1839600"/>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BA Logo wth partners - DAWE_RGB.png"/>
                    <pic:cNvPicPr/>
                  </pic:nvPicPr>
                  <pic:blipFill>
                    <a:blip r:embed="rId12"/>
                    <a:stretch>
                      <a:fillRect/>
                    </a:stretch>
                  </pic:blipFill>
                  <pic:spPr>
                    <a:xfrm>
                      <a:off x="0" y="0"/>
                      <a:ext cx="4165200" cy="1839600"/>
                    </a:xfrm>
                    <a:prstGeom prst="rect">
                      <a:avLst/>
                    </a:prstGeom>
                  </pic:spPr>
                </pic:pic>
              </a:graphicData>
            </a:graphic>
          </wp:inline>
        </w:drawing>
      </w:r>
    </w:p>
    <w:p w14:paraId="577F67FF" w14:textId="69DD6A1C" w:rsidR="00047DC8" w:rsidRPr="00B82278" w:rsidRDefault="00047DC8" w:rsidP="00047DC8">
      <w:pPr>
        <w:pStyle w:val="CoverTitle"/>
      </w:pPr>
      <w:bookmarkStart w:id="1" w:name="_Toc2348593"/>
      <w:r>
        <w:rPr>
          <w:noProof/>
        </w:rPr>
        <w:drawing>
          <wp:anchor distT="0" distB="0" distL="114300" distR="114300" simplePos="0" relativeHeight="251658244" behindDoc="0" locked="1" layoutInCell="1" allowOverlap="1" wp14:anchorId="42E750F1" wp14:editId="12BBBB3E">
            <wp:simplePos x="0" y="0"/>
            <wp:positionH relativeFrom="page">
              <wp:align>left</wp:align>
            </wp:positionH>
            <wp:positionV relativeFrom="page">
              <wp:posOffset>-951230</wp:posOffset>
            </wp:positionV>
            <wp:extent cx="7595870" cy="2220595"/>
            <wp:effectExtent l="0" t="0" r="5080" b="8255"/>
            <wp:wrapTopAndBottom/>
            <wp:docPr id="22" name="Picture 2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3">
                      <a:extLst>
                        <a:ext uri="{28A0092B-C50C-407E-A947-70E740481C1C}">
                          <a14:useLocalDpi xmlns:a14="http://schemas.microsoft.com/office/drawing/2010/main" val="0"/>
                        </a:ext>
                      </a:extLst>
                    </a:blip>
                    <a:srcRect b="5635"/>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anchor>
        </w:drawing>
      </w:r>
      <w:r>
        <w:t>H</w:t>
      </w:r>
      <w:r w:rsidRPr="00047DC8">
        <w:t xml:space="preserve">ydraulic fracturing and well integrity </w:t>
      </w:r>
      <w:r w:rsidR="00551704">
        <w:t xml:space="preserve">review </w:t>
      </w:r>
      <w:r w:rsidR="007D39D8">
        <w:t xml:space="preserve">for the </w:t>
      </w:r>
      <w:r w:rsidR="00192E6D">
        <w:t>GBA regions</w:t>
      </w:r>
      <w:bookmarkEnd w:id="1"/>
    </w:p>
    <w:p w14:paraId="4DC58FB5" w14:textId="7E6F020A" w:rsidR="00047DC8" w:rsidRPr="00365184" w:rsidRDefault="097E1386" w:rsidP="00047DC8">
      <w:pPr>
        <w:pStyle w:val="CoverSubtitle"/>
      </w:pPr>
      <w:r w:rsidRPr="0A082BBA">
        <w:rPr>
          <w:sz w:val="30"/>
          <w:szCs w:val="30"/>
        </w:rPr>
        <w:t xml:space="preserve">Technical appendix for </w:t>
      </w:r>
      <w:r w:rsidR="001D129F" w:rsidRPr="0A082BBA">
        <w:rPr>
          <w:sz w:val="30"/>
          <w:szCs w:val="30"/>
        </w:rPr>
        <w:t xml:space="preserve">the </w:t>
      </w:r>
      <w:r w:rsidRPr="0A082BBA">
        <w:rPr>
          <w:sz w:val="30"/>
          <w:szCs w:val="30"/>
        </w:rPr>
        <w:t>Geological and Bioregional Assessment: Stage 2</w:t>
      </w:r>
      <w:r>
        <w:br/>
      </w:r>
      <w:r w:rsidR="001040E4">
        <w:rPr>
          <w:rStyle w:val="normaltextrun1"/>
          <w:rFonts w:cs="Calibri"/>
          <w:color w:val="000000" w:themeColor="text1"/>
          <w:sz w:val="22"/>
          <w:szCs w:val="22"/>
        </w:rPr>
        <w:t>2020</w:t>
      </w:r>
    </w:p>
    <w:p w14:paraId="19D86E0A" w14:textId="39F3F702" w:rsidR="007D39D8" w:rsidRDefault="0086578A" w:rsidP="00985B69">
      <w:pPr>
        <w:pStyle w:val="BodyText"/>
        <w:rPr>
          <w:lang w:val="en-US"/>
        </w:rPr>
      </w:pPr>
      <w:r>
        <w:rPr>
          <w:noProof/>
        </w:rPr>
        <w:drawing>
          <wp:anchor distT="0" distB="0" distL="114300" distR="114300" simplePos="0" relativeHeight="251658247" behindDoc="1" locked="0" layoutInCell="1" allowOverlap="1" wp14:anchorId="2BA0E1E0" wp14:editId="2EE5DAF0">
            <wp:simplePos x="0" y="0"/>
            <wp:positionH relativeFrom="margin">
              <wp:posOffset>-151130</wp:posOffset>
            </wp:positionH>
            <wp:positionV relativeFrom="paragraph">
              <wp:posOffset>36904</wp:posOffset>
            </wp:positionV>
            <wp:extent cx="6117336" cy="3440570"/>
            <wp:effectExtent l="0" t="0" r="0" b="7620"/>
            <wp:wrapNone/>
            <wp:docPr id="1" name="Picture 1" descr="A machine on th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929_Baryulah_gas_well.JPG"/>
                    <pic:cNvPicPr/>
                  </pic:nvPicPr>
                  <pic:blipFill>
                    <a:blip r:embed="rId14"/>
                    <a:stretch>
                      <a:fillRect/>
                    </a:stretch>
                  </pic:blipFill>
                  <pic:spPr>
                    <a:xfrm>
                      <a:off x="0" y="0"/>
                      <a:ext cx="6117336" cy="344057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8" behindDoc="0" locked="1" layoutInCell="1" allowOverlap="1" wp14:anchorId="2DA97170" wp14:editId="5679004B">
            <wp:simplePos x="0" y="0"/>
            <wp:positionH relativeFrom="column">
              <wp:posOffset>767715</wp:posOffset>
            </wp:positionH>
            <wp:positionV relativeFrom="page">
              <wp:posOffset>7936230</wp:posOffset>
            </wp:positionV>
            <wp:extent cx="5207000" cy="645160"/>
            <wp:effectExtent l="0" t="0" r="0" b="2540"/>
            <wp:wrapNone/>
            <wp:docPr id="13" name="Picture 1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ckgroun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47F24" w14:textId="45D58723" w:rsidR="007D39D8" w:rsidRDefault="009F6BAC" w:rsidP="009F6BAC">
      <w:pPr>
        <w:pStyle w:val="CoverDate"/>
        <w:tabs>
          <w:tab w:val="center" w:pos="4819"/>
        </w:tabs>
      </w:pPr>
      <w:r>
        <w:tab/>
      </w:r>
    </w:p>
    <w:p w14:paraId="02554025" w14:textId="1BAB7E96" w:rsidR="00047DC8" w:rsidRPr="00F170E9" w:rsidRDefault="00047DC8" w:rsidP="006C66B5">
      <w:pPr>
        <w:pStyle w:val="CoverDate"/>
      </w:pPr>
      <w:r>
        <w:rPr>
          <w:noProof/>
        </w:rPr>
        <w:drawing>
          <wp:anchor distT="0" distB="0" distL="114300" distR="114300" simplePos="0" relativeHeight="251658246" behindDoc="0" locked="1" layoutInCell="1" allowOverlap="1" wp14:anchorId="3F6B2B6C" wp14:editId="423E79AD">
            <wp:simplePos x="0" y="0"/>
            <wp:positionH relativeFrom="margin">
              <wp:posOffset>-189865</wp:posOffset>
            </wp:positionH>
            <wp:positionV relativeFrom="page">
              <wp:posOffset>4941570</wp:posOffset>
            </wp:positionV>
            <wp:extent cx="6161405" cy="578485"/>
            <wp:effectExtent l="0" t="0" r="0" b="0"/>
            <wp:wrapNone/>
            <wp:docPr id="48" name="Picture 4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6">
                      <a:extLst>
                        <a:ext uri="{28A0092B-C50C-407E-A947-70E740481C1C}">
                          <a14:useLocalDpi xmlns:a14="http://schemas.microsoft.com/office/drawing/2010/main" val="0"/>
                        </a:ext>
                      </a:extLst>
                    </a:blip>
                    <a:srcRect t="7793"/>
                    <a:stretch>
                      <a:fillRect/>
                    </a:stretch>
                  </pic:blipFill>
                  <pic:spPr bwMode="auto">
                    <a:xfrm>
                      <a:off x="0" y="0"/>
                      <a:ext cx="6161405" cy="578485"/>
                    </a:xfrm>
                    <a:prstGeom prst="rect">
                      <a:avLst/>
                    </a:prstGeom>
                    <a:noFill/>
                    <a:ln>
                      <a:noFill/>
                    </a:ln>
                  </pic:spPr>
                </pic:pic>
              </a:graphicData>
            </a:graphic>
          </wp:anchor>
        </w:drawing>
      </w:r>
      <w:r w:rsidRPr="00F170E9">
        <w:t xml:space="preserve"> </w:t>
      </w:r>
      <w:r>
        <w:br w:type="page"/>
      </w:r>
    </w:p>
    <w:p w14:paraId="51424B4B" w14:textId="77777777" w:rsidR="003865F0" w:rsidRPr="00381B74" w:rsidRDefault="003865F0" w:rsidP="003865F0">
      <w:pPr>
        <w:pStyle w:val="VersoPageHeading"/>
      </w:pPr>
      <w:r>
        <w:lastRenderedPageBreak/>
        <w:t>The Geological and Bioregional Assessment Program</w:t>
      </w:r>
    </w:p>
    <w:p w14:paraId="774F599B" w14:textId="77777777" w:rsidR="003865F0" w:rsidRPr="00382741" w:rsidRDefault="003865F0" w:rsidP="00985B69">
      <w:pPr>
        <w:pStyle w:val="VersoPageText"/>
      </w:pPr>
      <w:r w:rsidRPr="00382741">
        <w:t xml:space="preserve">The Geological and Bioregional Assessment Program will provide independent scientific advice on the potential impacts from </w:t>
      </w:r>
      <w:r w:rsidRPr="00EE5145">
        <w:t xml:space="preserve">development of selected unconventional hydrocarbon plays </w:t>
      </w:r>
      <w:r w:rsidRPr="00382741">
        <w:t xml:space="preserve">on </w:t>
      </w:r>
      <w:r>
        <w:t xml:space="preserve">water and </w:t>
      </w:r>
      <w:r w:rsidRPr="00382741">
        <w:t xml:space="preserve">the environment. The geological and environmental data and tools produced by the </w:t>
      </w:r>
      <w:r>
        <w:t>P</w:t>
      </w:r>
      <w:r w:rsidRPr="00382741">
        <w:t>rogram will assist governments, industry, landowners and the community to help inform decision</w:t>
      </w:r>
      <w:r>
        <w:t xml:space="preserve"> </w:t>
      </w:r>
      <w:r w:rsidRPr="00382741">
        <w:t xml:space="preserve">making and enhance the coordinated management of potential impacts. </w:t>
      </w:r>
    </w:p>
    <w:p w14:paraId="3A2D7596" w14:textId="08F82BDA" w:rsidR="003865F0" w:rsidRDefault="003865F0" w:rsidP="00985B69">
      <w:pPr>
        <w:pStyle w:val="VersoPageText"/>
      </w:pPr>
      <w:r w:rsidRPr="00382741">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7" w:history="1">
        <w:r w:rsidRPr="00985B69">
          <w:rPr>
            <w:rStyle w:val="Hyperlink"/>
            <w:rFonts w:cs="Arial"/>
            <w:kern w:val="28"/>
          </w:rPr>
          <w:t>http://www.bioregionalassessments.gov.au</w:t>
        </w:r>
      </w:hyperlink>
      <w:r w:rsidRPr="00382741">
        <w:t xml:space="preserve">. </w:t>
      </w:r>
    </w:p>
    <w:p w14:paraId="7D04D314" w14:textId="77777777" w:rsidR="003865F0" w:rsidRPr="00381B74" w:rsidRDefault="003865F0" w:rsidP="003865F0">
      <w:pPr>
        <w:pStyle w:val="VersoPageHeading"/>
      </w:pPr>
      <w:r>
        <w:t>Department of the Environment and Energy</w:t>
      </w:r>
    </w:p>
    <w:p w14:paraId="3D22B36E" w14:textId="33B70AC9" w:rsidR="003865F0" w:rsidRDefault="003865F0" w:rsidP="00985B69">
      <w:pPr>
        <w:pStyle w:val="VersoPageText"/>
      </w:pPr>
      <w:r w:rsidRPr="00024E91">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8" w:history="1">
        <w:r w:rsidRPr="00985B69">
          <w:rPr>
            <w:rStyle w:val="Hyperlink"/>
            <w:rFonts w:cs="Arial"/>
            <w:kern w:val="28"/>
          </w:rPr>
          <w:t>http://www.environment.gov.au</w:t>
        </w:r>
      </w:hyperlink>
      <w:r w:rsidRPr="00985B69">
        <w:rPr>
          <w:rStyle w:val="Hyperlink"/>
          <w:rFonts w:cs="Arial"/>
          <w:color w:val="auto"/>
          <w:kern w:val="28"/>
        </w:rPr>
        <w:t>.</w:t>
      </w:r>
    </w:p>
    <w:p w14:paraId="774A64E4" w14:textId="77777777" w:rsidR="003865F0" w:rsidRPr="00381B74" w:rsidRDefault="003865F0" w:rsidP="003865F0">
      <w:pPr>
        <w:pStyle w:val="VersoPageHeading"/>
      </w:pPr>
      <w:r>
        <w:t>Bureau of Meteorology</w:t>
      </w:r>
    </w:p>
    <w:p w14:paraId="7C0D682D" w14:textId="10258A87" w:rsidR="003865F0" w:rsidRPr="00765AB8" w:rsidRDefault="003865F0" w:rsidP="003865F0">
      <w:pPr>
        <w:pStyle w:val="VersoPageText"/>
      </w:pPr>
      <w:r>
        <w:t xml:space="preserve">The Bureau of Meteorology is Australia’s national weather, climate and water agency. Under the </w:t>
      </w:r>
      <w:r w:rsidRPr="36D8DF6E">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19">
        <w:r w:rsidRPr="36D8DF6E">
          <w:rPr>
            <w:rStyle w:val="Hyperlink"/>
          </w:rPr>
          <w:t>http://www.bom.gov.au/water/</w:t>
        </w:r>
      </w:hyperlink>
      <w:r>
        <w:t>.</w:t>
      </w:r>
    </w:p>
    <w:p w14:paraId="29626F2D" w14:textId="77777777" w:rsidR="003865F0" w:rsidRPr="00381B74" w:rsidRDefault="003865F0" w:rsidP="003865F0">
      <w:pPr>
        <w:pStyle w:val="VersoPageHeading"/>
      </w:pPr>
      <w:r>
        <w:t>CSIRO</w:t>
      </w:r>
    </w:p>
    <w:p w14:paraId="404FC952" w14:textId="0B4017CA" w:rsidR="003865F0" w:rsidRPr="007676A5" w:rsidRDefault="003865F0" w:rsidP="003865F0">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0">
        <w:r w:rsidRPr="36D8DF6E">
          <w:rPr>
            <w:rStyle w:val="Hyperlink"/>
          </w:rPr>
          <w:t>http://www.csiro.au</w:t>
        </w:r>
      </w:hyperlink>
      <w:r>
        <w:t>.</w:t>
      </w:r>
    </w:p>
    <w:p w14:paraId="4FEB1C90" w14:textId="77777777" w:rsidR="003865F0" w:rsidRPr="00381B74" w:rsidRDefault="003865F0" w:rsidP="003865F0">
      <w:pPr>
        <w:pStyle w:val="VersoPageHeading"/>
      </w:pPr>
      <w:r>
        <w:t>Geoscience Australia</w:t>
      </w:r>
    </w:p>
    <w:p w14:paraId="09B3AEFC" w14:textId="34DD6372" w:rsidR="003865F0" w:rsidRDefault="003865F0" w:rsidP="00985B69">
      <w:pPr>
        <w:pStyle w:val="VersoPageText"/>
      </w:pPr>
      <w:r w:rsidRPr="00BD2189">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first-class research and information. For more information, </w:t>
      </w:r>
      <w:r w:rsidRPr="00985B69">
        <w:t xml:space="preserve">visit </w:t>
      </w:r>
      <w:hyperlink r:id="rId21" w:history="1">
        <w:r w:rsidRPr="00985B69">
          <w:rPr>
            <w:rStyle w:val="Hyperlink"/>
          </w:rPr>
          <w:t>http://www.ga.gov.au</w:t>
        </w:r>
      </w:hyperlink>
      <w:r w:rsidRPr="00BD2189">
        <w:t>.</w:t>
      </w:r>
    </w:p>
    <w:p w14:paraId="4D4CB7E3" w14:textId="2B6303E4" w:rsidR="003865F0" w:rsidRPr="00F53018" w:rsidRDefault="003865F0" w:rsidP="003865F0">
      <w:pPr>
        <w:pStyle w:val="VersoPageHeading"/>
      </w:pPr>
      <w:r>
        <w:t xml:space="preserve">ISBN-PDF </w:t>
      </w:r>
      <w:r w:rsidR="00CC639D" w:rsidRPr="00CC639D">
        <w:t>978-1-921069-24-6</w:t>
      </w:r>
    </w:p>
    <w:p w14:paraId="710670CF" w14:textId="77777777" w:rsidR="00047DC8" w:rsidRPr="00F53018" w:rsidRDefault="00047DC8" w:rsidP="00047DC8">
      <w:pPr>
        <w:pStyle w:val="VersoPageHeading"/>
      </w:pPr>
      <w:r>
        <w:t>Citation</w:t>
      </w:r>
    </w:p>
    <w:p w14:paraId="1F22A48C" w14:textId="4FE7C129" w:rsidR="00047DC8" w:rsidRPr="00F53018" w:rsidRDefault="00047DC8" w:rsidP="00047DC8">
      <w:pPr>
        <w:pStyle w:val="VersoPageText"/>
      </w:pPr>
      <w:bookmarkStart w:id="2" w:name="Citation"/>
      <w:r>
        <w:t>Kear J and Kasperczyk D (20</w:t>
      </w:r>
      <w:r w:rsidR="00A62EC1">
        <w:t>20</w:t>
      </w:r>
      <w:r>
        <w:t xml:space="preserve">) </w:t>
      </w:r>
      <w:r w:rsidR="006C66B5" w:rsidRPr="006C66B5">
        <w:t xml:space="preserve">Hydraulic fracturing and well integrity </w:t>
      </w:r>
      <w:r w:rsidR="00D11C16">
        <w:t xml:space="preserve">for the </w:t>
      </w:r>
      <w:r w:rsidR="00192E6D">
        <w:t>GBA regions</w:t>
      </w:r>
      <w:r w:rsidRPr="006C66B5">
        <w:t xml:space="preserve">. </w:t>
      </w:r>
      <w:bookmarkEnd w:id="2"/>
      <w:r w:rsidR="00DE6ED5">
        <w:t xml:space="preserve">Technical appendix for the </w:t>
      </w:r>
      <w:r w:rsidR="00DE6ED5" w:rsidRPr="000732B1">
        <w:t>Geological and Bioregional Assessment Program: Stage</w:t>
      </w:r>
      <w:r w:rsidR="00DE6ED5">
        <w:t> </w:t>
      </w:r>
      <w:r w:rsidR="00DE6ED5" w:rsidRPr="000732B1">
        <w:t>2.</w:t>
      </w:r>
      <w:r w:rsidR="00DE6ED5">
        <w:t xml:space="preserve"> Department of the Environment and Energy, Bureau of Meteorology, CSIRO and Geoscience Australia, Australia.</w:t>
      </w:r>
    </w:p>
    <w:p w14:paraId="0F0F3F57" w14:textId="36A0F87C" w:rsidR="00047DC8" w:rsidRDefault="00047DC8" w:rsidP="00047DC8">
      <w:pPr>
        <w:pStyle w:val="VersoPageText"/>
      </w:pPr>
      <w:r>
        <w:t>Authorship is listed in relative order of contribution.</w:t>
      </w:r>
    </w:p>
    <w:p w14:paraId="58698FE0" w14:textId="7505B74C" w:rsidR="00C122F9" w:rsidRPr="00381B74" w:rsidRDefault="00C122F9" w:rsidP="00047DC8">
      <w:pPr>
        <w:pStyle w:val="VersoPageText"/>
      </w:pPr>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56FDB416" w14:textId="77777777" w:rsidR="00047DC8" w:rsidRPr="00381B74" w:rsidRDefault="00047DC8" w:rsidP="00047DC8">
      <w:pPr>
        <w:pStyle w:val="VersoPageHeading"/>
      </w:pPr>
      <w:r>
        <w:t>Copyright</w:t>
      </w:r>
    </w:p>
    <w:p w14:paraId="5185F64A" w14:textId="34DED9DE" w:rsidR="00E476C7" w:rsidRDefault="00047DC8" w:rsidP="00E476C7">
      <w:pPr>
        <w:pStyle w:val="VersoPageText"/>
        <w:tabs>
          <w:tab w:val="left" w:pos="5568"/>
        </w:tabs>
      </w:pPr>
      <w:r w:rsidRPr="00381B74">
        <w:rPr>
          <w:noProof/>
        </w:rPr>
        <w:drawing>
          <wp:inline distT="0" distB="0" distL="0" distR="0" wp14:anchorId="3FB67168" wp14:editId="552974FA">
            <wp:extent cx="965888" cy="375833"/>
            <wp:effectExtent l="19050" t="0" r="5662" b="0"/>
            <wp:docPr id="26" name="Picture 26"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w:t>
      </w:r>
      <w:r w:rsidR="00E476C7">
        <w:t>© Commonwealth of Australia 20</w:t>
      </w:r>
      <w:r w:rsidR="00A62EC1">
        <w:t>20</w:t>
      </w:r>
      <w:r w:rsidR="00E476C7" w:rsidRPr="00381B74">
        <w:br/>
      </w:r>
      <w:r w:rsidR="00E476C7" w:rsidRPr="00FB4859">
        <w:t xml:space="preserve">With the exception of the Commonwealth Coat of Arms and where otherwise noted, all material in this publication is provided under a Creative Commons Attribution 4.0 International Licence </w:t>
      </w:r>
      <w:hyperlink r:id="rId23" w:history="1">
        <w:r w:rsidR="00E476C7" w:rsidRPr="1960DDE0">
          <w:rPr>
            <w:rStyle w:val="Hyperlink"/>
          </w:rPr>
          <w:t>https://creativecommons.org/licenses/by/4.0/</w:t>
        </w:r>
      </w:hyperlink>
      <w:r w:rsidR="00E476C7" w:rsidRPr="00FB4859">
        <w:t xml:space="preserve">. The Geological and Bioregional Assessment Program requests attribution as ‘© Commonwealth of Australia (Geological and Bioregional Assessment Program </w:t>
      </w:r>
      <w:hyperlink r:id="rId24" w:history="1">
        <w:r w:rsidR="00E476C7" w:rsidRPr="1960DDE0">
          <w:rPr>
            <w:rStyle w:val="Hyperlink"/>
          </w:rPr>
          <w:t>http://www.bioregionalassessments.gov.au</w:t>
        </w:r>
      </w:hyperlink>
      <w:r w:rsidR="00E476C7" w:rsidRPr="5808EE4F">
        <w:t>)</w:t>
      </w:r>
      <w:r w:rsidR="00E476C7">
        <w:t>’</w:t>
      </w:r>
      <w:r w:rsidR="00E476C7" w:rsidRPr="5808EE4F">
        <w:t>.</w:t>
      </w:r>
    </w:p>
    <w:p w14:paraId="1B46504C" w14:textId="77777777" w:rsidR="00E476C7" w:rsidRPr="00381B74" w:rsidRDefault="00E476C7" w:rsidP="00E476C7">
      <w:pPr>
        <w:pStyle w:val="VersoPageHeading"/>
      </w:pPr>
      <w:r>
        <w:t>Disclaimer</w:t>
      </w:r>
    </w:p>
    <w:p w14:paraId="7198188D" w14:textId="6458E912" w:rsidR="00E476C7" w:rsidRDefault="00E476C7" w:rsidP="00E476C7">
      <w:pPr>
        <w:pStyle w:val="VersoPageText"/>
        <w:tabs>
          <w:tab w:val="left" w:pos="5568"/>
        </w:tabs>
      </w:pPr>
      <w:r>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br/>
        <w:t>The Geological and Bioregional Assessment Program is committed to providing web accessible content wherever possible. If you are having difficulties with accessing this document</w:t>
      </w:r>
      <w:r w:rsidR="0012093A">
        <w:t>,</w:t>
      </w:r>
      <w:r>
        <w:t xml:space="preserve"> please contact </w:t>
      </w:r>
      <w:hyperlink r:id="rId25" w:history="1">
        <w:r w:rsidR="00C122F9" w:rsidRPr="00CB23DD">
          <w:rPr>
            <w:rStyle w:val="Hyperlink"/>
            <w:rFonts w:cs="Arial"/>
          </w:rPr>
          <w:t>bioregionalassessments@awe.gov.au</w:t>
        </w:r>
      </w:hyperlink>
      <w:r>
        <w:t>.</w:t>
      </w:r>
    </w:p>
    <w:p w14:paraId="0D98CCB9" w14:textId="408DBD05" w:rsidR="00BA5C67" w:rsidRDefault="00047DC8" w:rsidP="00E476C7">
      <w:pPr>
        <w:pStyle w:val="VersoPageHeading"/>
      </w:pPr>
      <w:r>
        <w:t>Cover photograph</w:t>
      </w:r>
    </w:p>
    <w:p w14:paraId="70E13D17" w14:textId="1193C87F" w:rsidR="00FC2CCC" w:rsidRPr="00D33D58" w:rsidRDefault="00BC059A" w:rsidP="00047DC8">
      <w:pPr>
        <w:pStyle w:val="VersoPageText"/>
        <w:sectPr w:rsidR="00FC2CCC" w:rsidRPr="00D33D58" w:rsidSect="00E6605E">
          <w:footerReference w:type="even" r:id="rId26"/>
          <w:footerReference w:type="default" r:id="rId27"/>
          <w:footerReference w:type="first" r:id="rId28"/>
          <w:pgSz w:w="11906" w:h="16838" w:code="9"/>
          <w:pgMar w:top="1077" w:right="1134" w:bottom="1021" w:left="1134" w:header="510" w:footer="612" w:gutter="0"/>
          <w:pgNumType w:fmt="lowerRoman" w:start="1"/>
          <w:cols w:space="284"/>
          <w:titlePg/>
          <w:docGrid w:linePitch="360"/>
        </w:sectPr>
      </w:pPr>
      <w:r>
        <w:t xml:space="preserve">Santos </w:t>
      </w:r>
      <w:r>
        <w:rPr>
          <w:noProof/>
        </w:rPr>
        <w:t xml:space="preserve">Baryulah </w:t>
      </w:r>
      <w:r w:rsidR="00A2524D">
        <w:rPr>
          <w:noProof/>
        </w:rPr>
        <w:t xml:space="preserve">field </w:t>
      </w:r>
      <w:r>
        <w:rPr>
          <w:noProof/>
        </w:rPr>
        <w:t>gas well, Cooper Basin</w:t>
      </w:r>
      <w:r w:rsidR="00E476C7">
        <w:rPr>
          <w:noProof/>
        </w:rPr>
        <w:t xml:space="preserve">, </w:t>
      </w:r>
      <w:r w:rsidR="0006336D">
        <w:rPr>
          <w:noProof/>
        </w:rPr>
        <w:t>October</w:t>
      </w:r>
      <w:r w:rsidR="00E476C7">
        <w:rPr>
          <w:noProof/>
        </w:rPr>
        <w:t xml:space="preserve"> 2018</w:t>
      </w:r>
      <w:r w:rsidR="00576DD3">
        <w:rPr>
          <w:noProof/>
        </w:rPr>
        <w:t xml:space="preserve"> </w:t>
      </w:r>
      <w:r w:rsidR="00BA5C67">
        <w:rPr>
          <w:noProof/>
        </w:rPr>
        <w:br/>
      </w:r>
      <w:r w:rsidR="00E57D10">
        <w:rPr>
          <w:noProof/>
        </w:rPr>
        <w:t xml:space="preserve">Credit: </w:t>
      </w:r>
      <w:r w:rsidR="00E57D10">
        <w:t>Geological and Bioregional Assessment Program, Russell Crosbie (CSIRO)</w:t>
      </w:r>
      <w:r w:rsidR="00BA5C67">
        <w:rPr>
          <w:noProof/>
        </w:rPr>
        <w:br/>
        <w:t xml:space="preserve">Element: </w:t>
      </w:r>
      <w:r w:rsidR="00BA5C67" w:rsidRPr="00576DD3">
        <w:rPr>
          <w:noProof/>
        </w:rPr>
        <w:t>GBA-COO-2-337</w:t>
      </w:r>
    </w:p>
    <w:p w14:paraId="13CA76F2" w14:textId="2039DAF4" w:rsidR="007D39D8" w:rsidRDefault="007D39D8" w:rsidP="00E10706">
      <w:pPr>
        <w:pStyle w:val="Heading2notnumbered"/>
      </w:pPr>
      <w:bookmarkStart w:id="3" w:name="_Toc5272794"/>
      <w:bookmarkStart w:id="4" w:name="_Toc36042846"/>
      <w:bookmarkStart w:id="5" w:name="_Toc528849171"/>
      <w:bookmarkStart w:id="6" w:name="_Toc528850485"/>
      <w:bookmarkEnd w:id="0"/>
      <w:r>
        <w:t>Executive summary</w:t>
      </w:r>
      <w:bookmarkEnd w:id="3"/>
      <w:bookmarkEnd w:id="4"/>
    </w:p>
    <w:p w14:paraId="20204363" w14:textId="7D427265" w:rsidR="007D39D8" w:rsidRPr="005C683C" w:rsidRDefault="002F6EC2" w:rsidP="002F6EC2">
      <w:pPr>
        <w:pStyle w:val="Summarypink"/>
      </w:pPr>
      <w:bookmarkStart w:id="7" w:name="_Hlk532307489"/>
      <w:r>
        <w:t xml:space="preserve">Well integrity and hydraulic fracturing are important </w:t>
      </w:r>
      <w:r w:rsidR="005A102C">
        <w:t>topics</w:t>
      </w:r>
      <w:r>
        <w:t xml:space="preserve"> for government, industry and the community.</w:t>
      </w:r>
      <w:r w:rsidR="001761B0">
        <w:t xml:space="preserve"> </w:t>
      </w:r>
      <w:r w:rsidR="00FD4557">
        <w:t>This review presents a</w:t>
      </w:r>
      <w:r w:rsidR="00C9435F">
        <w:t xml:space="preserve"> qualitative assessment of the findings from nine domestic and international inquiries </w:t>
      </w:r>
      <w:r w:rsidR="00FD4557">
        <w:t xml:space="preserve">and </w:t>
      </w:r>
      <w:r w:rsidR="0046419F">
        <w:t xml:space="preserve">of </w:t>
      </w:r>
      <w:r w:rsidR="00FD4557">
        <w:t xml:space="preserve">data from the Cooper, Isa and Beetaloo GBA regions considered against the </w:t>
      </w:r>
      <w:r w:rsidR="00C9435F">
        <w:t>impact modes</w:t>
      </w:r>
      <w:r w:rsidR="001761B0">
        <w:t xml:space="preserve"> </w:t>
      </w:r>
      <w:r w:rsidR="00FD4557">
        <w:t>relating to hydraulic fracturing (three impact modes) and well integrity (five impact modes)</w:t>
      </w:r>
      <w:r w:rsidR="001761B0" w:rsidRPr="005A442F">
        <w:t>.</w:t>
      </w:r>
      <w:r w:rsidR="00C9435F">
        <w:t xml:space="preserve"> </w:t>
      </w:r>
      <w:r w:rsidR="0046419F">
        <w:t xml:space="preserve">The outcome of this </w:t>
      </w:r>
      <w:r>
        <w:t>review</w:t>
      </w:r>
      <w:r w:rsidR="00C9435F">
        <w:t xml:space="preserve"> </w:t>
      </w:r>
      <w:r w:rsidR="0046419F">
        <w:t xml:space="preserve">is a </w:t>
      </w:r>
      <w:r w:rsidR="0046419F" w:rsidRPr="005A442F">
        <w:t xml:space="preserve">qualitative likelihood of occurrence </w:t>
      </w:r>
      <w:r w:rsidR="0046419F">
        <w:t xml:space="preserve">for each impact mode in each GBA region. These outcomes are presented </w:t>
      </w:r>
      <w:r w:rsidR="00C9435F">
        <w:t>in the Cooper, Isa and Beetaloo GBA Program Stage 2 Synthesis reports</w:t>
      </w:r>
      <w:r w:rsidRPr="00144D53">
        <w:t>.</w:t>
      </w:r>
      <w:bookmarkEnd w:id="7"/>
    </w:p>
    <w:p w14:paraId="4420F469" w14:textId="08D6A92C" w:rsidR="00651639" w:rsidRDefault="00B71FE3" w:rsidP="00B71FE3">
      <w:pPr>
        <w:pStyle w:val="BodyText"/>
      </w:pPr>
      <w:bookmarkStart w:id="8" w:name="_Toc316902172"/>
      <w:bookmarkEnd w:id="5"/>
      <w:bookmarkEnd w:id="6"/>
      <w:r>
        <w:br w:type="page"/>
      </w:r>
      <w:r w:rsidR="00651639">
        <w:br w:type="page"/>
      </w:r>
    </w:p>
    <w:p w14:paraId="7296E13D" w14:textId="683E9682" w:rsidR="00B71FE3" w:rsidRPr="009C657D" w:rsidRDefault="00B71FE3" w:rsidP="00B71FE3">
      <w:pPr>
        <w:pStyle w:val="TOCHeading"/>
      </w:pPr>
      <w:r>
        <w:t>Contents</w:t>
      </w:r>
    </w:p>
    <w:p w14:paraId="0A46833B" w14:textId="29AD52CB" w:rsidR="00073927" w:rsidRDefault="00B71FE3">
      <w:pPr>
        <w:pStyle w:val="TOC2"/>
        <w:rPr>
          <w:rFonts w:asciiTheme="minorHAnsi" w:eastAsiaTheme="minorEastAsia" w:hAnsiTheme="minorHAnsi" w:cstheme="minorBidi"/>
          <w:b w:val="0"/>
          <w:sz w:val="22"/>
          <w:szCs w:val="22"/>
        </w:rPr>
      </w:pPr>
      <w:r>
        <w:rPr>
          <w:b w:val="0"/>
        </w:rPr>
        <w:fldChar w:fldCharType="begin"/>
      </w:r>
      <w:r>
        <w:rPr>
          <w:b w:val="0"/>
        </w:rPr>
        <w:instrText xml:space="preserve"> TOC \o "2-3" \h \z \t "Heading 1,1,Heading 1 not numbered,1,Heading 1 no TOC,1" </w:instrText>
      </w:r>
      <w:r>
        <w:rPr>
          <w:b w:val="0"/>
        </w:rPr>
        <w:fldChar w:fldCharType="separate"/>
      </w:r>
      <w:hyperlink w:anchor="_Toc36042846" w:history="1">
        <w:r w:rsidR="00073927" w:rsidRPr="001401E6">
          <w:rPr>
            <w:rStyle w:val="Hyperlink"/>
          </w:rPr>
          <w:t>Executive summary</w:t>
        </w:r>
        <w:r w:rsidR="00073927">
          <w:rPr>
            <w:webHidden/>
          </w:rPr>
          <w:tab/>
        </w:r>
        <w:r w:rsidR="00073927">
          <w:rPr>
            <w:webHidden/>
          </w:rPr>
          <w:fldChar w:fldCharType="begin"/>
        </w:r>
        <w:r w:rsidR="00073927">
          <w:rPr>
            <w:webHidden/>
          </w:rPr>
          <w:instrText xml:space="preserve"> PAGEREF _Toc36042846 \h </w:instrText>
        </w:r>
        <w:r w:rsidR="00073927">
          <w:rPr>
            <w:webHidden/>
          </w:rPr>
        </w:r>
        <w:r w:rsidR="00073927">
          <w:rPr>
            <w:webHidden/>
          </w:rPr>
          <w:fldChar w:fldCharType="separate"/>
        </w:r>
        <w:r w:rsidR="001040E4">
          <w:rPr>
            <w:webHidden/>
          </w:rPr>
          <w:t>i</w:t>
        </w:r>
        <w:r w:rsidR="00073927">
          <w:rPr>
            <w:webHidden/>
          </w:rPr>
          <w:fldChar w:fldCharType="end"/>
        </w:r>
      </w:hyperlink>
    </w:p>
    <w:p w14:paraId="4E2517A5" w14:textId="7646D92A" w:rsidR="00073927" w:rsidRDefault="00672B9D">
      <w:pPr>
        <w:pStyle w:val="TOC1"/>
        <w:rPr>
          <w:rFonts w:asciiTheme="minorHAnsi" w:eastAsiaTheme="minorEastAsia" w:hAnsiTheme="minorHAnsi" w:cstheme="minorBidi"/>
          <w:b w:val="0"/>
          <w:color w:val="auto"/>
          <w:sz w:val="22"/>
          <w:szCs w:val="22"/>
        </w:rPr>
      </w:pPr>
      <w:hyperlink w:anchor="_Toc36042847" w:history="1">
        <w:r w:rsidR="00073927" w:rsidRPr="001401E6">
          <w:rPr>
            <w:rStyle w:val="Hyperlink"/>
          </w:rPr>
          <w:t>Contributors to the Program</w:t>
        </w:r>
        <w:r w:rsidR="00073927">
          <w:rPr>
            <w:webHidden/>
          </w:rPr>
          <w:tab/>
        </w:r>
        <w:r w:rsidR="00073927">
          <w:rPr>
            <w:webHidden/>
          </w:rPr>
          <w:fldChar w:fldCharType="begin"/>
        </w:r>
        <w:r w:rsidR="00073927">
          <w:rPr>
            <w:webHidden/>
          </w:rPr>
          <w:instrText xml:space="preserve"> PAGEREF _Toc36042847 \h </w:instrText>
        </w:r>
        <w:r w:rsidR="00073927">
          <w:rPr>
            <w:webHidden/>
          </w:rPr>
        </w:r>
        <w:r w:rsidR="00073927">
          <w:rPr>
            <w:webHidden/>
          </w:rPr>
          <w:fldChar w:fldCharType="separate"/>
        </w:r>
        <w:r w:rsidR="001040E4">
          <w:rPr>
            <w:webHidden/>
          </w:rPr>
          <w:t>viii</w:t>
        </w:r>
        <w:r w:rsidR="00073927">
          <w:rPr>
            <w:webHidden/>
          </w:rPr>
          <w:fldChar w:fldCharType="end"/>
        </w:r>
      </w:hyperlink>
    </w:p>
    <w:p w14:paraId="0008EB0A" w14:textId="5031B9E0" w:rsidR="00073927" w:rsidRDefault="00672B9D">
      <w:pPr>
        <w:pStyle w:val="TOC1"/>
        <w:rPr>
          <w:rFonts w:asciiTheme="minorHAnsi" w:eastAsiaTheme="minorEastAsia" w:hAnsiTheme="minorHAnsi" w:cstheme="minorBidi"/>
          <w:b w:val="0"/>
          <w:color w:val="auto"/>
          <w:sz w:val="22"/>
          <w:szCs w:val="22"/>
        </w:rPr>
      </w:pPr>
      <w:hyperlink w:anchor="_Toc36042848" w:history="1">
        <w:r w:rsidR="00073927" w:rsidRPr="001401E6">
          <w:rPr>
            <w:rStyle w:val="Hyperlink"/>
          </w:rPr>
          <w:t>Acknowledgements</w:t>
        </w:r>
        <w:r w:rsidR="00073927">
          <w:rPr>
            <w:webHidden/>
          </w:rPr>
          <w:tab/>
        </w:r>
        <w:r w:rsidR="00073927">
          <w:rPr>
            <w:webHidden/>
          </w:rPr>
          <w:fldChar w:fldCharType="begin"/>
        </w:r>
        <w:r w:rsidR="00073927">
          <w:rPr>
            <w:webHidden/>
          </w:rPr>
          <w:instrText xml:space="preserve"> PAGEREF _Toc36042848 \h </w:instrText>
        </w:r>
        <w:r w:rsidR="00073927">
          <w:rPr>
            <w:webHidden/>
          </w:rPr>
        </w:r>
        <w:r w:rsidR="00073927">
          <w:rPr>
            <w:webHidden/>
          </w:rPr>
          <w:fldChar w:fldCharType="separate"/>
        </w:r>
        <w:r w:rsidR="001040E4">
          <w:rPr>
            <w:webHidden/>
          </w:rPr>
          <w:t>ix</w:t>
        </w:r>
        <w:r w:rsidR="00073927">
          <w:rPr>
            <w:webHidden/>
          </w:rPr>
          <w:fldChar w:fldCharType="end"/>
        </w:r>
      </w:hyperlink>
    </w:p>
    <w:p w14:paraId="712D86CB" w14:textId="05B67317" w:rsidR="00073927" w:rsidRDefault="00672B9D">
      <w:pPr>
        <w:pStyle w:val="TOC1"/>
        <w:rPr>
          <w:rFonts w:asciiTheme="minorHAnsi" w:eastAsiaTheme="minorEastAsia" w:hAnsiTheme="minorHAnsi" w:cstheme="minorBidi"/>
          <w:b w:val="0"/>
          <w:color w:val="auto"/>
          <w:sz w:val="22"/>
          <w:szCs w:val="22"/>
        </w:rPr>
      </w:pPr>
      <w:hyperlink w:anchor="_Toc36042849" w:history="1">
        <w:r w:rsidR="00073927" w:rsidRPr="001401E6">
          <w:rPr>
            <w:rStyle w:val="Hyperlink"/>
          </w:rPr>
          <w:t>Abbreviations and acronyms</w:t>
        </w:r>
        <w:r w:rsidR="00073927">
          <w:rPr>
            <w:webHidden/>
          </w:rPr>
          <w:tab/>
        </w:r>
        <w:r w:rsidR="00073927">
          <w:rPr>
            <w:webHidden/>
          </w:rPr>
          <w:fldChar w:fldCharType="begin"/>
        </w:r>
        <w:r w:rsidR="00073927">
          <w:rPr>
            <w:webHidden/>
          </w:rPr>
          <w:instrText xml:space="preserve"> PAGEREF _Toc36042849 \h </w:instrText>
        </w:r>
        <w:r w:rsidR="00073927">
          <w:rPr>
            <w:webHidden/>
          </w:rPr>
        </w:r>
        <w:r w:rsidR="00073927">
          <w:rPr>
            <w:webHidden/>
          </w:rPr>
          <w:fldChar w:fldCharType="separate"/>
        </w:r>
        <w:r w:rsidR="001040E4">
          <w:rPr>
            <w:webHidden/>
          </w:rPr>
          <w:t>x</w:t>
        </w:r>
        <w:r w:rsidR="00073927">
          <w:rPr>
            <w:webHidden/>
          </w:rPr>
          <w:fldChar w:fldCharType="end"/>
        </w:r>
      </w:hyperlink>
    </w:p>
    <w:p w14:paraId="7A99015F" w14:textId="30ADEC37" w:rsidR="00073927" w:rsidRDefault="00672B9D">
      <w:pPr>
        <w:pStyle w:val="TOC1"/>
        <w:rPr>
          <w:rFonts w:asciiTheme="minorHAnsi" w:eastAsiaTheme="minorEastAsia" w:hAnsiTheme="minorHAnsi" w:cstheme="minorBidi"/>
          <w:b w:val="0"/>
          <w:color w:val="auto"/>
          <w:sz w:val="22"/>
          <w:szCs w:val="22"/>
        </w:rPr>
      </w:pPr>
      <w:hyperlink w:anchor="_Toc36042850" w:history="1">
        <w:r w:rsidR="00073927" w:rsidRPr="001401E6">
          <w:rPr>
            <w:rStyle w:val="Hyperlink"/>
          </w:rPr>
          <w:t>Units</w:t>
        </w:r>
        <w:r w:rsidR="00073927">
          <w:rPr>
            <w:webHidden/>
          </w:rPr>
          <w:tab/>
        </w:r>
        <w:r w:rsidR="00073927">
          <w:rPr>
            <w:webHidden/>
          </w:rPr>
          <w:fldChar w:fldCharType="begin"/>
        </w:r>
        <w:r w:rsidR="00073927">
          <w:rPr>
            <w:webHidden/>
          </w:rPr>
          <w:instrText xml:space="preserve"> PAGEREF _Toc36042850 \h </w:instrText>
        </w:r>
        <w:r w:rsidR="00073927">
          <w:rPr>
            <w:webHidden/>
          </w:rPr>
        </w:r>
        <w:r w:rsidR="00073927">
          <w:rPr>
            <w:webHidden/>
          </w:rPr>
          <w:fldChar w:fldCharType="separate"/>
        </w:r>
        <w:r w:rsidR="001040E4">
          <w:rPr>
            <w:webHidden/>
          </w:rPr>
          <w:t>xi</w:t>
        </w:r>
        <w:r w:rsidR="00073927">
          <w:rPr>
            <w:webHidden/>
          </w:rPr>
          <w:fldChar w:fldCharType="end"/>
        </w:r>
      </w:hyperlink>
    </w:p>
    <w:p w14:paraId="5AD68914" w14:textId="09063142" w:rsidR="00073927" w:rsidRDefault="00672B9D">
      <w:pPr>
        <w:pStyle w:val="TOC2"/>
        <w:rPr>
          <w:rFonts w:asciiTheme="minorHAnsi" w:eastAsiaTheme="minorEastAsia" w:hAnsiTheme="minorHAnsi" w:cstheme="minorBidi"/>
          <w:b w:val="0"/>
          <w:sz w:val="22"/>
          <w:szCs w:val="22"/>
        </w:rPr>
      </w:pPr>
      <w:hyperlink w:anchor="_Toc36042851" w:history="1">
        <w:r w:rsidR="00073927" w:rsidRPr="001401E6">
          <w:rPr>
            <w:rStyle w:val="Hyperlink"/>
          </w:rPr>
          <w:t>The Geological and Bioregional Assessment Program</w:t>
        </w:r>
        <w:r w:rsidR="00073927">
          <w:rPr>
            <w:webHidden/>
          </w:rPr>
          <w:tab/>
        </w:r>
        <w:r w:rsidR="00073927">
          <w:rPr>
            <w:webHidden/>
          </w:rPr>
          <w:fldChar w:fldCharType="begin"/>
        </w:r>
        <w:r w:rsidR="00073927">
          <w:rPr>
            <w:webHidden/>
          </w:rPr>
          <w:instrText xml:space="preserve"> PAGEREF _Toc36042851 \h </w:instrText>
        </w:r>
        <w:r w:rsidR="00073927">
          <w:rPr>
            <w:webHidden/>
          </w:rPr>
        </w:r>
        <w:r w:rsidR="00073927">
          <w:rPr>
            <w:webHidden/>
          </w:rPr>
          <w:fldChar w:fldCharType="separate"/>
        </w:r>
        <w:r w:rsidR="001040E4">
          <w:rPr>
            <w:webHidden/>
          </w:rPr>
          <w:t>xii</w:t>
        </w:r>
        <w:r w:rsidR="00073927">
          <w:rPr>
            <w:webHidden/>
          </w:rPr>
          <w:fldChar w:fldCharType="end"/>
        </w:r>
      </w:hyperlink>
    </w:p>
    <w:p w14:paraId="7355AFEF" w14:textId="76802F66" w:rsidR="00073927" w:rsidRDefault="00672B9D">
      <w:pPr>
        <w:pStyle w:val="TOC2"/>
        <w:rPr>
          <w:rFonts w:asciiTheme="minorHAnsi" w:eastAsiaTheme="minorEastAsia" w:hAnsiTheme="minorHAnsi" w:cstheme="minorBidi"/>
          <w:b w:val="0"/>
          <w:sz w:val="22"/>
          <w:szCs w:val="22"/>
        </w:rPr>
      </w:pPr>
      <w:hyperlink w:anchor="_Toc36042852" w:history="1">
        <w:r w:rsidR="00073927" w:rsidRPr="001401E6">
          <w:rPr>
            <w:rStyle w:val="Hyperlink"/>
          </w:rPr>
          <w:t>1</w:t>
        </w:r>
        <w:r w:rsidR="00073927">
          <w:rPr>
            <w:rFonts w:asciiTheme="minorHAnsi" w:eastAsiaTheme="minorEastAsia" w:hAnsiTheme="minorHAnsi" w:cstheme="minorBidi"/>
            <w:b w:val="0"/>
            <w:sz w:val="22"/>
            <w:szCs w:val="22"/>
          </w:rPr>
          <w:tab/>
        </w:r>
        <w:r w:rsidR="00073927" w:rsidRPr="001401E6">
          <w:rPr>
            <w:rStyle w:val="Hyperlink"/>
          </w:rPr>
          <w:t>Causal pathway overviews for hydraulic fracturing and compromised well integrity</w:t>
        </w:r>
        <w:r w:rsidR="00073927">
          <w:rPr>
            <w:webHidden/>
          </w:rPr>
          <w:tab/>
        </w:r>
        <w:r w:rsidR="00073927">
          <w:rPr>
            <w:webHidden/>
          </w:rPr>
          <w:fldChar w:fldCharType="begin"/>
        </w:r>
        <w:r w:rsidR="00073927">
          <w:rPr>
            <w:webHidden/>
          </w:rPr>
          <w:instrText xml:space="preserve"> PAGEREF _Toc36042852 \h </w:instrText>
        </w:r>
        <w:r w:rsidR="00073927">
          <w:rPr>
            <w:webHidden/>
          </w:rPr>
        </w:r>
        <w:r w:rsidR="00073927">
          <w:rPr>
            <w:webHidden/>
          </w:rPr>
          <w:fldChar w:fldCharType="separate"/>
        </w:r>
        <w:r w:rsidR="001040E4">
          <w:rPr>
            <w:webHidden/>
          </w:rPr>
          <w:t>1</w:t>
        </w:r>
        <w:r w:rsidR="00073927">
          <w:rPr>
            <w:webHidden/>
          </w:rPr>
          <w:fldChar w:fldCharType="end"/>
        </w:r>
      </w:hyperlink>
    </w:p>
    <w:p w14:paraId="394B64B4" w14:textId="06127734" w:rsidR="00073927" w:rsidRDefault="00672B9D">
      <w:pPr>
        <w:pStyle w:val="TOC3"/>
        <w:rPr>
          <w:rFonts w:asciiTheme="minorHAnsi" w:eastAsiaTheme="minorEastAsia" w:hAnsiTheme="minorHAnsi" w:cstheme="minorBidi"/>
          <w:sz w:val="22"/>
          <w:szCs w:val="22"/>
        </w:rPr>
      </w:pPr>
      <w:hyperlink w:anchor="_Toc36042853" w:history="1">
        <w:r w:rsidR="00073927" w:rsidRPr="001401E6">
          <w:rPr>
            <w:rStyle w:val="Hyperlink"/>
          </w:rPr>
          <w:t>1.1</w:t>
        </w:r>
        <w:r w:rsidR="00073927">
          <w:rPr>
            <w:rFonts w:asciiTheme="minorHAnsi" w:eastAsiaTheme="minorEastAsia" w:hAnsiTheme="minorHAnsi" w:cstheme="minorBidi"/>
            <w:sz w:val="22"/>
            <w:szCs w:val="22"/>
          </w:rPr>
          <w:tab/>
        </w:r>
        <w:r w:rsidR="00073927" w:rsidRPr="001401E6">
          <w:rPr>
            <w:rStyle w:val="Hyperlink"/>
          </w:rPr>
          <w:t>Hydraulic fracturing – causal pathway overview</w:t>
        </w:r>
        <w:r w:rsidR="00073927">
          <w:rPr>
            <w:webHidden/>
          </w:rPr>
          <w:tab/>
        </w:r>
        <w:r w:rsidR="00073927">
          <w:rPr>
            <w:webHidden/>
          </w:rPr>
          <w:fldChar w:fldCharType="begin"/>
        </w:r>
        <w:r w:rsidR="00073927">
          <w:rPr>
            <w:webHidden/>
          </w:rPr>
          <w:instrText xml:space="preserve"> PAGEREF _Toc36042853 \h </w:instrText>
        </w:r>
        <w:r w:rsidR="00073927">
          <w:rPr>
            <w:webHidden/>
          </w:rPr>
        </w:r>
        <w:r w:rsidR="00073927">
          <w:rPr>
            <w:webHidden/>
          </w:rPr>
          <w:fldChar w:fldCharType="separate"/>
        </w:r>
        <w:r w:rsidR="001040E4">
          <w:rPr>
            <w:webHidden/>
          </w:rPr>
          <w:t>1</w:t>
        </w:r>
        <w:r w:rsidR="00073927">
          <w:rPr>
            <w:webHidden/>
          </w:rPr>
          <w:fldChar w:fldCharType="end"/>
        </w:r>
      </w:hyperlink>
    </w:p>
    <w:p w14:paraId="1C63110E" w14:textId="68BBAE86" w:rsidR="00073927" w:rsidRDefault="00672B9D">
      <w:pPr>
        <w:pStyle w:val="TOC3"/>
        <w:rPr>
          <w:rFonts w:asciiTheme="minorHAnsi" w:eastAsiaTheme="minorEastAsia" w:hAnsiTheme="minorHAnsi" w:cstheme="minorBidi"/>
          <w:sz w:val="22"/>
          <w:szCs w:val="22"/>
        </w:rPr>
      </w:pPr>
      <w:hyperlink w:anchor="_Toc36042854" w:history="1">
        <w:r w:rsidR="00073927" w:rsidRPr="001401E6">
          <w:rPr>
            <w:rStyle w:val="Hyperlink"/>
          </w:rPr>
          <w:t>1.2</w:t>
        </w:r>
        <w:r w:rsidR="00073927">
          <w:rPr>
            <w:rFonts w:asciiTheme="minorHAnsi" w:eastAsiaTheme="minorEastAsia" w:hAnsiTheme="minorHAnsi" w:cstheme="minorBidi"/>
            <w:sz w:val="22"/>
            <w:szCs w:val="22"/>
          </w:rPr>
          <w:tab/>
        </w:r>
        <w:r w:rsidR="00073927" w:rsidRPr="001401E6">
          <w:rPr>
            <w:rStyle w:val="Hyperlink"/>
          </w:rPr>
          <w:t>Compromised well integrity – causal pathway overview</w:t>
        </w:r>
        <w:r w:rsidR="00073927">
          <w:rPr>
            <w:webHidden/>
          </w:rPr>
          <w:tab/>
        </w:r>
        <w:r w:rsidR="00073927">
          <w:rPr>
            <w:webHidden/>
          </w:rPr>
          <w:fldChar w:fldCharType="begin"/>
        </w:r>
        <w:r w:rsidR="00073927">
          <w:rPr>
            <w:webHidden/>
          </w:rPr>
          <w:instrText xml:space="preserve"> PAGEREF _Toc36042854 \h </w:instrText>
        </w:r>
        <w:r w:rsidR="00073927">
          <w:rPr>
            <w:webHidden/>
          </w:rPr>
        </w:r>
        <w:r w:rsidR="00073927">
          <w:rPr>
            <w:webHidden/>
          </w:rPr>
          <w:fldChar w:fldCharType="separate"/>
        </w:r>
        <w:r w:rsidR="001040E4">
          <w:rPr>
            <w:webHidden/>
          </w:rPr>
          <w:t>4</w:t>
        </w:r>
        <w:r w:rsidR="00073927">
          <w:rPr>
            <w:webHidden/>
          </w:rPr>
          <w:fldChar w:fldCharType="end"/>
        </w:r>
      </w:hyperlink>
    </w:p>
    <w:p w14:paraId="1F91FA63" w14:textId="0242417E" w:rsidR="00073927" w:rsidRDefault="00672B9D">
      <w:pPr>
        <w:pStyle w:val="TOC3"/>
        <w:rPr>
          <w:rFonts w:asciiTheme="minorHAnsi" w:eastAsiaTheme="minorEastAsia" w:hAnsiTheme="minorHAnsi" w:cstheme="minorBidi"/>
          <w:sz w:val="22"/>
          <w:szCs w:val="22"/>
        </w:rPr>
      </w:pPr>
      <w:hyperlink w:anchor="_Toc36042855" w:history="1">
        <w:r w:rsidR="00073927" w:rsidRPr="001401E6">
          <w:rPr>
            <w:rStyle w:val="Hyperlink"/>
          </w:rPr>
          <w:t>1.3</w:t>
        </w:r>
        <w:r w:rsidR="00073927">
          <w:rPr>
            <w:rFonts w:asciiTheme="minorHAnsi" w:eastAsiaTheme="minorEastAsia" w:hAnsiTheme="minorHAnsi" w:cstheme="minorBidi"/>
            <w:sz w:val="22"/>
            <w:szCs w:val="22"/>
          </w:rPr>
          <w:tab/>
        </w:r>
        <w:r w:rsidR="00073927" w:rsidRPr="001401E6">
          <w:rPr>
            <w:rStyle w:val="Hyperlink"/>
          </w:rPr>
          <w:t>Qualitative review method</w:t>
        </w:r>
        <w:r w:rsidR="00073927">
          <w:rPr>
            <w:webHidden/>
          </w:rPr>
          <w:tab/>
        </w:r>
        <w:r w:rsidR="00073927">
          <w:rPr>
            <w:webHidden/>
          </w:rPr>
          <w:fldChar w:fldCharType="begin"/>
        </w:r>
        <w:r w:rsidR="00073927">
          <w:rPr>
            <w:webHidden/>
          </w:rPr>
          <w:instrText xml:space="preserve"> PAGEREF _Toc36042855 \h </w:instrText>
        </w:r>
        <w:r w:rsidR="00073927">
          <w:rPr>
            <w:webHidden/>
          </w:rPr>
        </w:r>
        <w:r w:rsidR="00073927">
          <w:rPr>
            <w:webHidden/>
          </w:rPr>
          <w:fldChar w:fldCharType="separate"/>
        </w:r>
        <w:r w:rsidR="001040E4">
          <w:rPr>
            <w:webHidden/>
          </w:rPr>
          <w:t>8</w:t>
        </w:r>
        <w:r w:rsidR="00073927">
          <w:rPr>
            <w:webHidden/>
          </w:rPr>
          <w:fldChar w:fldCharType="end"/>
        </w:r>
      </w:hyperlink>
    </w:p>
    <w:p w14:paraId="3E3F7990" w14:textId="3DA2B53F" w:rsidR="00073927" w:rsidRDefault="00672B9D">
      <w:pPr>
        <w:pStyle w:val="TOC2"/>
        <w:rPr>
          <w:rFonts w:asciiTheme="minorHAnsi" w:eastAsiaTheme="minorEastAsia" w:hAnsiTheme="minorHAnsi" w:cstheme="minorBidi"/>
          <w:b w:val="0"/>
          <w:sz w:val="22"/>
          <w:szCs w:val="22"/>
        </w:rPr>
      </w:pPr>
      <w:hyperlink w:anchor="_Toc36042856" w:history="1">
        <w:r w:rsidR="00073927" w:rsidRPr="001401E6">
          <w:rPr>
            <w:rStyle w:val="Hyperlink"/>
          </w:rPr>
          <w:t>2</w:t>
        </w:r>
        <w:r w:rsidR="00073927">
          <w:rPr>
            <w:rFonts w:asciiTheme="minorHAnsi" w:eastAsiaTheme="minorEastAsia" w:hAnsiTheme="minorHAnsi" w:cstheme="minorBidi"/>
            <w:b w:val="0"/>
            <w:sz w:val="22"/>
            <w:szCs w:val="22"/>
          </w:rPr>
          <w:tab/>
        </w:r>
        <w:r w:rsidR="00073927" w:rsidRPr="001401E6">
          <w:rPr>
            <w:rStyle w:val="Hyperlink"/>
          </w:rPr>
          <w:t>Line of evidence 2: Findings from relevant reviews and inquiries</w:t>
        </w:r>
        <w:r w:rsidR="00073927">
          <w:rPr>
            <w:webHidden/>
          </w:rPr>
          <w:tab/>
        </w:r>
        <w:r w:rsidR="00073927">
          <w:rPr>
            <w:webHidden/>
          </w:rPr>
          <w:fldChar w:fldCharType="begin"/>
        </w:r>
        <w:r w:rsidR="00073927">
          <w:rPr>
            <w:webHidden/>
          </w:rPr>
          <w:instrText xml:space="preserve"> PAGEREF _Toc36042856 \h </w:instrText>
        </w:r>
        <w:r w:rsidR="00073927">
          <w:rPr>
            <w:webHidden/>
          </w:rPr>
        </w:r>
        <w:r w:rsidR="00073927">
          <w:rPr>
            <w:webHidden/>
          </w:rPr>
          <w:fldChar w:fldCharType="separate"/>
        </w:r>
        <w:r w:rsidR="001040E4">
          <w:rPr>
            <w:webHidden/>
          </w:rPr>
          <w:t>11</w:t>
        </w:r>
        <w:r w:rsidR="00073927">
          <w:rPr>
            <w:webHidden/>
          </w:rPr>
          <w:fldChar w:fldCharType="end"/>
        </w:r>
      </w:hyperlink>
    </w:p>
    <w:p w14:paraId="24275BBC" w14:textId="33914BBB" w:rsidR="00073927" w:rsidRDefault="00672B9D">
      <w:pPr>
        <w:pStyle w:val="TOC3"/>
        <w:rPr>
          <w:rFonts w:asciiTheme="minorHAnsi" w:eastAsiaTheme="minorEastAsia" w:hAnsiTheme="minorHAnsi" w:cstheme="minorBidi"/>
          <w:sz w:val="22"/>
          <w:szCs w:val="22"/>
        </w:rPr>
      </w:pPr>
      <w:hyperlink w:anchor="_Toc36042857" w:history="1">
        <w:r w:rsidR="00073927" w:rsidRPr="001401E6">
          <w:rPr>
            <w:rStyle w:val="Hyperlink"/>
          </w:rPr>
          <w:t>2.1</w:t>
        </w:r>
        <w:r w:rsidR="00073927">
          <w:rPr>
            <w:rFonts w:asciiTheme="minorHAnsi" w:eastAsiaTheme="minorEastAsia" w:hAnsiTheme="minorHAnsi" w:cstheme="minorBidi"/>
            <w:sz w:val="22"/>
            <w:szCs w:val="22"/>
          </w:rPr>
          <w:tab/>
        </w:r>
        <w:r w:rsidR="00073927" w:rsidRPr="001401E6">
          <w:rPr>
            <w:rStyle w:val="Hyperlink"/>
          </w:rPr>
          <w:t>Qualitative review of the findings from: Hydraulic fracturing for oil and gas: Impacts from the hydraulic fracturing water cycle on drinking water resources in the United States (US Environmental Protection Agency, 2016)</w:t>
        </w:r>
        <w:r w:rsidR="00073927">
          <w:rPr>
            <w:webHidden/>
          </w:rPr>
          <w:tab/>
        </w:r>
        <w:r w:rsidR="00073927">
          <w:rPr>
            <w:webHidden/>
          </w:rPr>
          <w:fldChar w:fldCharType="begin"/>
        </w:r>
        <w:r w:rsidR="00073927">
          <w:rPr>
            <w:webHidden/>
          </w:rPr>
          <w:instrText xml:space="preserve"> PAGEREF _Toc36042857 \h </w:instrText>
        </w:r>
        <w:r w:rsidR="00073927">
          <w:rPr>
            <w:webHidden/>
          </w:rPr>
        </w:r>
        <w:r w:rsidR="00073927">
          <w:rPr>
            <w:webHidden/>
          </w:rPr>
          <w:fldChar w:fldCharType="separate"/>
        </w:r>
        <w:r w:rsidR="001040E4">
          <w:rPr>
            <w:webHidden/>
          </w:rPr>
          <w:t>15</w:t>
        </w:r>
        <w:r w:rsidR="00073927">
          <w:rPr>
            <w:webHidden/>
          </w:rPr>
          <w:fldChar w:fldCharType="end"/>
        </w:r>
      </w:hyperlink>
    </w:p>
    <w:p w14:paraId="14F70DA5" w14:textId="705E165A" w:rsidR="00073927" w:rsidRDefault="00672B9D">
      <w:pPr>
        <w:pStyle w:val="TOC3"/>
        <w:rPr>
          <w:rFonts w:asciiTheme="minorHAnsi" w:eastAsiaTheme="minorEastAsia" w:hAnsiTheme="minorHAnsi" w:cstheme="minorBidi"/>
          <w:sz w:val="22"/>
          <w:szCs w:val="22"/>
        </w:rPr>
      </w:pPr>
      <w:hyperlink w:anchor="_Toc36042858" w:history="1">
        <w:r w:rsidR="00073927" w:rsidRPr="001401E6">
          <w:rPr>
            <w:rStyle w:val="Hyperlink"/>
            <w:bCs/>
          </w:rPr>
          <w:t>2.2</w:t>
        </w:r>
        <w:r w:rsidR="00073927">
          <w:rPr>
            <w:rFonts w:asciiTheme="minorHAnsi" w:eastAsiaTheme="minorEastAsia" w:hAnsiTheme="minorHAnsi" w:cstheme="minorBidi"/>
            <w:sz w:val="22"/>
            <w:szCs w:val="22"/>
          </w:rPr>
          <w:tab/>
        </w:r>
        <w:r w:rsidR="00073927" w:rsidRPr="001401E6">
          <w:rPr>
            <w:rStyle w:val="Hyperlink"/>
            <w:bCs/>
          </w:rPr>
          <w:t>Qualitative review of the findings from: Report of the independent inquiry into hydraulic fracturing in the Northern Territory (Hawke, 2014)</w:t>
        </w:r>
        <w:r w:rsidR="00073927">
          <w:rPr>
            <w:webHidden/>
          </w:rPr>
          <w:tab/>
        </w:r>
        <w:r w:rsidR="00073927">
          <w:rPr>
            <w:webHidden/>
          </w:rPr>
          <w:fldChar w:fldCharType="begin"/>
        </w:r>
        <w:r w:rsidR="00073927">
          <w:rPr>
            <w:webHidden/>
          </w:rPr>
          <w:instrText xml:space="preserve"> PAGEREF _Toc36042858 \h </w:instrText>
        </w:r>
        <w:r w:rsidR="00073927">
          <w:rPr>
            <w:webHidden/>
          </w:rPr>
        </w:r>
        <w:r w:rsidR="00073927">
          <w:rPr>
            <w:webHidden/>
          </w:rPr>
          <w:fldChar w:fldCharType="separate"/>
        </w:r>
        <w:r w:rsidR="001040E4">
          <w:rPr>
            <w:webHidden/>
          </w:rPr>
          <w:t>25</w:t>
        </w:r>
        <w:r w:rsidR="00073927">
          <w:rPr>
            <w:webHidden/>
          </w:rPr>
          <w:fldChar w:fldCharType="end"/>
        </w:r>
      </w:hyperlink>
    </w:p>
    <w:p w14:paraId="64D33E51" w14:textId="1768CE5A" w:rsidR="00073927" w:rsidRDefault="00672B9D">
      <w:pPr>
        <w:pStyle w:val="TOC3"/>
        <w:rPr>
          <w:rFonts w:asciiTheme="minorHAnsi" w:eastAsiaTheme="minorEastAsia" w:hAnsiTheme="minorHAnsi" w:cstheme="minorBidi"/>
          <w:sz w:val="22"/>
          <w:szCs w:val="22"/>
        </w:rPr>
      </w:pPr>
      <w:hyperlink w:anchor="_Toc36042859" w:history="1">
        <w:r w:rsidR="00073927" w:rsidRPr="001401E6">
          <w:rPr>
            <w:rStyle w:val="Hyperlink"/>
          </w:rPr>
          <w:t>2.3</w:t>
        </w:r>
        <w:r w:rsidR="00073927">
          <w:rPr>
            <w:rFonts w:asciiTheme="minorHAnsi" w:eastAsiaTheme="minorEastAsia" w:hAnsiTheme="minorHAnsi" w:cstheme="minorBidi"/>
            <w:sz w:val="22"/>
            <w:szCs w:val="22"/>
          </w:rPr>
          <w:tab/>
        </w:r>
        <w:r w:rsidR="00073927" w:rsidRPr="001401E6">
          <w:rPr>
            <w:rStyle w:val="Hyperlink"/>
          </w:rPr>
          <w:t>Qualitative review of the findings from: Engineering Energy: Unconventional Gas Production. Report for the Australian Council of Learned Academics (Cook et al., 2013)</w:t>
        </w:r>
        <w:r w:rsidR="00073927">
          <w:rPr>
            <w:webHidden/>
          </w:rPr>
          <w:tab/>
        </w:r>
        <w:r w:rsidR="00073927">
          <w:rPr>
            <w:webHidden/>
          </w:rPr>
          <w:fldChar w:fldCharType="begin"/>
        </w:r>
        <w:r w:rsidR="00073927">
          <w:rPr>
            <w:webHidden/>
          </w:rPr>
          <w:instrText xml:space="preserve"> PAGEREF _Toc36042859 \h </w:instrText>
        </w:r>
        <w:r w:rsidR="00073927">
          <w:rPr>
            <w:webHidden/>
          </w:rPr>
        </w:r>
        <w:r w:rsidR="00073927">
          <w:rPr>
            <w:webHidden/>
          </w:rPr>
          <w:fldChar w:fldCharType="separate"/>
        </w:r>
        <w:r w:rsidR="001040E4">
          <w:rPr>
            <w:webHidden/>
          </w:rPr>
          <w:t>32</w:t>
        </w:r>
        <w:r w:rsidR="00073927">
          <w:rPr>
            <w:webHidden/>
          </w:rPr>
          <w:fldChar w:fldCharType="end"/>
        </w:r>
      </w:hyperlink>
    </w:p>
    <w:p w14:paraId="170A9F4A" w14:textId="29FC8D8F" w:rsidR="00073927" w:rsidRDefault="00672B9D">
      <w:pPr>
        <w:pStyle w:val="TOC3"/>
        <w:rPr>
          <w:rFonts w:asciiTheme="minorHAnsi" w:eastAsiaTheme="minorEastAsia" w:hAnsiTheme="minorHAnsi" w:cstheme="minorBidi"/>
          <w:sz w:val="22"/>
          <w:szCs w:val="22"/>
        </w:rPr>
      </w:pPr>
      <w:hyperlink w:anchor="_Toc36042860" w:history="1">
        <w:r w:rsidR="00073927" w:rsidRPr="001401E6">
          <w:rPr>
            <w:rStyle w:val="Hyperlink"/>
          </w:rPr>
          <w:t>2.4</w:t>
        </w:r>
        <w:r w:rsidR="00073927">
          <w:rPr>
            <w:rFonts w:asciiTheme="minorHAnsi" w:eastAsiaTheme="minorEastAsia" w:hAnsiTheme="minorHAnsi" w:cstheme="minorBidi"/>
            <w:sz w:val="22"/>
            <w:szCs w:val="22"/>
          </w:rPr>
          <w:tab/>
        </w:r>
        <w:r w:rsidR="00073927" w:rsidRPr="001401E6">
          <w:rPr>
            <w:rStyle w:val="Hyperlink"/>
          </w:rPr>
          <w:t>Qualitative review of the findings from: Shale gas extraction in the UK: a review of hydraulic fracturing (The Royal Society and The Royal Academy of Engineering, 2012)</w:t>
        </w:r>
        <w:r w:rsidR="00073927">
          <w:rPr>
            <w:webHidden/>
          </w:rPr>
          <w:tab/>
        </w:r>
        <w:r w:rsidR="00073927">
          <w:rPr>
            <w:webHidden/>
          </w:rPr>
          <w:fldChar w:fldCharType="begin"/>
        </w:r>
        <w:r w:rsidR="00073927">
          <w:rPr>
            <w:webHidden/>
          </w:rPr>
          <w:instrText xml:space="preserve"> PAGEREF _Toc36042860 \h </w:instrText>
        </w:r>
        <w:r w:rsidR="00073927">
          <w:rPr>
            <w:webHidden/>
          </w:rPr>
        </w:r>
        <w:r w:rsidR="00073927">
          <w:rPr>
            <w:webHidden/>
          </w:rPr>
          <w:fldChar w:fldCharType="separate"/>
        </w:r>
        <w:r w:rsidR="001040E4">
          <w:rPr>
            <w:webHidden/>
          </w:rPr>
          <w:t>36</w:t>
        </w:r>
        <w:r w:rsidR="00073927">
          <w:rPr>
            <w:webHidden/>
          </w:rPr>
          <w:fldChar w:fldCharType="end"/>
        </w:r>
      </w:hyperlink>
    </w:p>
    <w:p w14:paraId="0D8DA903" w14:textId="5384B50D" w:rsidR="00073927" w:rsidRDefault="00672B9D">
      <w:pPr>
        <w:pStyle w:val="TOC3"/>
        <w:rPr>
          <w:rFonts w:asciiTheme="minorHAnsi" w:eastAsiaTheme="minorEastAsia" w:hAnsiTheme="minorHAnsi" w:cstheme="minorBidi"/>
          <w:sz w:val="22"/>
          <w:szCs w:val="22"/>
        </w:rPr>
      </w:pPr>
      <w:hyperlink w:anchor="_Toc36042861" w:history="1">
        <w:r w:rsidR="00073927" w:rsidRPr="001401E6">
          <w:rPr>
            <w:rStyle w:val="Hyperlink"/>
          </w:rPr>
          <w:t>2.5</w:t>
        </w:r>
        <w:r w:rsidR="00073927">
          <w:rPr>
            <w:rFonts w:asciiTheme="minorHAnsi" w:eastAsiaTheme="minorEastAsia" w:hAnsiTheme="minorHAnsi" w:cstheme="minorBidi"/>
            <w:sz w:val="22"/>
            <w:szCs w:val="22"/>
          </w:rPr>
          <w:tab/>
        </w:r>
        <w:r w:rsidR="00073927" w:rsidRPr="001401E6">
          <w:rPr>
            <w:rStyle w:val="Hyperlink"/>
          </w:rPr>
          <w:t>Qualitative review of the findings from: Drilling for Oil and Gas in New Zealand: Environmental Oversight and Regulation; (Wright, 2014)</w:t>
        </w:r>
        <w:r w:rsidR="00073927">
          <w:rPr>
            <w:webHidden/>
          </w:rPr>
          <w:tab/>
        </w:r>
        <w:r w:rsidR="00073927">
          <w:rPr>
            <w:webHidden/>
          </w:rPr>
          <w:fldChar w:fldCharType="begin"/>
        </w:r>
        <w:r w:rsidR="00073927">
          <w:rPr>
            <w:webHidden/>
          </w:rPr>
          <w:instrText xml:space="preserve"> PAGEREF _Toc36042861 \h </w:instrText>
        </w:r>
        <w:r w:rsidR="00073927">
          <w:rPr>
            <w:webHidden/>
          </w:rPr>
        </w:r>
        <w:r w:rsidR="00073927">
          <w:rPr>
            <w:webHidden/>
          </w:rPr>
          <w:fldChar w:fldCharType="separate"/>
        </w:r>
        <w:r w:rsidR="001040E4">
          <w:rPr>
            <w:webHidden/>
          </w:rPr>
          <w:t>39</w:t>
        </w:r>
        <w:r w:rsidR="00073927">
          <w:rPr>
            <w:webHidden/>
          </w:rPr>
          <w:fldChar w:fldCharType="end"/>
        </w:r>
      </w:hyperlink>
    </w:p>
    <w:p w14:paraId="0E998460" w14:textId="5EF733C8" w:rsidR="00073927" w:rsidRDefault="00672B9D">
      <w:pPr>
        <w:pStyle w:val="TOC3"/>
        <w:rPr>
          <w:rFonts w:asciiTheme="minorHAnsi" w:eastAsiaTheme="minorEastAsia" w:hAnsiTheme="minorHAnsi" w:cstheme="minorBidi"/>
          <w:sz w:val="22"/>
          <w:szCs w:val="22"/>
        </w:rPr>
      </w:pPr>
      <w:hyperlink w:anchor="_Toc36042862" w:history="1">
        <w:r w:rsidR="00073927" w:rsidRPr="001401E6">
          <w:rPr>
            <w:rStyle w:val="Hyperlink"/>
          </w:rPr>
          <w:t>2.6</w:t>
        </w:r>
        <w:r w:rsidR="00073927">
          <w:rPr>
            <w:rFonts w:asciiTheme="minorHAnsi" w:eastAsiaTheme="minorEastAsia" w:hAnsiTheme="minorHAnsi" w:cstheme="minorBidi"/>
            <w:sz w:val="22"/>
            <w:szCs w:val="22"/>
          </w:rPr>
          <w:tab/>
        </w:r>
        <w:r w:rsidR="00073927" w:rsidRPr="001401E6">
          <w:rPr>
            <w:rStyle w:val="Hyperlink"/>
          </w:rPr>
          <w:t>Qualitative review of the findings from: Environmental impacts of shale gas extraction in Canada (Council of Canadian Academies, 2014)</w:t>
        </w:r>
        <w:r w:rsidR="00073927">
          <w:rPr>
            <w:webHidden/>
          </w:rPr>
          <w:tab/>
        </w:r>
        <w:r w:rsidR="00073927">
          <w:rPr>
            <w:webHidden/>
          </w:rPr>
          <w:fldChar w:fldCharType="begin"/>
        </w:r>
        <w:r w:rsidR="00073927">
          <w:rPr>
            <w:webHidden/>
          </w:rPr>
          <w:instrText xml:space="preserve"> PAGEREF _Toc36042862 \h </w:instrText>
        </w:r>
        <w:r w:rsidR="00073927">
          <w:rPr>
            <w:webHidden/>
          </w:rPr>
        </w:r>
        <w:r w:rsidR="00073927">
          <w:rPr>
            <w:webHidden/>
          </w:rPr>
          <w:fldChar w:fldCharType="separate"/>
        </w:r>
        <w:r w:rsidR="001040E4">
          <w:rPr>
            <w:webHidden/>
          </w:rPr>
          <w:t>41</w:t>
        </w:r>
        <w:r w:rsidR="00073927">
          <w:rPr>
            <w:webHidden/>
          </w:rPr>
          <w:fldChar w:fldCharType="end"/>
        </w:r>
      </w:hyperlink>
    </w:p>
    <w:p w14:paraId="327817C4" w14:textId="3EED6BC6" w:rsidR="00073927" w:rsidRDefault="00672B9D">
      <w:pPr>
        <w:pStyle w:val="TOC3"/>
        <w:rPr>
          <w:rFonts w:asciiTheme="minorHAnsi" w:eastAsiaTheme="minorEastAsia" w:hAnsiTheme="minorHAnsi" w:cstheme="minorBidi"/>
          <w:sz w:val="22"/>
          <w:szCs w:val="22"/>
        </w:rPr>
      </w:pPr>
      <w:hyperlink w:anchor="_Toc36042863" w:history="1">
        <w:r w:rsidR="00073927" w:rsidRPr="001401E6">
          <w:rPr>
            <w:rStyle w:val="Hyperlink"/>
          </w:rPr>
          <w:t>2.7</w:t>
        </w:r>
        <w:r w:rsidR="00073927">
          <w:rPr>
            <w:rFonts w:asciiTheme="minorHAnsi" w:eastAsiaTheme="minorEastAsia" w:hAnsiTheme="minorHAnsi" w:cstheme="minorBidi"/>
            <w:sz w:val="22"/>
            <w:szCs w:val="22"/>
          </w:rPr>
          <w:tab/>
        </w:r>
        <w:r w:rsidR="00073927" w:rsidRPr="001401E6">
          <w:rPr>
            <w:rStyle w:val="Hyperlink"/>
          </w:rPr>
          <w:t>Qualitative review of the findings from: Report of the Nova Scotia Independent Panel On Hydraulic Fracturing (Atherton et al., 2014)</w:t>
        </w:r>
        <w:r w:rsidR="00073927">
          <w:rPr>
            <w:webHidden/>
          </w:rPr>
          <w:tab/>
        </w:r>
        <w:r w:rsidR="00073927">
          <w:rPr>
            <w:webHidden/>
          </w:rPr>
          <w:fldChar w:fldCharType="begin"/>
        </w:r>
        <w:r w:rsidR="00073927">
          <w:rPr>
            <w:webHidden/>
          </w:rPr>
          <w:instrText xml:space="preserve"> PAGEREF _Toc36042863 \h </w:instrText>
        </w:r>
        <w:r w:rsidR="00073927">
          <w:rPr>
            <w:webHidden/>
          </w:rPr>
        </w:r>
        <w:r w:rsidR="00073927">
          <w:rPr>
            <w:webHidden/>
          </w:rPr>
          <w:fldChar w:fldCharType="separate"/>
        </w:r>
        <w:r w:rsidR="001040E4">
          <w:rPr>
            <w:webHidden/>
          </w:rPr>
          <w:t>48</w:t>
        </w:r>
        <w:r w:rsidR="00073927">
          <w:rPr>
            <w:webHidden/>
          </w:rPr>
          <w:fldChar w:fldCharType="end"/>
        </w:r>
      </w:hyperlink>
    </w:p>
    <w:p w14:paraId="44347938" w14:textId="4C4ADB5D" w:rsidR="00073927" w:rsidRDefault="00672B9D">
      <w:pPr>
        <w:pStyle w:val="TOC3"/>
        <w:rPr>
          <w:rFonts w:asciiTheme="minorHAnsi" w:eastAsiaTheme="minorEastAsia" w:hAnsiTheme="minorHAnsi" w:cstheme="minorBidi"/>
          <w:sz w:val="22"/>
          <w:szCs w:val="22"/>
        </w:rPr>
      </w:pPr>
      <w:hyperlink w:anchor="_Toc36042864" w:history="1">
        <w:r w:rsidR="00073927" w:rsidRPr="001401E6">
          <w:rPr>
            <w:rStyle w:val="Hyperlink"/>
          </w:rPr>
          <w:t>2.8</w:t>
        </w:r>
        <w:r w:rsidR="00073927">
          <w:rPr>
            <w:rFonts w:asciiTheme="minorHAnsi" w:eastAsiaTheme="minorEastAsia" w:hAnsiTheme="minorHAnsi" w:cstheme="minorBidi"/>
            <w:sz w:val="22"/>
            <w:szCs w:val="22"/>
          </w:rPr>
          <w:tab/>
        </w:r>
        <w:r w:rsidR="00073927" w:rsidRPr="001401E6">
          <w:rPr>
            <w:rStyle w:val="Hyperlink"/>
          </w:rPr>
          <w:t>Qualitative review of the findings from: Final report of the scientific inquiry into hydraulic fracturing in the Northern Territory (Pepper et al., 2018)</w:t>
        </w:r>
        <w:r w:rsidR="00073927">
          <w:rPr>
            <w:webHidden/>
          </w:rPr>
          <w:tab/>
        </w:r>
        <w:r w:rsidR="00073927">
          <w:rPr>
            <w:webHidden/>
          </w:rPr>
          <w:fldChar w:fldCharType="begin"/>
        </w:r>
        <w:r w:rsidR="00073927">
          <w:rPr>
            <w:webHidden/>
          </w:rPr>
          <w:instrText xml:space="preserve"> PAGEREF _Toc36042864 \h </w:instrText>
        </w:r>
        <w:r w:rsidR="00073927">
          <w:rPr>
            <w:webHidden/>
          </w:rPr>
        </w:r>
        <w:r w:rsidR="00073927">
          <w:rPr>
            <w:webHidden/>
          </w:rPr>
          <w:fldChar w:fldCharType="separate"/>
        </w:r>
        <w:r w:rsidR="001040E4">
          <w:rPr>
            <w:webHidden/>
          </w:rPr>
          <w:t>58</w:t>
        </w:r>
        <w:r w:rsidR="00073927">
          <w:rPr>
            <w:webHidden/>
          </w:rPr>
          <w:fldChar w:fldCharType="end"/>
        </w:r>
      </w:hyperlink>
    </w:p>
    <w:p w14:paraId="2C1B29F8" w14:textId="1389DF9A" w:rsidR="00073927" w:rsidRDefault="00672B9D">
      <w:pPr>
        <w:pStyle w:val="TOC3"/>
        <w:rPr>
          <w:rFonts w:asciiTheme="minorHAnsi" w:eastAsiaTheme="minorEastAsia" w:hAnsiTheme="minorHAnsi" w:cstheme="minorBidi"/>
          <w:sz w:val="22"/>
          <w:szCs w:val="22"/>
        </w:rPr>
      </w:pPr>
      <w:hyperlink w:anchor="_Toc36042865" w:history="1">
        <w:r w:rsidR="00073927" w:rsidRPr="001401E6">
          <w:rPr>
            <w:rStyle w:val="Hyperlink"/>
          </w:rPr>
          <w:t>2.9</w:t>
        </w:r>
        <w:r w:rsidR="00073927">
          <w:rPr>
            <w:rFonts w:asciiTheme="minorHAnsi" w:eastAsiaTheme="minorEastAsia" w:hAnsiTheme="minorHAnsi" w:cstheme="minorBidi"/>
            <w:sz w:val="22"/>
            <w:szCs w:val="22"/>
          </w:rPr>
          <w:tab/>
        </w:r>
        <w:r w:rsidR="00073927" w:rsidRPr="001401E6">
          <w:rPr>
            <w:rStyle w:val="Hyperlink"/>
          </w:rPr>
          <w:t>Qualitative review of the findings from: Independent Scientific Panel Inquiry into Hydraulic Fracture Stimulation in Western Australia (Hatton et al., 2018)</w:t>
        </w:r>
        <w:r w:rsidR="00073927">
          <w:rPr>
            <w:webHidden/>
          </w:rPr>
          <w:tab/>
        </w:r>
        <w:r w:rsidR="00073927">
          <w:rPr>
            <w:webHidden/>
          </w:rPr>
          <w:fldChar w:fldCharType="begin"/>
        </w:r>
        <w:r w:rsidR="00073927">
          <w:rPr>
            <w:webHidden/>
          </w:rPr>
          <w:instrText xml:space="preserve"> PAGEREF _Toc36042865 \h </w:instrText>
        </w:r>
        <w:r w:rsidR="00073927">
          <w:rPr>
            <w:webHidden/>
          </w:rPr>
        </w:r>
        <w:r w:rsidR="00073927">
          <w:rPr>
            <w:webHidden/>
          </w:rPr>
          <w:fldChar w:fldCharType="separate"/>
        </w:r>
        <w:r w:rsidR="001040E4">
          <w:rPr>
            <w:webHidden/>
          </w:rPr>
          <w:t>63</w:t>
        </w:r>
        <w:r w:rsidR="00073927">
          <w:rPr>
            <w:webHidden/>
          </w:rPr>
          <w:fldChar w:fldCharType="end"/>
        </w:r>
      </w:hyperlink>
    </w:p>
    <w:p w14:paraId="2925D3A8" w14:textId="4F8842C2" w:rsidR="00073927" w:rsidRDefault="00672B9D">
      <w:pPr>
        <w:pStyle w:val="TOC2"/>
        <w:rPr>
          <w:rFonts w:asciiTheme="minorHAnsi" w:eastAsiaTheme="minorEastAsia" w:hAnsiTheme="minorHAnsi" w:cstheme="minorBidi"/>
          <w:b w:val="0"/>
          <w:sz w:val="22"/>
          <w:szCs w:val="22"/>
        </w:rPr>
      </w:pPr>
      <w:hyperlink w:anchor="_Toc36042866" w:history="1">
        <w:r w:rsidR="00073927" w:rsidRPr="001401E6">
          <w:rPr>
            <w:rStyle w:val="Hyperlink"/>
          </w:rPr>
          <w:t>Cooper addendum</w:t>
        </w:r>
        <w:r w:rsidR="00073927">
          <w:rPr>
            <w:webHidden/>
          </w:rPr>
          <w:tab/>
        </w:r>
        <w:r w:rsidR="00073927">
          <w:rPr>
            <w:webHidden/>
          </w:rPr>
          <w:fldChar w:fldCharType="begin"/>
        </w:r>
        <w:r w:rsidR="00073927">
          <w:rPr>
            <w:webHidden/>
          </w:rPr>
          <w:instrText xml:space="preserve"> PAGEREF _Toc36042866 \h </w:instrText>
        </w:r>
        <w:r w:rsidR="00073927">
          <w:rPr>
            <w:webHidden/>
          </w:rPr>
        </w:r>
        <w:r w:rsidR="00073927">
          <w:rPr>
            <w:webHidden/>
          </w:rPr>
          <w:fldChar w:fldCharType="separate"/>
        </w:r>
        <w:r w:rsidR="001040E4">
          <w:rPr>
            <w:webHidden/>
          </w:rPr>
          <w:t>75</w:t>
        </w:r>
        <w:r w:rsidR="00073927">
          <w:rPr>
            <w:webHidden/>
          </w:rPr>
          <w:fldChar w:fldCharType="end"/>
        </w:r>
      </w:hyperlink>
    </w:p>
    <w:p w14:paraId="2B358F3A" w14:textId="734286AE" w:rsidR="00073927" w:rsidRDefault="00672B9D">
      <w:pPr>
        <w:pStyle w:val="TOC3"/>
        <w:rPr>
          <w:rFonts w:asciiTheme="minorHAnsi" w:eastAsiaTheme="minorEastAsia" w:hAnsiTheme="minorHAnsi" w:cstheme="minorBidi"/>
          <w:sz w:val="22"/>
          <w:szCs w:val="22"/>
        </w:rPr>
      </w:pPr>
      <w:hyperlink w:anchor="_Toc36042867" w:history="1">
        <w:r w:rsidR="00073927" w:rsidRPr="001401E6">
          <w:rPr>
            <w:rStyle w:val="Hyperlink"/>
          </w:rPr>
          <w:t>Hydraulic fracturing impact mode review for the Cooper GBA region</w:t>
        </w:r>
        <w:r w:rsidR="00073927">
          <w:rPr>
            <w:webHidden/>
          </w:rPr>
          <w:tab/>
        </w:r>
        <w:r w:rsidR="00073927">
          <w:rPr>
            <w:webHidden/>
          </w:rPr>
          <w:fldChar w:fldCharType="begin"/>
        </w:r>
        <w:r w:rsidR="00073927">
          <w:rPr>
            <w:webHidden/>
          </w:rPr>
          <w:instrText xml:space="preserve"> PAGEREF _Toc36042867 \h </w:instrText>
        </w:r>
        <w:r w:rsidR="00073927">
          <w:rPr>
            <w:webHidden/>
          </w:rPr>
        </w:r>
        <w:r w:rsidR="00073927">
          <w:rPr>
            <w:webHidden/>
          </w:rPr>
          <w:fldChar w:fldCharType="separate"/>
        </w:r>
        <w:r w:rsidR="001040E4">
          <w:rPr>
            <w:webHidden/>
          </w:rPr>
          <w:t>75</w:t>
        </w:r>
        <w:r w:rsidR="00073927">
          <w:rPr>
            <w:webHidden/>
          </w:rPr>
          <w:fldChar w:fldCharType="end"/>
        </w:r>
      </w:hyperlink>
    </w:p>
    <w:p w14:paraId="40C46A94" w14:textId="672165B9" w:rsidR="00073927" w:rsidRDefault="00672B9D">
      <w:pPr>
        <w:pStyle w:val="TOC3"/>
        <w:rPr>
          <w:rFonts w:asciiTheme="minorHAnsi" w:eastAsiaTheme="minorEastAsia" w:hAnsiTheme="minorHAnsi" w:cstheme="minorBidi"/>
          <w:sz w:val="22"/>
          <w:szCs w:val="22"/>
        </w:rPr>
      </w:pPr>
      <w:hyperlink w:anchor="_Toc36042868" w:history="1">
        <w:r w:rsidR="00073927" w:rsidRPr="001401E6">
          <w:rPr>
            <w:rStyle w:val="Hyperlink"/>
          </w:rPr>
          <w:t>Well integrity impact mode review for the Cooper GBA region</w:t>
        </w:r>
        <w:r w:rsidR="00073927">
          <w:rPr>
            <w:webHidden/>
          </w:rPr>
          <w:tab/>
        </w:r>
        <w:r w:rsidR="00073927">
          <w:rPr>
            <w:webHidden/>
          </w:rPr>
          <w:fldChar w:fldCharType="begin"/>
        </w:r>
        <w:r w:rsidR="00073927">
          <w:rPr>
            <w:webHidden/>
          </w:rPr>
          <w:instrText xml:space="preserve"> PAGEREF _Toc36042868 \h </w:instrText>
        </w:r>
        <w:r w:rsidR="00073927">
          <w:rPr>
            <w:webHidden/>
          </w:rPr>
        </w:r>
        <w:r w:rsidR="00073927">
          <w:rPr>
            <w:webHidden/>
          </w:rPr>
          <w:fldChar w:fldCharType="separate"/>
        </w:r>
        <w:r w:rsidR="001040E4">
          <w:rPr>
            <w:webHidden/>
          </w:rPr>
          <w:t>80</w:t>
        </w:r>
        <w:r w:rsidR="00073927">
          <w:rPr>
            <w:webHidden/>
          </w:rPr>
          <w:fldChar w:fldCharType="end"/>
        </w:r>
      </w:hyperlink>
    </w:p>
    <w:p w14:paraId="4A3986AF" w14:textId="55033F04" w:rsidR="00073927" w:rsidRDefault="00672B9D">
      <w:pPr>
        <w:pStyle w:val="TOC2"/>
        <w:rPr>
          <w:rFonts w:asciiTheme="minorHAnsi" w:eastAsiaTheme="minorEastAsia" w:hAnsiTheme="minorHAnsi" w:cstheme="minorBidi"/>
          <w:b w:val="0"/>
          <w:sz w:val="22"/>
          <w:szCs w:val="22"/>
        </w:rPr>
      </w:pPr>
      <w:hyperlink w:anchor="_Toc36042869" w:history="1">
        <w:r w:rsidR="00073927" w:rsidRPr="001401E6">
          <w:rPr>
            <w:rStyle w:val="Hyperlink"/>
          </w:rPr>
          <w:t>Isa addendum</w:t>
        </w:r>
        <w:r w:rsidR="00073927">
          <w:rPr>
            <w:webHidden/>
          </w:rPr>
          <w:tab/>
        </w:r>
        <w:r w:rsidR="00073927">
          <w:rPr>
            <w:webHidden/>
          </w:rPr>
          <w:fldChar w:fldCharType="begin"/>
        </w:r>
        <w:r w:rsidR="00073927">
          <w:rPr>
            <w:webHidden/>
          </w:rPr>
          <w:instrText xml:space="preserve"> PAGEREF _Toc36042869 \h </w:instrText>
        </w:r>
        <w:r w:rsidR="00073927">
          <w:rPr>
            <w:webHidden/>
          </w:rPr>
        </w:r>
        <w:r w:rsidR="00073927">
          <w:rPr>
            <w:webHidden/>
          </w:rPr>
          <w:fldChar w:fldCharType="separate"/>
        </w:r>
        <w:r w:rsidR="001040E4">
          <w:rPr>
            <w:webHidden/>
          </w:rPr>
          <w:t>85</w:t>
        </w:r>
        <w:r w:rsidR="00073927">
          <w:rPr>
            <w:webHidden/>
          </w:rPr>
          <w:fldChar w:fldCharType="end"/>
        </w:r>
      </w:hyperlink>
    </w:p>
    <w:p w14:paraId="1BF0B607" w14:textId="63A60559" w:rsidR="00073927" w:rsidRDefault="00672B9D">
      <w:pPr>
        <w:pStyle w:val="TOC3"/>
        <w:rPr>
          <w:rFonts w:asciiTheme="minorHAnsi" w:eastAsiaTheme="minorEastAsia" w:hAnsiTheme="minorHAnsi" w:cstheme="minorBidi"/>
          <w:sz w:val="22"/>
          <w:szCs w:val="22"/>
        </w:rPr>
      </w:pPr>
      <w:hyperlink w:anchor="_Toc36042870" w:history="1">
        <w:r w:rsidR="00073927" w:rsidRPr="001401E6">
          <w:rPr>
            <w:rStyle w:val="Hyperlink"/>
          </w:rPr>
          <w:t>Hydraulic fracturing impact mode review for the Isa GBA region</w:t>
        </w:r>
        <w:r w:rsidR="00073927">
          <w:rPr>
            <w:webHidden/>
          </w:rPr>
          <w:tab/>
        </w:r>
        <w:r w:rsidR="00073927">
          <w:rPr>
            <w:webHidden/>
          </w:rPr>
          <w:fldChar w:fldCharType="begin"/>
        </w:r>
        <w:r w:rsidR="00073927">
          <w:rPr>
            <w:webHidden/>
          </w:rPr>
          <w:instrText xml:space="preserve"> PAGEREF _Toc36042870 \h </w:instrText>
        </w:r>
        <w:r w:rsidR="00073927">
          <w:rPr>
            <w:webHidden/>
          </w:rPr>
        </w:r>
        <w:r w:rsidR="00073927">
          <w:rPr>
            <w:webHidden/>
          </w:rPr>
          <w:fldChar w:fldCharType="separate"/>
        </w:r>
        <w:r w:rsidR="001040E4">
          <w:rPr>
            <w:webHidden/>
          </w:rPr>
          <w:t>85</w:t>
        </w:r>
        <w:r w:rsidR="00073927">
          <w:rPr>
            <w:webHidden/>
          </w:rPr>
          <w:fldChar w:fldCharType="end"/>
        </w:r>
      </w:hyperlink>
    </w:p>
    <w:p w14:paraId="7C83E4D5" w14:textId="41F5814B" w:rsidR="00073927" w:rsidRDefault="00672B9D">
      <w:pPr>
        <w:pStyle w:val="TOC3"/>
        <w:rPr>
          <w:rFonts w:asciiTheme="minorHAnsi" w:eastAsiaTheme="minorEastAsia" w:hAnsiTheme="minorHAnsi" w:cstheme="minorBidi"/>
          <w:sz w:val="22"/>
          <w:szCs w:val="22"/>
        </w:rPr>
      </w:pPr>
      <w:hyperlink w:anchor="_Toc36042871" w:history="1">
        <w:r w:rsidR="00073927" w:rsidRPr="001401E6">
          <w:rPr>
            <w:rStyle w:val="Hyperlink"/>
          </w:rPr>
          <w:t>Well integrity impact mode review for the Isa GBA region</w:t>
        </w:r>
        <w:r w:rsidR="00073927">
          <w:rPr>
            <w:webHidden/>
          </w:rPr>
          <w:tab/>
        </w:r>
        <w:r w:rsidR="00073927">
          <w:rPr>
            <w:webHidden/>
          </w:rPr>
          <w:fldChar w:fldCharType="begin"/>
        </w:r>
        <w:r w:rsidR="00073927">
          <w:rPr>
            <w:webHidden/>
          </w:rPr>
          <w:instrText xml:space="preserve"> PAGEREF _Toc36042871 \h </w:instrText>
        </w:r>
        <w:r w:rsidR="00073927">
          <w:rPr>
            <w:webHidden/>
          </w:rPr>
        </w:r>
        <w:r w:rsidR="00073927">
          <w:rPr>
            <w:webHidden/>
          </w:rPr>
          <w:fldChar w:fldCharType="separate"/>
        </w:r>
        <w:r w:rsidR="001040E4">
          <w:rPr>
            <w:webHidden/>
          </w:rPr>
          <w:t>90</w:t>
        </w:r>
        <w:r w:rsidR="00073927">
          <w:rPr>
            <w:webHidden/>
          </w:rPr>
          <w:fldChar w:fldCharType="end"/>
        </w:r>
      </w:hyperlink>
    </w:p>
    <w:p w14:paraId="6AEECBB8" w14:textId="71DA8AEA" w:rsidR="00073927" w:rsidRDefault="00672B9D">
      <w:pPr>
        <w:pStyle w:val="TOC2"/>
        <w:rPr>
          <w:rFonts w:asciiTheme="minorHAnsi" w:eastAsiaTheme="minorEastAsia" w:hAnsiTheme="minorHAnsi" w:cstheme="minorBidi"/>
          <w:b w:val="0"/>
          <w:sz w:val="22"/>
          <w:szCs w:val="22"/>
        </w:rPr>
      </w:pPr>
      <w:hyperlink w:anchor="_Toc36042872" w:history="1">
        <w:r w:rsidR="00073927" w:rsidRPr="001401E6">
          <w:rPr>
            <w:rStyle w:val="Hyperlink"/>
          </w:rPr>
          <w:t>Beetaloo addendum</w:t>
        </w:r>
        <w:r w:rsidR="00073927">
          <w:rPr>
            <w:webHidden/>
          </w:rPr>
          <w:tab/>
        </w:r>
        <w:r w:rsidR="00073927">
          <w:rPr>
            <w:webHidden/>
          </w:rPr>
          <w:fldChar w:fldCharType="begin"/>
        </w:r>
        <w:r w:rsidR="00073927">
          <w:rPr>
            <w:webHidden/>
          </w:rPr>
          <w:instrText xml:space="preserve"> PAGEREF _Toc36042872 \h </w:instrText>
        </w:r>
        <w:r w:rsidR="00073927">
          <w:rPr>
            <w:webHidden/>
          </w:rPr>
        </w:r>
        <w:r w:rsidR="00073927">
          <w:rPr>
            <w:webHidden/>
          </w:rPr>
          <w:fldChar w:fldCharType="separate"/>
        </w:r>
        <w:r w:rsidR="001040E4">
          <w:rPr>
            <w:webHidden/>
          </w:rPr>
          <w:t>95</w:t>
        </w:r>
        <w:r w:rsidR="00073927">
          <w:rPr>
            <w:webHidden/>
          </w:rPr>
          <w:fldChar w:fldCharType="end"/>
        </w:r>
      </w:hyperlink>
    </w:p>
    <w:p w14:paraId="660A33EC" w14:textId="1D003D76" w:rsidR="00073927" w:rsidRDefault="00672B9D">
      <w:pPr>
        <w:pStyle w:val="TOC3"/>
        <w:rPr>
          <w:rFonts w:asciiTheme="minorHAnsi" w:eastAsiaTheme="minorEastAsia" w:hAnsiTheme="minorHAnsi" w:cstheme="minorBidi"/>
          <w:sz w:val="22"/>
          <w:szCs w:val="22"/>
        </w:rPr>
      </w:pPr>
      <w:hyperlink w:anchor="_Toc36042873" w:history="1">
        <w:r w:rsidR="00073927" w:rsidRPr="001401E6">
          <w:rPr>
            <w:rStyle w:val="Hyperlink"/>
          </w:rPr>
          <w:t>Hydraulic fracturing impact mode review for the Beetaloo GBA region</w:t>
        </w:r>
        <w:r w:rsidR="00073927">
          <w:rPr>
            <w:webHidden/>
          </w:rPr>
          <w:tab/>
        </w:r>
        <w:r w:rsidR="00073927">
          <w:rPr>
            <w:webHidden/>
          </w:rPr>
          <w:fldChar w:fldCharType="begin"/>
        </w:r>
        <w:r w:rsidR="00073927">
          <w:rPr>
            <w:webHidden/>
          </w:rPr>
          <w:instrText xml:space="preserve"> PAGEREF _Toc36042873 \h </w:instrText>
        </w:r>
        <w:r w:rsidR="00073927">
          <w:rPr>
            <w:webHidden/>
          </w:rPr>
        </w:r>
        <w:r w:rsidR="00073927">
          <w:rPr>
            <w:webHidden/>
          </w:rPr>
          <w:fldChar w:fldCharType="separate"/>
        </w:r>
        <w:r w:rsidR="001040E4">
          <w:rPr>
            <w:webHidden/>
          </w:rPr>
          <w:t>95</w:t>
        </w:r>
        <w:r w:rsidR="00073927">
          <w:rPr>
            <w:webHidden/>
          </w:rPr>
          <w:fldChar w:fldCharType="end"/>
        </w:r>
      </w:hyperlink>
    </w:p>
    <w:p w14:paraId="3076DC19" w14:textId="68E1C9F3" w:rsidR="00073927" w:rsidRDefault="00672B9D">
      <w:pPr>
        <w:pStyle w:val="TOC3"/>
        <w:rPr>
          <w:rFonts w:asciiTheme="minorHAnsi" w:eastAsiaTheme="minorEastAsia" w:hAnsiTheme="minorHAnsi" w:cstheme="minorBidi"/>
          <w:sz w:val="22"/>
          <w:szCs w:val="22"/>
        </w:rPr>
      </w:pPr>
      <w:hyperlink w:anchor="_Toc36042874" w:history="1">
        <w:r w:rsidR="00073927" w:rsidRPr="001401E6">
          <w:rPr>
            <w:rStyle w:val="Hyperlink"/>
          </w:rPr>
          <w:t>Well integrity impact mode review for the Beetaloo GBA region</w:t>
        </w:r>
        <w:r w:rsidR="00073927">
          <w:rPr>
            <w:webHidden/>
          </w:rPr>
          <w:tab/>
        </w:r>
        <w:r w:rsidR="00073927">
          <w:rPr>
            <w:webHidden/>
          </w:rPr>
          <w:fldChar w:fldCharType="begin"/>
        </w:r>
        <w:r w:rsidR="00073927">
          <w:rPr>
            <w:webHidden/>
          </w:rPr>
          <w:instrText xml:space="preserve"> PAGEREF _Toc36042874 \h </w:instrText>
        </w:r>
        <w:r w:rsidR="00073927">
          <w:rPr>
            <w:webHidden/>
          </w:rPr>
        </w:r>
        <w:r w:rsidR="00073927">
          <w:rPr>
            <w:webHidden/>
          </w:rPr>
          <w:fldChar w:fldCharType="separate"/>
        </w:r>
        <w:r w:rsidR="001040E4">
          <w:rPr>
            <w:webHidden/>
          </w:rPr>
          <w:t>99</w:t>
        </w:r>
        <w:r w:rsidR="00073927">
          <w:rPr>
            <w:webHidden/>
          </w:rPr>
          <w:fldChar w:fldCharType="end"/>
        </w:r>
      </w:hyperlink>
    </w:p>
    <w:p w14:paraId="5AE66C1E" w14:textId="3A266122" w:rsidR="00073927" w:rsidRDefault="00672B9D">
      <w:pPr>
        <w:pStyle w:val="TOC2"/>
        <w:rPr>
          <w:rFonts w:asciiTheme="minorHAnsi" w:eastAsiaTheme="minorEastAsia" w:hAnsiTheme="minorHAnsi" w:cstheme="minorBidi"/>
          <w:b w:val="0"/>
          <w:sz w:val="22"/>
          <w:szCs w:val="22"/>
        </w:rPr>
      </w:pPr>
      <w:hyperlink w:anchor="_Toc36042875" w:history="1">
        <w:r w:rsidR="00073927" w:rsidRPr="001401E6">
          <w:rPr>
            <w:rStyle w:val="Hyperlink"/>
          </w:rPr>
          <w:t>References</w:t>
        </w:r>
        <w:r w:rsidR="00073927">
          <w:rPr>
            <w:webHidden/>
          </w:rPr>
          <w:tab/>
        </w:r>
        <w:r w:rsidR="00073927">
          <w:rPr>
            <w:webHidden/>
          </w:rPr>
          <w:fldChar w:fldCharType="begin"/>
        </w:r>
        <w:r w:rsidR="00073927">
          <w:rPr>
            <w:webHidden/>
          </w:rPr>
          <w:instrText xml:space="preserve"> PAGEREF _Toc36042875 \h </w:instrText>
        </w:r>
        <w:r w:rsidR="00073927">
          <w:rPr>
            <w:webHidden/>
          </w:rPr>
        </w:r>
        <w:r w:rsidR="00073927">
          <w:rPr>
            <w:webHidden/>
          </w:rPr>
          <w:fldChar w:fldCharType="separate"/>
        </w:r>
        <w:r w:rsidR="001040E4">
          <w:rPr>
            <w:webHidden/>
          </w:rPr>
          <w:t>103</w:t>
        </w:r>
        <w:r w:rsidR="00073927">
          <w:rPr>
            <w:webHidden/>
          </w:rPr>
          <w:fldChar w:fldCharType="end"/>
        </w:r>
      </w:hyperlink>
    </w:p>
    <w:p w14:paraId="54CEAE36" w14:textId="587EE6D1" w:rsidR="00073927" w:rsidRDefault="00672B9D">
      <w:pPr>
        <w:pStyle w:val="TOC2"/>
        <w:rPr>
          <w:rFonts w:asciiTheme="minorHAnsi" w:eastAsiaTheme="minorEastAsia" w:hAnsiTheme="minorHAnsi" w:cstheme="minorBidi"/>
          <w:b w:val="0"/>
          <w:sz w:val="22"/>
          <w:szCs w:val="22"/>
        </w:rPr>
      </w:pPr>
      <w:hyperlink w:anchor="_Toc36042876" w:history="1">
        <w:r w:rsidR="00073927" w:rsidRPr="001401E6">
          <w:rPr>
            <w:rStyle w:val="Hyperlink"/>
          </w:rPr>
          <w:t>Glossary</w:t>
        </w:r>
        <w:r w:rsidR="00073927">
          <w:rPr>
            <w:webHidden/>
          </w:rPr>
          <w:tab/>
        </w:r>
        <w:r w:rsidR="00073927">
          <w:rPr>
            <w:webHidden/>
          </w:rPr>
          <w:fldChar w:fldCharType="begin"/>
        </w:r>
        <w:r w:rsidR="00073927">
          <w:rPr>
            <w:webHidden/>
          </w:rPr>
          <w:instrText xml:space="preserve"> PAGEREF _Toc36042876 \h </w:instrText>
        </w:r>
        <w:r w:rsidR="00073927">
          <w:rPr>
            <w:webHidden/>
          </w:rPr>
        </w:r>
        <w:r w:rsidR="00073927">
          <w:rPr>
            <w:webHidden/>
          </w:rPr>
          <w:fldChar w:fldCharType="separate"/>
        </w:r>
        <w:r w:rsidR="001040E4">
          <w:rPr>
            <w:webHidden/>
          </w:rPr>
          <w:t>108</w:t>
        </w:r>
        <w:r w:rsidR="00073927">
          <w:rPr>
            <w:webHidden/>
          </w:rPr>
          <w:fldChar w:fldCharType="end"/>
        </w:r>
      </w:hyperlink>
    </w:p>
    <w:p w14:paraId="1C1948BE" w14:textId="59D6389B" w:rsidR="00B71FE3" w:rsidRDefault="00B71FE3" w:rsidP="00B71FE3">
      <w:pPr>
        <w:pStyle w:val="BodyText"/>
      </w:pPr>
      <w:r>
        <w:fldChar w:fldCharType="end"/>
      </w:r>
      <w:r>
        <w:br w:type="page"/>
      </w:r>
    </w:p>
    <w:p w14:paraId="5D67CDC5" w14:textId="43868E98" w:rsidR="00445E07" w:rsidRDefault="008B427A" w:rsidP="00B71FE3">
      <w:pPr>
        <w:pStyle w:val="TOCHeading"/>
      </w:pPr>
      <w:r>
        <w:t xml:space="preserve">Figures </w:t>
      </w:r>
    </w:p>
    <w:p w14:paraId="3F66533C" w14:textId="2347C92E" w:rsidR="00073927" w:rsidRDefault="008B427A">
      <w:pPr>
        <w:pStyle w:val="TableofFigure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36042877" w:history="1">
        <w:r w:rsidR="00073927" w:rsidRPr="00045702">
          <w:rPr>
            <w:rStyle w:val="Hyperlink"/>
            <w:noProof/>
          </w:rPr>
          <w:t>Figure 1 Map of 817 hydraulically fractured petroleum wells in the Cooper GBA region</w:t>
        </w:r>
        <w:r w:rsidR="00073927">
          <w:rPr>
            <w:noProof/>
            <w:webHidden/>
          </w:rPr>
          <w:tab/>
        </w:r>
        <w:r w:rsidR="00073927">
          <w:rPr>
            <w:noProof/>
            <w:webHidden/>
          </w:rPr>
          <w:fldChar w:fldCharType="begin"/>
        </w:r>
        <w:r w:rsidR="00073927">
          <w:rPr>
            <w:noProof/>
            <w:webHidden/>
          </w:rPr>
          <w:instrText xml:space="preserve"> PAGEREF _Toc36042877 \h </w:instrText>
        </w:r>
        <w:r w:rsidR="00073927">
          <w:rPr>
            <w:noProof/>
            <w:webHidden/>
          </w:rPr>
        </w:r>
        <w:r w:rsidR="00073927">
          <w:rPr>
            <w:noProof/>
            <w:webHidden/>
          </w:rPr>
          <w:fldChar w:fldCharType="separate"/>
        </w:r>
        <w:r w:rsidR="001040E4">
          <w:rPr>
            <w:noProof/>
            <w:webHidden/>
          </w:rPr>
          <w:t>76</w:t>
        </w:r>
        <w:r w:rsidR="00073927">
          <w:rPr>
            <w:noProof/>
            <w:webHidden/>
          </w:rPr>
          <w:fldChar w:fldCharType="end"/>
        </w:r>
      </w:hyperlink>
    </w:p>
    <w:p w14:paraId="5393F2DF" w14:textId="601BB198" w:rsidR="00073927" w:rsidRDefault="00672B9D">
      <w:pPr>
        <w:pStyle w:val="TableofFigures"/>
        <w:rPr>
          <w:rFonts w:asciiTheme="minorHAnsi" w:eastAsiaTheme="minorEastAsia" w:hAnsiTheme="minorHAnsi" w:cstheme="minorBidi"/>
          <w:noProof/>
          <w:color w:val="auto"/>
          <w:sz w:val="22"/>
          <w:szCs w:val="22"/>
        </w:rPr>
      </w:pPr>
      <w:hyperlink w:anchor="_Toc36042878" w:history="1">
        <w:r w:rsidR="00073927" w:rsidRPr="00045702">
          <w:rPr>
            <w:rStyle w:val="Hyperlink"/>
            <w:noProof/>
          </w:rPr>
          <w:t>Figure 2 Sketch of the hydraulic fracture stimulation height data based on microseismic measurement results from the Cooper GBA region</w:t>
        </w:r>
        <w:r w:rsidR="00073927">
          <w:rPr>
            <w:noProof/>
            <w:webHidden/>
          </w:rPr>
          <w:tab/>
        </w:r>
        <w:r w:rsidR="00073927">
          <w:rPr>
            <w:noProof/>
            <w:webHidden/>
          </w:rPr>
          <w:fldChar w:fldCharType="begin"/>
        </w:r>
        <w:r w:rsidR="00073927">
          <w:rPr>
            <w:noProof/>
            <w:webHidden/>
          </w:rPr>
          <w:instrText xml:space="preserve"> PAGEREF _Toc36042878 \h </w:instrText>
        </w:r>
        <w:r w:rsidR="00073927">
          <w:rPr>
            <w:noProof/>
            <w:webHidden/>
          </w:rPr>
        </w:r>
        <w:r w:rsidR="00073927">
          <w:rPr>
            <w:noProof/>
            <w:webHidden/>
          </w:rPr>
          <w:fldChar w:fldCharType="separate"/>
        </w:r>
        <w:r w:rsidR="001040E4">
          <w:rPr>
            <w:noProof/>
            <w:webHidden/>
          </w:rPr>
          <w:t>77</w:t>
        </w:r>
        <w:r w:rsidR="00073927">
          <w:rPr>
            <w:noProof/>
            <w:webHidden/>
          </w:rPr>
          <w:fldChar w:fldCharType="end"/>
        </w:r>
      </w:hyperlink>
    </w:p>
    <w:p w14:paraId="6DD93930" w14:textId="1BBEFDEB" w:rsidR="00073927" w:rsidRDefault="00672B9D">
      <w:pPr>
        <w:pStyle w:val="TableofFigures"/>
        <w:rPr>
          <w:rFonts w:asciiTheme="minorHAnsi" w:eastAsiaTheme="minorEastAsia" w:hAnsiTheme="minorHAnsi" w:cstheme="minorBidi"/>
          <w:noProof/>
          <w:color w:val="auto"/>
          <w:sz w:val="22"/>
          <w:szCs w:val="22"/>
        </w:rPr>
      </w:pPr>
      <w:hyperlink w:anchor="_Toc36042879" w:history="1">
        <w:r w:rsidR="00073927" w:rsidRPr="00045702">
          <w:rPr>
            <w:rStyle w:val="Hyperlink"/>
            <w:noProof/>
          </w:rPr>
          <w:t>Figure 3 Map of oil and gas wells in the Isa GBA region and surrounding area (with the location of the 2013 hydraulic fracture stimulation in the Egilabria 2 exploration well shown in green)</w:t>
        </w:r>
        <w:r w:rsidR="00073927">
          <w:rPr>
            <w:noProof/>
            <w:webHidden/>
          </w:rPr>
          <w:tab/>
        </w:r>
        <w:r w:rsidR="00073927">
          <w:rPr>
            <w:noProof/>
            <w:webHidden/>
          </w:rPr>
          <w:fldChar w:fldCharType="begin"/>
        </w:r>
        <w:r w:rsidR="00073927">
          <w:rPr>
            <w:noProof/>
            <w:webHidden/>
          </w:rPr>
          <w:instrText xml:space="preserve"> PAGEREF _Toc36042879 \h </w:instrText>
        </w:r>
        <w:r w:rsidR="00073927">
          <w:rPr>
            <w:noProof/>
            <w:webHidden/>
          </w:rPr>
        </w:r>
        <w:r w:rsidR="00073927">
          <w:rPr>
            <w:noProof/>
            <w:webHidden/>
          </w:rPr>
          <w:fldChar w:fldCharType="separate"/>
        </w:r>
        <w:r w:rsidR="001040E4">
          <w:rPr>
            <w:noProof/>
            <w:webHidden/>
          </w:rPr>
          <w:t>86</w:t>
        </w:r>
        <w:r w:rsidR="00073927">
          <w:rPr>
            <w:noProof/>
            <w:webHidden/>
          </w:rPr>
          <w:fldChar w:fldCharType="end"/>
        </w:r>
      </w:hyperlink>
    </w:p>
    <w:p w14:paraId="4173E105" w14:textId="661DE777" w:rsidR="00073927" w:rsidRDefault="00672B9D">
      <w:pPr>
        <w:pStyle w:val="TableofFigures"/>
        <w:rPr>
          <w:rFonts w:asciiTheme="minorHAnsi" w:eastAsiaTheme="minorEastAsia" w:hAnsiTheme="minorHAnsi" w:cstheme="minorBidi"/>
          <w:noProof/>
          <w:color w:val="auto"/>
          <w:sz w:val="22"/>
          <w:szCs w:val="22"/>
        </w:rPr>
      </w:pPr>
      <w:hyperlink w:anchor="_Toc36042880" w:history="1">
        <w:r w:rsidR="00073927" w:rsidRPr="00045702">
          <w:rPr>
            <w:rStyle w:val="Hyperlink"/>
            <w:noProof/>
          </w:rPr>
          <w:t>Figure 4 Hydraulic fracturing operation at the Egilabria-2 well pad in the Isa GBA region</w:t>
        </w:r>
        <w:r w:rsidR="00073927">
          <w:rPr>
            <w:noProof/>
            <w:webHidden/>
          </w:rPr>
          <w:tab/>
        </w:r>
        <w:r w:rsidR="00073927">
          <w:rPr>
            <w:noProof/>
            <w:webHidden/>
          </w:rPr>
          <w:fldChar w:fldCharType="begin"/>
        </w:r>
        <w:r w:rsidR="00073927">
          <w:rPr>
            <w:noProof/>
            <w:webHidden/>
          </w:rPr>
          <w:instrText xml:space="preserve"> PAGEREF _Toc36042880 \h </w:instrText>
        </w:r>
        <w:r w:rsidR="00073927">
          <w:rPr>
            <w:noProof/>
            <w:webHidden/>
          </w:rPr>
        </w:r>
        <w:r w:rsidR="00073927">
          <w:rPr>
            <w:noProof/>
            <w:webHidden/>
          </w:rPr>
          <w:fldChar w:fldCharType="separate"/>
        </w:r>
        <w:r w:rsidR="001040E4">
          <w:rPr>
            <w:noProof/>
            <w:webHidden/>
          </w:rPr>
          <w:t>87</w:t>
        </w:r>
        <w:r w:rsidR="00073927">
          <w:rPr>
            <w:noProof/>
            <w:webHidden/>
          </w:rPr>
          <w:fldChar w:fldCharType="end"/>
        </w:r>
      </w:hyperlink>
    </w:p>
    <w:p w14:paraId="158C5CF4" w14:textId="295332FE" w:rsidR="00073927" w:rsidRDefault="00672B9D">
      <w:pPr>
        <w:pStyle w:val="TableofFigures"/>
        <w:rPr>
          <w:rFonts w:asciiTheme="minorHAnsi" w:eastAsiaTheme="minorEastAsia" w:hAnsiTheme="minorHAnsi" w:cstheme="minorBidi"/>
          <w:noProof/>
          <w:color w:val="auto"/>
          <w:sz w:val="22"/>
          <w:szCs w:val="22"/>
        </w:rPr>
      </w:pPr>
      <w:hyperlink w:anchor="_Toc36042881" w:history="1">
        <w:r w:rsidR="00073927" w:rsidRPr="00045702">
          <w:rPr>
            <w:rStyle w:val="Hyperlink"/>
            <w:noProof/>
          </w:rPr>
          <w:t>Figure 5 Location of petroleum exploration wells in and near the Isa GBA region</w:t>
        </w:r>
        <w:r w:rsidR="00073927">
          <w:rPr>
            <w:noProof/>
            <w:webHidden/>
          </w:rPr>
          <w:tab/>
        </w:r>
        <w:r w:rsidR="00073927">
          <w:rPr>
            <w:noProof/>
            <w:webHidden/>
          </w:rPr>
          <w:fldChar w:fldCharType="begin"/>
        </w:r>
        <w:r w:rsidR="00073927">
          <w:rPr>
            <w:noProof/>
            <w:webHidden/>
          </w:rPr>
          <w:instrText xml:space="preserve"> PAGEREF _Toc36042881 \h </w:instrText>
        </w:r>
        <w:r w:rsidR="00073927">
          <w:rPr>
            <w:noProof/>
            <w:webHidden/>
          </w:rPr>
        </w:r>
        <w:r w:rsidR="00073927">
          <w:rPr>
            <w:noProof/>
            <w:webHidden/>
          </w:rPr>
          <w:fldChar w:fldCharType="separate"/>
        </w:r>
        <w:r w:rsidR="001040E4">
          <w:rPr>
            <w:noProof/>
            <w:webHidden/>
          </w:rPr>
          <w:t>91</w:t>
        </w:r>
        <w:r w:rsidR="00073927">
          <w:rPr>
            <w:noProof/>
            <w:webHidden/>
          </w:rPr>
          <w:fldChar w:fldCharType="end"/>
        </w:r>
      </w:hyperlink>
    </w:p>
    <w:p w14:paraId="44D6B1D7" w14:textId="5B607780" w:rsidR="00073927" w:rsidRDefault="00672B9D">
      <w:pPr>
        <w:pStyle w:val="TableofFigures"/>
        <w:rPr>
          <w:rFonts w:asciiTheme="minorHAnsi" w:eastAsiaTheme="minorEastAsia" w:hAnsiTheme="minorHAnsi" w:cstheme="minorBidi"/>
          <w:noProof/>
          <w:color w:val="auto"/>
          <w:sz w:val="22"/>
          <w:szCs w:val="22"/>
        </w:rPr>
      </w:pPr>
      <w:hyperlink w:anchor="_Toc36042882" w:history="1">
        <w:r w:rsidR="00073927" w:rsidRPr="00045702">
          <w:rPr>
            <w:rStyle w:val="Hyperlink"/>
            <w:noProof/>
          </w:rPr>
          <w:t>Figure 6 Map of petroleum wells in the Beetaloo GBA region and surrounding area (with the location of the hydraulic fracture stimulations in the Shenandoah 1A and Amungee NW-H1 exploration wells shown in green)</w:t>
        </w:r>
        <w:r w:rsidR="00073927">
          <w:rPr>
            <w:noProof/>
            <w:webHidden/>
          </w:rPr>
          <w:tab/>
        </w:r>
        <w:r w:rsidR="00073927">
          <w:rPr>
            <w:noProof/>
            <w:webHidden/>
          </w:rPr>
          <w:fldChar w:fldCharType="begin"/>
        </w:r>
        <w:r w:rsidR="00073927">
          <w:rPr>
            <w:noProof/>
            <w:webHidden/>
          </w:rPr>
          <w:instrText xml:space="preserve"> PAGEREF _Toc36042882 \h </w:instrText>
        </w:r>
        <w:r w:rsidR="00073927">
          <w:rPr>
            <w:noProof/>
            <w:webHidden/>
          </w:rPr>
        </w:r>
        <w:r w:rsidR="00073927">
          <w:rPr>
            <w:noProof/>
            <w:webHidden/>
          </w:rPr>
          <w:fldChar w:fldCharType="separate"/>
        </w:r>
        <w:r w:rsidR="001040E4">
          <w:rPr>
            <w:noProof/>
            <w:webHidden/>
          </w:rPr>
          <w:t>96</w:t>
        </w:r>
        <w:r w:rsidR="00073927">
          <w:rPr>
            <w:noProof/>
            <w:webHidden/>
          </w:rPr>
          <w:fldChar w:fldCharType="end"/>
        </w:r>
      </w:hyperlink>
    </w:p>
    <w:p w14:paraId="7B715D98" w14:textId="0E2EB3F5" w:rsidR="00073927" w:rsidRDefault="00672B9D">
      <w:pPr>
        <w:pStyle w:val="TableofFigures"/>
        <w:rPr>
          <w:rFonts w:asciiTheme="minorHAnsi" w:eastAsiaTheme="minorEastAsia" w:hAnsiTheme="minorHAnsi" w:cstheme="minorBidi"/>
          <w:noProof/>
          <w:color w:val="auto"/>
          <w:sz w:val="22"/>
          <w:szCs w:val="22"/>
        </w:rPr>
      </w:pPr>
      <w:hyperlink w:anchor="_Toc36042883" w:history="1">
        <w:r w:rsidR="00073927" w:rsidRPr="00045702">
          <w:rPr>
            <w:rStyle w:val="Hyperlink"/>
            <w:noProof/>
          </w:rPr>
          <w:t>Figure 7 Map of petroleum wells in the Beetaloo GBA region and surrounding area from (Frery et al., 2020).</w:t>
        </w:r>
        <w:r w:rsidR="00073927">
          <w:rPr>
            <w:noProof/>
            <w:webHidden/>
          </w:rPr>
          <w:tab/>
        </w:r>
        <w:r w:rsidR="00073927">
          <w:rPr>
            <w:noProof/>
            <w:webHidden/>
          </w:rPr>
          <w:fldChar w:fldCharType="begin"/>
        </w:r>
        <w:r w:rsidR="00073927">
          <w:rPr>
            <w:noProof/>
            <w:webHidden/>
          </w:rPr>
          <w:instrText xml:space="preserve"> PAGEREF _Toc36042883 \h </w:instrText>
        </w:r>
        <w:r w:rsidR="00073927">
          <w:rPr>
            <w:noProof/>
            <w:webHidden/>
          </w:rPr>
        </w:r>
        <w:r w:rsidR="00073927">
          <w:rPr>
            <w:noProof/>
            <w:webHidden/>
          </w:rPr>
          <w:fldChar w:fldCharType="separate"/>
        </w:r>
        <w:r w:rsidR="001040E4">
          <w:rPr>
            <w:noProof/>
            <w:webHidden/>
          </w:rPr>
          <w:t>99</w:t>
        </w:r>
        <w:r w:rsidR="00073927">
          <w:rPr>
            <w:noProof/>
            <w:webHidden/>
          </w:rPr>
          <w:fldChar w:fldCharType="end"/>
        </w:r>
      </w:hyperlink>
    </w:p>
    <w:p w14:paraId="0C9EAABF" w14:textId="605531DA" w:rsidR="00B71FE3" w:rsidRDefault="008B427A" w:rsidP="00FC2CCC">
      <w:pPr>
        <w:pStyle w:val="BodyText"/>
      </w:pPr>
      <w:r>
        <w:fldChar w:fldCharType="end"/>
      </w:r>
      <w:r w:rsidR="00B71FE3">
        <w:br w:type="page"/>
      </w:r>
    </w:p>
    <w:p w14:paraId="458AD724" w14:textId="304B389A" w:rsidR="008B427A" w:rsidRDefault="00821A8F" w:rsidP="00821A8F">
      <w:pPr>
        <w:pStyle w:val="TOCHeading"/>
      </w:pPr>
      <w:r>
        <w:t xml:space="preserve">Tables </w:t>
      </w:r>
    </w:p>
    <w:p w14:paraId="21778B8E" w14:textId="278337E2" w:rsidR="00073927" w:rsidRDefault="00821A8F">
      <w:pPr>
        <w:pStyle w:val="TableofFigure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36042884" w:history="1">
        <w:r w:rsidR="00073927" w:rsidRPr="00394893">
          <w:rPr>
            <w:rStyle w:val="Hyperlink"/>
            <w:noProof/>
          </w:rPr>
          <w:t>Table 1 Impact modes relating to hydraulic fracturing causal pathway</w:t>
        </w:r>
        <w:r w:rsidR="00073927">
          <w:rPr>
            <w:noProof/>
            <w:webHidden/>
          </w:rPr>
          <w:tab/>
        </w:r>
        <w:r w:rsidR="00073927">
          <w:rPr>
            <w:noProof/>
            <w:webHidden/>
          </w:rPr>
          <w:fldChar w:fldCharType="begin"/>
        </w:r>
        <w:r w:rsidR="00073927">
          <w:rPr>
            <w:noProof/>
            <w:webHidden/>
          </w:rPr>
          <w:instrText xml:space="preserve"> PAGEREF _Toc36042884 \h </w:instrText>
        </w:r>
        <w:r w:rsidR="00073927">
          <w:rPr>
            <w:noProof/>
            <w:webHidden/>
          </w:rPr>
        </w:r>
        <w:r w:rsidR="00073927">
          <w:rPr>
            <w:noProof/>
            <w:webHidden/>
          </w:rPr>
          <w:fldChar w:fldCharType="separate"/>
        </w:r>
        <w:r w:rsidR="001040E4">
          <w:rPr>
            <w:noProof/>
            <w:webHidden/>
          </w:rPr>
          <w:t>2</w:t>
        </w:r>
        <w:r w:rsidR="00073927">
          <w:rPr>
            <w:noProof/>
            <w:webHidden/>
          </w:rPr>
          <w:fldChar w:fldCharType="end"/>
        </w:r>
      </w:hyperlink>
    </w:p>
    <w:p w14:paraId="02318142" w14:textId="4173AB53" w:rsidR="00073927" w:rsidRDefault="00672B9D">
      <w:pPr>
        <w:pStyle w:val="TableofFigures"/>
        <w:rPr>
          <w:rFonts w:asciiTheme="minorHAnsi" w:eastAsiaTheme="minorEastAsia" w:hAnsiTheme="minorHAnsi" w:cstheme="minorBidi"/>
          <w:noProof/>
          <w:color w:val="auto"/>
          <w:sz w:val="22"/>
          <w:szCs w:val="22"/>
        </w:rPr>
      </w:pPr>
      <w:hyperlink w:anchor="_Toc36042885" w:history="1">
        <w:r w:rsidR="00073927" w:rsidRPr="00394893">
          <w:rPr>
            <w:rStyle w:val="Hyperlink"/>
            <w:noProof/>
          </w:rPr>
          <w:t>Table 2 Potential impact modes related to the compromised well integrity causal pathways reviewed in GBA Stage 2</w:t>
        </w:r>
        <w:r w:rsidR="00073927">
          <w:rPr>
            <w:noProof/>
            <w:webHidden/>
          </w:rPr>
          <w:tab/>
        </w:r>
        <w:r w:rsidR="00073927">
          <w:rPr>
            <w:noProof/>
            <w:webHidden/>
          </w:rPr>
          <w:fldChar w:fldCharType="begin"/>
        </w:r>
        <w:r w:rsidR="00073927">
          <w:rPr>
            <w:noProof/>
            <w:webHidden/>
          </w:rPr>
          <w:instrText xml:space="preserve"> PAGEREF _Toc36042885 \h </w:instrText>
        </w:r>
        <w:r w:rsidR="00073927">
          <w:rPr>
            <w:noProof/>
            <w:webHidden/>
          </w:rPr>
        </w:r>
        <w:r w:rsidR="00073927">
          <w:rPr>
            <w:noProof/>
            <w:webHidden/>
          </w:rPr>
          <w:fldChar w:fldCharType="separate"/>
        </w:r>
        <w:r w:rsidR="001040E4">
          <w:rPr>
            <w:noProof/>
            <w:webHidden/>
          </w:rPr>
          <w:t>5</w:t>
        </w:r>
        <w:r w:rsidR="00073927">
          <w:rPr>
            <w:noProof/>
            <w:webHidden/>
          </w:rPr>
          <w:fldChar w:fldCharType="end"/>
        </w:r>
      </w:hyperlink>
    </w:p>
    <w:p w14:paraId="40387D12" w14:textId="35C13FF3" w:rsidR="00073927" w:rsidRDefault="00672B9D">
      <w:pPr>
        <w:pStyle w:val="TableofFigures"/>
        <w:rPr>
          <w:rFonts w:asciiTheme="minorHAnsi" w:eastAsiaTheme="minorEastAsia" w:hAnsiTheme="minorHAnsi" w:cstheme="minorBidi"/>
          <w:noProof/>
          <w:color w:val="auto"/>
          <w:sz w:val="22"/>
          <w:szCs w:val="22"/>
        </w:rPr>
      </w:pPr>
      <w:hyperlink w:anchor="_Toc36042886" w:history="1">
        <w:r w:rsidR="00073927" w:rsidRPr="00394893">
          <w:rPr>
            <w:rStyle w:val="Hyperlink"/>
            <w:noProof/>
          </w:rPr>
          <w:t>Table 3 Likelihood definitions as used in this report related to other related likelihood definitions and ranking methods</w:t>
        </w:r>
        <w:r w:rsidR="00073927">
          <w:rPr>
            <w:noProof/>
            <w:webHidden/>
          </w:rPr>
          <w:tab/>
        </w:r>
        <w:r w:rsidR="00073927">
          <w:rPr>
            <w:noProof/>
            <w:webHidden/>
          </w:rPr>
          <w:fldChar w:fldCharType="begin"/>
        </w:r>
        <w:r w:rsidR="00073927">
          <w:rPr>
            <w:noProof/>
            <w:webHidden/>
          </w:rPr>
          <w:instrText xml:space="preserve"> PAGEREF _Toc36042886 \h </w:instrText>
        </w:r>
        <w:r w:rsidR="00073927">
          <w:rPr>
            <w:noProof/>
            <w:webHidden/>
          </w:rPr>
        </w:r>
        <w:r w:rsidR="00073927">
          <w:rPr>
            <w:noProof/>
            <w:webHidden/>
          </w:rPr>
          <w:fldChar w:fldCharType="separate"/>
        </w:r>
        <w:r w:rsidR="001040E4">
          <w:rPr>
            <w:noProof/>
            <w:webHidden/>
          </w:rPr>
          <w:t>10</w:t>
        </w:r>
        <w:r w:rsidR="00073927">
          <w:rPr>
            <w:noProof/>
            <w:webHidden/>
          </w:rPr>
          <w:fldChar w:fldCharType="end"/>
        </w:r>
      </w:hyperlink>
    </w:p>
    <w:p w14:paraId="5222E8F1" w14:textId="7A1F3894" w:rsidR="00073927" w:rsidRDefault="00672B9D">
      <w:pPr>
        <w:pStyle w:val="TableofFigures"/>
        <w:rPr>
          <w:rFonts w:asciiTheme="minorHAnsi" w:eastAsiaTheme="minorEastAsia" w:hAnsiTheme="minorHAnsi" w:cstheme="minorBidi"/>
          <w:noProof/>
          <w:color w:val="auto"/>
          <w:sz w:val="22"/>
          <w:szCs w:val="22"/>
        </w:rPr>
      </w:pPr>
      <w:hyperlink w:anchor="_Toc36042887" w:history="1">
        <w:r w:rsidR="00073927" w:rsidRPr="00394893">
          <w:rPr>
            <w:rStyle w:val="Hyperlink"/>
            <w:noProof/>
          </w:rPr>
          <w:t>Table 4 Summary of the findings of the likelihoods of each hydraulic fracturing causal pathway impact mode from key domestic and international works along with the description of the likelihood scores</w:t>
        </w:r>
        <w:r w:rsidR="00073927">
          <w:rPr>
            <w:noProof/>
            <w:webHidden/>
          </w:rPr>
          <w:tab/>
        </w:r>
        <w:r w:rsidR="00073927">
          <w:rPr>
            <w:noProof/>
            <w:webHidden/>
          </w:rPr>
          <w:fldChar w:fldCharType="begin"/>
        </w:r>
        <w:r w:rsidR="00073927">
          <w:rPr>
            <w:noProof/>
            <w:webHidden/>
          </w:rPr>
          <w:instrText xml:space="preserve"> PAGEREF _Toc36042887 \h </w:instrText>
        </w:r>
        <w:r w:rsidR="00073927">
          <w:rPr>
            <w:noProof/>
            <w:webHidden/>
          </w:rPr>
        </w:r>
        <w:r w:rsidR="00073927">
          <w:rPr>
            <w:noProof/>
            <w:webHidden/>
          </w:rPr>
          <w:fldChar w:fldCharType="separate"/>
        </w:r>
        <w:r w:rsidR="001040E4">
          <w:rPr>
            <w:noProof/>
            <w:webHidden/>
          </w:rPr>
          <w:t>12</w:t>
        </w:r>
        <w:r w:rsidR="00073927">
          <w:rPr>
            <w:noProof/>
            <w:webHidden/>
          </w:rPr>
          <w:fldChar w:fldCharType="end"/>
        </w:r>
      </w:hyperlink>
    </w:p>
    <w:p w14:paraId="204F4862" w14:textId="47B84B10" w:rsidR="00073927" w:rsidRDefault="00672B9D">
      <w:pPr>
        <w:pStyle w:val="TableofFigures"/>
        <w:rPr>
          <w:rFonts w:asciiTheme="minorHAnsi" w:eastAsiaTheme="minorEastAsia" w:hAnsiTheme="minorHAnsi" w:cstheme="minorBidi"/>
          <w:noProof/>
          <w:color w:val="auto"/>
          <w:sz w:val="22"/>
          <w:szCs w:val="22"/>
        </w:rPr>
      </w:pPr>
      <w:hyperlink w:anchor="_Toc36042888" w:history="1">
        <w:r w:rsidR="00073927" w:rsidRPr="00394893">
          <w:rPr>
            <w:rStyle w:val="Hyperlink"/>
            <w:noProof/>
          </w:rPr>
          <w:t>Table 5 Summary of the findings of the likelihoods of each compromised well integrity causal pathway from key domestic and international works along with the description of the likelihood scores</w:t>
        </w:r>
        <w:r w:rsidR="00073927">
          <w:rPr>
            <w:noProof/>
            <w:webHidden/>
          </w:rPr>
          <w:tab/>
        </w:r>
        <w:r w:rsidR="00073927">
          <w:rPr>
            <w:noProof/>
            <w:webHidden/>
          </w:rPr>
          <w:fldChar w:fldCharType="begin"/>
        </w:r>
        <w:r w:rsidR="00073927">
          <w:rPr>
            <w:noProof/>
            <w:webHidden/>
          </w:rPr>
          <w:instrText xml:space="preserve"> PAGEREF _Toc36042888 \h </w:instrText>
        </w:r>
        <w:r w:rsidR="00073927">
          <w:rPr>
            <w:noProof/>
            <w:webHidden/>
          </w:rPr>
        </w:r>
        <w:r w:rsidR="00073927">
          <w:rPr>
            <w:noProof/>
            <w:webHidden/>
          </w:rPr>
          <w:fldChar w:fldCharType="separate"/>
        </w:r>
        <w:r w:rsidR="001040E4">
          <w:rPr>
            <w:noProof/>
            <w:webHidden/>
          </w:rPr>
          <w:t>13</w:t>
        </w:r>
        <w:r w:rsidR="00073927">
          <w:rPr>
            <w:noProof/>
            <w:webHidden/>
          </w:rPr>
          <w:fldChar w:fldCharType="end"/>
        </w:r>
      </w:hyperlink>
    </w:p>
    <w:p w14:paraId="1C98A17C" w14:textId="33EFCDA7" w:rsidR="00073927" w:rsidRDefault="00672B9D">
      <w:pPr>
        <w:pStyle w:val="TableofFigures"/>
        <w:rPr>
          <w:rFonts w:asciiTheme="minorHAnsi" w:eastAsiaTheme="minorEastAsia" w:hAnsiTheme="minorHAnsi" w:cstheme="minorBidi"/>
          <w:noProof/>
          <w:color w:val="auto"/>
          <w:sz w:val="22"/>
          <w:szCs w:val="22"/>
        </w:rPr>
      </w:pPr>
      <w:hyperlink w:anchor="_Toc36042889" w:history="1">
        <w:r w:rsidR="00073927" w:rsidRPr="00394893">
          <w:rPr>
            <w:rStyle w:val="Hyperlink"/>
            <w:noProof/>
          </w:rPr>
          <w:t>Table 6 Excerpts from US Environmental Protection Agency, (2016) related to each impact mode</w:t>
        </w:r>
        <w:r w:rsidR="00073927">
          <w:rPr>
            <w:noProof/>
            <w:webHidden/>
          </w:rPr>
          <w:tab/>
        </w:r>
        <w:r w:rsidR="00073927">
          <w:rPr>
            <w:noProof/>
            <w:webHidden/>
          </w:rPr>
          <w:fldChar w:fldCharType="begin"/>
        </w:r>
        <w:r w:rsidR="00073927">
          <w:rPr>
            <w:noProof/>
            <w:webHidden/>
          </w:rPr>
          <w:instrText xml:space="preserve"> PAGEREF _Toc36042889 \h </w:instrText>
        </w:r>
        <w:r w:rsidR="00073927">
          <w:rPr>
            <w:noProof/>
            <w:webHidden/>
          </w:rPr>
        </w:r>
        <w:r w:rsidR="00073927">
          <w:rPr>
            <w:noProof/>
            <w:webHidden/>
          </w:rPr>
          <w:fldChar w:fldCharType="separate"/>
        </w:r>
        <w:r w:rsidR="001040E4">
          <w:rPr>
            <w:noProof/>
            <w:webHidden/>
          </w:rPr>
          <w:t>16</w:t>
        </w:r>
        <w:r w:rsidR="00073927">
          <w:rPr>
            <w:noProof/>
            <w:webHidden/>
          </w:rPr>
          <w:fldChar w:fldCharType="end"/>
        </w:r>
      </w:hyperlink>
    </w:p>
    <w:p w14:paraId="2677C945" w14:textId="4A44482C" w:rsidR="00073927" w:rsidRDefault="00672B9D">
      <w:pPr>
        <w:pStyle w:val="TableofFigures"/>
        <w:rPr>
          <w:rFonts w:asciiTheme="minorHAnsi" w:eastAsiaTheme="minorEastAsia" w:hAnsiTheme="minorHAnsi" w:cstheme="minorBidi"/>
          <w:noProof/>
          <w:color w:val="auto"/>
          <w:sz w:val="22"/>
          <w:szCs w:val="22"/>
        </w:rPr>
      </w:pPr>
      <w:hyperlink w:anchor="_Toc36042890" w:history="1">
        <w:r w:rsidR="00073927" w:rsidRPr="00394893">
          <w:rPr>
            <w:rStyle w:val="Hyperlink"/>
            <w:noProof/>
          </w:rPr>
          <w:t>Table 7 Excerpts from Hawke (2014) related to each impact mode</w:t>
        </w:r>
        <w:r w:rsidR="00073927">
          <w:rPr>
            <w:noProof/>
            <w:webHidden/>
          </w:rPr>
          <w:tab/>
        </w:r>
        <w:r w:rsidR="00073927">
          <w:rPr>
            <w:noProof/>
            <w:webHidden/>
          </w:rPr>
          <w:fldChar w:fldCharType="begin"/>
        </w:r>
        <w:r w:rsidR="00073927">
          <w:rPr>
            <w:noProof/>
            <w:webHidden/>
          </w:rPr>
          <w:instrText xml:space="preserve"> PAGEREF _Toc36042890 \h </w:instrText>
        </w:r>
        <w:r w:rsidR="00073927">
          <w:rPr>
            <w:noProof/>
            <w:webHidden/>
          </w:rPr>
        </w:r>
        <w:r w:rsidR="00073927">
          <w:rPr>
            <w:noProof/>
            <w:webHidden/>
          </w:rPr>
          <w:fldChar w:fldCharType="separate"/>
        </w:r>
        <w:r w:rsidR="001040E4">
          <w:rPr>
            <w:noProof/>
            <w:webHidden/>
          </w:rPr>
          <w:t>26</w:t>
        </w:r>
        <w:r w:rsidR="00073927">
          <w:rPr>
            <w:noProof/>
            <w:webHidden/>
          </w:rPr>
          <w:fldChar w:fldCharType="end"/>
        </w:r>
      </w:hyperlink>
    </w:p>
    <w:p w14:paraId="5C7130E2" w14:textId="02BCF0AB" w:rsidR="00073927" w:rsidRDefault="00672B9D">
      <w:pPr>
        <w:pStyle w:val="TableofFigures"/>
        <w:rPr>
          <w:rFonts w:asciiTheme="minorHAnsi" w:eastAsiaTheme="minorEastAsia" w:hAnsiTheme="minorHAnsi" w:cstheme="minorBidi"/>
          <w:noProof/>
          <w:color w:val="auto"/>
          <w:sz w:val="22"/>
          <w:szCs w:val="22"/>
        </w:rPr>
      </w:pPr>
      <w:hyperlink w:anchor="_Toc36042891" w:history="1">
        <w:r w:rsidR="00073927" w:rsidRPr="00394893">
          <w:rPr>
            <w:rStyle w:val="Hyperlink"/>
            <w:noProof/>
          </w:rPr>
          <w:t>Table 8 Excerpts from Cook et al. (2013) related to each impact mode</w:t>
        </w:r>
        <w:r w:rsidR="00073927">
          <w:rPr>
            <w:noProof/>
            <w:webHidden/>
          </w:rPr>
          <w:tab/>
        </w:r>
        <w:r w:rsidR="00073927">
          <w:rPr>
            <w:noProof/>
            <w:webHidden/>
          </w:rPr>
          <w:fldChar w:fldCharType="begin"/>
        </w:r>
        <w:r w:rsidR="00073927">
          <w:rPr>
            <w:noProof/>
            <w:webHidden/>
          </w:rPr>
          <w:instrText xml:space="preserve"> PAGEREF _Toc36042891 \h </w:instrText>
        </w:r>
        <w:r w:rsidR="00073927">
          <w:rPr>
            <w:noProof/>
            <w:webHidden/>
          </w:rPr>
        </w:r>
        <w:r w:rsidR="00073927">
          <w:rPr>
            <w:noProof/>
            <w:webHidden/>
          </w:rPr>
          <w:fldChar w:fldCharType="separate"/>
        </w:r>
        <w:r w:rsidR="001040E4">
          <w:rPr>
            <w:noProof/>
            <w:webHidden/>
          </w:rPr>
          <w:t>33</w:t>
        </w:r>
        <w:r w:rsidR="00073927">
          <w:rPr>
            <w:noProof/>
            <w:webHidden/>
          </w:rPr>
          <w:fldChar w:fldCharType="end"/>
        </w:r>
      </w:hyperlink>
    </w:p>
    <w:p w14:paraId="7D6D3F9D" w14:textId="7329C595" w:rsidR="00073927" w:rsidRDefault="00672B9D">
      <w:pPr>
        <w:pStyle w:val="TableofFigures"/>
        <w:rPr>
          <w:rFonts w:asciiTheme="minorHAnsi" w:eastAsiaTheme="minorEastAsia" w:hAnsiTheme="minorHAnsi" w:cstheme="minorBidi"/>
          <w:noProof/>
          <w:color w:val="auto"/>
          <w:sz w:val="22"/>
          <w:szCs w:val="22"/>
        </w:rPr>
      </w:pPr>
      <w:hyperlink w:anchor="_Toc36042892" w:history="1">
        <w:r w:rsidR="00073927" w:rsidRPr="00394893">
          <w:rPr>
            <w:rStyle w:val="Hyperlink"/>
            <w:noProof/>
          </w:rPr>
          <w:t>Table 9 Excerpts from The Royal Society and The Royal Academy of Engineering (2012) related to each impact mode</w:t>
        </w:r>
        <w:r w:rsidR="00073927">
          <w:rPr>
            <w:noProof/>
            <w:webHidden/>
          </w:rPr>
          <w:tab/>
        </w:r>
        <w:r w:rsidR="00073927">
          <w:rPr>
            <w:noProof/>
            <w:webHidden/>
          </w:rPr>
          <w:fldChar w:fldCharType="begin"/>
        </w:r>
        <w:r w:rsidR="00073927">
          <w:rPr>
            <w:noProof/>
            <w:webHidden/>
          </w:rPr>
          <w:instrText xml:space="preserve"> PAGEREF _Toc36042892 \h </w:instrText>
        </w:r>
        <w:r w:rsidR="00073927">
          <w:rPr>
            <w:noProof/>
            <w:webHidden/>
          </w:rPr>
        </w:r>
        <w:r w:rsidR="00073927">
          <w:rPr>
            <w:noProof/>
            <w:webHidden/>
          </w:rPr>
          <w:fldChar w:fldCharType="separate"/>
        </w:r>
        <w:r w:rsidR="001040E4">
          <w:rPr>
            <w:noProof/>
            <w:webHidden/>
          </w:rPr>
          <w:t>37</w:t>
        </w:r>
        <w:r w:rsidR="00073927">
          <w:rPr>
            <w:noProof/>
            <w:webHidden/>
          </w:rPr>
          <w:fldChar w:fldCharType="end"/>
        </w:r>
      </w:hyperlink>
    </w:p>
    <w:p w14:paraId="632E715B" w14:textId="02F373B3" w:rsidR="00073927" w:rsidRDefault="00672B9D">
      <w:pPr>
        <w:pStyle w:val="TableofFigures"/>
        <w:rPr>
          <w:rFonts w:asciiTheme="minorHAnsi" w:eastAsiaTheme="minorEastAsia" w:hAnsiTheme="minorHAnsi" w:cstheme="minorBidi"/>
          <w:noProof/>
          <w:color w:val="auto"/>
          <w:sz w:val="22"/>
          <w:szCs w:val="22"/>
        </w:rPr>
      </w:pPr>
      <w:hyperlink w:anchor="_Toc36042893" w:history="1">
        <w:r w:rsidR="00073927" w:rsidRPr="00394893">
          <w:rPr>
            <w:rStyle w:val="Hyperlink"/>
            <w:noProof/>
          </w:rPr>
          <w:t>Table 10 Excerpts from Wright (2014) related to each impact mode</w:t>
        </w:r>
        <w:r w:rsidR="00073927">
          <w:rPr>
            <w:noProof/>
            <w:webHidden/>
          </w:rPr>
          <w:tab/>
        </w:r>
        <w:r w:rsidR="00073927">
          <w:rPr>
            <w:noProof/>
            <w:webHidden/>
          </w:rPr>
          <w:fldChar w:fldCharType="begin"/>
        </w:r>
        <w:r w:rsidR="00073927">
          <w:rPr>
            <w:noProof/>
            <w:webHidden/>
          </w:rPr>
          <w:instrText xml:space="preserve"> PAGEREF _Toc36042893 \h </w:instrText>
        </w:r>
        <w:r w:rsidR="00073927">
          <w:rPr>
            <w:noProof/>
            <w:webHidden/>
          </w:rPr>
        </w:r>
        <w:r w:rsidR="00073927">
          <w:rPr>
            <w:noProof/>
            <w:webHidden/>
          </w:rPr>
          <w:fldChar w:fldCharType="separate"/>
        </w:r>
        <w:r w:rsidR="001040E4">
          <w:rPr>
            <w:noProof/>
            <w:webHidden/>
          </w:rPr>
          <w:t>39</w:t>
        </w:r>
        <w:r w:rsidR="00073927">
          <w:rPr>
            <w:noProof/>
            <w:webHidden/>
          </w:rPr>
          <w:fldChar w:fldCharType="end"/>
        </w:r>
      </w:hyperlink>
    </w:p>
    <w:p w14:paraId="07BF8BB3" w14:textId="0E011849" w:rsidR="00073927" w:rsidRDefault="00672B9D">
      <w:pPr>
        <w:pStyle w:val="TableofFigures"/>
        <w:rPr>
          <w:rFonts w:asciiTheme="minorHAnsi" w:eastAsiaTheme="minorEastAsia" w:hAnsiTheme="minorHAnsi" w:cstheme="minorBidi"/>
          <w:noProof/>
          <w:color w:val="auto"/>
          <w:sz w:val="22"/>
          <w:szCs w:val="22"/>
        </w:rPr>
      </w:pPr>
      <w:hyperlink w:anchor="_Toc36042894" w:history="1">
        <w:r w:rsidR="00073927" w:rsidRPr="00394893">
          <w:rPr>
            <w:rStyle w:val="Hyperlink"/>
            <w:noProof/>
          </w:rPr>
          <w:t>Table 11 Excerpts from Council of Canadian Academies (2014) related to each impact mode</w:t>
        </w:r>
        <w:r w:rsidR="00073927">
          <w:rPr>
            <w:noProof/>
            <w:webHidden/>
          </w:rPr>
          <w:tab/>
        </w:r>
        <w:r w:rsidR="00073927">
          <w:rPr>
            <w:noProof/>
            <w:webHidden/>
          </w:rPr>
          <w:fldChar w:fldCharType="begin"/>
        </w:r>
        <w:r w:rsidR="00073927">
          <w:rPr>
            <w:noProof/>
            <w:webHidden/>
          </w:rPr>
          <w:instrText xml:space="preserve"> PAGEREF _Toc36042894 \h </w:instrText>
        </w:r>
        <w:r w:rsidR="00073927">
          <w:rPr>
            <w:noProof/>
            <w:webHidden/>
          </w:rPr>
        </w:r>
        <w:r w:rsidR="00073927">
          <w:rPr>
            <w:noProof/>
            <w:webHidden/>
          </w:rPr>
          <w:fldChar w:fldCharType="separate"/>
        </w:r>
        <w:r w:rsidR="001040E4">
          <w:rPr>
            <w:noProof/>
            <w:webHidden/>
          </w:rPr>
          <w:t>42</w:t>
        </w:r>
        <w:r w:rsidR="00073927">
          <w:rPr>
            <w:noProof/>
            <w:webHidden/>
          </w:rPr>
          <w:fldChar w:fldCharType="end"/>
        </w:r>
      </w:hyperlink>
    </w:p>
    <w:p w14:paraId="5A5F0B1F" w14:textId="0F3342E9" w:rsidR="00073927" w:rsidRDefault="00672B9D">
      <w:pPr>
        <w:pStyle w:val="TableofFigures"/>
        <w:rPr>
          <w:rFonts w:asciiTheme="minorHAnsi" w:eastAsiaTheme="minorEastAsia" w:hAnsiTheme="minorHAnsi" w:cstheme="minorBidi"/>
          <w:noProof/>
          <w:color w:val="auto"/>
          <w:sz w:val="22"/>
          <w:szCs w:val="22"/>
        </w:rPr>
      </w:pPr>
      <w:hyperlink w:anchor="_Toc36042895" w:history="1">
        <w:r w:rsidR="00073927" w:rsidRPr="00394893">
          <w:rPr>
            <w:rStyle w:val="Hyperlink"/>
            <w:noProof/>
          </w:rPr>
          <w:t>Table 12 Excerpts from Atherton et al. (2014) related to each impact mode</w:t>
        </w:r>
        <w:r w:rsidR="00073927">
          <w:rPr>
            <w:noProof/>
            <w:webHidden/>
          </w:rPr>
          <w:tab/>
        </w:r>
        <w:r w:rsidR="00073927">
          <w:rPr>
            <w:noProof/>
            <w:webHidden/>
          </w:rPr>
          <w:fldChar w:fldCharType="begin"/>
        </w:r>
        <w:r w:rsidR="00073927">
          <w:rPr>
            <w:noProof/>
            <w:webHidden/>
          </w:rPr>
          <w:instrText xml:space="preserve"> PAGEREF _Toc36042895 \h </w:instrText>
        </w:r>
        <w:r w:rsidR="00073927">
          <w:rPr>
            <w:noProof/>
            <w:webHidden/>
          </w:rPr>
        </w:r>
        <w:r w:rsidR="00073927">
          <w:rPr>
            <w:noProof/>
            <w:webHidden/>
          </w:rPr>
          <w:fldChar w:fldCharType="separate"/>
        </w:r>
        <w:r w:rsidR="001040E4">
          <w:rPr>
            <w:noProof/>
            <w:webHidden/>
          </w:rPr>
          <w:t>50</w:t>
        </w:r>
        <w:r w:rsidR="00073927">
          <w:rPr>
            <w:noProof/>
            <w:webHidden/>
          </w:rPr>
          <w:fldChar w:fldCharType="end"/>
        </w:r>
      </w:hyperlink>
    </w:p>
    <w:p w14:paraId="0B3A8DD7" w14:textId="19BA123C" w:rsidR="00073927" w:rsidRDefault="00672B9D">
      <w:pPr>
        <w:pStyle w:val="TableofFigures"/>
        <w:rPr>
          <w:rFonts w:asciiTheme="minorHAnsi" w:eastAsiaTheme="minorEastAsia" w:hAnsiTheme="minorHAnsi" w:cstheme="minorBidi"/>
          <w:noProof/>
          <w:color w:val="auto"/>
          <w:sz w:val="22"/>
          <w:szCs w:val="22"/>
        </w:rPr>
      </w:pPr>
      <w:hyperlink w:anchor="_Toc36042896" w:history="1">
        <w:r w:rsidR="00073927" w:rsidRPr="00394893">
          <w:rPr>
            <w:rStyle w:val="Hyperlink"/>
            <w:noProof/>
          </w:rPr>
          <w:t>Table 13 Excerpts from Pepper et al. (2018) related to each impact mode</w:t>
        </w:r>
        <w:r w:rsidR="00073927">
          <w:rPr>
            <w:noProof/>
            <w:webHidden/>
          </w:rPr>
          <w:tab/>
        </w:r>
        <w:r w:rsidR="00073927">
          <w:rPr>
            <w:noProof/>
            <w:webHidden/>
          </w:rPr>
          <w:fldChar w:fldCharType="begin"/>
        </w:r>
        <w:r w:rsidR="00073927">
          <w:rPr>
            <w:noProof/>
            <w:webHidden/>
          </w:rPr>
          <w:instrText xml:space="preserve"> PAGEREF _Toc36042896 \h </w:instrText>
        </w:r>
        <w:r w:rsidR="00073927">
          <w:rPr>
            <w:noProof/>
            <w:webHidden/>
          </w:rPr>
        </w:r>
        <w:r w:rsidR="00073927">
          <w:rPr>
            <w:noProof/>
            <w:webHidden/>
          </w:rPr>
          <w:fldChar w:fldCharType="separate"/>
        </w:r>
        <w:r w:rsidR="001040E4">
          <w:rPr>
            <w:noProof/>
            <w:webHidden/>
          </w:rPr>
          <w:t>59</w:t>
        </w:r>
        <w:r w:rsidR="00073927">
          <w:rPr>
            <w:noProof/>
            <w:webHidden/>
          </w:rPr>
          <w:fldChar w:fldCharType="end"/>
        </w:r>
      </w:hyperlink>
    </w:p>
    <w:p w14:paraId="606021F5" w14:textId="696CA1DF" w:rsidR="00073927" w:rsidRDefault="00672B9D">
      <w:pPr>
        <w:pStyle w:val="TableofFigures"/>
        <w:rPr>
          <w:rFonts w:asciiTheme="minorHAnsi" w:eastAsiaTheme="minorEastAsia" w:hAnsiTheme="minorHAnsi" w:cstheme="minorBidi"/>
          <w:noProof/>
          <w:color w:val="auto"/>
          <w:sz w:val="22"/>
          <w:szCs w:val="22"/>
        </w:rPr>
      </w:pPr>
      <w:hyperlink w:anchor="_Toc36042897" w:history="1">
        <w:r w:rsidR="00073927" w:rsidRPr="00394893">
          <w:rPr>
            <w:rStyle w:val="Hyperlink"/>
            <w:noProof/>
          </w:rPr>
          <w:t>Table 14 Excerpts from Hatton et al. (2018) related to each impact mode</w:t>
        </w:r>
        <w:r w:rsidR="00073927">
          <w:rPr>
            <w:noProof/>
            <w:webHidden/>
          </w:rPr>
          <w:tab/>
        </w:r>
        <w:r w:rsidR="00073927">
          <w:rPr>
            <w:noProof/>
            <w:webHidden/>
          </w:rPr>
          <w:fldChar w:fldCharType="begin"/>
        </w:r>
        <w:r w:rsidR="00073927">
          <w:rPr>
            <w:noProof/>
            <w:webHidden/>
          </w:rPr>
          <w:instrText xml:space="preserve"> PAGEREF _Toc36042897 \h </w:instrText>
        </w:r>
        <w:r w:rsidR="00073927">
          <w:rPr>
            <w:noProof/>
            <w:webHidden/>
          </w:rPr>
        </w:r>
        <w:r w:rsidR="00073927">
          <w:rPr>
            <w:noProof/>
            <w:webHidden/>
          </w:rPr>
          <w:fldChar w:fldCharType="separate"/>
        </w:r>
        <w:r w:rsidR="001040E4">
          <w:rPr>
            <w:noProof/>
            <w:webHidden/>
          </w:rPr>
          <w:t>65</w:t>
        </w:r>
        <w:r w:rsidR="00073927">
          <w:rPr>
            <w:noProof/>
            <w:webHidden/>
          </w:rPr>
          <w:fldChar w:fldCharType="end"/>
        </w:r>
      </w:hyperlink>
    </w:p>
    <w:p w14:paraId="63039E53" w14:textId="11E31F2A" w:rsidR="00073927" w:rsidRDefault="00672B9D">
      <w:pPr>
        <w:pStyle w:val="TableofFigures"/>
        <w:rPr>
          <w:rFonts w:asciiTheme="minorHAnsi" w:eastAsiaTheme="minorEastAsia" w:hAnsiTheme="minorHAnsi" w:cstheme="minorBidi"/>
          <w:noProof/>
          <w:color w:val="auto"/>
          <w:sz w:val="22"/>
          <w:szCs w:val="22"/>
        </w:rPr>
      </w:pPr>
      <w:hyperlink w:anchor="_Toc36042898" w:history="1">
        <w:r w:rsidR="00073927" w:rsidRPr="00394893">
          <w:rPr>
            <w:rStyle w:val="Hyperlink"/>
            <w:noProof/>
          </w:rPr>
          <w:t>Table 15 Qualitative assessment of likelihood of hydraulic fracturing impact modes from historical Cooper GBA region data</w:t>
        </w:r>
        <w:r w:rsidR="00073927">
          <w:rPr>
            <w:noProof/>
            <w:webHidden/>
          </w:rPr>
          <w:tab/>
        </w:r>
        <w:r w:rsidR="00073927">
          <w:rPr>
            <w:noProof/>
            <w:webHidden/>
          </w:rPr>
          <w:fldChar w:fldCharType="begin"/>
        </w:r>
        <w:r w:rsidR="00073927">
          <w:rPr>
            <w:noProof/>
            <w:webHidden/>
          </w:rPr>
          <w:instrText xml:space="preserve"> PAGEREF _Toc36042898 \h </w:instrText>
        </w:r>
        <w:r w:rsidR="00073927">
          <w:rPr>
            <w:noProof/>
            <w:webHidden/>
          </w:rPr>
        </w:r>
        <w:r w:rsidR="00073927">
          <w:rPr>
            <w:noProof/>
            <w:webHidden/>
          </w:rPr>
          <w:fldChar w:fldCharType="separate"/>
        </w:r>
        <w:r w:rsidR="001040E4">
          <w:rPr>
            <w:noProof/>
            <w:webHidden/>
          </w:rPr>
          <w:t>80</w:t>
        </w:r>
        <w:r w:rsidR="00073927">
          <w:rPr>
            <w:noProof/>
            <w:webHidden/>
          </w:rPr>
          <w:fldChar w:fldCharType="end"/>
        </w:r>
      </w:hyperlink>
    </w:p>
    <w:p w14:paraId="1CDDCCB1" w14:textId="2C579CFE" w:rsidR="00073927" w:rsidRDefault="00672B9D">
      <w:pPr>
        <w:pStyle w:val="TableofFigures"/>
        <w:rPr>
          <w:rFonts w:asciiTheme="minorHAnsi" w:eastAsiaTheme="minorEastAsia" w:hAnsiTheme="minorHAnsi" w:cstheme="minorBidi"/>
          <w:noProof/>
          <w:color w:val="auto"/>
          <w:sz w:val="22"/>
          <w:szCs w:val="22"/>
        </w:rPr>
      </w:pPr>
      <w:hyperlink w:anchor="_Toc36042899" w:history="1">
        <w:r w:rsidR="00073927" w:rsidRPr="00394893">
          <w:rPr>
            <w:rStyle w:val="Hyperlink"/>
            <w:noProof/>
          </w:rPr>
          <w:t>Table 16 Qualitative assessment of likelihood of well integrity impact modes from historical Cooper GBA region data</w:t>
        </w:r>
        <w:r w:rsidR="00073927">
          <w:rPr>
            <w:noProof/>
            <w:webHidden/>
          </w:rPr>
          <w:tab/>
        </w:r>
        <w:r w:rsidR="00073927">
          <w:rPr>
            <w:noProof/>
            <w:webHidden/>
          </w:rPr>
          <w:fldChar w:fldCharType="begin"/>
        </w:r>
        <w:r w:rsidR="00073927">
          <w:rPr>
            <w:noProof/>
            <w:webHidden/>
          </w:rPr>
          <w:instrText xml:space="preserve"> PAGEREF _Toc36042899 \h </w:instrText>
        </w:r>
        <w:r w:rsidR="00073927">
          <w:rPr>
            <w:noProof/>
            <w:webHidden/>
          </w:rPr>
        </w:r>
        <w:r w:rsidR="00073927">
          <w:rPr>
            <w:noProof/>
            <w:webHidden/>
          </w:rPr>
          <w:fldChar w:fldCharType="separate"/>
        </w:r>
        <w:r w:rsidR="001040E4">
          <w:rPr>
            <w:noProof/>
            <w:webHidden/>
          </w:rPr>
          <w:t>83</w:t>
        </w:r>
        <w:r w:rsidR="00073927">
          <w:rPr>
            <w:noProof/>
            <w:webHidden/>
          </w:rPr>
          <w:fldChar w:fldCharType="end"/>
        </w:r>
      </w:hyperlink>
    </w:p>
    <w:p w14:paraId="0402636B" w14:textId="7DA46B17" w:rsidR="00073927" w:rsidRDefault="00672B9D">
      <w:pPr>
        <w:pStyle w:val="TableofFigures"/>
        <w:rPr>
          <w:rFonts w:asciiTheme="minorHAnsi" w:eastAsiaTheme="minorEastAsia" w:hAnsiTheme="minorHAnsi" w:cstheme="minorBidi"/>
          <w:noProof/>
          <w:color w:val="auto"/>
          <w:sz w:val="22"/>
          <w:szCs w:val="22"/>
        </w:rPr>
      </w:pPr>
      <w:hyperlink w:anchor="_Toc36042900" w:history="1">
        <w:r w:rsidR="00073927" w:rsidRPr="00394893">
          <w:rPr>
            <w:rStyle w:val="Hyperlink"/>
            <w:noProof/>
          </w:rPr>
          <w:t>Table 17 Qualitative assessment of likelihood of hydraulic fracturing impact modes from historical Isa GBA region data</w:t>
        </w:r>
        <w:r w:rsidR="00073927">
          <w:rPr>
            <w:noProof/>
            <w:webHidden/>
          </w:rPr>
          <w:tab/>
        </w:r>
        <w:r w:rsidR="00073927">
          <w:rPr>
            <w:noProof/>
            <w:webHidden/>
          </w:rPr>
          <w:fldChar w:fldCharType="begin"/>
        </w:r>
        <w:r w:rsidR="00073927">
          <w:rPr>
            <w:noProof/>
            <w:webHidden/>
          </w:rPr>
          <w:instrText xml:space="preserve"> PAGEREF _Toc36042900 \h </w:instrText>
        </w:r>
        <w:r w:rsidR="00073927">
          <w:rPr>
            <w:noProof/>
            <w:webHidden/>
          </w:rPr>
        </w:r>
        <w:r w:rsidR="00073927">
          <w:rPr>
            <w:noProof/>
            <w:webHidden/>
          </w:rPr>
          <w:fldChar w:fldCharType="separate"/>
        </w:r>
        <w:r w:rsidR="001040E4">
          <w:rPr>
            <w:noProof/>
            <w:webHidden/>
          </w:rPr>
          <w:t>89</w:t>
        </w:r>
        <w:r w:rsidR="00073927">
          <w:rPr>
            <w:noProof/>
            <w:webHidden/>
          </w:rPr>
          <w:fldChar w:fldCharType="end"/>
        </w:r>
      </w:hyperlink>
    </w:p>
    <w:p w14:paraId="6AACAD6D" w14:textId="286E8207" w:rsidR="00073927" w:rsidRDefault="00672B9D">
      <w:pPr>
        <w:pStyle w:val="TableofFigures"/>
        <w:rPr>
          <w:rFonts w:asciiTheme="minorHAnsi" w:eastAsiaTheme="minorEastAsia" w:hAnsiTheme="minorHAnsi" w:cstheme="minorBidi"/>
          <w:noProof/>
          <w:color w:val="auto"/>
          <w:sz w:val="22"/>
          <w:szCs w:val="22"/>
        </w:rPr>
      </w:pPr>
      <w:hyperlink w:anchor="_Toc36042901" w:history="1">
        <w:r w:rsidR="00073927" w:rsidRPr="00394893">
          <w:rPr>
            <w:rStyle w:val="Hyperlink"/>
            <w:noProof/>
          </w:rPr>
          <w:t>Table 18 Line of evidence 1 qualitative assessment for Isa GBA region well integrity impact modes</w:t>
        </w:r>
        <w:r w:rsidR="00073927">
          <w:rPr>
            <w:noProof/>
            <w:webHidden/>
          </w:rPr>
          <w:tab/>
        </w:r>
        <w:r w:rsidR="00073927">
          <w:rPr>
            <w:noProof/>
            <w:webHidden/>
          </w:rPr>
          <w:fldChar w:fldCharType="begin"/>
        </w:r>
        <w:r w:rsidR="00073927">
          <w:rPr>
            <w:noProof/>
            <w:webHidden/>
          </w:rPr>
          <w:instrText xml:space="preserve"> PAGEREF _Toc36042901 \h </w:instrText>
        </w:r>
        <w:r w:rsidR="00073927">
          <w:rPr>
            <w:noProof/>
            <w:webHidden/>
          </w:rPr>
        </w:r>
        <w:r w:rsidR="00073927">
          <w:rPr>
            <w:noProof/>
            <w:webHidden/>
          </w:rPr>
          <w:fldChar w:fldCharType="separate"/>
        </w:r>
        <w:r w:rsidR="001040E4">
          <w:rPr>
            <w:noProof/>
            <w:webHidden/>
          </w:rPr>
          <w:t>93</w:t>
        </w:r>
        <w:r w:rsidR="00073927">
          <w:rPr>
            <w:noProof/>
            <w:webHidden/>
          </w:rPr>
          <w:fldChar w:fldCharType="end"/>
        </w:r>
      </w:hyperlink>
    </w:p>
    <w:p w14:paraId="7D861938" w14:textId="3F190BC6" w:rsidR="00073927" w:rsidRDefault="00672B9D">
      <w:pPr>
        <w:pStyle w:val="TableofFigures"/>
        <w:rPr>
          <w:rFonts w:asciiTheme="minorHAnsi" w:eastAsiaTheme="minorEastAsia" w:hAnsiTheme="minorHAnsi" w:cstheme="minorBidi"/>
          <w:noProof/>
          <w:color w:val="auto"/>
          <w:sz w:val="22"/>
          <w:szCs w:val="22"/>
        </w:rPr>
      </w:pPr>
      <w:hyperlink w:anchor="_Toc36042902" w:history="1">
        <w:r w:rsidR="00073927" w:rsidRPr="00394893">
          <w:rPr>
            <w:rStyle w:val="Hyperlink"/>
            <w:noProof/>
          </w:rPr>
          <w:t>Table 19 Qualitative assessment of likelihood of hydraulic fracturing impact modes from historical Beetaloo GBA region data</w:t>
        </w:r>
        <w:r w:rsidR="00073927">
          <w:rPr>
            <w:noProof/>
            <w:webHidden/>
          </w:rPr>
          <w:tab/>
        </w:r>
        <w:r w:rsidR="00073927">
          <w:rPr>
            <w:noProof/>
            <w:webHidden/>
          </w:rPr>
          <w:fldChar w:fldCharType="begin"/>
        </w:r>
        <w:r w:rsidR="00073927">
          <w:rPr>
            <w:noProof/>
            <w:webHidden/>
          </w:rPr>
          <w:instrText xml:space="preserve"> PAGEREF _Toc36042902 \h </w:instrText>
        </w:r>
        <w:r w:rsidR="00073927">
          <w:rPr>
            <w:noProof/>
            <w:webHidden/>
          </w:rPr>
        </w:r>
        <w:r w:rsidR="00073927">
          <w:rPr>
            <w:noProof/>
            <w:webHidden/>
          </w:rPr>
          <w:fldChar w:fldCharType="separate"/>
        </w:r>
        <w:r w:rsidR="001040E4">
          <w:rPr>
            <w:noProof/>
            <w:webHidden/>
          </w:rPr>
          <w:t>98</w:t>
        </w:r>
        <w:r w:rsidR="00073927">
          <w:rPr>
            <w:noProof/>
            <w:webHidden/>
          </w:rPr>
          <w:fldChar w:fldCharType="end"/>
        </w:r>
      </w:hyperlink>
    </w:p>
    <w:p w14:paraId="1C826565" w14:textId="2CDBD758" w:rsidR="00073927" w:rsidRDefault="00672B9D">
      <w:pPr>
        <w:pStyle w:val="TableofFigures"/>
        <w:rPr>
          <w:rFonts w:asciiTheme="minorHAnsi" w:eastAsiaTheme="minorEastAsia" w:hAnsiTheme="minorHAnsi" w:cstheme="minorBidi"/>
          <w:noProof/>
          <w:color w:val="auto"/>
          <w:sz w:val="22"/>
          <w:szCs w:val="22"/>
        </w:rPr>
      </w:pPr>
      <w:hyperlink w:anchor="_Toc36042903" w:history="1">
        <w:r w:rsidR="00073927" w:rsidRPr="00394893">
          <w:rPr>
            <w:rStyle w:val="Hyperlink"/>
            <w:noProof/>
          </w:rPr>
          <w:t>Table 20 Qualitative assessment of likelihood of well integrity impact modes from historical Beetaloo GBA region data</w:t>
        </w:r>
        <w:r w:rsidR="00073927">
          <w:rPr>
            <w:noProof/>
            <w:webHidden/>
          </w:rPr>
          <w:tab/>
        </w:r>
        <w:r w:rsidR="00073927">
          <w:rPr>
            <w:noProof/>
            <w:webHidden/>
          </w:rPr>
          <w:fldChar w:fldCharType="begin"/>
        </w:r>
        <w:r w:rsidR="00073927">
          <w:rPr>
            <w:noProof/>
            <w:webHidden/>
          </w:rPr>
          <w:instrText xml:space="preserve"> PAGEREF _Toc36042903 \h </w:instrText>
        </w:r>
        <w:r w:rsidR="00073927">
          <w:rPr>
            <w:noProof/>
            <w:webHidden/>
          </w:rPr>
        </w:r>
        <w:r w:rsidR="00073927">
          <w:rPr>
            <w:noProof/>
            <w:webHidden/>
          </w:rPr>
          <w:fldChar w:fldCharType="separate"/>
        </w:r>
        <w:r w:rsidR="001040E4">
          <w:rPr>
            <w:noProof/>
            <w:webHidden/>
          </w:rPr>
          <w:t>102</w:t>
        </w:r>
        <w:r w:rsidR="00073927">
          <w:rPr>
            <w:noProof/>
            <w:webHidden/>
          </w:rPr>
          <w:fldChar w:fldCharType="end"/>
        </w:r>
      </w:hyperlink>
    </w:p>
    <w:p w14:paraId="50C7390C" w14:textId="77E82F9D" w:rsidR="00821A8F" w:rsidRDefault="00821A8F" w:rsidP="00FC2CCC">
      <w:pPr>
        <w:pStyle w:val="BodyText"/>
      </w:pPr>
      <w:r>
        <w:fldChar w:fldCharType="end"/>
      </w:r>
    </w:p>
    <w:p w14:paraId="182B2C7C" w14:textId="3473CA4C" w:rsidR="00ED153C" w:rsidRDefault="00ED153C" w:rsidP="00F86C5E">
      <w:pPr>
        <w:pStyle w:val="Heading1notnumbered"/>
      </w:pPr>
      <w:bookmarkStart w:id="9" w:name="_Toc5272795"/>
      <w:bookmarkStart w:id="10" w:name="_Toc36042847"/>
      <w:r>
        <w:t>Contributors to the Program</w:t>
      </w:r>
      <w:bookmarkEnd w:id="9"/>
      <w:bookmarkEnd w:id="10"/>
    </w:p>
    <w:p w14:paraId="4B564CEA" w14:textId="3CF9B6E9" w:rsidR="00ED153C" w:rsidRDefault="00ED153C" w:rsidP="00ED153C">
      <w:pPr>
        <w:pStyle w:val="BodyText"/>
      </w:pPr>
      <w:r w:rsidRPr="006E1E52">
        <w:t xml:space="preserve">The following individuals have contributed to the </w:t>
      </w:r>
      <w:r>
        <w:t>Geological and Bioregional Assessment Program</w:t>
      </w:r>
      <w:r w:rsidRPr="005A442F">
        <w:t>.</w:t>
      </w:r>
    </w:p>
    <w:tbl>
      <w:tblPr>
        <w:tblStyle w:val="TableBAHeaderRow"/>
        <w:tblW w:w="5000" w:type="pct"/>
        <w:tblLook w:val="04A0" w:firstRow="1" w:lastRow="0" w:firstColumn="1" w:lastColumn="0" w:noHBand="0" w:noVBand="1"/>
      </w:tblPr>
      <w:tblGrid>
        <w:gridCol w:w="2709"/>
        <w:gridCol w:w="6929"/>
      </w:tblGrid>
      <w:tr w:rsidR="00C122F9" w:rsidRPr="00A633EB" w14:paraId="604EFB6B" w14:textId="77777777" w:rsidTr="001E6DB6">
        <w:trPr>
          <w:cnfStyle w:val="100000000000" w:firstRow="1" w:lastRow="0" w:firstColumn="0" w:lastColumn="0" w:oddVBand="0" w:evenVBand="0" w:oddHBand="0" w:evenHBand="0" w:firstRowFirstColumn="0" w:firstRowLastColumn="0" w:lastRowFirstColumn="0" w:lastRowLastColumn="0"/>
          <w:tblHeader/>
        </w:trPr>
        <w:tc>
          <w:tcPr>
            <w:tcW w:w="2709" w:type="dxa"/>
          </w:tcPr>
          <w:p w14:paraId="7A635E56" w14:textId="77777777" w:rsidR="00C122F9" w:rsidRPr="00A633EB" w:rsidRDefault="00C122F9" w:rsidP="001E6DB6">
            <w:pPr>
              <w:pStyle w:val="TableText"/>
            </w:pPr>
            <w:r>
              <w:t>Role or team</w:t>
            </w:r>
          </w:p>
        </w:tc>
        <w:tc>
          <w:tcPr>
            <w:tcW w:w="6929" w:type="dxa"/>
          </w:tcPr>
          <w:p w14:paraId="5127009A" w14:textId="77777777" w:rsidR="00C122F9" w:rsidRPr="00A633EB" w:rsidRDefault="00C122F9" w:rsidP="001E6DB6">
            <w:pPr>
              <w:pStyle w:val="TableText"/>
            </w:pPr>
            <w:r>
              <w:t>Contributor(s)</w:t>
            </w:r>
          </w:p>
        </w:tc>
      </w:tr>
      <w:tr w:rsidR="00C122F9" w:rsidRPr="006E1E52" w14:paraId="2268ED6E"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51103227" w14:textId="77777777" w:rsidR="00C122F9" w:rsidRPr="00EF1060" w:rsidRDefault="00C122F9" w:rsidP="001E6DB6">
            <w:pPr>
              <w:pStyle w:val="TableText"/>
            </w:pPr>
            <w:r w:rsidRPr="00EF1060">
              <w:t xml:space="preserve">Program </w:t>
            </w:r>
            <w:r>
              <w:t>D</w:t>
            </w:r>
            <w:r w:rsidRPr="00EF1060">
              <w:t>irector</w:t>
            </w:r>
          </w:p>
        </w:tc>
        <w:tc>
          <w:tcPr>
            <w:tcW w:w="6929" w:type="dxa"/>
          </w:tcPr>
          <w:p w14:paraId="7560ECCA" w14:textId="77777777" w:rsidR="00C122F9" w:rsidRPr="00EF1060" w:rsidRDefault="00C122F9" w:rsidP="001E6DB6">
            <w:pPr>
              <w:pStyle w:val="TableText"/>
            </w:pPr>
            <w:r w:rsidRPr="00EF1060">
              <w:t>Department of the Environment</w:t>
            </w:r>
            <w:r>
              <w:t xml:space="preserve"> and Energy</w:t>
            </w:r>
            <w:r w:rsidRPr="00EF1060">
              <w:t>: Anthony Swirepik</w:t>
            </w:r>
          </w:p>
        </w:tc>
      </w:tr>
      <w:tr w:rsidR="00C122F9" w:rsidRPr="006E1E52" w14:paraId="704AAC28"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2E696C1B" w14:textId="77777777" w:rsidR="00C122F9" w:rsidRPr="00EF1060" w:rsidRDefault="00C122F9" w:rsidP="001E6DB6">
            <w:pPr>
              <w:pStyle w:val="TableText"/>
            </w:pPr>
            <w:r w:rsidRPr="00EF1060">
              <w:t xml:space="preserve">Program </w:t>
            </w:r>
            <w:r>
              <w:t>Implementation Board</w:t>
            </w:r>
          </w:p>
        </w:tc>
        <w:tc>
          <w:tcPr>
            <w:tcW w:w="6929" w:type="dxa"/>
          </w:tcPr>
          <w:p w14:paraId="1D6504CD" w14:textId="77777777" w:rsidR="00C122F9" w:rsidRDefault="00C122F9" w:rsidP="001E6DB6">
            <w:pPr>
              <w:pStyle w:val="TableText"/>
            </w:pPr>
            <w:r w:rsidRPr="00EF1060">
              <w:t>Department of the Environment</w:t>
            </w:r>
            <w:r>
              <w:t xml:space="preserve"> and Energy</w:t>
            </w:r>
            <w:r w:rsidRPr="00EF1060">
              <w:t xml:space="preserve">: </w:t>
            </w:r>
            <w:r>
              <w:t>Beth Brunoro, Nicholas Post</w:t>
            </w:r>
          </w:p>
          <w:p w14:paraId="477600C4" w14:textId="77777777" w:rsidR="00C122F9" w:rsidRDefault="00C122F9" w:rsidP="001E6DB6">
            <w:pPr>
              <w:pStyle w:val="TableText"/>
            </w:pPr>
            <w:r w:rsidRPr="00EF1060">
              <w:t>Bureau of Meteorology:</w:t>
            </w:r>
            <w:r w:rsidRPr="00EF1060">
              <w:rPr>
                <w:rFonts w:eastAsia="Calibri"/>
              </w:rPr>
              <w:t xml:space="preserve"> </w:t>
            </w:r>
            <w:r w:rsidRPr="00C63051">
              <w:t>Kirsten Garwood</w:t>
            </w:r>
            <w:r>
              <w:t>, Kate Vinot</w:t>
            </w:r>
          </w:p>
          <w:p w14:paraId="1508464F" w14:textId="77777777" w:rsidR="00C122F9" w:rsidRPr="00EF1060" w:rsidRDefault="00C122F9" w:rsidP="001E6DB6">
            <w:pPr>
              <w:pStyle w:val="TableText"/>
            </w:pPr>
            <w:r w:rsidRPr="00EF1060">
              <w:t xml:space="preserve">CSIRO: </w:t>
            </w:r>
            <w:r>
              <w:t>Jane Coram</w:t>
            </w:r>
            <w:r w:rsidRPr="00EF1060">
              <w:t xml:space="preserve">, Warwick </w:t>
            </w:r>
            <w:r>
              <w:t>MacDonald</w:t>
            </w:r>
          </w:p>
          <w:p w14:paraId="797DF5C6" w14:textId="77777777" w:rsidR="00C122F9" w:rsidRPr="00EF1060" w:rsidRDefault="00C122F9" w:rsidP="001E6DB6">
            <w:pPr>
              <w:pStyle w:val="TableText"/>
            </w:pPr>
            <w:r w:rsidRPr="00EF1060">
              <w:t>Geoscience Australia: Stuart Minchin</w:t>
            </w:r>
            <w:r>
              <w:t>, Richard Blewett</w:t>
            </w:r>
          </w:p>
        </w:tc>
      </w:tr>
      <w:tr w:rsidR="00C122F9" w:rsidRPr="006E1E52" w14:paraId="5CEB4FD3"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7BBB64DA" w14:textId="77777777" w:rsidR="00C122F9" w:rsidRPr="00EF1060" w:rsidRDefault="00C122F9" w:rsidP="001E6DB6">
            <w:pPr>
              <w:pStyle w:val="TableText"/>
            </w:pPr>
            <w:r>
              <w:t>Basin Leader</w:t>
            </w:r>
          </w:p>
        </w:tc>
        <w:tc>
          <w:tcPr>
            <w:tcW w:w="6929" w:type="dxa"/>
          </w:tcPr>
          <w:p w14:paraId="5F18F5CE" w14:textId="77777777" w:rsidR="00C122F9" w:rsidRPr="00EF1060" w:rsidRDefault="00C122F9" w:rsidP="001E6DB6">
            <w:pPr>
              <w:pStyle w:val="TableText"/>
            </w:pPr>
            <w:r w:rsidRPr="00EF1060">
              <w:t xml:space="preserve">CSIRO: </w:t>
            </w:r>
            <w:r>
              <w:t>Kate Holland, Cameron Huddlestone-Holmes, Paul Wilkes</w:t>
            </w:r>
          </w:p>
          <w:p w14:paraId="5B9ACE5B" w14:textId="77777777" w:rsidR="00C122F9" w:rsidRPr="006C6762" w:rsidRDefault="00C122F9" w:rsidP="001E6DB6">
            <w:pPr>
              <w:pStyle w:val="TableText"/>
            </w:pPr>
            <w:r w:rsidRPr="00EF1060">
              <w:t>Geoscience Australia: Steven Lewis</w:t>
            </w:r>
          </w:p>
        </w:tc>
      </w:tr>
      <w:tr w:rsidR="00C122F9" w:rsidRPr="006E1E52" w14:paraId="7ACB0857"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A623887" w14:textId="77777777" w:rsidR="00C122F9" w:rsidRDefault="00C122F9" w:rsidP="001E6DB6">
            <w:pPr>
              <w:pStyle w:val="TableText"/>
            </w:pPr>
            <w:r>
              <w:t>Program management</w:t>
            </w:r>
          </w:p>
        </w:tc>
        <w:tc>
          <w:tcPr>
            <w:tcW w:w="6929" w:type="dxa"/>
          </w:tcPr>
          <w:p w14:paraId="351F7BF2" w14:textId="77777777" w:rsidR="00C122F9" w:rsidRPr="00EF1060" w:rsidRDefault="00C122F9" w:rsidP="001E6DB6">
            <w:pPr>
              <w:pStyle w:val="TableText"/>
            </w:pPr>
            <w:r w:rsidRPr="00EF1060">
              <w:t xml:space="preserve">CSIRO: </w:t>
            </w:r>
            <w:r w:rsidRPr="00592537">
              <w:t>Karen Barry</w:t>
            </w:r>
            <w:r>
              <w:t>, Emanuelle Frery, Linda Merrin,</w:t>
            </w:r>
            <w:r w:rsidRPr="00EF1060">
              <w:t xml:space="preserve"> Ruth Palmer</w:t>
            </w:r>
          </w:p>
          <w:p w14:paraId="13E2B1C8" w14:textId="77777777" w:rsidR="00C122F9" w:rsidRPr="00EF1060" w:rsidRDefault="00C122F9" w:rsidP="001E6DB6">
            <w:pPr>
              <w:pStyle w:val="TableText"/>
            </w:pPr>
            <w:r w:rsidRPr="00EF1060">
              <w:t>Department of the Environment</w:t>
            </w:r>
            <w:r>
              <w:t xml:space="preserve"> and Energy</w:t>
            </w:r>
            <w:r w:rsidRPr="00EF1060">
              <w:t xml:space="preserve">: </w:t>
            </w:r>
            <w:r>
              <w:t>Mitchell Bouma, Rod Dann,</w:t>
            </w:r>
            <w:r>
              <w:br/>
              <w:t>Andrew Stacey, David Thomas, Alex Tomlinson</w:t>
            </w:r>
          </w:p>
        </w:tc>
      </w:tr>
      <w:tr w:rsidR="00C122F9" w:rsidRPr="006E1E52" w14:paraId="5B53224C"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5A0BE4C5" w14:textId="77777777" w:rsidR="00C122F9" w:rsidRDefault="00C122F9" w:rsidP="001E6DB6">
            <w:pPr>
              <w:pStyle w:val="TableText"/>
            </w:pPr>
            <w:r>
              <w:t>P</w:t>
            </w:r>
            <w:r w:rsidRPr="00BD3175">
              <w:t>roduct integration and stakeholder engagement</w:t>
            </w:r>
          </w:p>
        </w:tc>
        <w:tc>
          <w:tcPr>
            <w:tcW w:w="6929" w:type="dxa"/>
          </w:tcPr>
          <w:p w14:paraId="15543A74" w14:textId="77777777" w:rsidR="00C122F9" w:rsidRDefault="00C122F9" w:rsidP="001E6DB6">
            <w:pPr>
              <w:pStyle w:val="TableText"/>
            </w:pPr>
            <w:r w:rsidRPr="00EF1060">
              <w:t xml:space="preserve">CSIRO: </w:t>
            </w:r>
            <w:r>
              <w:t xml:space="preserve">Clare Brandon, </w:t>
            </w:r>
            <w:r w:rsidRPr="00BD3175">
              <w:t>Justine Lacey</w:t>
            </w:r>
            <w:r>
              <w:t xml:space="preserve">, Michelle Rodriquez, Sally </w:t>
            </w:r>
            <w:r w:rsidRPr="00A266D7">
              <w:t>Tetreault</w:t>
            </w:r>
            <w:r>
              <w:t>-</w:t>
            </w:r>
            <w:r w:rsidRPr="00A266D7">
              <w:t>Campbell</w:t>
            </w:r>
          </w:p>
        </w:tc>
      </w:tr>
      <w:tr w:rsidR="00C122F9" w:rsidRPr="006E1E52" w14:paraId="3AD0334A"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1F579341" w14:textId="77777777" w:rsidR="00C122F9" w:rsidRPr="00E54329" w:rsidRDefault="00C122F9" w:rsidP="001E6DB6">
            <w:pPr>
              <w:pStyle w:val="TableText"/>
            </w:pPr>
            <w:r>
              <w:t>Analysis and visualisation</w:t>
            </w:r>
          </w:p>
        </w:tc>
        <w:tc>
          <w:tcPr>
            <w:tcW w:w="6929" w:type="dxa"/>
          </w:tcPr>
          <w:p w14:paraId="7DB8EFB0" w14:textId="77777777" w:rsidR="00C122F9" w:rsidRPr="00E54329" w:rsidRDefault="00C122F9" w:rsidP="001E6DB6">
            <w:pPr>
              <w:pStyle w:val="TableText"/>
            </w:pPr>
            <w:r>
              <w:t>CSIRO: Dennis Gonzalez, Steve Marvanek</w:t>
            </w:r>
            <w:r>
              <w:br/>
              <w:t>Geoscience Australia: Adrian Dehelean, Chris Evenden, Chris Lawson, Bianca Reese, Nigel Skeers, Murray Woods</w:t>
            </w:r>
          </w:p>
        </w:tc>
      </w:tr>
      <w:tr w:rsidR="00C122F9" w:rsidRPr="006E1E52" w14:paraId="6FBD6599"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604C7D91" w14:textId="77777777" w:rsidR="00C122F9" w:rsidRPr="00E54329" w:rsidRDefault="00C122F9" w:rsidP="001E6DB6">
            <w:pPr>
              <w:pStyle w:val="TableText"/>
            </w:pPr>
            <w:r w:rsidRPr="00E54329">
              <w:t>Basin geology and prospectivity</w:t>
            </w:r>
          </w:p>
        </w:tc>
        <w:tc>
          <w:tcPr>
            <w:tcW w:w="6929" w:type="dxa"/>
          </w:tcPr>
          <w:p w14:paraId="7179FBCA" w14:textId="77777777" w:rsidR="00C122F9" w:rsidRPr="00E54329" w:rsidRDefault="00C122F9" w:rsidP="001E6DB6">
            <w:pPr>
              <w:pStyle w:val="TableText"/>
            </w:pPr>
            <w:r w:rsidRPr="00E54329">
              <w:t>Geoscience Australia:</w:t>
            </w:r>
            <w:r w:rsidRPr="00BE15DB">
              <w:rPr>
                <w:rStyle w:val="normaltextrun1"/>
                <w:rFonts w:ascii="Calibri" w:hAnsi="Calibri" w:cs="Calibri"/>
              </w:rPr>
              <w:t xml:space="preserve"> </w:t>
            </w:r>
            <w:r w:rsidRPr="00E54329">
              <w:t>Lisa Hall</w:t>
            </w:r>
            <w:r w:rsidRPr="006C6762">
              <w:t xml:space="preserve"> (</w:t>
            </w:r>
            <w:r>
              <w:t>D</w:t>
            </w:r>
            <w:r w:rsidRPr="006C6762">
              <w:t xml:space="preserve">iscipline </w:t>
            </w:r>
            <w:r>
              <w:t>L</w:t>
            </w:r>
            <w:r w:rsidRPr="006C6762">
              <w:t>eader)</w:t>
            </w:r>
            <w:r w:rsidRPr="00E54329">
              <w:t>,</w:t>
            </w:r>
            <w:r>
              <w:t xml:space="preserve"> </w:t>
            </w:r>
            <w:r>
              <w:rPr>
                <w:rFonts w:eastAsia="Calibri"/>
              </w:rPr>
              <w:t>Adam Bailey, George Bernardel, Barry Bradshaw, Donna Cathro, Merrie-Ellen Gunning, Amber Jarrett, Megan Lech, Meredith Orr, Ryan Owens, Tehani Palu, Martin Smith, Liuqu Wang</w:t>
            </w:r>
          </w:p>
        </w:tc>
      </w:tr>
      <w:tr w:rsidR="00C122F9" w:rsidRPr="006E1E52" w14:paraId="024253BE"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FEF8A1A" w14:textId="77777777" w:rsidR="00C122F9" w:rsidRPr="00405DAD" w:rsidRDefault="00C122F9" w:rsidP="001E6DB6">
            <w:pPr>
              <w:pStyle w:val="TableText"/>
            </w:pPr>
            <w:r>
              <w:t>Chemical assessment</w:t>
            </w:r>
          </w:p>
        </w:tc>
        <w:tc>
          <w:tcPr>
            <w:tcW w:w="6929" w:type="dxa"/>
          </w:tcPr>
          <w:p w14:paraId="3391FA76" w14:textId="77777777" w:rsidR="00C122F9" w:rsidRPr="00EF1060" w:rsidRDefault="00C122F9" w:rsidP="001E6DB6">
            <w:pPr>
              <w:pStyle w:val="TableText"/>
            </w:pPr>
            <w:r>
              <w:t>CSIRO: Jason Kirby (Discipline Leader), Simon Apte, Lisa Golding, Rai Kookana,</w:t>
            </w:r>
            <w:r>
              <w:br/>
              <w:t>Dirk Mallants, Michael Williams</w:t>
            </w:r>
          </w:p>
        </w:tc>
      </w:tr>
      <w:tr w:rsidR="00C122F9" w:rsidRPr="006E1E52" w14:paraId="3CB788B5"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45934F74" w14:textId="77777777" w:rsidR="00C122F9" w:rsidRDefault="00C122F9" w:rsidP="001E6DB6">
            <w:pPr>
              <w:pStyle w:val="TableText"/>
            </w:pPr>
            <w:r w:rsidRPr="00405DAD">
              <w:t>Data management and transparency</w:t>
            </w:r>
          </w:p>
        </w:tc>
        <w:tc>
          <w:tcPr>
            <w:tcW w:w="6929" w:type="dxa"/>
          </w:tcPr>
          <w:p w14:paraId="3F5BEE28" w14:textId="77777777" w:rsidR="00C122F9" w:rsidRPr="00EF1060" w:rsidRDefault="00C122F9" w:rsidP="001E6DB6">
            <w:pPr>
              <w:pStyle w:val="TableText"/>
              <w:rPr>
                <w:rFonts w:eastAsia="Calibri"/>
              </w:rPr>
            </w:pPr>
            <w:r w:rsidRPr="00EF1060">
              <w:t>Bureau of Meteorology:</w:t>
            </w:r>
            <w:r w:rsidRPr="00EF1060">
              <w:rPr>
                <w:rFonts w:eastAsia="Calibri"/>
              </w:rPr>
              <w:t xml:space="preserve"> </w:t>
            </w:r>
            <w:r>
              <w:rPr>
                <w:rFonts w:eastAsia="Calibri"/>
              </w:rPr>
              <w:t>Andre Zerger (</w:t>
            </w:r>
            <w:r>
              <w:t>D</w:t>
            </w:r>
            <w:r w:rsidRPr="006C6762">
              <w:t xml:space="preserve">iscipline </w:t>
            </w:r>
            <w:r>
              <w:t>L</w:t>
            </w:r>
            <w:r w:rsidRPr="006C6762">
              <w:t>eader</w:t>
            </w:r>
            <w:r>
              <w:t>),</w:t>
            </w:r>
            <w:r w:rsidRPr="00EF1060">
              <w:t xml:space="preserve"> </w:t>
            </w:r>
            <w:r>
              <w:t xml:space="preserve">Derek Chen, </w:t>
            </w:r>
            <w:r>
              <w:br/>
            </w:r>
            <w:r w:rsidRPr="00F962AE">
              <w:rPr>
                <w:rFonts w:eastAsia="Calibri"/>
              </w:rPr>
              <w:t xml:space="preserve">Trevor Christie-Taylor, </w:t>
            </w:r>
            <w:r>
              <w:rPr>
                <w:rFonts w:eastAsia="Calibri"/>
              </w:rPr>
              <w:t>Donna Phillips</w:t>
            </w:r>
          </w:p>
          <w:p w14:paraId="44CC5D48" w14:textId="2D83DCB1" w:rsidR="00C122F9" w:rsidRDefault="00C122F9" w:rsidP="001E6DB6">
            <w:pPr>
              <w:pStyle w:val="TableText"/>
            </w:pPr>
            <w:r w:rsidRPr="00EF1060">
              <w:t xml:space="preserve">CSIRO: </w:t>
            </w:r>
            <w:r w:rsidRPr="00405DAD">
              <w:t>Nicholas Car</w:t>
            </w:r>
            <w:r>
              <w:t xml:space="preserve">, </w:t>
            </w:r>
            <w:r w:rsidRPr="00405DAD">
              <w:t>Philip Davies</w:t>
            </w:r>
            <w:r>
              <w:t xml:space="preserve">, </w:t>
            </w:r>
            <w:r w:rsidR="000418C1">
              <w:t xml:space="preserve">Stacey Northover, </w:t>
            </w:r>
            <w:r>
              <w:t>Matt Stenson</w:t>
            </w:r>
          </w:p>
          <w:p w14:paraId="6F236A72" w14:textId="77777777" w:rsidR="00C122F9" w:rsidRPr="00E54329" w:rsidRDefault="00C122F9" w:rsidP="001E6DB6">
            <w:pPr>
              <w:pStyle w:val="TableText"/>
            </w:pPr>
            <w:r w:rsidRPr="00EF1060">
              <w:t>Geoscience Australia: Matti Peljo</w:t>
            </w:r>
            <w:r>
              <w:t xml:space="preserve"> </w:t>
            </w:r>
          </w:p>
        </w:tc>
      </w:tr>
      <w:tr w:rsidR="00C122F9" w:rsidRPr="006E1E52" w14:paraId="431E4956"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680453CE" w14:textId="77777777" w:rsidR="00C122F9" w:rsidRPr="00EF1060" w:rsidRDefault="00C122F9" w:rsidP="001E6DB6">
            <w:pPr>
              <w:pStyle w:val="TableText"/>
            </w:pPr>
            <w:r>
              <w:t>Hydrogeology</w:t>
            </w:r>
          </w:p>
        </w:tc>
        <w:tc>
          <w:tcPr>
            <w:tcW w:w="6929" w:type="dxa"/>
          </w:tcPr>
          <w:p w14:paraId="090FEDB1" w14:textId="77777777" w:rsidR="00C122F9" w:rsidRPr="00EF1060" w:rsidRDefault="00C122F9" w:rsidP="001E6DB6">
            <w:pPr>
              <w:pStyle w:val="TableText"/>
            </w:pPr>
            <w:r w:rsidRPr="00EF1060">
              <w:t>Geoscience Australia:</w:t>
            </w:r>
            <w:r w:rsidRPr="00E54329">
              <w:t xml:space="preserve"> Tim</w:t>
            </w:r>
            <w:r>
              <w:t> </w:t>
            </w:r>
            <w:r w:rsidRPr="00E54329">
              <w:t>Ransley</w:t>
            </w:r>
            <w:r>
              <w:rPr>
                <w:rFonts w:eastAsia="Calibri"/>
              </w:rPr>
              <w:t xml:space="preserve"> (</w:t>
            </w:r>
            <w:r>
              <w:t>D</w:t>
            </w:r>
            <w:r w:rsidRPr="006C6762">
              <w:t xml:space="preserve">iscipline </w:t>
            </w:r>
            <w:r>
              <w:t>L</w:t>
            </w:r>
            <w:r w:rsidRPr="006C6762">
              <w:t>eader</w:t>
            </w:r>
            <w:r>
              <w:t>)</w:t>
            </w:r>
            <w:r w:rsidRPr="00E54329">
              <w:t>,</w:t>
            </w:r>
            <w:r>
              <w:t xml:space="preserve"> Sam Buchanan, Scott Cook, </w:t>
            </w:r>
            <w:r w:rsidRPr="00BE15DB">
              <w:rPr>
                <w:rStyle w:val="normaltextrun1"/>
                <w:rFonts w:ascii="Calibri" w:hAnsi="Calibri" w:cs="Calibri"/>
              </w:rPr>
              <w:t>Prachi Dixon-Jain</w:t>
            </w:r>
            <w:r>
              <w:rPr>
                <w:rStyle w:val="normaltextrun1"/>
                <w:rFonts w:ascii="Calibri" w:hAnsi="Calibri" w:cs="Calibri"/>
              </w:rPr>
              <w:t>, B</w:t>
            </w:r>
            <w:r>
              <w:rPr>
                <w:rStyle w:val="normaltextrun1"/>
                <w:rFonts w:cs="Calibri"/>
              </w:rPr>
              <w:t xml:space="preserve">ex Dunn, </w:t>
            </w:r>
            <w:r w:rsidRPr="00E54329">
              <w:t>Tim Ev</w:t>
            </w:r>
            <w:r>
              <w:t>a</w:t>
            </w:r>
            <w:r w:rsidRPr="00E54329">
              <w:t>ns</w:t>
            </w:r>
            <w:r>
              <w:t>,</w:t>
            </w:r>
            <w:r w:rsidRPr="00E54329">
              <w:t xml:space="preserve"> </w:t>
            </w:r>
            <w:r>
              <w:rPr>
                <w:rFonts w:cstheme="minorHAnsi"/>
              </w:rPr>
              <w:t>É</w:t>
            </w:r>
            <w:r>
              <w:t xml:space="preserve">amon Lai, Bruce Radke, </w:t>
            </w:r>
            <w:r>
              <w:br/>
            </w:r>
            <w:r w:rsidRPr="00E54329">
              <w:t xml:space="preserve">Baskaran </w:t>
            </w:r>
            <w:r w:rsidRPr="00E54329">
              <w:rPr>
                <w:rStyle w:val="normaltextrun1"/>
                <w:rFonts w:ascii="Calibri" w:hAnsi="Calibri" w:cs="Calibri"/>
              </w:rPr>
              <w:t>Sundaram</w:t>
            </w:r>
          </w:p>
        </w:tc>
      </w:tr>
      <w:tr w:rsidR="00C122F9" w:rsidRPr="006E1E52" w14:paraId="44E5D803"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7BF03E42" w14:textId="77777777" w:rsidR="00C122F9" w:rsidRPr="00EF1060" w:rsidRDefault="00C122F9" w:rsidP="001E6DB6">
            <w:pPr>
              <w:pStyle w:val="TableText"/>
            </w:pPr>
            <w:r w:rsidRPr="00BD3175">
              <w:t>Impact analysis</w:t>
            </w:r>
          </w:p>
        </w:tc>
        <w:tc>
          <w:tcPr>
            <w:tcW w:w="6929" w:type="dxa"/>
          </w:tcPr>
          <w:p w14:paraId="4A9157E5" w14:textId="77777777" w:rsidR="00C122F9" w:rsidRPr="00EF1060" w:rsidRDefault="00C122F9" w:rsidP="001E6DB6">
            <w:pPr>
              <w:pStyle w:val="TableText"/>
            </w:pPr>
            <w:r w:rsidRPr="00BD3175">
              <w:t>CSIRO: David Post</w:t>
            </w:r>
            <w:r w:rsidRPr="006C6762">
              <w:t xml:space="preserve"> (Discipline </w:t>
            </w:r>
            <w:r>
              <w:t>L</w:t>
            </w:r>
            <w:r w:rsidRPr="006C6762">
              <w:t>eader)</w:t>
            </w:r>
            <w:r w:rsidRPr="00BD3175">
              <w:t xml:space="preserve">, Brent Henderson, </w:t>
            </w:r>
            <w:r>
              <w:t>Dane Kasperczyk,</w:t>
            </w:r>
            <w:r>
              <w:br/>
            </w:r>
            <w:r w:rsidRPr="00BD3175">
              <w:t xml:space="preserve">James Kear, </w:t>
            </w:r>
            <w:r>
              <w:t>Regina Sander</w:t>
            </w:r>
          </w:p>
        </w:tc>
      </w:tr>
      <w:tr w:rsidR="00C122F9" w:rsidRPr="006E1E52" w14:paraId="61838A6B"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09CD38A" w14:textId="77777777" w:rsidR="00C122F9" w:rsidRPr="00EF1060" w:rsidRDefault="00C122F9" w:rsidP="001E6DB6">
            <w:pPr>
              <w:pStyle w:val="TableText"/>
            </w:pPr>
            <w:r w:rsidRPr="00405DAD">
              <w:t>Impacts on protected matters</w:t>
            </w:r>
          </w:p>
        </w:tc>
        <w:tc>
          <w:tcPr>
            <w:tcW w:w="6929" w:type="dxa"/>
          </w:tcPr>
          <w:p w14:paraId="5B6C36EA" w14:textId="77777777" w:rsidR="00C122F9" w:rsidRPr="00EF1060" w:rsidRDefault="00C122F9" w:rsidP="001E6DB6">
            <w:pPr>
              <w:pStyle w:val="TableText"/>
            </w:pPr>
            <w:r w:rsidRPr="00EF1060">
              <w:t xml:space="preserve">CSIRO: </w:t>
            </w:r>
            <w:r w:rsidRPr="006C6762">
              <w:t xml:space="preserve">Anthony O'Grady (Discipline </w:t>
            </w:r>
            <w:r>
              <w:t>L</w:t>
            </w:r>
            <w:r w:rsidRPr="006C6762">
              <w:t>eader),</w:t>
            </w:r>
            <w:r w:rsidRPr="00EF1060">
              <w:t xml:space="preserve"> </w:t>
            </w:r>
            <w:r>
              <w:t xml:space="preserve">Alexander Herr, </w:t>
            </w:r>
            <w:r w:rsidRPr="00EF1060">
              <w:t>Craig</w:t>
            </w:r>
            <w:r>
              <w:t xml:space="preserve"> </w:t>
            </w:r>
            <w:r w:rsidRPr="00EF1060">
              <w:t xml:space="preserve">MacFarlane, </w:t>
            </w:r>
            <w:r>
              <w:t xml:space="preserve">Justine Murray, </w:t>
            </w:r>
            <w:r w:rsidRPr="00EF1060">
              <w:t>Chris</w:t>
            </w:r>
            <w:r>
              <w:t xml:space="preserve"> Pavey, </w:t>
            </w:r>
            <w:r w:rsidRPr="00405DAD">
              <w:t>Stephen Stewart</w:t>
            </w:r>
          </w:p>
        </w:tc>
      </w:tr>
      <w:tr w:rsidR="00C122F9" w:rsidRPr="006E1E52" w14:paraId="1398019C"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0E621BCB" w14:textId="77777777" w:rsidR="00C122F9" w:rsidRDefault="00C122F9" w:rsidP="001E6DB6">
            <w:pPr>
              <w:pStyle w:val="TableText"/>
            </w:pPr>
            <w:r>
              <w:t>Spatial analysis</w:t>
            </w:r>
          </w:p>
        </w:tc>
        <w:tc>
          <w:tcPr>
            <w:tcW w:w="6929" w:type="dxa"/>
          </w:tcPr>
          <w:p w14:paraId="64D0E3F4" w14:textId="77777777" w:rsidR="00C122F9" w:rsidRDefault="00C122F9" w:rsidP="001E6DB6">
            <w:pPr>
              <w:pStyle w:val="TableText"/>
            </w:pPr>
            <w:r w:rsidRPr="00EF1060">
              <w:t xml:space="preserve">CSIRO: </w:t>
            </w:r>
            <w:r>
              <w:t>Dennis Gonzalez, Steve Marvanek</w:t>
            </w:r>
          </w:p>
          <w:p w14:paraId="3CC60419" w14:textId="77777777" w:rsidR="00C122F9" w:rsidRPr="00E54329" w:rsidRDefault="00C122F9" w:rsidP="001E6DB6">
            <w:pPr>
              <w:pStyle w:val="TableText"/>
            </w:pPr>
            <w:r w:rsidRPr="00EF1060">
              <w:t>Geoscience Australia: Adrian Dehelean</w:t>
            </w:r>
            <w:r>
              <w:t>, Murray Woods, Nigel Skeers</w:t>
            </w:r>
          </w:p>
        </w:tc>
      </w:tr>
      <w:tr w:rsidR="00C122F9" w:rsidRPr="006E1E52" w14:paraId="46BE8D97" w14:textId="77777777" w:rsidTr="001E6DB6">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49827EEF" w14:textId="77777777" w:rsidR="00C122F9" w:rsidRPr="00E54329" w:rsidRDefault="00C122F9" w:rsidP="001E6DB6">
            <w:pPr>
              <w:pStyle w:val="TableText"/>
            </w:pPr>
            <w:r w:rsidRPr="00E54329">
              <w:t>Water quantity</w:t>
            </w:r>
          </w:p>
        </w:tc>
        <w:tc>
          <w:tcPr>
            <w:tcW w:w="6929" w:type="dxa"/>
          </w:tcPr>
          <w:p w14:paraId="2E4C78AF" w14:textId="77777777" w:rsidR="00C122F9" w:rsidRPr="00E54329" w:rsidRDefault="00C122F9" w:rsidP="001E6DB6">
            <w:pPr>
              <w:pStyle w:val="TableText"/>
            </w:pPr>
            <w:r w:rsidRPr="00E54329">
              <w:t xml:space="preserve">CSIRO: Russell Crosbie (Discipline </w:t>
            </w:r>
            <w:r>
              <w:t>L</w:t>
            </w:r>
            <w:r w:rsidRPr="00E54329">
              <w:t>eader),</w:t>
            </w:r>
            <w:r>
              <w:t xml:space="preserve"> </w:t>
            </w:r>
            <w:r w:rsidRPr="00E54329">
              <w:t>Jorge Martinez Praveen</w:t>
            </w:r>
            <w:r>
              <w:t> </w:t>
            </w:r>
            <w:r w:rsidRPr="00E54329">
              <w:t>Kumar</w:t>
            </w:r>
            <w:r>
              <w:t> </w:t>
            </w:r>
            <w:r w:rsidRPr="00E54329">
              <w:t>Rachakonda, Matthias Raiber, Yongqiang Zhang, Hongxing Zheng</w:t>
            </w:r>
          </w:p>
        </w:tc>
      </w:tr>
    </w:tbl>
    <w:p w14:paraId="52EAEABA" w14:textId="77777777" w:rsidR="00C122F9" w:rsidRDefault="00C122F9" w:rsidP="00ED153C">
      <w:pPr>
        <w:pStyle w:val="BodyText"/>
      </w:pPr>
    </w:p>
    <w:p w14:paraId="72A18CCF" w14:textId="77777777" w:rsidR="00ED153C" w:rsidRDefault="00ED153C" w:rsidP="00F86C5E">
      <w:pPr>
        <w:pStyle w:val="Heading1notnumbered"/>
      </w:pPr>
      <w:bookmarkStart w:id="11" w:name="_Toc5272796"/>
      <w:bookmarkStart w:id="12" w:name="_Toc36042848"/>
      <w:r>
        <w:t>Acknowledgements</w:t>
      </w:r>
      <w:bookmarkEnd w:id="11"/>
      <w:bookmarkEnd w:id="12"/>
    </w:p>
    <w:p w14:paraId="3AA3CB4C" w14:textId="77777777" w:rsidR="00ED153C" w:rsidRDefault="00ED153C" w:rsidP="00ED153C">
      <w:pPr>
        <w:pStyle w:val="BodyText"/>
      </w:pPr>
      <w:r>
        <w:t xml:space="preserve">This technical product was reviewed by several groups: </w:t>
      </w:r>
    </w:p>
    <w:p w14:paraId="38BB043E" w14:textId="4970A620" w:rsidR="00ED153C" w:rsidRDefault="00ED153C" w:rsidP="00ED153C">
      <w:pPr>
        <w:pStyle w:val="ListBullet"/>
        <w:tabs>
          <w:tab w:val="num" w:pos="567"/>
        </w:tabs>
        <w:ind w:left="360" w:hanging="360"/>
      </w:pPr>
      <w:r>
        <w:t xml:space="preserve">Internal Peer Review Group: CSIRO: </w:t>
      </w:r>
      <w:r w:rsidR="00FD3A3B">
        <w:t>Luke Connell</w:t>
      </w:r>
      <w:r w:rsidR="0011241D">
        <w:t xml:space="preserve"> and</w:t>
      </w:r>
      <w:r w:rsidR="00FD3A3B">
        <w:t xml:space="preserve"> </w:t>
      </w:r>
      <w:r>
        <w:t xml:space="preserve">Cameron </w:t>
      </w:r>
      <w:r w:rsidRPr="00D77D40">
        <w:t>Huddlestone-Holmes</w:t>
      </w:r>
    </w:p>
    <w:p w14:paraId="799E8BFF" w14:textId="674424D6" w:rsidR="00ED153C" w:rsidRDefault="00ED153C" w:rsidP="00ED153C">
      <w:pPr>
        <w:pStyle w:val="ListBullet"/>
        <w:tabs>
          <w:tab w:val="num" w:pos="567"/>
        </w:tabs>
        <w:ind w:left="360" w:hanging="360"/>
      </w:pPr>
      <w:r>
        <w:t>Technical Peer Review Group: Andrew Boulton, Peter McC</w:t>
      </w:r>
      <w:r w:rsidRPr="00523F0B">
        <w:t xml:space="preserve">abe, </w:t>
      </w:r>
      <w:r>
        <w:t>Catherine Moore</w:t>
      </w:r>
      <w:r w:rsidR="0011241D">
        <w:t xml:space="preserve"> and</w:t>
      </w:r>
      <w:r>
        <w:t xml:space="preserve"> </w:t>
      </w:r>
      <w:r>
        <w:rPr>
          <w:lang w:val="en-US"/>
        </w:rPr>
        <w:t>Jenny Stauber</w:t>
      </w:r>
    </w:p>
    <w:p w14:paraId="526DAECC" w14:textId="05E4ABDC" w:rsidR="00ED153C" w:rsidRDefault="00ED153C" w:rsidP="00ED153C">
      <w:pPr>
        <w:pStyle w:val="ListBullet"/>
        <w:tabs>
          <w:tab w:val="num" w:pos="567"/>
        </w:tabs>
        <w:ind w:left="360" w:hanging="360"/>
      </w:pPr>
      <w:r>
        <w:t xml:space="preserve">State Government Science Technical Review: This group includes scientists from the </w:t>
      </w:r>
      <w:r w:rsidR="009A4996">
        <w:t>Northern Territory</w:t>
      </w:r>
      <w:r w:rsidR="006E7C19">
        <w:t xml:space="preserve">, </w:t>
      </w:r>
      <w:r>
        <w:t>Queensland and South Australian governments.</w:t>
      </w:r>
    </w:p>
    <w:p w14:paraId="54D79702" w14:textId="77777777" w:rsidR="00ED153C" w:rsidRDefault="00ED153C" w:rsidP="00F86C5E">
      <w:pPr>
        <w:pStyle w:val="Heading1notnumbered"/>
      </w:pPr>
      <w:bookmarkStart w:id="13" w:name="_Toc5272797"/>
      <w:bookmarkStart w:id="14" w:name="_Toc36042849"/>
      <w:r>
        <w:t xml:space="preserve">Abbreviations </w:t>
      </w:r>
      <w:r w:rsidRPr="00542B2C">
        <w:t>and acronyms</w:t>
      </w:r>
      <w:bookmarkEnd w:id="13"/>
      <w:bookmarkEnd w:id="14"/>
    </w:p>
    <w:tbl>
      <w:tblPr>
        <w:tblStyle w:val="TableBAHeaderRow"/>
        <w:tblW w:w="0" w:type="auto"/>
        <w:tblLook w:val="04A0" w:firstRow="1" w:lastRow="0" w:firstColumn="1" w:lastColumn="0" w:noHBand="0" w:noVBand="1"/>
      </w:tblPr>
      <w:tblGrid>
        <w:gridCol w:w="2125"/>
        <w:gridCol w:w="7456"/>
      </w:tblGrid>
      <w:tr w:rsidR="00ED153C" w14:paraId="72AC7FD1" w14:textId="77777777" w:rsidTr="00152BAC">
        <w:trPr>
          <w:cnfStyle w:val="100000000000" w:firstRow="1" w:lastRow="0" w:firstColumn="0" w:lastColumn="0" w:oddVBand="0" w:evenVBand="0" w:oddHBand="0" w:evenHBand="0" w:firstRowFirstColumn="0" w:firstRowLastColumn="0" w:lastRowFirstColumn="0" w:lastRowLastColumn="0"/>
          <w:tblHeader/>
        </w:trPr>
        <w:tc>
          <w:tcPr>
            <w:tcW w:w="2125" w:type="dxa"/>
          </w:tcPr>
          <w:p w14:paraId="6DC90BD4" w14:textId="77777777" w:rsidR="00ED153C" w:rsidRPr="00926E20" w:rsidRDefault="00ED153C" w:rsidP="00152BAC">
            <w:pPr>
              <w:pStyle w:val="TableHeading"/>
              <w:rPr>
                <w:b/>
              </w:rPr>
            </w:pPr>
            <w:r w:rsidRPr="00926E20">
              <w:rPr>
                <w:b/>
              </w:rPr>
              <w:t>Abbreviation/acronym</w:t>
            </w:r>
          </w:p>
        </w:tc>
        <w:tc>
          <w:tcPr>
            <w:tcW w:w="7456" w:type="dxa"/>
          </w:tcPr>
          <w:p w14:paraId="54D7B7A1" w14:textId="77777777" w:rsidR="00ED153C" w:rsidRPr="00926E20" w:rsidRDefault="00ED153C" w:rsidP="00152BAC">
            <w:pPr>
              <w:pStyle w:val="TableHeading"/>
              <w:rPr>
                <w:b/>
              </w:rPr>
            </w:pPr>
            <w:r w:rsidRPr="00926E20">
              <w:rPr>
                <w:b/>
              </w:rPr>
              <w:t>Definition</w:t>
            </w:r>
          </w:p>
        </w:tc>
      </w:tr>
      <w:tr w:rsidR="00ED153C" w14:paraId="4132C25F"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5EB05715" w14:textId="77777777" w:rsidR="00ED153C" w:rsidRDefault="00ED153C" w:rsidP="00152BAC">
            <w:pPr>
              <w:pStyle w:val="BodyText"/>
            </w:pPr>
            <w:r>
              <w:t>API</w:t>
            </w:r>
          </w:p>
        </w:tc>
        <w:tc>
          <w:tcPr>
            <w:tcW w:w="7456" w:type="dxa"/>
          </w:tcPr>
          <w:p w14:paraId="2E0998AC" w14:textId="77777777" w:rsidR="00ED153C" w:rsidRDefault="00ED153C" w:rsidP="00152BAC">
            <w:pPr>
              <w:pStyle w:val="BodyText"/>
            </w:pPr>
            <w:r>
              <w:t>American Petroleum Institute</w:t>
            </w:r>
          </w:p>
        </w:tc>
      </w:tr>
      <w:tr w:rsidR="00ED153C" w14:paraId="3F3D81D0"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53577FB7" w14:textId="77777777" w:rsidR="00ED153C" w:rsidRDefault="00ED153C" w:rsidP="00152BAC">
            <w:pPr>
              <w:pStyle w:val="BodyText"/>
            </w:pPr>
            <w:r>
              <w:t>CBL</w:t>
            </w:r>
          </w:p>
        </w:tc>
        <w:tc>
          <w:tcPr>
            <w:tcW w:w="7456" w:type="dxa"/>
          </w:tcPr>
          <w:p w14:paraId="5ECB7B13" w14:textId="77777777" w:rsidR="00ED153C" w:rsidRDefault="00ED153C" w:rsidP="00152BAC">
            <w:pPr>
              <w:pStyle w:val="BodyText"/>
            </w:pPr>
            <w:r>
              <w:t>Cement bond log</w:t>
            </w:r>
          </w:p>
        </w:tc>
      </w:tr>
      <w:tr w:rsidR="00ED153C" w14:paraId="01ECAB19"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35A9D058" w14:textId="77777777" w:rsidR="00ED153C" w:rsidRDefault="00ED153C" w:rsidP="00152BAC">
            <w:pPr>
              <w:pStyle w:val="BodyText"/>
            </w:pPr>
            <w:r>
              <w:t>CO</w:t>
            </w:r>
            <w:r w:rsidRPr="4D60921D">
              <w:rPr>
                <w:vertAlign w:val="subscript"/>
              </w:rPr>
              <w:t>2</w:t>
            </w:r>
          </w:p>
        </w:tc>
        <w:tc>
          <w:tcPr>
            <w:tcW w:w="7456" w:type="dxa"/>
          </w:tcPr>
          <w:p w14:paraId="4EAA9A42" w14:textId="77777777" w:rsidR="00ED153C" w:rsidRDefault="00ED153C" w:rsidP="00152BAC">
            <w:pPr>
              <w:pStyle w:val="BodyText"/>
            </w:pPr>
            <w:r>
              <w:t>Carbon dioxide</w:t>
            </w:r>
          </w:p>
        </w:tc>
      </w:tr>
      <w:tr w:rsidR="00ED153C" w14:paraId="2EA34CFD"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6F6C9EBE" w14:textId="77777777" w:rsidR="00ED153C" w:rsidRDefault="00ED153C" w:rsidP="00152BAC">
            <w:pPr>
              <w:pStyle w:val="BodyText"/>
            </w:pPr>
            <w:r>
              <w:t>CSG</w:t>
            </w:r>
          </w:p>
        </w:tc>
        <w:tc>
          <w:tcPr>
            <w:tcW w:w="7456" w:type="dxa"/>
          </w:tcPr>
          <w:p w14:paraId="3512D5DD" w14:textId="77777777" w:rsidR="00ED153C" w:rsidRPr="00105876" w:rsidRDefault="00ED153C" w:rsidP="00152BAC">
            <w:pPr>
              <w:pStyle w:val="BodyText"/>
            </w:pPr>
            <w:r w:rsidRPr="4D60921D">
              <w:t>Coal seam gas</w:t>
            </w:r>
          </w:p>
        </w:tc>
      </w:tr>
      <w:tr w:rsidR="00ED153C" w14:paraId="3C143861"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49CD473F" w14:textId="77777777" w:rsidR="00ED153C" w:rsidRDefault="00ED153C" w:rsidP="00152BAC">
            <w:pPr>
              <w:pStyle w:val="BodyText"/>
            </w:pPr>
            <w:r>
              <w:t>GAB</w:t>
            </w:r>
          </w:p>
        </w:tc>
        <w:tc>
          <w:tcPr>
            <w:tcW w:w="7456" w:type="dxa"/>
          </w:tcPr>
          <w:p w14:paraId="633324B6" w14:textId="77777777" w:rsidR="00ED153C" w:rsidRDefault="00ED153C" w:rsidP="00152BAC">
            <w:pPr>
              <w:pStyle w:val="BodyText"/>
            </w:pPr>
            <w:r>
              <w:t>Great Artesian Basin</w:t>
            </w:r>
          </w:p>
        </w:tc>
      </w:tr>
      <w:tr w:rsidR="00ED153C" w14:paraId="5CAF2359"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6EC3A80B" w14:textId="77777777" w:rsidR="00ED153C" w:rsidRDefault="00ED153C" w:rsidP="00152BAC">
            <w:pPr>
              <w:pStyle w:val="BodyText"/>
            </w:pPr>
            <w:r>
              <w:t>GBA</w:t>
            </w:r>
          </w:p>
        </w:tc>
        <w:tc>
          <w:tcPr>
            <w:tcW w:w="7456" w:type="dxa"/>
          </w:tcPr>
          <w:p w14:paraId="6312A0C9" w14:textId="77777777" w:rsidR="00ED153C" w:rsidRDefault="00ED153C" w:rsidP="00152BAC">
            <w:pPr>
              <w:pStyle w:val="BodyText"/>
            </w:pPr>
            <w:r>
              <w:t>Geological and Bioregional Assessment</w:t>
            </w:r>
          </w:p>
        </w:tc>
      </w:tr>
      <w:tr w:rsidR="00ED153C" w14:paraId="0C14744A" w14:textId="77777777" w:rsidTr="00152BAC">
        <w:trPr>
          <w:cnfStyle w:val="000000100000" w:firstRow="0" w:lastRow="0" w:firstColumn="0" w:lastColumn="0" w:oddVBand="0" w:evenVBand="0" w:oddHBand="1" w:evenHBand="0" w:firstRowFirstColumn="0" w:firstRowLastColumn="0" w:lastRowFirstColumn="0" w:lastRowLastColumn="0"/>
          <w:trHeight w:val="39"/>
        </w:trPr>
        <w:tc>
          <w:tcPr>
            <w:tcW w:w="2125" w:type="dxa"/>
          </w:tcPr>
          <w:p w14:paraId="45EBEF7D" w14:textId="77777777" w:rsidR="00ED153C" w:rsidRDefault="00ED153C" w:rsidP="00152BAC">
            <w:pPr>
              <w:pStyle w:val="BodyText"/>
            </w:pPr>
            <w:r>
              <w:t>IEA</w:t>
            </w:r>
          </w:p>
        </w:tc>
        <w:tc>
          <w:tcPr>
            <w:tcW w:w="7456" w:type="dxa"/>
          </w:tcPr>
          <w:p w14:paraId="074F664E" w14:textId="77777777" w:rsidR="00ED153C" w:rsidRDefault="00ED153C" w:rsidP="00152BAC">
            <w:pPr>
              <w:pStyle w:val="BodyText"/>
            </w:pPr>
            <w:r>
              <w:t>International Energy Agency</w:t>
            </w:r>
          </w:p>
        </w:tc>
      </w:tr>
      <w:tr w:rsidR="00ED153C" w14:paraId="06C44B5C" w14:textId="77777777" w:rsidTr="00152BAC">
        <w:trPr>
          <w:cnfStyle w:val="000000010000" w:firstRow="0" w:lastRow="0" w:firstColumn="0" w:lastColumn="0" w:oddVBand="0" w:evenVBand="0" w:oddHBand="0" w:evenHBand="1" w:firstRowFirstColumn="0" w:firstRowLastColumn="0" w:lastRowFirstColumn="0" w:lastRowLastColumn="0"/>
          <w:trHeight w:val="39"/>
        </w:trPr>
        <w:tc>
          <w:tcPr>
            <w:tcW w:w="2125" w:type="dxa"/>
          </w:tcPr>
          <w:p w14:paraId="07BDE5F8" w14:textId="77777777" w:rsidR="00ED153C" w:rsidRDefault="00ED153C" w:rsidP="00152BAC">
            <w:pPr>
              <w:pStyle w:val="BodyText"/>
            </w:pPr>
            <w:r>
              <w:t>ISO</w:t>
            </w:r>
          </w:p>
        </w:tc>
        <w:tc>
          <w:tcPr>
            <w:tcW w:w="7456" w:type="dxa"/>
          </w:tcPr>
          <w:p w14:paraId="1B2C1F95" w14:textId="77777777" w:rsidR="00ED153C" w:rsidRDefault="00ED153C" w:rsidP="00152BAC">
            <w:pPr>
              <w:pStyle w:val="BodyText"/>
            </w:pPr>
            <w:r>
              <w:t>International Organization for Standardization</w:t>
            </w:r>
          </w:p>
        </w:tc>
      </w:tr>
    </w:tbl>
    <w:p w14:paraId="0BC1FDEF" w14:textId="77777777" w:rsidR="00ED153C" w:rsidRDefault="00ED153C" w:rsidP="00F86C5E">
      <w:pPr>
        <w:pStyle w:val="Heading1notnumbered"/>
      </w:pPr>
      <w:bookmarkStart w:id="15" w:name="_Toc5272798"/>
      <w:bookmarkStart w:id="16" w:name="_Toc36042850"/>
      <w:r>
        <w:t>Units</w:t>
      </w:r>
      <w:bookmarkEnd w:id="15"/>
      <w:bookmarkEnd w:id="16"/>
    </w:p>
    <w:tbl>
      <w:tblPr>
        <w:tblStyle w:val="TableBAHeaderRow"/>
        <w:tblW w:w="0" w:type="auto"/>
        <w:tblLook w:val="04A0" w:firstRow="1" w:lastRow="0" w:firstColumn="1" w:lastColumn="0" w:noHBand="0" w:noVBand="1"/>
      </w:tblPr>
      <w:tblGrid>
        <w:gridCol w:w="2128"/>
        <w:gridCol w:w="7453"/>
      </w:tblGrid>
      <w:tr w:rsidR="00ED153C" w14:paraId="0A2CE25B" w14:textId="77777777" w:rsidTr="0046419F">
        <w:trPr>
          <w:cnfStyle w:val="100000000000" w:firstRow="1" w:lastRow="0" w:firstColumn="0" w:lastColumn="0" w:oddVBand="0" w:evenVBand="0" w:oddHBand="0" w:evenHBand="0" w:firstRowFirstColumn="0" w:firstRowLastColumn="0" w:lastRowFirstColumn="0" w:lastRowLastColumn="0"/>
        </w:trPr>
        <w:tc>
          <w:tcPr>
            <w:tcW w:w="2128" w:type="dxa"/>
          </w:tcPr>
          <w:p w14:paraId="2C377791" w14:textId="77777777" w:rsidR="00ED153C" w:rsidRPr="00591875" w:rsidRDefault="00ED153C" w:rsidP="00152BAC">
            <w:pPr>
              <w:pStyle w:val="TableText"/>
            </w:pPr>
            <w:r w:rsidRPr="00591875">
              <w:t>Unit</w:t>
            </w:r>
          </w:p>
        </w:tc>
        <w:tc>
          <w:tcPr>
            <w:tcW w:w="7453" w:type="dxa"/>
          </w:tcPr>
          <w:p w14:paraId="66F2C2ED" w14:textId="77777777" w:rsidR="00ED153C" w:rsidRPr="00591875" w:rsidRDefault="00ED153C" w:rsidP="00152BAC">
            <w:pPr>
              <w:pStyle w:val="TableText"/>
            </w:pPr>
            <w:r w:rsidRPr="00591875">
              <w:t>Description</w:t>
            </w:r>
          </w:p>
        </w:tc>
      </w:tr>
      <w:tr w:rsidR="00ED153C" w14:paraId="17007F7A"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76F471E1" w14:textId="768AC3EC" w:rsidR="00ED153C" w:rsidRDefault="0046419F" w:rsidP="00152BAC">
            <w:pPr>
              <w:pStyle w:val="BodyText"/>
            </w:pPr>
            <w:r>
              <w:t>mm</w:t>
            </w:r>
          </w:p>
        </w:tc>
        <w:tc>
          <w:tcPr>
            <w:tcW w:w="7453" w:type="dxa"/>
          </w:tcPr>
          <w:p w14:paraId="1AC1C71E" w14:textId="75C66C67" w:rsidR="00ED153C" w:rsidRDefault="0046419F" w:rsidP="00152BAC">
            <w:pPr>
              <w:pStyle w:val="BodyText"/>
            </w:pPr>
            <w:r>
              <w:t xml:space="preserve">millimetre </w:t>
            </w:r>
          </w:p>
        </w:tc>
      </w:tr>
      <w:tr w:rsidR="0046419F" w14:paraId="5D9B7427" w14:textId="77777777" w:rsidTr="0046419F">
        <w:trPr>
          <w:cnfStyle w:val="000000010000" w:firstRow="0" w:lastRow="0" w:firstColumn="0" w:lastColumn="0" w:oddVBand="0" w:evenVBand="0" w:oddHBand="0" w:evenHBand="1" w:firstRowFirstColumn="0" w:firstRowLastColumn="0" w:lastRowFirstColumn="0" w:lastRowLastColumn="0"/>
        </w:trPr>
        <w:tc>
          <w:tcPr>
            <w:tcW w:w="2128" w:type="dxa"/>
          </w:tcPr>
          <w:p w14:paraId="092719EE" w14:textId="1CECA6BD" w:rsidR="0046419F" w:rsidRDefault="0046419F" w:rsidP="0046419F">
            <w:pPr>
              <w:pStyle w:val="BodyText"/>
            </w:pPr>
            <w:r>
              <w:t>m</w:t>
            </w:r>
          </w:p>
        </w:tc>
        <w:tc>
          <w:tcPr>
            <w:tcW w:w="7453" w:type="dxa"/>
          </w:tcPr>
          <w:p w14:paraId="3C1A7230" w14:textId="3DC55D6D" w:rsidR="0046419F" w:rsidRDefault="0046419F" w:rsidP="0046419F">
            <w:pPr>
              <w:pStyle w:val="BodyText"/>
            </w:pPr>
            <w:r>
              <w:t xml:space="preserve">metre </w:t>
            </w:r>
          </w:p>
        </w:tc>
      </w:tr>
      <w:tr w:rsidR="0046419F" w14:paraId="69E24AF1"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2FC3D868" w14:textId="374CA803" w:rsidR="0046419F" w:rsidRDefault="0046419F" w:rsidP="0046419F">
            <w:pPr>
              <w:pStyle w:val="BodyText"/>
            </w:pPr>
            <w:r>
              <w:t>km</w:t>
            </w:r>
          </w:p>
        </w:tc>
        <w:tc>
          <w:tcPr>
            <w:tcW w:w="7453" w:type="dxa"/>
          </w:tcPr>
          <w:p w14:paraId="0751D844" w14:textId="6419BDCB" w:rsidR="0046419F" w:rsidRDefault="0046419F" w:rsidP="0046419F">
            <w:pPr>
              <w:pStyle w:val="BodyText"/>
            </w:pPr>
            <w:r>
              <w:t xml:space="preserve">kilometre </w:t>
            </w:r>
          </w:p>
        </w:tc>
      </w:tr>
      <w:tr w:rsidR="0046419F" w14:paraId="6AF6E9DC" w14:textId="77777777" w:rsidTr="0046419F">
        <w:trPr>
          <w:cnfStyle w:val="000000010000" w:firstRow="0" w:lastRow="0" w:firstColumn="0" w:lastColumn="0" w:oddVBand="0" w:evenVBand="0" w:oddHBand="0" w:evenHBand="1" w:firstRowFirstColumn="0" w:firstRowLastColumn="0" w:lastRowFirstColumn="0" w:lastRowLastColumn="0"/>
        </w:trPr>
        <w:tc>
          <w:tcPr>
            <w:tcW w:w="2128" w:type="dxa"/>
          </w:tcPr>
          <w:p w14:paraId="29620021" w14:textId="327F3071" w:rsidR="0046419F" w:rsidRDefault="0046419F" w:rsidP="0046419F">
            <w:pPr>
              <w:pStyle w:val="BodyText"/>
            </w:pPr>
            <w:r>
              <w:t>L</w:t>
            </w:r>
          </w:p>
        </w:tc>
        <w:tc>
          <w:tcPr>
            <w:tcW w:w="7453" w:type="dxa"/>
          </w:tcPr>
          <w:p w14:paraId="2FABC024" w14:textId="2C44A327" w:rsidR="0046419F" w:rsidRDefault="0046419F" w:rsidP="0046419F">
            <w:pPr>
              <w:pStyle w:val="BodyText"/>
            </w:pPr>
            <w:r>
              <w:t xml:space="preserve">litre </w:t>
            </w:r>
          </w:p>
        </w:tc>
      </w:tr>
      <w:tr w:rsidR="0046419F" w14:paraId="6517A515"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1D769363" w14:textId="7EFC041B" w:rsidR="0046419F" w:rsidRDefault="0046419F" w:rsidP="0046419F">
            <w:pPr>
              <w:pStyle w:val="BodyText"/>
            </w:pPr>
            <w:r>
              <w:t>ML</w:t>
            </w:r>
          </w:p>
        </w:tc>
        <w:tc>
          <w:tcPr>
            <w:tcW w:w="7453" w:type="dxa"/>
          </w:tcPr>
          <w:p w14:paraId="6900F72F" w14:textId="71EC1E01" w:rsidR="0046419F" w:rsidRDefault="0046419F" w:rsidP="0046419F">
            <w:pPr>
              <w:pStyle w:val="BodyText"/>
            </w:pPr>
            <w:r>
              <w:t xml:space="preserve">megalitre </w:t>
            </w:r>
          </w:p>
        </w:tc>
      </w:tr>
    </w:tbl>
    <w:p w14:paraId="558F0F32" w14:textId="77777777" w:rsidR="00ED153C" w:rsidRDefault="00ED153C" w:rsidP="009D4F35">
      <w:pPr>
        <w:pStyle w:val="Heading2notnumbered"/>
      </w:pPr>
      <w:bookmarkStart w:id="17" w:name="_Toc532984965"/>
      <w:bookmarkStart w:id="18" w:name="_Toc5272799"/>
      <w:bookmarkStart w:id="19" w:name="_Toc36042851"/>
      <w:r>
        <w:t>The Geological and Bioregional Assessment Program</w:t>
      </w:r>
      <w:bookmarkEnd w:id="17"/>
      <w:bookmarkEnd w:id="18"/>
      <w:bookmarkEnd w:id="19"/>
    </w:p>
    <w:p w14:paraId="679C656D" w14:textId="4A1857DF" w:rsidR="009E65C0" w:rsidRDefault="009E65C0" w:rsidP="009E65C0">
      <w:pPr>
        <w:pStyle w:val="BodyText"/>
      </w:pPr>
      <w:r>
        <w:t>The $35.</w:t>
      </w:r>
      <w:r w:rsidR="00361C2D">
        <w:t>4</w:t>
      </w:r>
      <w:r>
        <w:t xml:space="preserve"> million Geological and Bioregional Assessment (GBA) 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 </w:t>
      </w:r>
    </w:p>
    <w:p w14:paraId="75EC04EC" w14:textId="1964C038" w:rsidR="009E65C0" w:rsidRDefault="009E65C0" w:rsidP="009E65C0">
      <w:pPr>
        <w:pStyle w:val="BodyText"/>
      </w:pPr>
      <w:r>
        <w:t>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the Cooper GBA region in Queensland, SA and NSW; the Isa GBA region in Queensland; and the Beetaloo GBA region in NT.</w:t>
      </w:r>
      <w:r w:rsidR="0086578A">
        <w:t xml:space="preserve"> </w:t>
      </w:r>
      <w:r w:rsidR="0086578A" w:rsidRPr="00755F9D">
        <w:t>In early 2018, deep coal gas was added to the assessment for the Cooper GBA region, as this play is actively being explored by industry.</w:t>
      </w:r>
    </w:p>
    <w:p w14:paraId="7A85DB60" w14:textId="77777777" w:rsidR="009E65C0" w:rsidRDefault="009E65C0" w:rsidP="009E65C0">
      <w:pPr>
        <w:pStyle w:val="BodyText"/>
      </w:pPr>
      <w:r>
        <w:t>The Program will assess the potential impacts of selected shale and tight gas development on water and the environment and provide independent scientific advice to governments, landowners, the community, business and investors to inform decision making. Geoscience Australia and CSIRO are conducting the assessments. The Program is managed by the Department of the Environment and Energy and supported by the Bureau of Meteorology.</w:t>
      </w:r>
    </w:p>
    <w:p w14:paraId="7C3DE5A3" w14:textId="77777777" w:rsidR="009E65C0" w:rsidRDefault="009E65C0" w:rsidP="009E65C0">
      <w:pPr>
        <w:pStyle w:val="BodyText"/>
      </w:pPr>
      <w:r>
        <w:t xml:space="preserve">The Program aims to: </w:t>
      </w:r>
    </w:p>
    <w:p w14:paraId="6D9F907A" w14:textId="77777777" w:rsidR="009E65C0" w:rsidRDefault="009E65C0" w:rsidP="009E65C0">
      <w:pPr>
        <w:pStyle w:val="ListBullet"/>
      </w:pPr>
      <w:r>
        <w:t>inform government and industry and encourage exploration to bring new gas supplies to the East Coast Gas Market within five to ten years</w:t>
      </w:r>
    </w:p>
    <w:p w14:paraId="1D7698AD" w14:textId="77777777" w:rsidR="009E65C0" w:rsidRDefault="009E65C0" w:rsidP="009E65C0">
      <w:pPr>
        <w:pStyle w:val="ListBullet"/>
      </w:pPr>
      <w:r>
        <w:t>increase understanding of the potential impacts on water and the environment posed by development of shale, tight and deep coal gas resources</w:t>
      </w:r>
    </w:p>
    <w:p w14:paraId="69CBDE2A" w14:textId="77777777" w:rsidR="009E65C0" w:rsidRDefault="009E65C0" w:rsidP="009E65C0">
      <w:pPr>
        <w:pStyle w:val="ListBullet"/>
      </w:pPr>
      <w:r>
        <w:t>increase the efficiency of assessment and ongoing regulation, particularly through improved reporting and data provision/management approaches</w:t>
      </w:r>
    </w:p>
    <w:p w14:paraId="4D16EFBC" w14:textId="77777777" w:rsidR="009E65C0" w:rsidRDefault="009E65C0" w:rsidP="009E65C0">
      <w:pPr>
        <w:pStyle w:val="ListBullet"/>
      </w:pPr>
      <w:r>
        <w:t xml:space="preserve">improve community understanding of the industry. </w:t>
      </w:r>
    </w:p>
    <w:p w14:paraId="03F7F084" w14:textId="77777777" w:rsidR="009E65C0" w:rsidRDefault="009E65C0" w:rsidP="009E65C0">
      <w:pPr>
        <w:pStyle w:val="BodyText"/>
      </w:pPr>
      <w:r>
        <w:t>The Program commenced in July 2017 and comprises three stages:</w:t>
      </w:r>
    </w:p>
    <w:p w14:paraId="5F46F125" w14:textId="77777777" w:rsidR="00795397" w:rsidRPr="00795397" w:rsidRDefault="00795397" w:rsidP="00795397">
      <w:pPr>
        <w:numPr>
          <w:ilvl w:val="0"/>
          <w:numId w:val="8"/>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1 Rapid regional basin prioritisation</w:t>
      </w:r>
      <w:r w:rsidRPr="00795397">
        <w:rPr>
          <w:rFonts w:asciiTheme="minorHAnsi" w:eastAsia="Times New Roman" w:hAnsiTheme="minorHAnsi" w:cs="Arial"/>
          <w:color w:val="auto"/>
          <w:szCs w:val="20"/>
        </w:rPr>
        <w:t xml:space="preserve"> identified and prioritised geological basins with the greatest potential to deliver shale and/or tight gas to the East Coast Gas Market within the next five to ten years.  </w:t>
      </w:r>
    </w:p>
    <w:p w14:paraId="3F9E13A0" w14:textId="77777777" w:rsidR="00795397" w:rsidRPr="00795397" w:rsidRDefault="00795397" w:rsidP="00795397">
      <w:pPr>
        <w:numPr>
          <w:ilvl w:val="0"/>
          <w:numId w:val="8"/>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2 Geological and environmental baseline assessments</w:t>
      </w:r>
      <w:r w:rsidRPr="00795397">
        <w:rPr>
          <w:rFonts w:asciiTheme="minorHAnsi" w:eastAsia="Times New Roman" w:hAnsiTheme="minorHAnsi" w:cs="Arial"/>
          <w:color w:val="auto"/>
          <w:szCs w:val="20"/>
        </w:rPr>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2E63AC48" w14:textId="2BFAAEB6" w:rsidR="00795397" w:rsidRPr="00795397" w:rsidRDefault="00795397" w:rsidP="00795397">
      <w:pPr>
        <w:numPr>
          <w:ilvl w:val="0"/>
          <w:numId w:val="8"/>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3 Impact analysis and management</w:t>
      </w:r>
      <w:r w:rsidRPr="00795397">
        <w:rPr>
          <w:rFonts w:asciiTheme="minorHAnsi" w:eastAsia="Times New Roman" w:hAnsiTheme="minorHAnsi" w:cs="Arial"/>
          <w:color w:val="auto"/>
          <w:szCs w:val="20"/>
        </w:rPr>
        <w:t xml:space="preserve"> will analyse the potential impacts to water resources and matters of environmental significance to inform and support Commonwealth and State</w:t>
      </w:r>
      <w:r w:rsidR="001040E4">
        <w:rPr>
          <w:rFonts w:asciiTheme="minorHAnsi" w:eastAsia="Times New Roman" w:hAnsiTheme="minorHAnsi" w:cs="Arial"/>
          <w:color w:val="auto"/>
          <w:szCs w:val="20"/>
        </w:rPr>
        <w:t>/Territory</w:t>
      </w:r>
      <w:r w:rsidRPr="00795397">
        <w:rPr>
          <w:rFonts w:asciiTheme="minorHAnsi" w:eastAsia="Times New Roman" w:hAnsiTheme="minorHAnsi" w:cs="Arial"/>
          <w:color w:val="auto"/>
          <w:szCs w:val="20"/>
        </w:rPr>
        <w:t xml:space="preserve"> management and compliance activities.</w:t>
      </w:r>
    </w:p>
    <w:p w14:paraId="16859513" w14:textId="6CA299B6" w:rsidR="00ED153C" w:rsidRDefault="009E65C0" w:rsidP="001971EC">
      <w:pPr>
        <w:pStyle w:val="BodyText"/>
        <w:rPr>
          <w:rStyle w:val="Bold"/>
        </w:rPr>
      </w:pPr>
      <w:r>
        <w:t xml:space="preserve">The PDF of this report and the supporting technical appendices are available at </w:t>
      </w:r>
      <w:hyperlink r:id="rId29" w:history="1">
        <w:r w:rsidRPr="003F2BF7">
          <w:rPr>
            <w:rStyle w:val="Hyperlink"/>
          </w:rPr>
          <w:t>https://www.bioregionalassessments.gov.au/geological-and-bioregional-assessment-program</w:t>
        </w:r>
      </w:hyperlink>
      <w:r>
        <w:t>.</w:t>
      </w:r>
      <w:r w:rsidR="00ED153C">
        <w:rPr>
          <w:rStyle w:val="Bold"/>
        </w:rPr>
        <w:br w:type="page"/>
      </w:r>
    </w:p>
    <w:p w14:paraId="1DB4B2DA" w14:textId="77777777" w:rsidR="00ED153C" w:rsidRPr="005A442F" w:rsidRDefault="00ED153C" w:rsidP="00ED153C">
      <w:pPr>
        <w:pStyle w:val="BodyText"/>
        <w:rPr>
          <w:rStyle w:val="Bold"/>
        </w:rPr>
      </w:pPr>
      <w:r w:rsidRPr="005A442F">
        <w:rPr>
          <w:rStyle w:val="Bold"/>
        </w:rPr>
        <w:t>About this report</w:t>
      </w:r>
    </w:p>
    <w:p w14:paraId="383E0A78" w14:textId="7E0AC978" w:rsidR="00ED153C" w:rsidRDefault="00ED153C" w:rsidP="00ED153C">
      <w:pPr>
        <w:pStyle w:val="BodyText"/>
      </w:pPr>
      <w:r w:rsidRPr="0061567B">
        <w:t>In this technical appendix a review of knowledge about well integrity and hydraulic fracturing is presented</w:t>
      </w:r>
      <w:r w:rsidR="004C5C49" w:rsidRPr="0061567B">
        <w:t xml:space="preserve"> that is relevant for the Cooper, Isa and Beetaloo GBA regions</w:t>
      </w:r>
      <w:r w:rsidRPr="0061567B">
        <w:t xml:space="preserve">. It provides a </w:t>
      </w:r>
      <w:r w:rsidR="00506B2B" w:rsidRPr="0061567B">
        <w:t xml:space="preserve">qualitative </w:t>
      </w:r>
      <w:r w:rsidRPr="0061567B">
        <w:t>review of available data from historical hydraulic fracturing and relevant reviews. The structure and focus of the synthesis report and technical appendices reflect the needs of government,</w:t>
      </w:r>
      <w:r>
        <w:t xml:space="preserve"> industry, landowners and community groups.</w:t>
      </w:r>
    </w:p>
    <w:p w14:paraId="7EDFF434" w14:textId="7807380F" w:rsidR="00FA7D9B" w:rsidRPr="005A442F" w:rsidRDefault="00FA7D9B" w:rsidP="00ED153C">
      <w:pPr>
        <w:pStyle w:val="BodyText"/>
        <w:rPr>
          <w:rStyle w:val="Bold"/>
        </w:rPr>
      </w:pPr>
      <w:r w:rsidRPr="005A442F">
        <w:rPr>
          <w:rStyle w:val="Bold"/>
        </w:rPr>
        <w:t>Technical appendices</w:t>
      </w:r>
    </w:p>
    <w:p w14:paraId="6DCC4A70" w14:textId="77777777" w:rsidR="00FC64BB" w:rsidRDefault="00FC64BB" w:rsidP="00FC64BB">
      <w:pPr>
        <w:pStyle w:val="BodyText"/>
      </w:pPr>
      <w:r>
        <w:t>Other technical appendices that support the geological and environmental baseline assessment for the Cooper GBA region</w:t>
      </w:r>
      <w:r w:rsidRPr="3CE966F0">
        <w:t xml:space="preserve"> </w:t>
      </w:r>
      <w:r>
        <w:t>are</w:t>
      </w:r>
      <w:r w:rsidRPr="3CE966F0">
        <w:t>:</w:t>
      </w:r>
      <w:r>
        <w:t xml:space="preserve"> </w:t>
      </w:r>
    </w:p>
    <w:p w14:paraId="5150AE7C" w14:textId="6CE7F7B5" w:rsidR="00FC64BB" w:rsidRPr="000F70E3" w:rsidRDefault="00FC64BB" w:rsidP="000F70E3">
      <w:pPr>
        <w:pStyle w:val="ListBullet"/>
      </w:pPr>
      <w:r w:rsidRPr="000F70E3">
        <w:t>Owens R, Hall L, Smith M, Orr M, Lech M, Evans T, Skeers N, Woods M and Inskeep C (20</w:t>
      </w:r>
      <w:r w:rsidR="00795397">
        <w:t>20</w:t>
      </w:r>
      <w:r w:rsidRPr="000F70E3">
        <w:t xml:space="preserve">) Geology of the Cooper GBA region. </w:t>
      </w:r>
    </w:p>
    <w:p w14:paraId="1F42B85F" w14:textId="3368B78C" w:rsidR="00FC64BB" w:rsidRPr="000F70E3" w:rsidRDefault="00FC64BB" w:rsidP="000F70E3">
      <w:pPr>
        <w:pStyle w:val="ListBullet"/>
      </w:pPr>
      <w:r w:rsidRPr="000F70E3">
        <w:t>Lech ME, Wang L, Hall LS, Bailey A, Palu T, Owens R, Skeers N, Woods M, Dehelean A, Orr M</w:t>
      </w:r>
      <w:r w:rsidR="00A257B9">
        <w:t>L</w:t>
      </w:r>
      <w:r w:rsidRPr="000F70E3">
        <w:t>, Cathro D and Evenden C (20</w:t>
      </w:r>
      <w:r w:rsidR="00795397">
        <w:t>20</w:t>
      </w:r>
      <w:r w:rsidRPr="000F70E3">
        <w:t xml:space="preserve">) Shale, tight and deep coal gas prospectivity of the Cooper Basin. </w:t>
      </w:r>
    </w:p>
    <w:p w14:paraId="5DA7C883" w14:textId="6606E646" w:rsidR="00FC64BB" w:rsidRPr="000F70E3" w:rsidRDefault="00FC64BB" w:rsidP="000F70E3">
      <w:pPr>
        <w:pStyle w:val="ListBullet"/>
      </w:pPr>
      <w:r w:rsidRPr="000F70E3">
        <w:t>O’Grady AP, Herr A, MacFarlane CM, Merrin LE and Pavey C (20</w:t>
      </w:r>
      <w:r w:rsidR="00795397">
        <w:t>20</w:t>
      </w:r>
      <w:r w:rsidRPr="000F70E3">
        <w:t>) Protected matters for the Cooper GBA region.</w:t>
      </w:r>
    </w:p>
    <w:p w14:paraId="08C425AE" w14:textId="1C9FF42D" w:rsidR="00FC64BB" w:rsidRPr="000F70E3" w:rsidRDefault="00FC64BB" w:rsidP="000F70E3">
      <w:pPr>
        <w:pStyle w:val="ListBullet"/>
      </w:pPr>
      <w:r w:rsidRPr="000F70E3">
        <w:t>Kirby JK, Golding L, Williams M, Apte S, Mallants D and Kookana R (20</w:t>
      </w:r>
      <w:r w:rsidR="00795397">
        <w:t>20</w:t>
      </w:r>
      <w:r w:rsidRPr="000F70E3">
        <w:t xml:space="preserve">) Qualitative </w:t>
      </w:r>
      <w:r w:rsidR="00A257B9">
        <w:t xml:space="preserve">(screening) </w:t>
      </w:r>
      <w:r w:rsidRPr="000F70E3">
        <w:t xml:space="preserve">environmental risk assessment of drilling and hydraulic fracturing chemicals for the Cooper GBA region. </w:t>
      </w:r>
    </w:p>
    <w:p w14:paraId="092D2256" w14:textId="6CA83C04" w:rsidR="00C20C06" w:rsidRPr="00C20C06" w:rsidRDefault="00A257B9" w:rsidP="00C20C06">
      <w:pPr>
        <w:pStyle w:val="ListBullet"/>
        <w:rPr>
          <w:lang w:val="en-US" w:eastAsia="en-US"/>
        </w:rPr>
      </w:pPr>
      <w:r w:rsidRPr="00A257B9">
        <w:rPr>
          <w:lang w:val="en-US" w:eastAsia="en-US"/>
        </w:rPr>
        <w:t>Evans TJ, Martinez J, Lai ÉCS, Raiber M, Radke BM, Sundaram B, Ransley TR, Dehelean A, Skeers N, Woods M, Evenden C and Dunn B</w:t>
      </w:r>
      <w:r w:rsidR="008A4F21" w:rsidRPr="008A4F21">
        <w:rPr>
          <w:lang w:val="en-US" w:eastAsia="en-US"/>
        </w:rPr>
        <w:t xml:space="preserve"> (20</w:t>
      </w:r>
      <w:r w:rsidR="00795397">
        <w:rPr>
          <w:lang w:val="en-US" w:eastAsia="en-US"/>
        </w:rPr>
        <w:t>20</w:t>
      </w:r>
      <w:r w:rsidR="008A4F21" w:rsidRPr="008A4F21">
        <w:rPr>
          <w:lang w:val="en-US" w:eastAsia="en-US"/>
        </w:rPr>
        <w:t>) Hydrogeology of the Cooper GBA region</w:t>
      </w:r>
      <w:r w:rsidR="008A4F21">
        <w:rPr>
          <w:lang w:val="en-US" w:eastAsia="en-US"/>
        </w:rPr>
        <w:t>.</w:t>
      </w:r>
    </w:p>
    <w:p w14:paraId="05CAFE10" w14:textId="65651DC8" w:rsidR="008100F1" w:rsidRPr="00220112" w:rsidRDefault="008100F1" w:rsidP="008100F1">
      <w:pPr>
        <w:pStyle w:val="BodyText"/>
      </w:pPr>
      <w:r>
        <w:t>Other t</w:t>
      </w:r>
      <w:r w:rsidRPr="00220112">
        <w:t xml:space="preserve">echnical appendices that support the geological and environmental baseline assessment for the </w:t>
      </w:r>
      <w:r w:rsidR="00770EC4">
        <w:t>Isa</w:t>
      </w:r>
      <w:r w:rsidRPr="00220112">
        <w:t xml:space="preserve"> GBA region are: </w:t>
      </w:r>
    </w:p>
    <w:p w14:paraId="3F8A7E65" w14:textId="18E50F9A" w:rsidR="00E94B3D" w:rsidRDefault="00E94B3D" w:rsidP="00E94B3D">
      <w:pPr>
        <w:pStyle w:val="ListBullet"/>
      </w:pPr>
      <w:r w:rsidRPr="72010B98">
        <w:t>Orr ML, Bradshaw BE, Bernardel G, Palu TJ, Hall LS, Bailey AHE, Skeers N, Dehelean A</w:t>
      </w:r>
      <w:r>
        <w:t>, Reese B</w:t>
      </w:r>
      <w:r w:rsidRPr="72010B98">
        <w:t xml:space="preserve"> and Woods M (20</w:t>
      </w:r>
      <w:r w:rsidR="00795397">
        <w:t>20</w:t>
      </w:r>
      <w:r w:rsidRPr="72010B98">
        <w:t>) Geology of the Isa GBA region.</w:t>
      </w:r>
    </w:p>
    <w:p w14:paraId="3F1FACA7" w14:textId="558E61D0" w:rsidR="00E94B3D" w:rsidRDefault="00E94B3D" w:rsidP="00E94B3D">
      <w:pPr>
        <w:pStyle w:val="ListBullet"/>
      </w:pPr>
      <w:r w:rsidRPr="72010B98">
        <w:t>Bailey AHE, Bradshaw BE, Palu T</w:t>
      </w:r>
      <w:r w:rsidR="00B41B06">
        <w:t>J</w:t>
      </w:r>
      <w:r w:rsidRPr="72010B98">
        <w:t>, Wang L, Jarrett AJM, Orr M</w:t>
      </w:r>
      <w:r w:rsidR="00B41B06">
        <w:t>L</w:t>
      </w:r>
      <w:r w:rsidRPr="72010B98">
        <w:t xml:space="preserve">, </w:t>
      </w:r>
      <w:r>
        <w:t xml:space="preserve">Lech M, </w:t>
      </w:r>
      <w:r w:rsidRPr="72010B98">
        <w:t xml:space="preserve">Evenden C, </w:t>
      </w:r>
      <w:r>
        <w:t xml:space="preserve">Arnold D, Reese B, </w:t>
      </w:r>
      <w:r w:rsidRPr="72010B98">
        <w:t>Skeers N, Woods M, Dehelean A</w:t>
      </w:r>
      <w:r>
        <w:t>, Lawson C</w:t>
      </w:r>
      <w:r w:rsidRPr="72010B98">
        <w:t xml:space="preserve"> and Hall L</w:t>
      </w:r>
      <w:r w:rsidR="00C20C06">
        <w:t>S</w:t>
      </w:r>
      <w:r w:rsidRPr="72010B98">
        <w:t xml:space="preserve"> (20</w:t>
      </w:r>
      <w:r w:rsidR="00795397">
        <w:t>20</w:t>
      </w:r>
      <w:r w:rsidRPr="72010B98">
        <w:t xml:space="preserve">) Shale gas prospectivity </w:t>
      </w:r>
      <w:r w:rsidR="002B5E0C">
        <w:t>of</w:t>
      </w:r>
      <w:r w:rsidRPr="72010B98">
        <w:t xml:space="preserve"> the Isa GBA region. </w:t>
      </w:r>
    </w:p>
    <w:p w14:paraId="3D2F52D7" w14:textId="44151ED6" w:rsidR="00E94B3D" w:rsidRDefault="00C20C06" w:rsidP="00E94B3D">
      <w:pPr>
        <w:pStyle w:val="ListBullet"/>
      </w:pPr>
      <w:r w:rsidRPr="00C20C06">
        <w:t>Buchanan S, Dixon-Jain P, Martinez J, Raiber M, Kumar PR, Woods M, Arnold D, Dehelean A and Skeers N</w:t>
      </w:r>
      <w:r w:rsidR="00E94B3D" w:rsidRPr="72010B98">
        <w:t xml:space="preserve"> (20</w:t>
      </w:r>
      <w:r w:rsidR="00795397">
        <w:t>20</w:t>
      </w:r>
      <w:r w:rsidR="00E94B3D" w:rsidRPr="72010B98">
        <w:t xml:space="preserve">) Hydrogeology and groundwater systems of the Isa GBA region. </w:t>
      </w:r>
    </w:p>
    <w:p w14:paraId="5B89E995" w14:textId="5B96602B" w:rsidR="00E94B3D" w:rsidRDefault="00E94B3D" w:rsidP="00E94B3D">
      <w:pPr>
        <w:pStyle w:val="ListBullet"/>
      </w:pPr>
      <w:r w:rsidRPr="72010B98">
        <w:t>MacFarlane CM, Herr A, Merrin LE, O’Grady AP and Pavey C (20</w:t>
      </w:r>
      <w:r w:rsidR="00795397">
        <w:t>20</w:t>
      </w:r>
      <w:r w:rsidRPr="72010B98">
        <w:t xml:space="preserve">) Protected matters for the Isa GBA region. </w:t>
      </w:r>
    </w:p>
    <w:p w14:paraId="075D13A0" w14:textId="68F2F41F" w:rsidR="00B32870" w:rsidRDefault="00E94B3D" w:rsidP="00B32870">
      <w:pPr>
        <w:pStyle w:val="ListBullet"/>
      </w:pPr>
      <w:r w:rsidRPr="72010B98">
        <w:t>Kirby JK, Golding L, Williams M, Apte S, Mallants D and Kookana R (20</w:t>
      </w:r>
      <w:r w:rsidR="00795397">
        <w:t>20</w:t>
      </w:r>
      <w:r w:rsidRPr="72010B98">
        <w:t xml:space="preserve">) Qualitative </w:t>
      </w:r>
      <w:r w:rsidR="002F7EEB">
        <w:t xml:space="preserve">(screening) </w:t>
      </w:r>
      <w:r w:rsidRPr="72010B98">
        <w:t xml:space="preserve">environmental risk assessment of drilling and hydraulic fracturing chemicals for the Isa </w:t>
      </w:r>
      <w:r>
        <w:t>GBA region.</w:t>
      </w:r>
    </w:p>
    <w:p w14:paraId="0DEC6748" w14:textId="77777777" w:rsidR="00B32870" w:rsidRDefault="00B32870" w:rsidP="002F7EEB">
      <w:pPr>
        <w:pStyle w:val="BodyText"/>
        <w:keepNext/>
        <w:keepLines/>
      </w:pPr>
      <w:r>
        <w:t xml:space="preserve">Other technical appendices that support the geological and environmental baseline assessment for the Beetaloo </w:t>
      </w:r>
      <w:r w:rsidRPr="00A54B75">
        <w:rPr>
          <w:rFonts w:eastAsia="Times New Roman"/>
        </w:rPr>
        <w:t xml:space="preserve">GBA region are: </w:t>
      </w:r>
    </w:p>
    <w:p w14:paraId="4142EF3A" w14:textId="0EC8B8EB" w:rsidR="00B32870" w:rsidRPr="00A97A9C"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Hall LS, Wang L, Bailey AHE, Orr ML, Owens R, Jarrett, A, Lech ME, Skeers N, Reese B and Woods M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Petroleum prospectivity </w:t>
      </w:r>
      <w:r w:rsidR="00B24FC4">
        <w:rPr>
          <w:rFonts w:asciiTheme="minorHAnsi" w:eastAsia="Times New Roman" w:hAnsiTheme="minorHAnsi" w:cs="Arial"/>
          <w:color w:val="auto"/>
          <w:szCs w:val="20"/>
        </w:rPr>
        <w:t>of</w:t>
      </w:r>
      <w:r w:rsidRPr="00A97A9C">
        <w:rPr>
          <w:rFonts w:asciiTheme="minorHAnsi" w:eastAsia="Times New Roman" w:hAnsiTheme="minorHAnsi" w:cs="Arial"/>
          <w:color w:val="auto"/>
          <w:szCs w:val="20"/>
        </w:rPr>
        <w:t xml:space="preserve"> the Beetaloo Sub-basin. </w:t>
      </w:r>
    </w:p>
    <w:p w14:paraId="3FE05525" w14:textId="3820BD5B" w:rsidR="00B32870" w:rsidRPr="00A97A9C"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bookmarkStart w:id="20" w:name="_Hlk15458950"/>
      <w:r w:rsidRPr="00A97A9C">
        <w:rPr>
          <w:rFonts w:asciiTheme="minorHAnsi" w:eastAsia="Times New Roman" w:hAnsiTheme="minorHAnsi" w:cs="Arial"/>
          <w:color w:val="auto"/>
          <w:szCs w:val="20"/>
        </w:rPr>
        <w:t xml:space="preserve">Evans TJ, Radke BM, Martinez J, Buchanan S, Cook SB, Raiber M, Ransley TR, Lai </w:t>
      </w:r>
      <w:r w:rsidRPr="00A97A9C">
        <w:rPr>
          <w:rFonts w:asciiTheme="minorHAnsi" w:eastAsia="Times New Roman" w:hAnsiTheme="minorHAnsi" w:cstheme="minorHAnsi"/>
          <w:color w:val="auto"/>
          <w:szCs w:val="20"/>
        </w:rPr>
        <w:t>É</w:t>
      </w:r>
      <w:r w:rsidRPr="00A97A9C">
        <w:rPr>
          <w:rFonts w:asciiTheme="minorHAnsi" w:eastAsia="Times New Roman" w:hAnsiTheme="minorHAnsi" w:cs="Arial"/>
          <w:color w:val="auto"/>
          <w:szCs w:val="20"/>
        </w:rPr>
        <w:t>CS, Skeers N, Woods M, Evenden C, Cassel R and Dunn B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Hydrogeology of the Beetaloo GBA region. </w:t>
      </w:r>
    </w:p>
    <w:bookmarkEnd w:id="20"/>
    <w:p w14:paraId="1C2F3473" w14:textId="29D1F639" w:rsidR="00B32870" w:rsidRPr="00A97A9C"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Pavey C, Herr A, MacFarlane CM, Merrin LE and O’Grady AP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Protected matters for the Beetaloo GBA region. </w:t>
      </w:r>
    </w:p>
    <w:p w14:paraId="59FBE89B" w14:textId="48E44B2E" w:rsidR="00B32870"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Kirby JK, Golding L, Williams M, Apte S, Mallants D, King J, Otalega I and Kookana R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Qualitative </w:t>
      </w:r>
      <w:r w:rsidR="00F379D8">
        <w:rPr>
          <w:rFonts w:asciiTheme="minorHAnsi" w:eastAsia="Times New Roman" w:hAnsiTheme="minorHAnsi" w:cs="Arial"/>
          <w:color w:val="auto"/>
          <w:szCs w:val="20"/>
        </w:rPr>
        <w:t xml:space="preserve">(screening) </w:t>
      </w:r>
      <w:r w:rsidRPr="00A97A9C">
        <w:rPr>
          <w:rFonts w:asciiTheme="minorHAnsi" w:eastAsia="Times New Roman" w:hAnsiTheme="minorHAnsi" w:cs="Arial"/>
          <w:color w:val="auto"/>
          <w:szCs w:val="20"/>
        </w:rPr>
        <w:t xml:space="preserve">environmental risk assessment of drilling and hydraulic fracturing chemicals for the Beetaloo GBA region. </w:t>
      </w:r>
    </w:p>
    <w:p w14:paraId="6C299DD3" w14:textId="037E221B" w:rsidR="00564D11" w:rsidRDefault="00564D11" w:rsidP="002F7EEB">
      <w:pPr>
        <w:keepNext/>
        <w:keepLines/>
        <w:numPr>
          <w:ilvl w:val="0"/>
          <w:numId w:val="44"/>
        </w:numPr>
        <w:spacing w:before="60" w:after="60"/>
        <w:ind w:left="357" w:hanging="357"/>
        <w:rPr>
          <w:rFonts w:asciiTheme="minorHAnsi" w:eastAsia="Times New Roman" w:hAnsiTheme="minorHAnsi" w:cs="Arial"/>
          <w:color w:val="auto"/>
          <w:szCs w:val="20"/>
        </w:rPr>
      </w:pPr>
      <w:r w:rsidRPr="00564D11">
        <w:rPr>
          <w:rFonts w:asciiTheme="minorHAnsi" w:eastAsia="Times New Roman" w:hAnsiTheme="minorHAnsi" w:cs="Arial"/>
          <w:color w:val="auto"/>
          <w:szCs w:val="20"/>
        </w:rPr>
        <w:t>Orr ML, Bernardel G, Owens R, Hall LS, Skeers N, Reese B and Woods M (20</w:t>
      </w:r>
      <w:r w:rsidR="00A603F0">
        <w:rPr>
          <w:rFonts w:asciiTheme="minorHAnsi" w:eastAsia="Times New Roman" w:hAnsiTheme="minorHAnsi" w:cs="Arial"/>
          <w:color w:val="auto"/>
          <w:szCs w:val="20"/>
        </w:rPr>
        <w:t>20</w:t>
      </w:r>
      <w:r w:rsidRPr="00564D11">
        <w:rPr>
          <w:rFonts w:asciiTheme="minorHAnsi" w:eastAsia="Times New Roman" w:hAnsiTheme="minorHAnsi" w:cs="Arial"/>
          <w:color w:val="auto"/>
          <w:szCs w:val="20"/>
        </w:rPr>
        <w:t>) Geology of the Beetaloo GBA region.</w:t>
      </w:r>
    </w:p>
    <w:p w14:paraId="482D33F2" w14:textId="7240F32D" w:rsidR="00ED153C" w:rsidRDefault="00ED153C" w:rsidP="008650E5">
      <w:pPr>
        <w:pStyle w:val="BodyText"/>
      </w:pPr>
      <w:r w:rsidRPr="008650E5">
        <w:t>Maps for the Cooper GBA region and the Isa GBA region use the Map Grid of Australia (MGA) projection (zone 54) and maps for the Beetaloo GBA region use the MGA projection (zone 53) the Geocentric Datum of Australia 1994 (GDA 1994).</w:t>
      </w:r>
    </w:p>
    <w:p w14:paraId="763D1D90" w14:textId="77777777" w:rsidR="00ED153C" w:rsidRDefault="00ED153C" w:rsidP="00FC2CCC">
      <w:pPr>
        <w:pStyle w:val="BodyText"/>
      </w:pPr>
    </w:p>
    <w:p w14:paraId="42BE046F" w14:textId="69EAF81B" w:rsidR="00ED153C" w:rsidRPr="00FC2CCC" w:rsidRDefault="00ED153C" w:rsidP="00FC2CCC">
      <w:pPr>
        <w:pStyle w:val="BodyText"/>
        <w:sectPr w:rsidR="00ED153C" w:rsidRPr="00FC2CCC" w:rsidSect="004559E4">
          <w:headerReference w:type="default" r:id="rId30"/>
          <w:footerReference w:type="even" r:id="rId31"/>
          <w:footerReference w:type="default" r:id="rId32"/>
          <w:headerReference w:type="first" r:id="rId33"/>
          <w:footerReference w:type="first" r:id="rId34"/>
          <w:pgSz w:w="11906" w:h="16838" w:code="9"/>
          <w:pgMar w:top="1247" w:right="1134" w:bottom="1134" w:left="1134" w:header="510" w:footer="624" w:gutter="0"/>
          <w:pgNumType w:fmt="lowerRoman" w:start="1"/>
          <w:cols w:space="284"/>
          <w:docGrid w:linePitch="360"/>
        </w:sectPr>
      </w:pPr>
    </w:p>
    <w:p w14:paraId="775BBAD7" w14:textId="037A948F" w:rsidR="000902F6" w:rsidRPr="0020152F" w:rsidRDefault="00F1383B" w:rsidP="00152BAC">
      <w:pPr>
        <w:pStyle w:val="Heading2"/>
      </w:pPr>
      <w:bookmarkStart w:id="21" w:name="_Toc532984964"/>
      <w:bookmarkStart w:id="22" w:name="_Toc36042852"/>
      <w:bookmarkStart w:id="23" w:name="_Toc5272800"/>
      <w:bookmarkStart w:id="24" w:name="_Toc316485991"/>
      <w:bookmarkEnd w:id="8"/>
      <w:bookmarkEnd w:id="21"/>
      <w:r>
        <w:t>Causal pathway overview</w:t>
      </w:r>
      <w:r w:rsidR="002A6C8E">
        <w:t>s</w:t>
      </w:r>
      <w:r>
        <w:t xml:space="preserve"> </w:t>
      </w:r>
      <w:r w:rsidR="002A6C8E">
        <w:t>for h</w:t>
      </w:r>
      <w:r w:rsidR="7DE8E393">
        <w:t>ydraulic fracturing</w:t>
      </w:r>
      <w:r w:rsidR="0005535B">
        <w:t xml:space="preserve"> and </w:t>
      </w:r>
      <w:r>
        <w:t xml:space="preserve">compromised </w:t>
      </w:r>
      <w:r w:rsidR="0005535B">
        <w:t>well integrity</w:t>
      </w:r>
      <w:bookmarkEnd w:id="22"/>
      <w:r w:rsidR="0005535B">
        <w:t xml:space="preserve"> </w:t>
      </w:r>
      <w:bookmarkEnd w:id="23"/>
    </w:p>
    <w:p w14:paraId="21FD14FC" w14:textId="3A5E6686" w:rsidR="00626C6A" w:rsidRPr="00DD7B1E" w:rsidRDefault="00D30A98" w:rsidP="00626C6A">
      <w:pPr>
        <w:pStyle w:val="BodyText"/>
      </w:pPr>
      <w:r>
        <w:t xml:space="preserve">This technical appendix presents an initial review </w:t>
      </w:r>
      <w:r w:rsidR="00B903E1">
        <w:t xml:space="preserve">of the </w:t>
      </w:r>
      <w:r>
        <w:t xml:space="preserve">likelihoods of </w:t>
      </w:r>
      <w:r w:rsidR="005421CE">
        <w:t>causal</w:t>
      </w:r>
      <w:r>
        <w:t xml:space="preserve"> pathways relating to hydraulic fracturing operations and </w:t>
      </w:r>
      <w:r w:rsidR="0061482D">
        <w:t xml:space="preserve">compromised </w:t>
      </w:r>
      <w:r>
        <w:t>well integrity. The outcomes of this review are presented in the</w:t>
      </w:r>
      <w:r w:rsidR="00ED2760" w:rsidRPr="00ED2760">
        <w:t xml:space="preserve"> </w:t>
      </w:r>
      <w:r w:rsidR="00ED2760">
        <w:t xml:space="preserve">GBA Stage 2 </w:t>
      </w:r>
      <w:r w:rsidR="00B903E1">
        <w:t xml:space="preserve">synthesis </w:t>
      </w:r>
      <w:r w:rsidR="00ED2760">
        <w:t>reports for the Cooper, Isa and Beetaloo GBA regions</w:t>
      </w:r>
      <w:r w:rsidR="00293895">
        <w:t>. Th</w:t>
      </w:r>
      <w:r w:rsidR="00D0265F">
        <w:t>e findings of the qualitative likelihoods of impact modes relating to hydraulic frac</w:t>
      </w:r>
      <w:r w:rsidR="00AF6280">
        <w:t xml:space="preserve">turing and compromised well integrity causal pathways from this review </w:t>
      </w:r>
      <w:r>
        <w:t>serve to</w:t>
      </w:r>
      <w:r w:rsidR="003D1B3C">
        <w:t xml:space="preserve"> </w:t>
      </w:r>
      <w:r w:rsidR="00AF6280">
        <w:t xml:space="preserve">compliment </w:t>
      </w:r>
      <w:r>
        <w:t xml:space="preserve">the </w:t>
      </w:r>
      <w:r w:rsidR="00AF6280">
        <w:t xml:space="preserve">outcomes from the </w:t>
      </w:r>
      <w:r w:rsidR="00E86111">
        <w:t xml:space="preserve">Stage 2 </w:t>
      </w:r>
      <w:r>
        <w:t xml:space="preserve">hazard </w:t>
      </w:r>
      <w:r w:rsidR="00E86111">
        <w:t>prioritisation for each GBA region</w:t>
      </w:r>
      <w:r w:rsidR="0062003D">
        <w:t>.</w:t>
      </w:r>
      <w:r w:rsidR="00626C6A">
        <w:t xml:space="preserve"> This work will be followed, where applicable by a more detailed analysis of the </w:t>
      </w:r>
      <w:r w:rsidR="00E86111">
        <w:t xml:space="preserve">impact modes </w:t>
      </w:r>
      <w:r w:rsidR="00F1383B">
        <w:t xml:space="preserve">prioritised </w:t>
      </w:r>
      <w:r w:rsidR="00626C6A">
        <w:t xml:space="preserve">for each </w:t>
      </w:r>
      <w:r w:rsidR="00F1383B">
        <w:t>GBA region</w:t>
      </w:r>
      <w:r w:rsidR="00626C6A">
        <w:t xml:space="preserve"> in Stage 3.</w:t>
      </w:r>
    </w:p>
    <w:p w14:paraId="76C93CDE" w14:textId="2C68EEC4" w:rsidR="00D30A98" w:rsidRDefault="00D30A98" w:rsidP="00D30A98">
      <w:pPr>
        <w:pStyle w:val="BodyText"/>
      </w:pPr>
      <w:r w:rsidRPr="005A442F">
        <w:t>The subsurface flow</w:t>
      </w:r>
      <w:r w:rsidR="007E4A66" w:rsidRPr="005A442F">
        <w:t>paths</w:t>
      </w:r>
      <w:r w:rsidRPr="005A442F">
        <w:t xml:space="preserve"> causal pathways relating to hydraulic fracturing operations and </w:t>
      </w:r>
      <w:r w:rsidR="00FF43D5" w:rsidRPr="005A442F">
        <w:t>well integrity</w:t>
      </w:r>
      <w:r w:rsidR="00662B24" w:rsidRPr="005A442F">
        <w:t xml:space="preserve"> considered in this technical appendix</w:t>
      </w:r>
      <w:r w:rsidR="00FF43D5" w:rsidRPr="005A442F">
        <w:t xml:space="preserve"> </w:t>
      </w:r>
      <w:r w:rsidRPr="005A442F">
        <w:t xml:space="preserve">are similar in concept to those considered in the </w:t>
      </w:r>
      <w:r w:rsidR="00E90A06" w:rsidRPr="005A442F">
        <w:t xml:space="preserve">conceptual modelling for the </w:t>
      </w:r>
      <w:r w:rsidRPr="005A442F">
        <w:t xml:space="preserve">Bioregional Assessment </w:t>
      </w:r>
      <w:r w:rsidR="00E90A06" w:rsidRPr="005A442F">
        <w:t>Program</w:t>
      </w:r>
      <w:r w:rsidR="00223B95">
        <w:t xml:space="preserve"> </w:t>
      </w:r>
      <w:r w:rsidR="00223B95" w:rsidRPr="00223B95">
        <w:fldChar w:fldCharType="begin" w:fldLock="1"/>
      </w:r>
      <w:r w:rsidR="0057362C">
        <w:instrText>ADDIN CSL_CITATION {"citationItems":[{"id":"ITEM-1","itemData":{"ISBN":"9781925315424","author":[{"dropping-particle":"","family":"Henderson","given":"B. L.","non-dropping-particle":"","parse-names":false,"suffix":""},{"dropping-particle":"","family":"Hayes","given":"K. R.","non-dropping-particle":"","parse-names":false,"suffix":""},{"dropping-particle":"","family":"Mount","given":"R.","non-dropping-particle":"","parse-names":false,"suffix":""},{"dropping-particle":"","family":"Schmidt","given":"R. K.","non-dropping-particle":"","parse-names":false,"suffix":""},{"dropping-particle":"","family":"O'Grady","given":"A.","non-dropping-particle":"","parse-names":false,"suffix":""},{"dropping-particle":"","family":"Lewis","given":"S.","non-dropping-particle":"","parse-names":false,"suffix":""},{"dropping-particle":"","family":"Holland","given":"K.","non-dropping-particle":"","parse-names":false,"suffix":""},{"dropping-particle":"","family":"Dambacher","given":"J","non-dropping-particle":"","parse-names":false,"suffix":""},{"dropping-particle":"","family":"Barry","given":"S.","non-dropping-particle":"","parse-names":false,"suffix":""},{"dropping-particle":"","family":"Raiber","given":"M.","non-dropping-particle":"","parse-names":false,"suffix":""}],"id":"ITEM-1","issue":"March","issued":{"date-parts":[["2016"]]},"publisher":"Department of the Environment and Energy, Bureau of Meteorology, CSIRO and Geoscience Australia","publisher-place":"Australia","title":"Developing the conceptual model of causal pathways. Submethodology M05 from the Bioregional Assesment Technical Programme","type":"book"},"uris":["http://www.mendeley.com/documents/?uuid=e621b553-2f33-4781-b7fd-d05b6fdc7b19"]}],"mendeley":{"formattedCitation":"(Henderson &lt;i&gt;et al.&lt;/i&gt;, 2016)","plainTextFormattedCitation":"(Henderson et al., 2016)","previouslyFormattedCitation":"(Henderson &lt;i&gt;et al.&lt;/i&gt;, 2016)"},"properties":{"noteIndex":0},"schema":"https://github.com/citation-style-language/schema/raw/master/csl-citation.json"}</w:instrText>
      </w:r>
      <w:r w:rsidR="00223B95" w:rsidRPr="00223B95">
        <w:fldChar w:fldCharType="separate"/>
      </w:r>
      <w:r w:rsidR="00223B95" w:rsidRPr="00223B95">
        <w:rPr>
          <w:noProof/>
        </w:rPr>
        <w:t>(Henderson et al., 2016)</w:t>
      </w:r>
      <w:r w:rsidR="00223B95" w:rsidRPr="00223B95">
        <w:fldChar w:fldCharType="end"/>
      </w:r>
      <w:r w:rsidR="00936B57" w:rsidRPr="00223B95">
        <w:t>.</w:t>
      </w:r>
    </w:p>
    <w:p w14:paraId="13775AE2" w14:textId="488D0AE7" w:rsidR="008A25BA" w:rsidRPr="00F379D8" w:rsidRDefault="002F5E96" w:rsidP="00F379D8">
      <w:pPr>
        <w:pStyle w:val="Heading3"/>
      </w:pPr>
      <w:bookmarkStart w:id="25" w:name="_Toc5272801"/>
      <w:bookmarkStart w:id="26" w:name="_Toc36042853"/>
      <w:r w:rsidRPr="00F379D8">
        <w:t>Hydraulic</w:t>
      </w:r>
      <w:r w:rsidR="008A25BA" w:rsidRPr="00F379D8">
        <w:t xml:space="preserve"> </w:t>
      </w:r>
      <w:r w:rsidR="007E4A66" w:rsidRPr="00F379D8">
        <w:t>f</w:t>
      </w:r>
      <w:r w:rsidR="008A25BA" w:rsidRPr="00F379D8">
        <w:t>ract</w:t>
      </w:r>
      <w:r w:rsidRPr="00F379D8">
        <w:t>ur</w:t>
      </w:r>
      <w:r w:rsidR="006317ED" w:rsidRPr="00F379D8">
        <w:t xml:space="preserve">ing </w:t>
      </w:r>
      <w:r w:rsidRPr="00F379D8">
        <w:t xml:space="preserve">– </w:t>
      </w:r>
      <w:r w:rsidR="007E4A66" w:rsidRPr="00F379D8">
        <w:t>c</w:t>
      </w:r>
      <w:r w:rsidR="006317ED" w:rsidRPr="00F379D8">
        <w:t xml:space="preserve">ausal </w:t>
      </w:r>
      <w:r w:rsidR="007E4A66" w:rsidRPr="00F379D8">
        <w:t>p</w:t>
      </w:r>
      <w:r w:rsidR="006317ED" w:rsidRPr="00F379D8">
        <w:t xml:space="preserve">athway </w:t>
      </w:r>
      <w:r w:rsidR="007E4A66" w:rsidRPr="00F379D8">
        <w:t>o</w:t>
      </w:r>
      <w:r w:rsidRPr="00F379D8">
        <w:t>verview</w:t>
      </w:r>
      <w:bookmarkEnd w:id="25"/>
      <w:bookmarkEnd w:id="26"/>
    </w:p>
    <w:p w14:paraId="12BA0C49" w14:textId="2A1A0126" w:rsidR="00A733D4" w:rsidRDefault="00A733D4" w:rsidP="00A733D4">
      <w:pPr>
        <w:pStyle w:val="BodyText"/>
      </w:pPr>
      <w:r>
        <w:t xml:space="preserve">Hydraulic fracture stimulation is used to increase the productivity of a petroleum well by injecting fluid at sufficient pressure and flow rate to propagate hydraulic fractures </w:t>
      </w:r>
      <w:r w:rsidR="00207A02">
        <w:t>into the reservoir. Once the hydraulic fracture fluid pressure is released at the end of the treatment, p</w:t>
      </w:r>
      <w:r>
        <w:t xml:space="preserve">roppant (sand, or artificial ceramics) </w:t>
      </w:r>
      <w:r w:rsidR="00207A02">
        <w:t xml:space="preserve">remains in the created hydraulic fractures </w:t>
      </w:r>
      <w:r>
        <w:t>to increase the effective permeability in the reservoir and ultimately the flow of gas to the well.</w:t>
      </w:r>
    </w:p>
    <w:p w14:paraId="6358463E" w14:textId="70A85F8D" w:rsidR="00C37051" w:rsidRDefault="00A37D1D" w:rsidP="00C37051">
      <w:pPr>
        <w:pStyle w:val="BodyText"/>
      </w:pPr>
      <w:r>
        <w:t xml:space="preserve">The hydraulic fracture stimulation </w:t>
      </w:r>
      <w:r w:rsidR="00FC4554">
        <w:t xml:space="preserve">techniques applied </w:t>
      </w:r>
      <w:r>
        <w:t xml:space="preserve">to </w:t>
      </w:r>
      <w:r w:rsidR="00FC4554">
        <w:t xml:space="preserve">produce </w:t>
      </w:r>
      <w:r w:rsidR="0069500B">
        <w:t>shale and tight gas</w:t>
      </w:r>
      <w:r w:rsidR="003C7AE2">
        <w:t xml:space="preserve"> ha</w:t>
      </w:r>
      <w:r w:rsidR="00804DBA">
        <w:t>ve</w:t>
      </w:r>
      <w:r w:rsidR="003C7AE2">
        <w:t xml:space="preserve"> advanced </w:t>
      </w:r>
      <w:r w:rsidR="00B80F60">
        <w:t xml:space="preserve">over recent years and </w:t>
      </w:r>
      <w:r>
        <w:t>build upon technologies and processes invented for exploiting conventional oil and gas resources</w:t>
      </w:r>
      <w:r w:rsidR="00B80F60">
        <w:t xml:space="preserve"> </w:t>
      </w:r>
      <w:r w:rsidR="00B80F60">
        <w:fldChar w:fldCharType="begin" w:fldLock="1"/>
      </w:r>
      <w:r w:rsidR="0000789E">
        <w:instrText>ADDIN CSL_CITATION {"citationItems":[{"id":"ITEM-1","itemData":{"ISBN":"0324589980","author":[{"dropping-particle":"","family":"Golden","given":"John M.","non-dropping-particle":"","parse-names":false,"suffix":""},{"dropping-particle":"","family":"Wiseman","given":"Hannah J.","non-dropping-particle":"","parse-names":false,"suffix":""}],"container-title":"Emory Law Journal","id":"ITEM-1","issue":"4","issued":{"date-parts":[["2015"]]},"page":"955-1040","title":"The Fracking Revolution: Shale Gas as a Case Study in Innovation Policy","type":"article-journal","volume":"64"},"uris":["http://www.mendeley.com/documents/?uuid=907550e9-70a6-4973-810f-1f8ba2855030"]},{"id":"ITEM-2","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-2","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Australia","type":"report"},"uris":["http://www.mendeley.com/documents/?uuid=32ed3f8b-df2b-455c-b952-5cb4981ce635"]}],"mendeley":{"formattedCitation":"(Golden and Wiseman, 2015; Hatton &lt;i&gt;et al.&lt;/i&gt;, 2018)","plainTextFormattedCitation":"(Golden and Wiseman, 2015; Hatton et al., 2018)","previouslyFormattedCitation":"(Golden and Wiseman, 2015; Hatton &lt;i&gt;et al.&lt;/i&gt;, 2018)"},"properties":{"noteIndex":0},"schema":"https://github.com/citation-style-language/schema/raw/master/csl-citation.json"}</w:instrText>
      </w:r>
      <w:r w:rsidR="00B80F60">
        <w:fldChar w:fldCharType="separate"/>
      </w:r>
      <w:r w:rsidR="005E66D4" w:rsidRPr="005E66D4">
        <w:rPr>
          <w:noProof/>
        </w:rPr>
        <w:t xml:space="preserve">(Golden and Wiseman, 2015; Hatton </w:t>
      </w:r>
      <w:r w:rsidR="005E66D4" w:rsidRPr="005A442F">
        <w:rPr>
          <w:noProof/>
        </w:rPr>
        <w:t>et al.</w:t>
      </w:r>
      <w:r w:rsidR="005E66D4" w:rsidRPr="005E66D4">
        <w:rPr>
          <w:noProof/>
        </w:rPr>
        <w:t>, 2018)</w:t>
      </w:r>
      <w:r w:rsidR="00B80F60">
        <w:fldChar w:fldCharType="end"/>
      </w:r>
      <w:r w:rsidR="00B80F60">
        <w:t>.</w:t>
      </w:r>
      <w:r>
        <w:t xml:space="preserve"> </w:t>
      </w:r>
      <w:r w:rsidR="0020636A">
        <w:t xml:space="preserve">In all cases the design objective is to create fractures in the target </w:t>
      </w:r>
      <w:r w:rsidR="00207A02">
        <w:t>interval</w:t>
      </w:r>
      <w:r w:rsidR="0020636A">
        <w:t xml:space="preserve"> of oil and gas-bearing rock that maximise the flow of gas to the well </w:t>
      </w:r>
      <w:r w:rsidR="0020636A">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20636A">
        <w:fldChar w:fldCharType="separate"/>
      </w:r>
      <w:r w:rsidR="005E66D4" w:rsidRPr="005E66D4">
        <w:rPr>
          <w:noProof/>
        </w:rPr>
        <w:t xml:space="preserve">(Hatton </w:t>
      </w:r>
      <w:r w:rsidR="005E66D4" w:rsidRPr="005E66D4">
        <w:rPr>
          <w:i/>
          <w:noProof/>
        </w:rPr>
        <w:t>et al.</w:t>
      </w:r>
      <w:r w:rsidR="005E66D4" w:rsidRPr="005E66D4">
        <w:rPr>
          <w:noProof/>
        </w:rPr>
        <w:t>, 2018)</w:t>
      </w:r>
      <w:r w:rsidR="0020636A">
        <w:fldChar w:fldCharType="end"/>
      </w:r>
      <w:r w:rsidR="0014340E" w:rsidRPr="005A442F">
        <w:t>.</w:t>
      </w:r>
    </w:p>
    <w:p w14:paraId="3D6AD7C9" w14:textId="3C88E59A" w:rsidR="0074574C" w:rsidRDefault="00C37051" w:rsidP="00C37051">
      <w:pPr>
        <w:pStyle w:val="BodyText"/>
      </w:pPr>
      <w:r>
        <w:t xml:space="preserve">Over the last decade, the potential environmental risks of hydraulic fracturing have been the focus of active discussion and investigation across industry, government and academic agencies. This recent focus on hydraulic fracturing of shale and coal seam gas wells has led to the commissioning of a number of significant domestic and international scientific inquiries to investigate potential impacts of hydraulic fracturing and related onshore petroleum development activities. The findings of these inquiries relating to the likelihood of impact modes from the </w:t>
      </w:r>
      <w:r w:rsidR="003A44A9">
        <w:t xml:space="preserve">hydraulic fracturing causal pathway </w:t>
      </w:r>
      <w:r>
        <w:t>are a key line of evidence considered in this technical appendix and are summarised in</w:t>
      </w:r>
      <w:r w:rsidR="0074574C">
        <w:t xml:space="preserve"> </w:t>
      </w:r>
      <w:r w:rsidR="0074574C" w:rsidRPr="005A442F">
        <w:fldChar w:fldCharType="begin"/>
      </w:r>
      <w:r w:rsidR="0074574C" w:rsidRPr="005A442F">
        <w:instrText xml:space="preserve"> REF _Ref7708626 \h </w:instrText>
      </w:r>
      <w:r w:rsidR="005A442F" w:rsidRPr="005A442F">
        <w:instrText xml:space="preserve"> \* MERGEFORMAT </w:instrText>
      </w:r>
      <w:r w:rsidR="0074574C" w:rsidRPr="005A442F">
        <w:fldChar w:fldCharType="separate"/>
      </w:r>
      <w:r w:rsidR="00073927">
        <w:t xml:space="preserve">Table </w:t>
      </w:r>
      <w:r w:rsidR="00073927">
        <w:rPr>
          <w:noProof/>
        </w:rPr>
        <w:t>4</w:t>
      </w:r>
      <w:r w:rsidR="0074574C" w:rsidRPr="005A442F">
        <w:fldChar w:fldCharType="end"/>
      </w:r>
      <w:r w:rsidRPr="005A442F">
        <w:t>.</w:t>
      </w:r>
    </w:p>
    <w:p w14:paraId="620D4498" w14:textId="71C56970" w:rsidR="00C37051" w:rsidRDefault="00C37051" w:rsidP="00C37051">
      <w:pPr>
        <w:pStyle w:val="BodyText"/>
      </w:pPr>
      <w:r>
        <w:t xml:space="preserve">Where these inquiries conducted community consultations or invited submissions from the public, the most consistently raised concern was the </w:t>
      </w:r>
      <w:r w:rsidR="00D871CB">
        <w:t xml:space="preserve">potential </w:t>
      </w:r>
      <w:r>
        <w:t xml:space="preserve">impact of hydraulic fracture stimulation and its associated activities on groundwater. The following submission to the West Australian Inquiry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Pr="005E66D4">
        <w:rPr>
          <w:noProof/>
        </w:rPr>
        <w:t xml:space="preserve">(Hatton </w:t>
      </w:r>
      <w:r w:rsidRPr="005A442F">
        <w:rPr>
          <w:noProof/>
        </w:rPr>
        <w:t>et al.</w:t>
      </w:r>
      <w:r w:rsidRPr="005E66D4">
        <w:rPr>
          <w:noProof/>
        </w:rPr>
        <w:t>, 2018)</w:t>
      </w:r>
      <w:r>
        <w:fldChar w:fldCharType="end"/>
      </w:r>
      <w:r>
        <w:t xml:space="preserve"> was quoted verbatim in the report as being representative of the community concern of groundwater contamination:</w:t>
      </w:r>
    </w:p>
    <w:p w14:paraId="320D76ED" w14:textId="77777777" w:rsidR="00C37051" w:rsidRDefault="00C37051" w:rsidP="00F379D8">
      <w:pPr>
        <w:pStyle w:val="BlockQuote"/>
      </w:pPr>
      <w:r>
        <w:t>“</w:t>
      </w:r>
      <w:r w:rsidRPr="005A442F">
        <w:t>concern by the community for the safety of water resources with regard to fracking, and I can only hope that this new inquiry will regard the issue as the most important factor</w:t>
      </w:r>
      <w:r>
        <w:t>”</w:t>
      </w:r>
    </w:p>
    <w:p w14:paraId="499837AA" w14:textId="32C34E33" w:rsidR="00C37051" w:rsidRDefault="00C37051" w:rsidP="00F379D8">
      <w:pPr>
        <w:pStyle w:val="BlockQuote"/>
      </w:pPr>
      <w:r>
        <w:t xml:space="preserve">Submission from Frank Creagh to the Independent Scientific Panel Inquiry into Hydraulic Fracture Stimulation in Western Australia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Pr="005E66D4">
        <w:rPr>
          <w:noProof/>
        </w:rPr>
        <w:t xml:space="preserve">(Hatton </w:t>
      </w:r>
      <w:r w:rsidRPr="005A442F">
        <w:rPr>
          <w:noProof/>
        </w:rPr>
        <w:t>et al.</w:t>
      </w:r>
      <w:r w:rsidRPr="005E66D4">
        <w:rPr>
          <w:noProof/>
        </w:rPr>
        <w:t>, 2018)</w:t>
      </w:r>
      <w:r>
        <w:fldChar w:fldCharType="end"/>
      </w:r>
      <w:r w:rsidR="00376E25">
        <w:t>.</w:t>
      </w:r>
    </w:p>
    <w:p w14:paraId="7A1A1395" w14:textId="791B5E56" w:rsidR="000C2FBB" w:rsidRDefault="000F7119" w:rsidP="00C37051">
      <w:pPr>
        <w:pStyle w:val="BodyText"/>
      </w:pPr>
      <w:r>
        <w:t>Considering this community concern and following the focus of many of the scientific inquiries</w:t>
      </w:r>
      <w:r w:rsidR="00361C2D">
        <w:t>,</w:t>
      </w:r>
      <w:r>
        <w:t xml:space="preserve"> </w:t>
      </w:r>
      <w:r w:rsidR="007C29B7">
        <w:t xml:space="preserve">three impact modes were assessed for the hydraulic fracturing causal </w:t>
      </w:r>
      <w:r w:rsidR="00D74B27">
        <w:t>pathway</w:t>
      </w:r>
      <w:r w:rsidR="007C29B7">
        <w:t xml:space="preserve">. These </w:t>
      </w:r>
      <w:r w:rsidR="00D74B27">
        <w:t>impact</w:t>
      </w:r>
      <w:r w:rsidR="007C29B7">
        <w:t xml:space="preserve"> modes</w:t>
      </w:r>
      <w:r w:rsidR="00D74B27">
        <w:t xml:space="preserve"> consider theoretical situations where hydraulic fracture </w:t>
      </w:r>
      <w:r w:rsidR="00D5595C">
        <w:t>propagation</w:t>
      </w:r>
      <w:r w:rsidR="00D74B27">
        <w:t xml:space="preserve"> has</w:t>
      </w:r>
      <w:r w:rsidR="007C29B7">
        <w:t xml:space="preserve"> </w:t>
      </w:r>
      <w:r w:rsidR="00D5745D">
        <w:t xml:space="preserve">extended </w:t>
      </w:r>
      <w:r w:rsidR="00D5595C">
        <w:t>beyond</w:t>
      </w:r>
      <w:r w:rsidR="00D5745D">
        <w:t xml:space="preserve"> the design</w:t>
      </w:r>
      <w:r w:rsidR="00411E01">
        <w:t xml:space="preserve">ed area </w:t>
      </w:r>
      <w:r w:rsidR="00D5595C">
        <w:t xml:space="preserve">and in doing so may have dilated a </w:t>
      </w:r>
      <w:r w:rsidR="006E40F8">
        <w:t>subsurface flow</w:t>
      </w:r>
      <w:r w:rsidR="002A45A3">
        <w:t xml:space="preserve"> path</w:t>
      </w:r>
      <w:r w:rsidR="00973C60">
        <w:t xml:space="preserve"> between geological la</w:t>
      </w:r>
      <w:r w:rsidR="006B72AB">
        <w:t xml:space="preserve">yers in a way which was not intended. </w:t>
      </w:r>
      <w:r w:rsidR="00370164" w:rsidRPr="005A442F">
        <w:fldChar w:fldCharType="begin"/>
      </w:r>
      <w:r w:rsidR="00370164" w:rsidRPr="005A442F">
        <w:instrText xml:space="preserve"> REF _Ref7691936 \h </w:instrText>
      </w:r>
      <w:r w:rsidR="005A442F" w:rsidRPr="005A442F">
        <w:instrText xml:space="preserve"> \* MERGEFORMAT </w:instrText>
      </w:r>
      <w:r w:rsidR="00370164" w:rsidRPr="005A442F">
        <w:fldChar w:fldCharType="separate"/>
      </w:r>
      <w:r w:rsidR="00073927">
        <w:t xml:space="preserve">Table </w:t>
      </w:r>
      <w:r w:rsidR="00073927">
        <w:rPr>
          <w:noProof/>
        </w:rPr>
        <w:t>1</w:t>
      </w:r>
      <w:r w:rsidR="00370164" w:rsidRPr="005A442F">
        <w:fldChar w:fldCharType="end"/>
      </w:r>
      <w:r w:rsidR="00370164">
        <w:t xml:space="preserve"> shows the </w:t>
      </w:r>
      <w:r w:rsidR="00237753">
        <w:t xml:space="preserve">three </w:t>
      </w:r>
      <w:r w:rsidR="008350DF">
        <w:t xml:space="preserve">impact modes relating to hydraulic fracturing </w:t>
      </w:r>
      <w:r w:rsidR="00370164">
        <w:t xml:space="preserve">which </w:t>
      </w:r>
      <w:r w:rsidR="008350DF">
        <w:t xml:space="preserve">have been </w:t>
      </w:r>
      <w:r w:rsidR="00236154">
        <w:t xml:space="preserve">qualitatively </w:t>
      </w:r>
      <w:r w:rsidR="008350DF">
        <w:t xml:space="preserve">assessed </w:t>
      </w:r>
      <w:r w:rsidR="00A3708B">
        <w:t>using</w:t>
      </w:r>
      <w:r w:rsidR="00236154">
        <w:t xml:space="preserve"> historical data from each GBA region and </w:t>
      </w:r>
      <w:r w:rsidR="00A3708B">
        <w:t>findings from international and domestic scientific inquiries</w:t>
      </w:r>
      <w:r>
        <w:t>.</w:t>
      </w:r>
    </w:p>
    <w:p w14:paraId="7C303336" w14:textId="0D6C673A" w:rsidR="00370164" w:rsidRDefault="00370164" w:rsidP="00370164">
      <w:pPr>
        <w:pStyle w:val="Caption"/>
      </w:pPr>
      <w:bookmarkStart w:id="27" w:name="_Ref7691936"/>
      <w:bookmarkStart w:id="28" w:name="_Toc36042884"/>
      <w:r>
        <w:t xml:space="preserve">Table </w:t>
      </w:r>
      <w:r w:rsidR="00527E96">
        <w:rPr>
          <w:noProof/>
        </w:rPr>
        <w:fldChar w:fldCharType="begin"/>
      </w:r>
      <w:r w:rsidR="00527E96">
        <w:rPr>
          <w:noProof/>
        </w:rPr>
        <w:instrText xml:space="preserve"> SEQ Table \* ARABIC </w:instrText>
      </w:r>
      <w:r w:rsidR="00527E96">
        <w:rPr>
          <w:noProof/>
        </w:rPr>
        <w:fldChar w:fldCharType="separate"/>
      </w:r>
      <w:r w:rsidR="00073927">
        <w:rPr>
          <w:noProof/>
        </w:rPr>
        <w:t>1</w:t>
      </w:r>
      <w:r w:rsidR="00527E96">
        <w:rPr>
          <w:noProof/>
        </w:rPr>
        <w:fldChar w:fldCharType="end"/>
      </w:r>
      <w:bookmarkEnd w:id="27"/>
      <w:r>
        <w:t xml:space="preserve"> Impact modes relating to hydraulic fracturing causal pathway</w:t>
      </w:r>
      <w:bookmarkEnd w:id="28"/>
    </w:p>
    <w:tbl>
      <w:tblPr>
        <w:tblStyle w:val="TableBAHeaderRow"/>
        <w:tblW w:w="9808" w:type="dxa"/>
        <w:tblLayout w:type="fixed"/>
        <w:tblLook w:val="04A0" w:firstRow="1" w:lastRow="0" w:firstColumn="1" w:lastColumn="0" w:noHBand="0" w:noVBand="1"/>
      </w:tblPr>
      <w:tblGrid>
        <w:gridCol w:w="397"/>
        <w:gridCol w:w="1871"/>
        <w:gridCol w:w="7540"/>
      </w:tblGrid>
      <w:tr w:rsidR="00F5181D" w:rsidRPr="00EA63C0" w14:paraId="0FF98068" w14:textId="77777777" w:rsidTr="00F5181D">
        <w:trPr>
          <w:cnfStyle w:val="100000000000" w:firstRow="1" w:lastRow="0" w:firstColumn="0" w:lastColumn="0" w:oddVBand="0" w:evenVBand="0" w:oddHBand="0" w:evenHBand="0" w:firstRowFirstColumn="0" w:firstRowLastColumn="0" w:lastRowFirstColumn="0" w:lastRowLastColumn="0"/>
          <w:tblHeader/>
        </w:trPr>
        <w:tc>
          <w:tcPr>
            <w:tcW w:w="397" w:type="dxa"/>
          </w:tcPr>
          <w:p w14:paraId="37CE846F" w14:textId="77777777" w:rsidR="00370164" w:rsidRPr="00DD07F6" w:rsidRDefault="00370164" w:rsidP="00330352">
            <w:pPr>
              <w:pStyle w:val="TableText"/>
              <w:spacing w:before="0" w:after="0" w:line="240" w:lineRule="auto"/>
            </w:pPr>
          </w:p>
        </w:tc>
        <w:tc>
          <w:tcPr>
            <w:tcW w:w="1871" w:type="dxa"/>
          </w:tcPr>
          <w:p w14:paraId="08BB7962" w14:textId="77777777" w:rsidR="00370164" w:rsidRDefault="00370164" w:rsidP="00330352">
            <w:pPr>
              <w:pStyle w:val="TableTextCentred"/>
              <w:spacing w:before="0" w:after="0" w:line="240" w:lineRule="auto"/>
              <w:jc w:val="left"/>
            </w:pPr>
            <w:r>
              <w:t>Impact mode</w:t>
            </w:r>
          </w:p>
        </w:tc>
        <w:tc>
          <w:tcPr>
            <w:tcW w:w="7540" w:type="dxa"/>
          </w:tcPr>
          <w:p w14:paraId="1B2C5D06" w14:textId="77777777" w:rsidR="00370164" w:rsidRPr="00EA63C0" w:rsidRDefault="00370164" w:rsidP="00330352">
            <w:pPr>
              <w:pStyle w:val="TableTextCentred"/>
              <w:spacing w:before="0" w:after="0" w:line="240" w:lineRule="auto"/>
              <w:jc w:val="left"/>
            </w:pPr>
            <w:r>
              <w:t>Description</w:t>
            </w:r>
          </w:p>
        </w:tc>
      </w:tr>
      <w:tr w:rsidR="00F5181D" w:rsidRPr="00A8172F" w14:paraId="6264C860" w14:textId="77777777" w:rsidTr="00F5181D">
        <w:trPr>
          <w:cnfStyle w:val="000000100000" w:firstRow="0" w:lastRow="0" w:firstColumn="0" w:lastColumn="0" w:oddVBand="0" w:evenVBand="0" w:oddHBand="1" w:evenHBand="0" w:firstRowFirstColumn="0" w:firstRowLastColumn="0" w:lastRowFirstColumn="0" w:lastRowLastColumn="0"/>
        </w:trPr>
        <w:tc>
          <w:tcPr>
            <w:tcW w:w="397" w:type="dxa"/>
          </w:tcPr>
          <w:p w14:paraId="48EFC987" w14:textId="77777777" w:rsidR="00370164" w:rsidRPr="00EA63C0" w:rsidRDefault="00370164" w:rsidP="00330352">
            <w:pPr>
              <w:pStyle w:val="TableText"/>
              <w:spacing w:before="0" w:after="0" w:line="240" w:lineRule="auto"/>
            </w:pPr>
            <w:r>
              <w:t>F.1</w:t>
            </w:r>
          </w:p>
        </w:tc>
        <w:tc>
          <w:tcPr>
            <w:tcW w:w="1871" w:type="dxa"/>
          </w:tcPr>
          <w:p w14:paraId="32132F16" w14:textId="77777777" w:rsidR="00370164" w:rsidRPr="00A8172F" w:rsidRDefault="00370164" w:rsidP="00330352">
            <w:pPr>
              <w:pStyle w:val="TableTextCentred"/>
              <w:spacing w:before="0" w:after="0" w:line="240" w:lineRule="auto"/>
              <w:jc w:val="left"/>
            </w:pPr>
            <w:r>
              <w:t>Hydraulic fracture growth into aquifer</w:t>
            </w:r>
          </w:p>
        </w:tc>
        <w:tc>
          <w:tcPr>
            <w:tcW w:w="7540" w:type="dxa"/>
          </w:tcPr>
          <w:p w14:paraId="07030B29" w14:textId="77777777" w:rsidR="006C58D9" w:rsidRPr="00780754" w:rsidRDefault="006C58D9" w:rsidP="006C58D9">
            <w:pPr>
              <w:pStyle w:val="TableTextCentred"/>
              <w:spacing w:before="0" w:after="0" w:line="240" w:lineRule="auto"/>
              <w:jc w:val="left"/>
              <w:rPr>
                <w:b/>
              </w:rPr>
            </w:pPr>
            <w:r w:rsidRPr="00780754">
              <w:rPr>
                <w:b/>
              </w:rPr>
              <w:t>Description</w:t>
            </w:r>
          </w:p>
          <w:p w14:paraId="0027B601" w14:textId="428ECD45" w:rsidR="00370164" w:rsidRDefault="00237753" w:rsidP="00330352">
            <w:pPr>
              <w:pStyle w:val="TableTextCentred"/>
              <w:spacing w:before="0" w:after="0" w:line="240" w:lineRule="auto"/>
              <w:jc w:val="left"/>
            </w:pPr>
            <w:r>
              <w:t xml:space="preserve">Unintended </w:t>
            </w:r>
            <w:r w:rsidR="00C32BB9">
              <w:t>vertical hydraulic f</w:t>
            </w:r>
            <w:r w:rsidR="00370164">
              <w:t xml:space="preserve">racture growth </w:t>
            </w:r>
            <w:r w:rsidR="00C32BB9">
              <w:t xml:space="preserve">from the target interval </w:t>
            </w:r>
            <w:r w:rsidR="00370164">
              <w:t xml:space="preserve">into </w:t>
            </w:r>
            <w:r w:rsidR="00C32BB9">
              <w:t xml:space="preserve">an </w:t>
            </w:r>
            <w:r w:rsidR="00370164">
              <w:t xml:space="preserve">overlying </w:t>
            </w:r>
            <w:r w:rsidR="00C32BB9">
              <w:t>aquifer</w:t>
            </w:r>
            <w:r w:rsidR="006C58D9">
              <w:t xml:space="preserve"> creating a subsurface fluid </w:t>
            </w:r>
            <w:r w:rsidR="006E69D1">
              <w:t>flow</w:t>
            </w:r>
            <w:r w:rsidR="002A45A3">
              <w:t xml:space="preserve"> path</w:t>
            </w:r>
            <w:r w:rsidR="006C58D9">
              <w:t>.</w:t>
            </w:r>
          </w:p>
          <w:p w14:paraId="51E43065" w14:textId="77777777" w:rsidR="006C58D9" w:rsidRDefault="006C58D9" w:rsidP="006C58D9">
            <w:pPr>
              <w:pStyle w:val="BodyText"/>
            </w:pPr>
          </w:p>
          <w:p w14:paraId="312CB822" w14:textId="1C8990DC" w:rsidR="006C58D9" w:rsidRPr="009E4AC2" w:rsidRDefault="006C58D9" w:rsidP="006C58D9">
            <w:pPr>
              <w:pStyle w:val="BodyText"/>
              <w:rPr>
                <w:b/>
              </w:rPr>
            </w:pPr>
            <w:r w:rsidRPr="009E4AC2">
              <w:rPr>
                <w:b/>
              </w:rPr>
              <w:t xml:space="preserve">Major </w:t>
            </w:r>
            <w:r w:rsidR="007E4A66" w:rsidRPr="005A442F">
              <w:rPr>
                <w:b/>
              </w:rPr>
              <w:t>a</w:t>
            </w:r>
            <w:r w:rsidRPr="005A442F">
              <w:rPr>
                <w:b/>
              </w:rPr>
              <w:t>ctivity</w:t>
            </w:r>
          </w:p>
          <w:p w14:paraId="1BA0B777" w14:textId="77777777" w:rsidR="006C58D9" w:rsidRDefault="006C58D9" w:rsidP="006E7F04">
            <w:pPr>
              <w:pStyle w:val="BodyText"/>
              <w:numPr>
                <w:ilvl w:val="0"/>
                <w:numId w:val="43"/>
              </w:numPr>
            </w:pPr>
            <w:r w:rsidRPr="009E4AC2">
              <w:t>Drill and hydraulic fracture</w:t>
            </w:r>
          </w:p>
          <w:p w14:paraId="7FAB02CE" w14:textId="77777777" w:rsidR="006C58D9" w:rsidRPr="00780754" w:rsidRDefault="006C58D9" w:rsidP="006C58D9">
            <w:pPr>
              <w:pStyle w:val="BodyText"/>
            </w:pPr>
          </w:p>
          <w:p w14:paraId="5E9789FA" w14:textId="77777777" w:rsidR="006C58D9" w:rsidRPr="00780754" w:rsidRDefault="006C58D9" w:rsidP="006C58D9">
            <w:pPr>
              <w:pStyle w:val="BodyText"/>
              <w:rPr>
                <w:b/>
              </w:rPr>
            </w:pPr>
            <w:r w:rsidRPr="00780754">
              <w:rPr>
                <w:b/>
              </w:rPr>
              <w:t>Potential effects</w:t>
            </w:r>
          </w:p>
          <w:p w14:paraId="520AB371" w14:textId="77777777" w:rsidR="00E41259" w:rsidRDefault="00E41259" w:rsidP="006E7F04">
            <w:pPr>
              <w:pStyle w:val="BodyText"/>
              <w:numPr>
                <w:ilvl w:val="0"/>
                <w:numId w:val="26"/>
              </w:numPr>
            </w:pPr>
            <w:r>
              <w:t>Changed groundwater quality</w:t>
            </w:r>
          </w:p>
          <w:p w14:paraId="41408CD7" w14:textId="05E6EAD6" w:rsidR="006C58D9" w:rsidRDefault="00E41259" w:rsidP="006E7F04">
            <w:pPr>
              <w:pStyle w:val="BodyText"/>
              <w:numPr>
                <w:ilvl w:val="0"/>
                <w:numId w:val="26"/>
              </w:numPr>
            </w:pPr>
            <w:r>
              <w:t>Changed groundwater levels or pressures</w:t>
            </w:r>
          </w:p>
          <w:p w14:paraId="5D53B4EE" w14:textId="77777777" w:rsidR="00E41259" w:rsidRDefault="00E41259" w:rsidP="00E41259">
            <w:pPr>
              <w:pStyle w:val="BodyText"/>
            </w:pPr>
          </w:p>
          <w:p w14:paraId="6467F5BC" w14:textId="30A973D6" w:rsidR="006C58D9" w:rsidRPr="00826216" w:rsidRDefault="006C58D9" w:rsidP="006C58D9">
            <w:pPr>
              <w:pStyle w:val="BodyText"/>
              <w:rPr>
                <w:b/>
              </w:rPr>
            </w:pPr>
            <w:r w:rsidRPr="00826216">
              <w:rPr>
                <w:b/>
              </w:rPr>
              <w:t xml:space="preserve">Impact </w:t>
            </w:r>
            <w:r w:rsidR="007E4A66" w:rsidRPr="005A442F">
              <w:rPr>
                <w:b/>
              </w:rPr>
              <w:t>c</w:t>
            </w:r>
            <w:r w:rsidRPr="005A442F">
              <w:rPr>
                <w:b/>
              </w:rPr>
              <w:t>ause</w:t>
            </w:r>
          </w:p>
          <w:p w14:paraId="28CD8EA3" w14:textId="77777777" w:rsidR="005A3582" w:rsidRDefault="005A3582" w:rsidP="006E7F04">
            <w:pPr>
              <w:pStyle w:val="BodyText"/>
              <w:numPr>
                <w:ilvl w:val="0"/>
                <w:numId w:val="26"/>
              </w:numPr>
            </w:pPr>
            <w:r w:rsidRPr="005A442F">
              <w:t xml:space="preserve">Poor </w:t>
            </w:r>
            <w:r>
              <w:t xml:space="preserve">hydraulic fracture treatment </w:t>
            </w:r>
            <w:r w:rsidRPr="005A442F">
              <w:t>design</w:t>
            </w:r>
          </w:p>
          <w:p w14:paraId="70E5BD6E" w14:textId="77777777" w:rsidR="005A3582" w:rsidRPr="005A3582" w:rsidRDefault="005A3582" w:rsidP="006E7F04">
            <w:pPr>
              <w:pStyle w:val="BodyText"/>
              <w:numPr>
                <w:ilvl w:val="0"/>
                <w:numId w:val="26"/>
              </w:numPr>
            </w:pPr>
            <w:r>
              <w:t xml:space="preserve">Poor well </w:t>
            </w:r>
            <w:r w:rsidRPr="005A442F">
              <w:t>construction</w:t>
            </w:r>
          </w:p>
          <w:p w14:paraId="74430E82" w14:textId="77777777" w:rsidR="006C58D9" w:rsidRDefault="006C58D9" w:rsidP="006C58D9">
            <w:pPr>
              <w:pStyle w:val="BodyText"/>
            </w:pPr>
          </w:p>
          <w:p w14:paraId="4B90866B" w14:textId="2625F0D2" w:rsidR="006C58D9" w:rsidRPr="00826216" w:rsidRDefault="006C58D9" w:rsidP="006C58D9">
            <w:pPr>
              <w:pStyle w:val="BodyText"/>
              <w:rPr>
                <w:b/>
              </w:rPr>
            </w:pPr>
            <w:r w:rsidRPr="00826216">
              <w:rPr>
                <w:b/>
              </w:rPr>
              <w:t xml:space="preserve">Current </w:t>
            </w:r>
            <w:r w:rsidR="007E4A66" w:rsidRPr="005A442F">
              <w:rPr>
                <w:b/>
              </w:rPr>
              <w:t>c</w:t>
            </w:r>
            <w:r w:rsidRPr="005A442F">
              <w:rPr>
                <w:b/>
              </w:rPr>
              <w:t>ontrols</w:t>
            </w:r>
          </w:p>
          <w:p w14:paraId="4CFE1818" w14:textId="77777777" w:rsidR="00F46D4F" w:rsidRDefault="00F46D4F" w:rsidP="006E7F04">
            <w:pPr>
              <w:pStyle w:val="BodyText"/>
              <w:numPr>
                <w:ilvl w:val="0"/>
                <w:numId w:val="26"/>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4AEF1E6B" w14:textId="77777777" w:rsidR="00F46D4F" w:rsidRDefault="00F46D4F" w:rsidP="006E7F04">
            <w:pPr>
              <w:pStyle w:val="BodyText"/>
              <w:numPr>
                <w:ilvl w:val="0"/>
                <w:numId w:val="26"/>
              </w:numPr>
            </w:pPr>
            <w:r w:rsidRPr="00826216">
              <w:t>Knowledge of geology</w:t>
            </w:r>
            <w:r>
              <w:t xml:space="preserve"> from seismic program works conducted prior to exploration and appraisal activities</w:t>
            </w:r>
          </w:p>
          <w:p w14:paraId="526ED692" w14:textId="77777777" w:rsidR="00F46D4F" w:rsidRDefault="00F46D4F" w:rsidP="006E7F04">
            <w:pPr>
              <w:pStyle w:val="BodyText"/>
              <w:numPr>
                <w:ilvl w:val="0"/>
                <w:numId w:val="26"/>
              </w:numPr>
            </w:pPr>
            <w:r>
              <w:t>Incorporation of additional geology knowledge from drilling and hydraulic fracturing operations in nearby wells</w:t>
            </w:r>
          </w:p>
          <w:p w14:paraId="012A87DE" w14:textId="77777777" w:rsidR="00F46D4F" w:rsidRDefault="00F46D4F" w:rsidP="006E7F04">
            <w:pPr>
              <w:pStyle w:val="BodyText"/>
              <w:numPr>
                <w:ilvl w:val="0"/>
                <w:numId w:val="26"/>
              </w:numPr>
            </w:pPr>
            <w:r w:rsidRPr="00826216">
              <w:t xml:space="preserve">Hydraulic fracture treatment design </w:t>
            </w:r>
          </w:p>
          <w:p w14:paraId="57AB078B" w14:textId="77777777" w:rsidR="00F46D4F" w:rsidRDefault="00F46D4F" w:rsidP="006E7F04">
            <w:pPr>
              <w:pStyle w:val="BodyText"/>
              <w:numPr>
                <w:ilvl w:val="0"/>
                <w:numId w:val="26"/>
              </w:numPr>
            </w:pPr>
            <w:r>
              <w:t>H</w:t>
            </w:r>
            <w:r w:rsidRPr="00826216">
              <w:t xml:space="preserve">ydraulic fracture monitoring (seismic / tiltmeter) </w:t>
            </w:r>
          </w:p>
          <w:p w14:paraId="2502402D" w14:textId="41A38CE6" w:rsidR="006C58D9" w:rsidRPr="006C58D9" w:rsidRDefault="00F46D4F" w:rsidP="006E7F04">
            <w:pPr>
              <w:pStyle w:val="BodyText"/>
              <w:numPr>
                <w:ilvl w:val="0"/>
                <w:numId w:val="26"/>
              </w:numPr>
            </w:pPr>
            <w:r w:rsidRPr="00826216">
              <w:t xml:space="preserve">Good management </w:t>
            </w:r>
            <w:r w:rsidR="005A442F">
              <w:t>and o</w:t>
            </w:r>
            <w:r w:rsidRPr="005A442F">
              <w:t>perator</w:t>
            </w:r>
            <w:r w:rsidRPr="00826216">
              <w:t xml:space="preserve"> procedures</w:t>
            </w:r>
          </w:p>
        </w:tc>
      </w:tr>
      <w:tr w:rsidR="00F5181D" w:rsidRPr="00A8172F" w14:paraId="2F129B07" w14:textId="77777777" w:rsidTr="00F5181D">
        <w:trPr>
          <w:cnfStyle w:val="000000010000" w:firstRow="0" w:lastRow="0" w:firstColumn="0" w:lastColumn="0" w:oddVBand="0" w:evenVBand="0" w:oddHBand="0" w:evenHBand="1" w:firstRowFirstColumn="0" w:firstRowLastColumn="0" w:lastRowFirstColumn="0" w:lastRowLastColumn="0"/>
        </w:trPr>
        <w:tc>
          <w:tcPr>
            <w:tcW w:w="397" w:type="dxa"/>
          </w:tcPr>
          <w:p w14:paraId="4F67F665" w14:textId="77777777" w:rsidR="00370164" w:rsidRDefault="00370164" w:rsidP="00330352">
            <w:pPr>
              <w:pStyle w:val="TableText"/>
              <w:spacing w:before="0" w:after="0" w:line="240" w:lineRule="auto"/>
            </w:pPr>
            <w:bookmarkStart w:id="29" w:name="_Hlk12540240"/>
            <w:r>
              <w:t>F.2</w:t>
            </w:r>
          </w:p>
        </w:tc>
        <w:tc>
          <w:tcPr>
            <w:tcW w:w="1871" w:type="dxa"/>
          </w:tcPr>
          <w:p w14:paraId="626473A1" w14:textId="77777777" w:rsidR="00370164" w:rsidRDefault="00370164" w:rsidP="00330352">
            <w:pPr>
              <w:pStyle w:val="TableTextCentred"/>
              <w:spacing w:before="0" w:after="0" w:line="240" w:lineRule="auto"/>
              <w:jc w:val="left"/>
            </w:pPr>
            <w:r>
              <w:t>Hydraulic fracture growth into well</w:t>
            </w:r>
          </w:p>
        </w:tc>
        <w:tc>
          <w:tcPr>
            <w:tcW w:w="7540" w:type="dxa"/>
          </w:tcPr>
          <w:p w14:paraId="3FC1887A" w14:textId="77777777" w:rsidR="00974B44" w:rsidRPr="00780754" w:rsidRDefault="00974B44" w:rsidP="00974B44">
            <w:pPr>
              <w:pStyle w:val="TableTextCentred"/>
              <w:spacing w:before="0" w:after="0" w:line="240" w:lineRule="auto"/>
              <w:jc w:val="left"/>
              <w:rPr>
                <w:b/>
              </w:rPr>
            </w:pPr>
            <w:r w:rsidRPr="00780754">
              <w:rPr>
                <w:b/>
              </w:rPr>
              <w:t>Description</w:t>
            </w:r>
          </w:p>
          <w:p w14:paraId="7E9D8F53" w14:textId="760A5418" w:rsidR="00974B44" w:rsidRDefault="00974B44" w:rsidP="00974B44">
            <w:pPr>
              <w:pStyle w:val="TableTextCentred"/>
              <w:spacing w:before="0" w:after="0" w:line="240" w:lineRule="auto"/>
              <w:jc w:val="left"/>
            </w:pPr>
            <w:r>
              <w:t xml:space="preserve">Unintended hydraulic fracture growth into </w:t>
            </w:r>
            <w:r w:rsidR="00340CCD">
              <w:t xml:space="preserve">another well which was not designed to handle high fluid pressures </w:t>
            </w:r>
            <w:r w:rsidR="002633C2">
              <w:t xml:space="preserve">causing </w:t>
            </w:r>
            <w:r w:rsidR="00736C0B">
              <w:t xml:space="preserve">well integrity failure </w:t>
            </w:r>
            <w:r>
              <w:t xml:space="preserve">creating a subsurface fluid </w:t>
            </w:r>
            <w:r w:rsidR="006E69D1">
              <w:t>flow</w:t>
            </w:r>
            <w:r w:rsidR="002A45A3">
              <w:t xml:space="preserve"> path</w:t>
            </w:r>
            <w:r>
              <w:t xml:space="preserve">. </w:t>
            </w:r>
          </w:p>
          <w:p w14:paraId="7D906FA4" w14:textId="77777777" w:rsidR="00974B44" w:rsidRDefault="00974B44" w:rsidP="00974B44">
            <w:pPr>
              <w:pStyle w:val="BodyText"/>
            </w:pPr>
          </w:p>
          <w:p w14:paraId="2917D699" w14:textId="45F97BCB" w:rsidR="00974B44" w:rsidRPr="009E4AC2" w:rsidRDefault="00974B44" w:rsidP="00974B44">
            <w:pPr>
              <w:pStyle w:val="BodyText"/>
              <w:rPr>
                <w:b/>
              </w:rPr>
            </w:pPr>
            <w:r w:rsidRPr="009E4AC2">
              <w:rPr>
                <w:b/>
              </w:rPr>
              <w:t xml:space="preserve">Major </w:t>
            </w:r>
            <w:r w:rsidR="007E4A66" w:rsidRPr="005A442F">
              <w:rPr>
                <w:b/>
              </w:rPr>
              <w:t>a</w:t>
            </w:r>
            <w:r w:rsidRPr="005A442F">
              <w:rPr>
                <w:b/>
              </w:rPr>
              <w:t>ctivity</w:t>
            </w:r>
          </w:p>
          <w:p w14:paraId="12907457" w14:textId="77777777" w:rsidR="00974B44" w:rsidRDefault="00974B44" w:rsidP="006E7F04">
            <w:pPr>
              <w:pStyle w:val="BodyText"/>
              <w:numPr>
                <w:ilvl w:val="0"/>
                <w:numId w:val="42"/>
              </w:numPr>
            </w:pPr>
            <w:r w:rsidRPr="009E4AC2">
              <w:t>Drill and hydraulic fracture</w:t>
            </w:r>
          </w:p>
          <w:p w14:paraId="4ACBEF64" w14:textId="77777777" w:rsidR="00974B44" w:rsidRPr="00780754" w:rsidRDefault="00974B44" w:rsidP="00974B44">
            <w:pPr>
              <w:pStyle w:val="BodyText"/>
            </w:pPr>
          </w:p>
          <w:p w14:paraId="0CABBB9A" w14:textId="77777777" w:rsidR="00974B44" w:rsidRPr="00780754" w:rsidRDefault="00974B44" w:rsidP="00974B44">
            <w:pPr>
              <w:pStyle w:val="BodyText"/>
              <w:rPr>
                <w:b/>
              </w:rPr>
            </w:pPr>
            <w:r w:rsidRPr="00780754">
              <w:rPr>
                <w:b/>
              </w:rPr>
              <w:t>Potential effects</w:t>
            </w:r>
          </w:p>
          <w:p w14:paraId="3348C87B" w14:textId="77777777" w:rsidR="00974B44" w:rsidRDefault="00974B44" w:rsidP="006E7F04">
            <w:pPr>
              <w:pStyle w:val="BodyText"/>
              <w:numPr>
                <w:ilvl w:val="0"/>
                <w:numId w:val="27"/>
              </w:numPr>
            </w:pPr>
            <w:r>
              <w:t>Soil, groundwater and / or surface water contamination</w:t>
            </w:r>
          </w:p>
          <w:p w14:paraId="0A3FDFBE" w14:textId="77777777" w:rsidR="00974B44" w:rsidRDefault="00974B44" w:rsidP="006E7F04">
            <w:pPr>
              <w:pStyle w:val="BodyText"/>
              <w:numPr>
                <w:ilvl w:val="0"/>
                <w:numId w:val="27"/>
              </w:numPr>
            </w:pPr>
            <w:r>
              <w:t>Changed groundwater quality</w:t>
            </w:r>
          </w:p>
          <w:p w14:paraId="4F773352" w14:textId="77777777" w:rsidR="00974B44" w:rsidRDefault="00974B44" w:rsidP="006E7F04">
            <w:pPr>
              <w:pStyle w:val="BodyText"/>
              <w:numPr>
                <w:ilvl w:val="0"/>
                <w:numId w:val="27"/>
              </w:numPr>
            </w:pPr>
            <w:r>
              <w:t>Changed groundwater levels or pressures</w:t>
            </w:r>
          </w:p>
          <w:p w14:paraId="2AF8AC94" w14:textId="77777777" w:rsidR="00974B44" w:rsidRDefault="00974B44" w:rsidP="00974B44">
            <w:pPr>
              <w:pStyle w:val="BodyText"/>
            </w:pPr>
          </w:p>
          <w:p w14:paraId="210170CD" w14:textId="0712E4BC" w:rsidR="00974B44" w:rsidRPr="00826216" w:rsidRDefault="00974B44" w:rsidP="00974B44">
            <w:pPr>
              <w:pStyle w:val="BodyText"/>
              <w:rPr>
                <w:b/>
              </w:rPr>
            </w:pPr>
            <w:r w:rsidRPr="00826216">
              <w:rPr>
                <w:b/>
              </w:rPr>
              <w:t xml:space="preserve">Impact </w:t>
            </w:r>
            <w:r w:rsidR="007E4A66" w:rsidRPr="005A442F">
              <w:rPr>
                <w:b/>
              </w:rPr>
              <w:t>c</w:t>
            </w:r>
            <w:r w:rsidRPr="005A442F">
              <w:rPr>
                <w:b/>
              </w:rPr>
              <w:t>ause</w:t>
            </w:r>
          </w:p>
          <w:p w14:paraId="1F71DE8B" w14:textId="77777777" w:rsidR="005A3582" w:rsidRDefault="00974B44" w:rsidP="006E7F04">
            <w:pPr>
              <w:pStyle w:val="BodyText"/>
              <w:numPr>
                <w:ilvl w:val="0"/>
                <w:numId w:val="31"/>
              </w:numPr>
            </w:pPr>
            <w:r w:rsidRPr="005A442F">
              <w:t xml:space="preserve">Poor </w:t>
            </w:r>
            <w:r w:rsidR="005A3582">
              <w:t xml:space="preserve">hydraulic fracture treatment </w:t>
            </w:r>
            <w:r w:rsidRPr="005A442F">
              <w:t>design</w:t>
            </w:r>
          </w:p>
          <w:p w14:paraId="1A276D55" w14:textId="6A2B08FC" w:rsidR="005A3582" w:rsidRPr="005A3582" w:rsidRDefault="005A3582" w:rsidP="006E7F04">
            <w:pPr>
              <w:pStyle w:val="BodyText"/>
              <w:numPr>
                <w:ilvl w:val="0"/>
                <w:numId w:val="31"/>
              </w:numPr>
            </w:pPr>
            <w:r>
              <w:t xml:space="preserve">Poor well </w:t>
            </w:r>
            <w:r w:rsidR="00974B44" w:rsidRPr="005A442F">
              <w:t>construction</w:t>
            </w:r>
          </w:p>
          <w:p w14:paraId="76C97E03" w14:textId="77777777" w:rsidR="00974B44" w:rsidRDefault="00974B44" w:rsidP="00974B44">
            <w:pPr>
              <w:pStyle w:val="BodyText"/>
            </w:pPr>
          </w:p>
          <w:p w14:paraId="2AF442BC" w14:textId="364A93BC" w:rsidR="00974B44" w:rsidRPr="00826216" w:rsidRDefault="00974B44" w:rsidP="00974B44">
            <w:pPr>
              <w:pStyle w:val="BodyText"/>
              <w:rPr>
                <w:b/>
              </w:rPr>
            </w:pPr>
            <w:r w:rsidRPr="00826216">
              <w:rPr>
                <w:b/>
              </w:rPr>
              <w:t xml:space="preserve">Current </w:t>
            </w:r>
            <w:r w:rsidR="007E4A66" w:rsidRPr="005A442F">
              <w:rPr>
                <w:b/>
              </w:rPr>
              <w:t>c</w:t>
            </w:r>
            <w:r w:rsidRPr="005A442F">
              <w:rPr>
                <w:b/>
              </w:rPr>
              <w:t>ontrols</w:t>
            </w:r>
          </w:p>
          <w:p w14:paraId="4DFEC58C" w14:textId="77777777" w:rsidR="00F46D4F" w:rsidRDefault="00F46D4F" w:rsidP="006E7F04">
            <w:pPr>
              <w:pStyle w:val="BodyText"/>
              <w:numPr>
                <w:ilvl w:val="0"/>
                <w:numId w:val="27"/>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41ED59A3" w14:textId="5F62FC0F" w:rsidR="00F46D4F" w:rsidRDefault="00F46D4F" w:rsidP="006E7F04">
            <w:pPr>
              <w:pStyle w:val="BodyText"/>
              <w:numPr>
                <w:ilvl w:val="0"/>
                <w:numId w:val="27"/>
              </w:numPr>
            </w:pPr>
            <w:r w:rsidRPr="00826216">
              <w:t>Knowledge of geology</w:t>
            </w:r>
            <w:r>
              <w:t xml:space="preserve"> from seismic program works conducted prior to exploration and appraisal activities</w:t>
            </w:r>
          </w:p>
          <w:p w14:paraId="10277E6B" w14:textId="77777777" w:rsidR="00F46D4F" w:rsidRDefault="00F46D4F" w:rsidP="006E7F04">
            <w:pPr>
              <w:pStyle w:val="BodyText"/>
              <w:numPr>
                <w:ilvl w:val="0"/>
                <w:numId w:val="27"/>
              </w:numPr>
            </w:pPr>
            <w:r>
              <w:t>Protocols to identify and remediate nearby old wells prior to undertaking hydraulic fracturing</w:t>
            </w:r>
          </w:p>
          <w:p w14:paraId="49948A85" w14:textId="77777777" w:rsidR="00F46D4F" w:rsidRDefault="00F46D4F" w:rsidP="006E7F04">
            <w:pPr>
              <w:pStyle w:val="BodyText"/>
              <w:numPr>
                <w:ilvl w:val="0"/>
                <w:numId w:val="27"/>
              </w:numPr>
            </w:pPr>
            <w:r>
              <w:t>Incorporation of additional geology knowledge from drilling and hydraulic fracturing operations in nearby wells</w:t>
            </w:r>
          </w:p>
          <w:p w14:paraId="6292F505" w14:textId="77777777" w:rsidR="00F46D4F" w:rsidRDefault="00F46D4F" w:rsidP="006E7F04">
            <w:pPr>
              <w:pStyle w:val="BodyText"/>
              <w:numPr>
                <w:ilvl w:val="0"/>
                <w:numId w:val="27"/>
              </w:numPr>
            </w:pPr>
            <w:r w:rsidRPr="00826216">
              <w:t xml:space="preserve">Hydraulic fracture treatment design </w:t>
            </w:r>
          </w:p>
          <w:p w14:paraId="3ACE9F74" w14:textId="77777777" w:rsidR="00F46D4F" w:rsidRDefault="00F46D4F" w:rsidP="006E7F04">
            <w:pPr>
              <w:pStyle w:val="BodyText"/>
              <w:numPr>
                <w:ilvl w:val="0"/>
                <w:numId w:val="27"/>
              </w:numPr>
            </w:pPr>
            <w:r>
              <w:t>H</w:t>
            </w:r>
            <w:r w:rsidRPr="00826216">
              <w:t xml:space="preserve">ydraulic fracture monitoring (seismic / tiltmeter) </w:t>
            </w:r>
          </w:p>
          <w:p w14:paraId="42B4D9C1" w14:textId="374CCE66" w:rsidR="00974B44" w:rsidRPr="00974B44" w:rsidRDefault="00F46D4F" w:rsidP="006E7F04">
            <w:pPr>
              <w:pStyle w:val="BodyText"/>
              <w:numPr>
                <w:ilvl w:val="0"/>
                <w:numId w:val="27"/>
              </w:numPr>
            </w:pPr>
            <w:r w:rsidRPr="00826216">
              <w:t xml:space="preserve">Good management </w:t>
            </w:r>
            <w:r w:rsidR="005A442F">
              <w:t>and o</w:t>
            </w:r>
            <w:r w:rsidRPr="005A442F">
              <w:t>perator</w:t>
            </w:r>
            <w:r w:rsidRPr="00826216">
              <w:t xml:space="preserve"> procedures</w:t>
            </w:r>
          </w:p>
        </w:tc>
      </w:tr>
      <w:bookmarkEnd w:id="29"/>
      <w:tr w:rsidR="00F5181D" w:rsidRPr="00A8172F" w14:paraId="4A039303" w14:textId="77777777" w:rsidTr="00F5181D">
        <w:trPr>
          <w:cnfStyle w:val="000000100000" w:firstRow="0" w:lastRow="0" w:firstColumn="0" w:lastColumn="0" w:oddVBand="0" w:evenVBand="0" w:oddHBand="1" w:evenHBand="0" w:firstRowFirstColumn="0" w:firstRowLastColumn="0" w:lastRowFirstColumn="0" w:lastRowLastColumn="0"/>
          <w:trHeight w:val="5394"/>
        </w:trPr>
        <w:tc>
          <w:tcPr>
            <w:tcW w:w="397" w:type="dxa"/>
          </w:tcPr>
          <w:p w14:paraId="77D2342E" w14:textId="77777777" w:rsidR="00370164" w:rsidRDefault="00370164" w:rsidP="00330352">
            <w:pPr>
              <w:pStyle w:val="TableText"/>
              <w:spacing w:before="0" w:after="0" w:line="240" w:lineRule="auto"/>
            </w:pPr>
            <w:r>
              <w:t>F.3</w:t>
            </w:r>
          </w:p>
        </w:tc>
        <w:tc>
          <w:tcPr>
            <w:tcW w:w="1871" w:type="dxa"/>
          </w:tcPr>
          <w:p w14:paraId="5628C457" w14:textId="77777777" w:rsidR="00370164" w:rsidRDefault="00370164" w:rsidP="00330352">
            <w:pPr>
              <w:pStyle w:val="TableTextCentred"/>
              <w:spacing w:before="0" w:after="0" w:line="240" w:lineRule="auto"/>
              <w:jc w:val="left"/>
            </w:pPr>
            <w:r>
              <w:t>Hydraulic fracture growth into fault</w:t>
            </w:r>
          </w:p>
        </w:tc>
        <w:tc>
          <w:tcPr>
            <w:tcW w:w="7540" w:type="dxa"/>
          </w:tcPr>
          <w:p w14:paraId="44320891" w14:textId="29E58E58" w:rsidR="00780754" w:rsidRPr="00780754" w:rsidRDefault="00780754" w:rsidP="00330352">
            <w:pPr>
              <w:pStyle w:val="TableTextCentred"/>
              <w:spacing w:before="0" w:after="0" w:line="240" w:lineRule="auto"/>
              <w:jc w:val="left"/>
              <w:rPr>
                <w:b/>
              </w:rPr>
            </w:pPr>
            <w:r w:rsidRPr="00780754">
              <w:rPr>
                <w:b/>
              </w:rPr>
              <w:t>Description</w:t>
            </w:r>
          </w:p>
          <w:p w14:paraId="21C5CDC2" w14:textId="4AB7A7C1" w:rsidR="00370164" w:rsidRDefault="00826216" w:rsidP="00330352">
            <w:pPr>
              <w:pStyle w:val="TableTextCentred"/>
              <w:spacing w:before="0" w:after="0" w:line="240" w:lineRule="auto"/>
              <w:jc w:val="left"/>
            </w:pPr>
            <w:r>
              <w:t xml:space="preserve">Unintended hydraulic fracture growth into a fault causing dilation or </w:t>
            </w:r>
            <w:r w:rsidR="00EE4385">
              <w:t xml:space="preserve">slippage and creating a subsurface fluid </w:t>
            </w:r>
            <w:r w:rsidR="006E69D1">
              <w:t>flow</w:t>
            </w:r>
            <w:r w:rsidR="002A45A3">
              <w:t xml:space="preserve"> path</w:t>
            </w:r>
            <w:r w:rsidR="00EE4385">
              <w:t xml:space="preserve">. </w:t>
            </w:r>
          </w:p>
          <w:p w14:paraId="1BAD4889" w14:textId="77777777" w:rsidR="00780754" w:rsidRDefault="00780754" w:rsidP="00780754">
            <w:pPr>
              <w:pStyle w:val="BodyText"/>
            </w:pPr>
          </w:p>
          <w:p w14:paraId="698154B3" w14:textId="744FF8B1" w:rsidR="00780754" w:rsidRPr="009E4AC2" w:rsidRDefault="00780754" w:rsidP="00780754">
            <w:pPr>
              <w:pStyle w:val="BodyText"/>
              <w:rPr>
                <w:b/>
              </w:rPr>
            </w:pPr>
            <w:r w:rsidRPr="009E4AC2">
              <w:rPr>
                <w:b/>
              </w:rPr>
              <w:t xml:space="preserve">Major </w:t>
            </w:r>
            <w:r w:rsidR="007E4A66" w:rsidRPr="005A442F">
              <w:rPr>
                <w:b/>
              </w:rPr>
              <w:t>a</w:t>
            </w:r>
            <w:r w:rsidRPr="005A442F">
              <w:rPr>
                <w:b/>
              </w:rPr>
              <w:t>ctivity</w:t>
            </w:r>
          </w:p>
          <w:p w14:paraId="0F0E5ACF" w14:textId="0661981A" w:rsidR="00780754" w:rsidRDefault="009E4AC2" w:rsidP="006E7F04">
            <w:pPr>
              <w:pStyle w:val="BodyText"/>
              <w:numPr>
                <w:ilvl w:val="0"/>
                <w:numId w:val="41"/>
              </w:numPr>
            </w:pPr>
            <w:r w:rsidRPr="009E4AC2">
              <w:t>Drill and hydraulic fracture</w:t>
            </w:r>
          </w:p>
          <w:p w14:paraId="30A83114" w14:textId="77777777" w:rsidR="00780754" w:rsidRPr="00780754" w:rsidRDefault="00780754" w:rsidP="00780754">
            <w:pPr>
              <w:pStyle w:val="BodyText"/>
            </w:pPr>
          </w:p>
          <w:p w14:paraId="290DD921" w14:textId="77777777" w:rsidR="000E1DB7" w:rsidRPr="00780754" w:rsidRDefault="000E1DB7" w:rsidP="000E1DB7">
            <w:pPr>
              <w:pStyle w:val="BodyText"/>
              <w:rPr>
                <w:b/>
              </w:rPr>
            </w:pPr>
            <w:r w:rsidRPr="00780754">
              <w:rPr>
                <w:b/>
              </w:rPr>
              <w:t>Potential effects</w:t>
            </w:r>
          </w:p>
          <w:p w14:paraId="1EB25351" w14:textId="77777777" w:rsidR="00340CCD" w:rsidRDefault="00340CCD" w:rsidP="006E7F04">
            <w:pPr>
              <w:pStyle w:val="BodyText"/>
              <w:numPr>
                <w:ilvl w:val="0"/>
                <w:numId w:val="28"/>
              </w:numPr>
            </w:pPr>
            <w:r>
              <w:t>Changed groundwater quality</w:t>
            </w:r>
          </w:p>
          <w:p w14:paraId="5FEA0C3D" w14:textId="77777777" w:rsidR="00340CCD" w:rsidRDefault="00340CCD" w:rsidP="006E7F04">
            <w:pPr>
              <w:pStyle w:val="BodyText"/>
              <w:numPr>
                <w:ilvl w:val="0"/>
                <w:numId w:val="28"/>
              </w:numPr>
            </w:pPr>
            <w:r>
              <w:t>Changed groundwater levels or pressures</w:t>
            </w:r>
          </w:p>
          <w:p w14:paraId="0C4DA363" w14:textId="65F927D3" w:rsidR="009E4AC2" w:rsidRDefault="00340CCD" w:rsidP="006E7F04">
            <w:pPr>
              <w:pStyle w:val="BodyText"/>
              <w:numPr>
                <w:ilvl w:val="0"/>
                <w:numId w:val="28"/>
              </w:numPr>
            </w:pPr>
            <w:r>
              <w:t>Fault reactivation and induced seismicity</w:t>
            </w:r>
          </w:p>
          <w:p w14:paraId="28F00DE5" w14:textId="77777777" w:rsidR="00340CCD" w:rsidRDefault="00340CCD" w:rsidP="00340CCD">
            <w:pPr>
              <w:pStyle w:val="BodyText"/>
            </w:pPr>
          </w:p>
          <w:p w14:paraId="4FDDDBF8" w14:textId="348150B8" w:rsidR="009E4AC2" w:rsidRPr="00826216" w:rsidRDefault="009E4AC2" w:rsidP="00780754">
            <w:pPr>
              <w:pStyle w:val="BodyText"/>
              <w:rPr>
                <w:b/>
              </w:rPr>
            </w:pPr>
            <w:r w:rsidRPr="00826216">
              <w:rPr>
                <w:b/>
              </w:rPr>
              <w:t xml:space="preserve">Impact </w:t>
            </w:r>
            <w:r w:rsidR="007E4A66" w:rsidRPr="005A442F">
              <w:rPr>
                <w:b/>
              </w:rPr>
              <w:t>c</w:t>
            </w:r>
            <w:r w:rsidRPr="005A442F">
              <w:rPr>
                <w:b/>
              </w:rPr>
              <w:t>ause</w:t>
            </w:r>
          </w:p>
          <w:p w14:paraId="75905A65" w14:textId="77777777" w:rsidR="005A3582" w:rsidRDefault="005A3582" w:rsidP="006E7F04">
            <w:pPr>
              <w:pStyle w:val="BodyText"/>
              <w:numPr>
                <w:ilvl w:val="0"/>
                <w:numId w:val="28"/>
              </w:numPr>
            </w:pPr>
            <w:r w:rsidRPr="005A442F">
              <w:t xml:space="preserve">Poor </w:t>
            </w:r>
            <w:r>
              <w:t xml:space="preserve">hydraulic fracture treatment </w:t>
            </w:r>
            <w:r w:rsidRPr="005A442F">
              <w:t>design</w:t>
            </w:r>
          </w:p>
          <w:p w14:paraId="3DE8DDA9" w14:textId="77777777" w:rsidR="005A3582" w:rsidRPr="005A3582" w:rsidRDefault="005A3582" w:rsidP="006E7F04">
            <w:pPr>
              <w:pStyle w:val="BodyText"/>
              <w:numPr>
                <w:ilvl w:val="0"/>
                <w:numId w:val="28"/>
              </w:numPr>
            </w:pPr>
            <w:r>
              <w:t xml:space="preserve">Poor well </w:t>
            </w:r>
            <w:r w:rsidRPr="005A442F">
              <w:t>construction</w:t>
            </w:r>
          </w:p>
          <w:p w14:paraId="7CFDB4CA" w14:textId="77777777" w:rsidR="00826216" w:rsidRDefault="00826216" w:rsidP="00780754">
            <w:pPr>
              <w:pStyle w:val="BodyText"/>
            </w:pPr>
          </w:p>
          <w:p w14:paraId="41141004" w14:textId="2BEDB618" w:rsidR="00826216" w:rsidRPr="00826216" w:rsidRDefault="00826216" w:rsidP="00780754">
            <w:pPr>
              <w:pStyle w:val="BodyText"/>
              <w:rPr>
                <w:b/>
              </w:rPr>
            </w:pPr>
            <w:r w:rsidRPr="00826216">
              <w:rPr>
                <w:b/>
              </w:rPr>
              <w:t xml:space="preserve">Current </w:t>
            </w:r>
            <w:r w:rsidR="007E4A66" w:rsidRPr="005A442F">
              <w:rPr>
                <w:b/>
              </w:rPr>
              <w:t>c</w:t>
            </w:r>
            <w:r w:rsidRPr="005A442F">
              <w:rPr>
                <w:b/>
              </w:rPr>
              <w:t>ontrols</w:t>
            </w:r>
          </w:p>
          <w:p w14:paraId="2A6990A4" w14:textId="77777777" w:rsidR="00162B7C" w:rsidRDefault="00162B7C" w:rsidP="006E7F04">
            <w:pPr>
              <w:pStyle w:val="BodyText"/>
              <w:numPr>
                <w:ilvl w:val="0"/>
                <w:numId w:val="28"/>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01D87035" w14:textId="0015DCE9" w:rsidR="001913AD" w:rsidRDefault="00826216" w:rsidP="006E7F04">
            <w:pPr>
              <w:pStyle w:val="BodyText"/>
              <w:numPr>
                <w:ilvl w:val="0"/>
                <w:numId w:val="28"/>
              </w:numPr>
            </w:pPr>
            <w:r w:rsidRPr="00826216">
              <w:t>Knowledge of geology</w:t>
            </w:r>
            <w:r w:rsidR="00F5181D">
              <w:t xml:space="preserve"> from seismic program works conducted prior to exploration and appraisal activities</w:t>
            </w:r>
          </w:p>
          <w:p w14:paraId="61C88C4B" w14:textId="7294B208" w:rsidR="00F5181D" w:rsidRDefault="00F5181D" w:rsidP="006E7F04">
            <w:pPr>
              <w:pStyle w:val="BodyText"/>
              <w:numPr>
                <w:ilvl w:val="0"/>
                <w:numId w:val="28"/>
              </w:numPr>
            </w:pPr>
            <w:r>
              <w:t>Incorporation of additional geology knowledge from drilling and hydraulic fracturing operations in nearby wells</w:t>
            </w:r>
          </w:p>
          <w:p w14:paraId="4C06EAA5" w14:textId="0B724334" w:rsidR="001913AD" w:rsidRDefault="00826216" w:rsidP="006E7F04">
            <w:pPr>
              <w:pStyle w:val="BodyText"/>
              <w:numPr>
                <w:ilvl w:val="0"/>
                <w:numId w:val="28"/>
              </w:numPr>
            </w:pPr>
            <w:r w:rsidRPr="00826216">
              <w:t xml:space="preserve">Hydraulic fracture treatment design </w:t>
            </w:r>
          </w:p>
          <w:p w14:paraId="6A11C28C" w14:textId="18EAE4F1" w:rsidR="001913AD" w:rsidRDefault="001913AD" w:rsidP="006E7F04">
            <w:pPr>
              <w:pStyle w:val="BodyText"/>
              <w:numPr>
                <w:ilvl w:val="0"/>
                <w:numId w:val="28"/>
              </w:numPr>
            </w:pPr>
            <w:r>
              <w:t>H</w:t>
            </w:r>
            <w:r w:rsidR="00826216" w:rsidRPr="00826216">
              <w:t xml:space="preserve">ydraulic fracture monitoring (seismic / tiltmeter) </w:t>
            </w:r>
          </w:p>
          <w:p w14:paraId="750132B7" w14:textId="3C81909F" w:rsidR="00826216" w:rsidRPr="000E1DB7" w:rsidRDefault="00826216" w:rsidP="006E7F04">
            <w:pPr>
              <w:pStyle w:val="BodyText"/>
              <w:numPr>
                <w:ilvl w:val="0"/>
                <w:numId w:val="28"/>
              </w:numPr>
            </w:pPr>
            <w:r w:rsidRPr="00826216">
              <w:t xml:space="preserve">Good management </w:t>
            </w:r>
            <w:r w:rsidR="005A442F">
              <w:t>and o</w:t>
            </w:r>
            <w:r w:rsidRPr="005A442F">
              <w:t>perator</w:t>
            </w:r>
            <w:r w:rsidRPr="00826216">
              <w:t xml:space="preserve"> procedures</w:t>
            </w:r>
          </w:p>
        </w:tc>
      </w:tr>
    </w:tbl>
    <w:p w14:paraId="6B8628F9" w14:textId="74CC12C1" w:rsidR="002F5E96" w:rsidRPr="00F379D8" w:rsidRDefault="0013687D" w:rsidP="00F379D8">
      <w:pPr>
        <w:pStyle w:val="Heading3"/>
      </w:pPr>
      <w:bookmarkStart w:id="30" w:name="_Toc5272802"/>
      <w:bookmarkStart w:id="31" w:name="_Toc36042854"/>
      <w:r w:rsidRPr="00F379D8">
        <w:t xml:space="preserve">Compromised well integrity </w:t>
      </w:r>
      <w:r w:rsidR="002F5E96" w:rsidRPr="00F379D8">
        <w:t xml:space="preserve">– </w:t>
      </w:r>
      <w:r w:rsidR="007E4A66" w:rsidRPr="00F379D8">
        <w:t>c</w:t>
      </w:r>
      <w:r w:rsidRPr="00F379D8">
        <w:t>ausal pathway</w:t>
      </w:r>
      <w:r w:rsidR="002F5E96" w:rsidRPr="00F379D8">
        <w:t xml:space="preserve"> </w:t>
      </w:r>
      <w:r w:rsidR="007E4A66" w:rsidRPr="00F379D8">
        <w:t>o</w:t>
      </w:r>
      <w:r w:rsidR="002F5E96" w:rsidRPr="00F379D8">
        <w:t>verview</w:t>
      </w:r>
      <w:bookmarkEnd w:id="30"/>
      <w:bookmarkEnd w:id="31"/>
    </w:p>
    <w:p w14:paraId="0866084D" w14:textId="20B73355" w:rsidR="007D0291" w:rsidRDefault="00B621B9" w:rsidP="00601A7B">
      <w:pPr>
        <w:pStyle w:val="BodyText"/>
      </w:pPr>
      <w:r>
        <w:t xml:space="preserve">Petroleum wells are constructed such that fluids are not able to pass </w:t>
      </w:r>
      <w:r w:rsidR="003C431B">
        <w:t xml:space="preserve">from outside the well to the inside or to travel </w:t>
      </w:r>
      <w:r w:rsidR="0079186C">
        <w:t xml:space="preserve">along the outside of the well between different geological layers or to the surface. </w:t>
      </w:r>
      <w:r w:rsidR="007D0291">
        <w:t xml:space="preserve">Maintaining this </w:t>
      </w:r>
      <w:r w:rsidR="004D5398">
        <w:t>leak-tight seal (</w:t>
      </w:r>
      <w:r w:rsidR="007D0291">
        <w:t>well integrity</w:t>
      </w:r>
      <w:r w:rsidR="004D5398">
        <w:t>)</w:t>
      </w:r>
      <w:r w:rsidR="007D0291">
        <w:t xml:space="preserve"> is a core focus of both governments and industry and </w:t>
      </w:r>
      <w:r w:rsidR="00F2521C">
        <w:t>w</w:t>
      </w:r>
      <w:r w:rsidR="007D0291">
        <w:t xml:space="preserve">ell integrity industry standards are regularly updated to reflect developments in technology and best practice </w:t>
      </w:r>
      <w:r w:rsidR="007D0291">
        <w:fldChar w:fldCharType="begin" w:fldLock="1"/>
      </w:r>
      <w:r w:rsidR="007D0291">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governance","type":"article-magazine","volume":"16530-1"},"uris":["http://www.mendeley.com/documents/?uuid=7cbf7668-ea81-4a61-ac13-e3a5ac78d7fb"]},{"id":"ITEM-2","itemData":{"author":[{"dropping-particle":"","family":"International Organization for Standardization","given":"","non-dropping-particle":"","parse-names":false,"suffix":""}],"id":"ITEM-2","issued":{"date-parts":[["2013"]]},"title":"ISO/TS 16530-2:2014 Well integrity — Part 2 : Well integrity for the operational phase","type":"report","volume":"2013"},"uris":["http://www.mendeley.com/documents/?uuid=077eacc2-35ec-418f-b81c-21cc70572168"]}],"mendeley":{"formattedCitation":"(International Organization for Standardization, 2013, 2017)","plainTextFormattedCitation":"(International Organization for Standardization, 2013, 2017)","previouslyFormattedCitation":"(International Organization for Standardization, 2013, 2017)"},"properties":{"noteIndex":0},"schema":"https://github.com/citation-style-language/schema/raw/master/csl-citation.json"}</w:instrText>
      </w:r>
      <w:r w:rsidR="007D0291">
        <w:fldChar w:fldCharType="separate"/>
      </w:r>
      <w:r w:rsidR="007D0291" w:rsidRPr="007D0291">
        <w:rPr>
          <w:noProof/>
        </w:rPr>
        <w:t>(International Organization for Standardization, 2013, 2017)</w:t>
      </w:r>
      <w:r w:rsidR="007D0291">
        <w:fldChar w:fldCharType="end"/>
      </w:r>
      <w:r w:rsidR="007D0291">
        <w:t>.</w:t>
      </w:r>
    </w:p>
    <w:p w14:paraId="7D29FBDD" w14:textId="78DAAE10" w:rsidR="00F72300" w:rsidRDefault="00A74149" w:rsidP="00601A7B">
      <w:pPr>
        <w:pStyle w:val="BodyText"/>
      </w:pPr>
      <w:r>
        <w:t>In order to create well integrity, c</w:t>
      </w:r>
      <w:r w:rsidR="00A13A88">
        <w:t>omponents known as well barrier elements</w:t>
      </w:r>
      <w:r w:rsidR="00874D47">
        <w:t xml:space="preserve"> </w:t>
      </w:r>
      <w:r w:rsidR="006327CE">
        <w:t xml:space="preserve">are </w:t>
      </w:r>
      <w:r w:rsidR="00874D47">
        <w:t xml:space="preserve">arranged in such a way that a </w:t>
      </w:r>
      <w:r w:rsidR="00F31FD8">
        <w:t xml:space="preserve">leak-tight </w:t>
      </w:r>
      <w:r w:rsidR="004D5398">
        <w:t>seal</w:t>
      </w:r>
      <w:r w:rsidR="00874D47">
        <w:t xml:space="preserve"> is formed</w:t>
      </w:r>
      <w:r w:rsidR="006327CE">
        <w:t xml:space="preserve"> between the well and the rock</w:t>
      </w:r>
      <w:r w:rsidR="00F31FD8">
        <w:t xml:space="preserve">. Often a minimum of two independent well barriers are required by regulation </w:t>
      </w:r>
      <w:r w:rsidR="006E4B84">
        <w:fldChar w:fldCharType="begin" w:fldLock="1"/>
      </w:r>
      <w:r w:rsidR="007D0291">
        <w:instrText>ADDIN CSL_CITATION {"citationItems":[{"id":"ITEM-1","itemData":{"author":[{"dropping-particle":"","family":"Northern Territory Government","given":"","non-dropping-particle":"","parse-names":false,"suffix":""}],"id":"ITEM-1","issue":"May","issued":{"date-parts":[["2019"]]},"title":"Code of Practice : Onshore Petroleum Activities in the Northern Territory","type":"report"},"uris":["http://www.mendeley.com/documents/?uuid=a831fd07-3ddf-4f7c-8d98-cd9b23f68f4f"]}],"mendeley":{"formattedCitation":"(Northern Territory Government, 2019)","manualFormatting":"(e.g. Northern Territory Government, 2019)","plainTextFormattedCitation":"(Northern Territory Government, 2019)","previouslyFormattedCitation":"(Northern Territory Government, 2019)"},"properties":{"noteIndex":0},"schema":"https://github.com/citation-style-language/schema/raw/master/csl-citation.json"}</w:instrText>
      </w:r>
      <w:r w:rsidR="006E4B84">
        <w:fldChar w:fldCharType="separate"/>
      </w:r>
      <w:r w:rsidR="006E4B84" w:rsidRPr="006E4B84">
        <w:rPr>
          <w:noProof/>
        </w:rPr>
        <w:t>(</w:t>
      </w:r>
      <w:r w:rsidR="006E4B84">
        <w:rPr>
          <w:noProof/>
        </w:rPr>
        <w:t xml:space="preserve">e.g. </w:t>
      </w:r>
      <w:r w:rsidR="006E4B84" w:rsidRPr="006E4B84">
        <w:rPr>
          <w:noProof/>
        </w:rPr>
        <w:t>Northern Territory Government, 2019)</w:t>
      </w:r>
      <w:r w:rsidR="006E4B84">
        <w:fldChar w:fldCharType="end"/>
      </w:r>
      <w:r w:rsidR="006E4B84">
        <w:t xml:space="preserve"> </w:t>
      </w:r>
      <w:r w:rsidR="00F31FD8">
        <w:t xml:space="preserve">or </w:t>
      </w:r>
      <w:r w:rsidR="000E6F2E">
        <w:t xml:space="preserve">recommended in industry standards </w:t>
      </w:r>
      <w:r>
        <w:fldChar w:fldCharType="begin" w:fldLock="1"/>
      </w:r>
      <w:r w:rsidR="00F2521C">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governance","type":"article-magazine","volume":"16530-1"},"uris":["http://www.mendeley.com/documents/?uuid=7cbf7668-ea81-4a61-ac13-e3a5ac78d7fb"]}],"mendeley":{"formattedCitation":"(International Organization for Standardization, 2017)","manualFormatting":"(e.g. International Organization for Standardization, 2017)","plainTextFormattedCitation":"(International Organization for Standardization, 2017)","previouslyFormattedCitation":"(International Organization for Standardization, 2017)"},"properties":{"noteIndex":0},"schema":"https://github.com/citation-style-language/schema/raw/master/csl-citation.json"}</w:instrText>
      </w:r>
      <w:r>
        <w:fldChar w:fldCharType="separate"/>
      </w:r>
      <w:r w:rsidRPr="00A74149">
        <w:rPr>
          <w:noProof/>
        </w:rPr>
        <w:t>(</w:t>
      </w:r>
      <w:r w:rsidR="00F2521C">
        <w:rPr>
          <w:noProof/>
        </w:rPr>
        <w:t xml:space="preserve">e.g. </w:t>
      </w:r>
      <w:r w:rsidRPr="00A74149">
        <w:rPr>
          <w:noProof/>
        </w:rPr>
        <w:t>International Organization for Standardization, 2017)</w:t>
      </w:r>
      <w:r>
        <w:fldChar w:fldCharType="end"/>
      </w:r>
      <w:r>
        <w:t xml:space="preserve"> </w:t>
      </w:r>
      <w:r w:rsidR="000E6F2E">
        <w:t xml:space="preserve">to provide </w:t>
      </w:r>
      <w:r w:rsidR="00752183">
        <w:t xml:space="preserve">redundancy such that a failure in one well barrier does not lead to unintended fluid infiltration into </w:t>
      </w:r>
      <w:r w:rsidR="00F23D99">
        <w:t xml:space="preserve">geological layers or to the surface. This practice of </w:t>
      </w:r>
      <w:r w:rsidR="003A3C51">
        <w:t xml:space="preserve">designing, constructing, operating and decommissioning wells in such a way to prevent unintended fluid movement is known as maintaining well integrity </w:t>
      </w:r>
      <w:r w:rsidR="003A3C51">
        <w:fldChar w:fldCharType="begin" w:fldLock="1"/>
      </w:r>
      <w:r w:rsidR="003F3800">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governance","type":"article-magazine","volume":"16530-1"},"uris":["http://www.mendeley.com/documents/?uuid=7cbf7668-ea81-4a61-ac13-e3a5ac78d7fb"]}],"mendeley":{"formattedCitation":"(International Organization for Standardization, 2017)","plainTextFormattedCitation":"(International Organization for Standardization, 2017)","previouslyFormattedCitation":"(International Organization for Standardization, 2017)"},"properties":{"noteIndex":0},"schema":"https://github.com/citation-style-language/schema/raw/master/csl-citation.json"}</w:instrText>
      </w:r>
      <w:r w:rsidR="003A3C51">
        <w:fldChar w:fldCharType="separate"/>
      </w:r>
      <w:r w:rsidRPr="00A74149">
        <w:rPr>
          <w:noProof/>
        </w:rPr>
        <w:t>(International Organization for Standardization, 2017)</w:t>
      </w:r>
      <w:r w:rsidR="003A3C51">
        <w:fldChar w:fldCharType="end"/>
      </w:r>
      <w:r w:rsidR="003A3C51">
        <w:t>.</w:t>
      </w:r>
    </w:p>
    <w:p w14:paraId="783FEF53" w14:textId="087AED62" w:rsidR="00BE5892" w:rsidRDefault="00BE5892" w:rsidP="00601A7B">
      <w:pPr>
        <w:pStyle w:val="BodyText"/>
      </w:pPr>
      <w:r w:rsidRPr="00511245">
        <w:t>Well barrier elements can</w:t>
      </w:r>
      <w:r>
        <w:t xml:space="preserve"> potentially</w:t>
      </w:r>
      <w:r w:rsidRPr="00511245">
        <w:t xml:space="preserve"> be </w:t>
      </w:r>
      <w:r>
        <w:t xml:space="preserve">degraded or </w:t>
      </w:r>
      <w:r w:rsidRPr="00511245">
        <w:t xml:space="preserve">damaged by operational and environmental factors including exposure to </w:t>
      </w:r>
      <w:r>
        <w:t xml:space="preserve">formation fluids, drilling and hydraulic fracturing </w:t>
      </w:r>
      <w:r w:rsidRPr="00511245">
        <w:t xml:space="preserve">fluid pressure, mechanical stresses, poor well construction, degradation of the cement or steel casing or thermal cycling. This damage to the well barrier elements can potentially result in a failure of well integrity </w:t>
      </w:r>
      <w:r>
        <w:fldChar w:fldCharType="begin" w:fldLock="1"/>
      </w:r>
      <w:r w:rsidR="004C3E41">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2016)","plainTextFormattedCitation":"(USEPA, 2016)","previouslyFormattedCitation":"(USEPA, 2016)"},"properties":{"noteIndex":0},"schema":"https://github.com/citation-style-language/schema/raw/master/csl-citation.json"}</w:instrText>
      </w:r>
      <w:r>
        <w:fldChar w:fldCharType="separate"/>
      </w:r>
      <w:r w:rsidR="00A44D30" w:rsidRPr="00A44D30">
        <w:rPr>
          <w:noProof/>
        </w:rPr>
        <w:t>(USEPA, 2016)</w:t>
      </w:r>
      <w:r>
        <w:fldChar w:fldCharType="end"/>
      </w:r>
      <w:r w:rsidRPr="00511245">
        <w:t>.</w:t>
      </w:r>
    </w:p>
    <w:p w14:paraId="369D81D0" w14:textId="6F9F4CC8" w:rsidR="00460CBD" w:rsidRDefault="00460CBD" w:rsidP="00460CBD">
      <w:pPr>
        <w:pStyle w:val="BodyText"/>
      </w:pPr>
      <w:r>
        <w:t xml:space="preserve">The terminology around well integrity failures is not consistently applied across the industry or academic publications. It has been noted that mistrust and confusion in the community is </w:t>
      </w:r>
      <w:r w:rsidR="00F2521C">
        <w:t xml:space="preserve">in part </w:t>
      </w:r>
      <w:r>
        <w:t xml:space="preserve">due to different </w:t>
      </w:r>
      <w:r w:rsidR="00F2521C">
        <w:t xml:space="preserve">terminology and </w:t>
      </w:r>
      <w:r>
        <w:t>definitions of well failure</w:t>
      </w:r>
      <w:r w:rsidR="00DE18CD">
        <w:t xml:space="preserve"> </w:t>
      </w:r>
      <w:r w:rsidR="00DE18CD">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id":"ITEM-2","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-2","issued":{"date-parts":[["2018"]]},"number-of-pages":"506","title":"Final Report of the Scientific Inquiry into Hydraulic Fracturing in the Northern Territory","type":"report"},"uris":["http://www.mendeley.com/documents/?uuid=8382c27f-ce89-496e-8ea0-05d2cfecd777"]}],"mendeley":{"formattedCitation":"(Cook &lt;i&gt;et al.&lt;/i&gt;, 2013; Pepper &lt;i&gt;et al.&lt;/i&gt;, 2018)","manualFormatting":"(e.g. Cook et al., 2013; Pepper et al., 2018)","plainTextFormattedCitation":"(Cook et al., 2013; Pepper et al., 2018)","previouslyFormattedCitation":"(Cook &lt;i&gt;et al.&lt;/i&gt;, 2013; Pepper &lt;i&gt;et al.&lt;/i&gt;, 2018)"},"properties":{"noteIndex":0},"schema":"https://github.com/citation-style-language/schema/raw/master/csl-citation.json"}</w:instrText>
      </w:r>
      <w:r w:rsidR="00DE18CD">
        <w:fldChar w:fldCharType="separate"/>
      </w:r>
      <w:r w:rsidR="00DE18CD" w:rsidRPr="00DE18CD">
        <w:rPr>
          <w:noProof/>
        </w:rPr>
        <w:t>(</w:t>
      </w:r>
      <w:r w:rsidR="00DE18CD">
        <w:rPr>
          <w:noProof/>
        </w:rPr>
        <w:t xml:space="preserve">e.g. </w:t>
      </w:r>
      <w:r w:rsidR="00DE18CD" w:rsidRPr="00DE18CD">
        <w:rPr>
          <w:noProof/>
        </w:rPr>
        <w:t xml:space="preserve">Cook </w:t>
      </w:r>
      <w:r w:rsidR="00DE18CD" w:rsidRPr="005A442F">
        <w:rPr>
          <w:noProof/>
        </w:rPr>
        <w:t>et al.</w:t>
      </w:r>
      <w:r w:rsidR="00DE18CD" w:rsidRPr="00DE18CD">
        <w:rPr>
          <w:noProof/>
        </w:rPr>
        <w:t xml:space="preserve">, 2013; Pepper </w:t>
      </w:r>
      <w:r w:rsidR="00DE18CD" w:rsidRPr="005A442F">
        <w:rPr>
          <w:noProof/>
        </w:rPr>
        <w:t>et al.</w:t>
      </w:r>
      <w:r w:rsidR="00DE18CD" w:rsidRPr="00DE18CD">
        <w:rPr>
          <w:noProof/>
        </w:rPr>
        <w:t>, 2018)</w:t>
      </w:r>
      <w:r w:rsidR="00DE18CD">
        <w:fldChar w:fldCharType="end"/>
      </w:r>
      <w:r w:rsidR="00F2521C">
        <w:t>. A</w:t>
      </w:r>
      <w:r>
        <w:t xml:space="preserve"> well failure or failure of a single well barrier does not necessarily result in a leak to the external environment, therefore it is incorrect to equate all well failures with environmental impacts </w:t>
      </w:r>
      <w:r>
        <w:fldChar w:fldCharType="begin" w:fldLock="1"/>
      </w:r>
      <w:r>
        <w:instrText>ADDIN CSL_CITATION {"citationItems":[{"id":"ITEM-1","itemData":{"ISBN":"9781925149364","author":[{"dropping-particle":"","family":"O'Brien","given":"Simon","non-dropping-particle":"","parse-names":false,"suffix":""}],"id":"ITEM-1","issued":{"date-parts":[["2015"]]},"number-of-pages":"251","title":"Report 42: Standing Committee on Environment and Public Affairs - Implications for Western Australia of Hydraulic Fracturing for Unconventional Gas","type":"report"},"uris":["http://www.mendeley.com/documents/?uuid=e282b390-764b-4bbc-9aaa-8d44a3ef96c9"]}],"mendeley":{"formattedCitation":"(O’Brien, 2015)","plainTextFormattedCitation":"(O’Brien, 2015)","previouslyFormattedCitation":"(O’Brien, 2015)"},"properties":{"noteIndex":0},"schema":"https://github.com/citation-style-language/schema/raw/master/csl-citation.json"}</w:instrText>
      </w:r>
      <w:r>
        <w:fldChar w:fldCharType="separate"/>
      </w:r>
      <w:r w:rsidRPr="00DA5C41">
        <w:rPr>
          <w:noProof/>
        </w:rPr>
        <w:t>(O’Brien, 2015)</w:t>
      </w:r>
      <w:r>
        <w:fldChar w:fldCharType="end"/>
      </w:r>
      <w:r w:rsidR="008A2B37">
        <w:t xml:space="preserve">. Similarly, a failure of all well barriers (compromised well integrity) may also not lead to negative environmental impacts as </w:t>
      </w:r>
      <w:r w:rsidR="00D658DC">
        <w:t xml:space="preserve">there may be no driver to cause fluids to flow vertically along a </w:t>
      </w:r>
      <w:r w:rsidR="0000789E">
        <w:t>subsurface flow</w:t>
      </w:r>
      <w:r w:rsidR="002A45A3">
        <w:t xml:space="preserve"> path</w:t>
      </w:r>
      <w:r w:rsidR="0000789E">
        <w:t xml:space="preserve"> along a well </w:t>
      </w:r>
      <w:r w:rsidR="0000789E" w:rsidRPr="005A442F">
        <w:fldChar w:fldCharType="begin" w:fldLock="1"/>
      </w:r>
      <w:r w:rsidR="005A442F" w:rsidRPr="005A442F">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id":"ITEM-2","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-2","issue":"September","issued":{"date-parts":[["2018"]]},"number-of-pages":"609","publisher-place":"Perth, Western Australia","title":"Independent Scientific Panel Inquiry into Hydraulic Fracture Stimulation in Western Australia","type":"report"},"uris":["http://www.mendeley.com/documents/?uuid=32ed3f8b-df2b-455c-b952-5cb4981ce635"]},{"id":"ITEM-3","itemData":{"ISBN":"9781926558776","abstract":"What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Academies","given":"","non-dropping-particle":"","parse-names":false,"suffix":""}],"id":"ITEM-3","issued":{"date-parts":[["2014"]]},"number-of-pages":"1-292","publisher":"Council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 Huddlestone-Holmes &lt;i&gt;et al.&lt;/i&gt;, 2017; Hatton &lt;i&gt;et al.&lt;/i&gt;, 2018)","plainTextFormattedCitation":"(Council of Canadian Academies, 2014; Huddlestone-Holmes et al., 2017; Hatton et al., 2018)","previouslyFormattedCitation":"(Council of Canadian Academies, 2014; Huddlestone-Holmes &lt;i&gt;et al.&lt;/i&gt;, 2017; Hatton &lt;i&gt;et al.&lt;/i&gt;, 2018)"},"properties":{"noteIndex":0},"schema":"https://github.com/citation-style-language/schema/raw/master/csl-citation.json"}</w:instrText>
      </w:r>
      <w:r w:rsidR="0000789E" w:rsidRPr="005A442F">
        <w:fldChar w:fldCharType="separate"/>
      </w:r>
      <w:r w:rsidR="0078111C" w:rsidRPr="005A442F">
        <w:rPr>
          <w:noProof/>
        </w:rPr>
        <w:t>(Council of Canadian Academies, 2014; Huddlestone-Holmes et al., 2017; Hatton et al., 2018)</w:t>
      </w:r>
      <w:r w:rsidR="0000789E" w:rsidRPr="005A442F">
        <w:fldChar w:fldCharType="end"/>
      </w:r>
      <w:r w:rsidR="0000789E" w:rsidRPr="005A442F">
        <w:t>.</w:t>
      </w:r>
    </w:p>
    <w:p w14:paraId="4D87C467" w14:textId="7CC56585" w:rsidR="00C30BA9" w:rsidRDefault="007E23B7" w:rsidP="0005519D">
      <w:pPr>
        <w:pStyle w:val="BodyText"/>
      </w:pPr>
      <w:r>
        <w:t xml:space="preserve">However, compromised well integrity </w:t>
      </w:r>
      <w:r w:rsidR="00E9688A">
        <w:t xml:space="preserve">could </w:t>
      </w:r>
      <w:r>
        <w:t xml:space="preserve">conceptually </w:t>
      </w:r>
      <w:r w:rsidR="00E9688A">
        <w:t>result in the unintended underground flow of fluids and gas</w:t>
      </w:r>
      <w:r w:rsidR="002A45A3">
        <w:t>es</w:t>
      </w:r>
      <w:r w:rsidR="00E9688A">
        <w:t xml:space="preserve"> into overlying stratigraphic units which could lead to an environmental impact. </w:t>
      </w:r>
      <w:r w:rsidR="001A3659">
        <w:t>T</w:t>
      </w:r>
      <w:r w:rsidR="0005519D">
        <w:t xml:space="preserve">here has </w:t>
      </w:r>
      <w:r w:rsidR="00E94CE7">
        <w:t xml:space="preserve">been </w:t>
      </w:r>
      <w:r w:rsidR="0005519D">
        <w:t xml:space="preserve">significant work to understand the likelihood of those impacts occurring </w:t>
      </w:r>
      <w:r w:rsidR="008C0972">
        <w:t xml:space="preserve">and they are </w:t>
      </w:r>
      <w:r w:rsidR="0005519D">
        <w:t xml:space="preserve">generally considered manageable to a suitably low level given appropriate regulatory controls, sufficient understanding of the baseline geological and environmental systems, and </w:t>
      </w:r>
      <w:r w:rsidR="00AF3C70">
        <w:t xml:space="preserve">implementation of best </w:t>
      </w:r>
      <w:r w:rsidR="0005519D">
        <w:t>industry practi</w:t>
      </w:r>
      <w:r w:rsidR="002A45A3">
        <w:t>c</w:t>
      </w:r>
      <w:r w:rsidR="0005519D">
        <w:t>es</w:t>
      </w:r>
      <w:r w:rsidR="00F2521C">
        <w:t xml:space="preserve"> as summarised in </w:t>
      </w:r>
      <w:r w:rsidR="00F2521C">
        <w:fldChar w:fldCharType="begin" w:fldLock="1"/>
      </w:r>
      <w:r w:rsidR="00F2521C">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2017)","manualFormatting":"Huddlestone-Holmes et al. (2017)","plainTextFormattedCitation":"(Huddlestone-Holmes et al., 2017)","previouslyFormattedCitation":"(Huddlestone-Holmes &lt;i&gt;et al.&lt;/i&gt;, 2017)"},"properties":{"noteIndex":0},"schema":"https://github.com/citation-style-language/schema/raw/master/csl-citation.json"}</w:instrText>
      </w:r>
      <w:r w:rsidR="00F2521C">
        <w:fldChar w:fldCharType="separate"/>
      </w:r>
      <w:r w:rsidR="00F2521C" w:rsidRPr="007D0291">
        <w:rPr>
          <w:noProof/>
        </w:rPr>
        <w:t xml:space="preserve">Huddlestone-Holmes </w:t>
      </w:r>
      <w:r w:rsidR="00F2521C" w:rsidRPr="005A442F">
        <w:rPr>
          <w:noProof/>
        </w:rPr>
        <w:t>et al.</w:t>
      </w:r>
      <w:r w:rsidR="00F2521C" w:rsidRPr="007D0291">
        <w:rPr>
          <w:noProof/>
        </w:rPr>
        <w:t xml:space="preserve"> </w:t>
      </w:r>
      <w:r w:rsidR="00F2521C">
        <w:rPr>
          <w:noProof/>
        </w:rPr>
        <w:t>(</w:t>
      </w:r>
      <w:r w:rsidR="00F2521C" w:rsidRPr="007D0291">
        <w:rPr>
          <w:noProof/>
        </w:rPr>
        <w:t>2017)</w:t>
      </w:r>
      <w:r w:rsidR="00F2521C">
        <w:fldChar w:fldCharType="end"/>
      </w:r>
      <w:r w:rsidR="0005519D">
        <w:t>.</w:t>
      </w:r>
    </w:p>
    <w:p w14:paraId="33AE5329" w14:textId="6BF6A4E4" w:rsidR="0005535B" w:rsidRDefault="006E1218" w:rsidP="0005535B">
      <w:pPr>
        <w:pStyle w:val="BodyText"/>
      </w:pPr>
      <w:r>
        <w:t>D</w:t>
      </w:r>
      <w:r w:rsidR="0005519D">
        <w:t xml:space="preserve">ata </w:t>
      </w:r>
      <w:r w:rsidR="0009584B">
        <w:t xml:space="preserve">collection </w:t>
      </w:r>
      <w:r w:rsidR="00942A02">
        <w:t xml:space="preserve">and monitoring </w:t>
      </w:r>
      <w:r w:rsidR="0005519D">
        <w:t>limitations make it difficult to assess the rates which well integrity failures have caused impacts to underground resources e.g.</w:t>
      </w:r>
      <w:r w:rsidR="009C6667">
        <w:t xml:space="preserve"> </w:t>
      </w:r>
      <w:r w:rsidR="009C6667">
        <w:fldChar w:fldCharType="begin" w:fldLock="1"/>
      </w:r>
      <w:r w:rsidR="00884788">
        <w:instrText>ADDIN CSL_CITATION {"citationItems":[{"id":"ITEM-1","itemData":{"DOI":"10.1111/gwat.12074","ISBN":"1745-6584","ISSN":"0017467X","PMID":"23745972","abstract":"Unconventional natural gas extraction from tight sandstones, shales, and some coal-beds is typically accomplished by horizontal drilling and hydraulic fracturing that is necessary for economic development of these new hydrocarbon resources. Concerns have been raised regarding the potential for contamination of shallow groundwater by stray gases, formation waters, and fracturing chemicals associated with unconventional gas exploration. A lack of sound scientific hydrogeological field observations and a scarcity of published peer-reviewed articles on the effects of both conventional and unconventional oil and gas activities on shallow groundwater make it difficult to address these issues. Here, we discuss several case studies related to both conventional and unconventional oil and gas activities illustrating how under some circumstances stray or fugitive gas from deep gas-rich formations has migrated from the subsurface into shallow aquifers and how it has affected groundwater quality. Examples include impacts of uncemented well annuli in areas of historic drilling operations, effects related to poor cement bonding in both new and old hydrocarbon wells, and ineffective cementing practices. We also summarize studies describing how structural features influence the role of natural and induced fractures as contaminant fluid migration pathways. On the basis of these studies, we identify two areas where field-focused research is urgently needed to fill current science gaps related to unconventional gas extraction: (1) baseline geochemical mapping (with time series sampling from a sufficient network of groundwater monitoring wells) and (2) field testing of potential mechanisms and pathways by which hydrocarbon gases, reservoir fluids, and fracturing chemicals might potentially invade and contaminate useable groundwater.","author":[{"dropping-particle":"","family":"Jackson","given":"R. E.","non-dropping-particle":"","parse-names":false,"suffix":""},{"dropping-particle":"","family":"Gorody","given":"A. W.","non-dropping-particle":"","parse-names":false,"suffix":""},{"dropping-particle":"","family":"Mayer","given":"B.","non-dropping-particle":"","parse-names":false,"suffix":""},{"dropping-particle":"","family":"Roy","given":"J. W.","non-dropping-particle":"","parse-names":false,"suffix":""},{"dropping-particle":"","family":"Ryan","given":"M. C.","non-dropping-particle":"","parse-names":false,"suffix":""},{"dropping-particle":"","family":"Stempvoort","given":"D. R.","non-dropping-particle":"Van","parse-names":false,"suffix":""}],"container-title":"Groundwater","id":"ITEM-1","issue":"4","issued":{"date-parts":[["2013"]]},"page":"488-510","title":"Groundwater protection and unconventional gas extraction: The critical need for field-based hydrogeological research","type":"article-journal","volume":"51"},"uris":["http://www.mendeley.com/documents/?uuid=5c2327dc-f40c-4f61-b5bd-2d4083cb54db"]},{"id":"ITEM-2","itemData":{"DOI":"10.1126/science.1235009","ISBN":"0036-8075","ISSN":"10959203","PMID":"23687049","abstract":"Unconventional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D.","non-dropping-particle":"","parse-names":false,"suffix":""}],"container-title":"Science","id":"ITEM-2","issue":"6134","issued":{"date-parts":[["2013","5"]]},"title":"Impact of shale gas development on regional water quality","title-short":"Vidic et al. 2013","type":"article-journal","volume":"340"},"uris":["http://www.mendeley.com/documents/?uuid=14f56300-1882-4d91-9290-dde5490a3245"]},{"id":"ITEM-3","itemData":{"ISBN":"9781926558776","abstract":"What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Academies","given":"","non-dropping-particle":"","parse-names":false,"suffix":""}],"id":"ITEM-3","issued":{"date-parts":[["2014"]]},"number-of-pages":"1-292","publisher":"Council of Canadian Academies","publisher-place":"Ottawa (ON)","title":"Environmental Impacts of Shale Gas Extraction in Canada","type":"report"},"uris":["http://www.mendeley.com/documents/?uuid=9cbb0cce-53af-41e4-81cc-48707dea51a4"]},{"id":"ITEM-4","itemData":{"abstract":"The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resources.","author":[{"dropping-particle":"","family":"USEPA","given":"","non-dropping-particle":"","parse-names":false,"suffix":""}],"id":"ITEM-4","issue":"December","issued":{"date-parts":[["2016"]]},"number-of-pages":"666","title":"Hydraulic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Report","type":"report"},"uris":["http://www.mendeley.com/documents/?uuid=c3743d4e-f6b2-4a6a-8d5f-efdef588fbd5"]},{"id":"ITEM-5","itemData":{"abstract":"It is important to understand what coal seam gas extraction means for human health and the environment. Coal seam gas extraction is closely regulated by state and the Commonwealth governments, which legally require protective measures to be in place to safeguard health and the environment. While the exact requirements vary by jurisdiction, this regulatory framework applies to all aspects of the industry, including the handling and use of chemicals throughout the extraction process. To increase the knowledge base about chemicals used in the industry and in recognition of the scientific and community interest in the risks of this chemical use, the Australian Government commissioned the National assessment of chemicals associated with coal seam gas extraction in Australia in June 2012. The Assessment examined 113 chemicals used by companies in Australia between 2010 and 2012 in drilling and hydraulic fracturing for coal seam gas, to develop a stronger understanding of the risks these chemicals could pose to the health of workers, the public and the environment. Industry reports that 59 of the 113 chemicals that were being used in coal seam gas extraction in 2010-12 were still being used in 2015-17. The focus of the Assessment was solely on the above-ground (surface) handling of chemicals – it did not consider potential risks from chemicals entering deeper groundwater through drilling or fracturing operations. The Australian government has since commissioned additional research into deeper groundwater that found the risks to be very low. This is consistent with international studies that had shown that the greatest risk to human health or the environment from chemicals used in coal seam gas extraction is from spills or releases of chemicals during surface activities such as transport, handling, storage and mixing of chemicals. It is important to note that not all wells require fracturing and not all chemicals are used at all sites. Most of the chemicals are also commonly used in other industries. Some are used in homes.","author":[{"dropping-particle":"","family":"Jeffrey","given":"Robert G.","non-dropping-particle":"","parse-names":false,"suffix":""},{"dropping-particle":"","family":"Wu","given":"Bailin","non-dropping-particle":"","parse-names":false,"suffix":""},{"dropping-particle":"","family":"Bunger","given":"Andrew P.","non-dropping-particle":"","parse-names":false,"suffix":""},{"dropping-particle":"","family":"Zhang","given":"Xi","non-dropping-particle":"","parse-names":false,"suffix":""},{"dropping-particle":"","family":"Chen","given":"Zuorong R.","non-dropping-particle":"","parse-names":false,"suffix":""},{"dropping-particle":"","family":"Kear","given":"James","non-dropping-particle":"","parse-names":false,"suffix":""},{"dropping-particle":"","family":"Kasperczyk","given":"Dane","non-dropping-particle":"","parse-names":false,"suffix":""}],"id":"ITEM-5","issued":{"date-parts":[["2017"]]},"title":"Literature review: Hydraulic fracture growth and well integrity, Project report, prepared by the Commonwealth Scientific and Industrial Research Organisation (CSIRO) as part of the National Assessment of Chemicals Associated with Coal Seam Gas Extraction ","type":"report"},"uris":["http://www.mendeley.com/documents/?uuid=0c5856bc-f789-31e4-9158-c4134e840000"]}],"mendeley":{"formattedCitation":"(R. E. Jackson &lt;i&gt;et al.&lt;/i&gt;, 2013; Vidic &lt;i&gt;et al.&lt;/i&gt;, 2013; Council of Canadian Academies, 2014; USEPA, 2016; Jeffrey &lt;i&gt;et al.&lt;/i&gt;, 2017)","manualFormatting":"Jackson et al. (2013); Vidic et al. (2013); Council of Canadian Academies (2014); USEPA (2016); and Jeffrey et al., (2017)","plainTextFormattedCitation":"(R. E. Jackson et al., 2013; Vidic et al., 2013; Council of Canadian Academies, 2014; USEPA, 2016; Jeffrey et al., 2017)","previouslyFormattedCitation":"(R. E. Jackson &lt;i&gt;et al.&lt;/i&gt;, 2013; Vidic &lt;i&gt;et al.&lt;/i&gt;, 2013; Council of Canadian Academies, 2014; USEPA, 2016; Jeffrey &lt;i&gt;et al.&lt;/i&gt;, 2017)"},"properties":{"noteIndex":0},"schema":"https://github.com/citation-style-language/schema/raw/master/csl-citation.json"}</w:instrText>
      </w:r>
      <w:r w:rsidR="009C6667">
        <w:fldChar w:fldCharType="separate"/>
      </w:r>
      <w:r w:rsidR="009C6667" w:rsidRPr="009C6667">
        <w:rPr>
          <w:noProof/>
        </w:rPr>
        <w:t xml:space="preserve">Jackson </w:t>
      </w:r>
      <w:r w:rsidR="009C6667" w:rsidRPr="005A442F">
        <w:rPr>
          <w:noProof/>
        </w:rPr>
        <w:t>et al.</w:t>
      </w:r>
      <w:r w:rsidR="009C6667" w:rsidRPr="009C6667">
        <w:rPr>
          <w:noProof/>
        </w:rPr>
        <w:t xml:space="preserve"> </w:t>
      </w:r>
      <w:r w:rsidR="00D93468">
        <w:rPr>
          <w:noProof/>
        </w:rPr>
        <w:t>(</w:t>
      </w:r>
      <w:r w:rsidR="009C6667" w:rsidRPr="009C6667">
        <w:rPr>
          <w:noProof/>
        </w:rPr>
        <w:t>2013</w:t>
      </w:r>
      <w:r w:rsidR="00D93468">
        <w:rPr>
          <w:noProof/>
        </w:rPr>
        <w:t>)</w:t>
      </w:r>
      <w:r w:rsidR="009C6667" w:rsidRPr="009C6667">
        <w:rPr>
          <w:noProof/>
        </w:rPr>
        <w:t xml:space="preserve">; Vidic </w:t>
      </w:r>
      <w:r w:rsidR="009C6667" w:rsidRPr="005A442F">
        <w:rPr>
          <w:noProof/>
        </w:rPr>
        <w:t>et al.</w:t>
      </w:r>
      <w:r w:rsidR="009C6667" w:rsidRPr="009C6667">
        <w:rPr>
          <w:noProof/>
        </w:rPr>
        <w:t xml:space="preserve"> </w:t>
      </w:r>
      <w:r w:rsidR="00D93468">
        <w:rPr>
          <w:noProof/>
        </w:rPr>
        <w:t>(</w:t>
      </w:r>
      <w:r w:rsidR="009C6667" w:rsidRPr="009C6667">
        <w:rPr>
          <w:noProof/>
        </w:rPr>
        <w:t>2013</w:t>
      </w:r>
      <w:r w:rsidR="00D93468">
        <w:rPr>
          <w:noProof/>
        </w:rPr>
        <w:t>)</w:t>
      </w:r>
      <w:r w:rsidR="009C6667" w:rsidRPr="009C6667">
        <w:rPr>
          <w:noProof/>
        </w:rPr>
        <w:t xml:space="preserve">; Council of Canadian Academies </w:t>
      </w:r>
      <w:r w:rsidR="00D93468">
        <w:rPr>
          <w:noProof/>
        </w:rPr>
        <w:t>(</w:t>
      </w:r>
      <w:r w:rsidR="009C6667" w:rsidRPr="009C6667">
        <w:rPr>
          <w:noProof/>
        </w:rPr>
        <w:t>2014</w:t>
      </w:r>
      <w:r w:rsidR="00D93468">
        <w:rPr>
          <w:noProof/>
        </w:rPr>
        <w:t>)</w:t>
      </w:r>
      <w:r w:rsidR="009C6667" w:rsidRPr="009C6667">
        <w:rPr>
          <w:noProof/>
        </w:rPr>
        <w:t>; US</w:t>
      </w:r>
      <w:r w:rsidR="00884788">
        <w:rPr>
          <w:noProof/>
        </w:rPr>
        <w:t>EPA</w:t>
      </w:r>
      <w:r w:rsidR="009C6667" w:rsidRPr="009C6667">
        <w:rPr>
          <w:noProof/>
        </w:rPr>
        <w:t xml:space="preserve"> </w:t>
      </w:r>
      <w:r w:rsidR="00D93468">
        <w:rPr>
          <w:noProof/>
        </w:rPr>
        <w:t>(</w:t>
      </w:r>
      <w:r w:rsidR="009C6667" w:rsidRPr="009C6667">
        <w:rPr>
          <w:noProof/>
        </w:rPr>
        <w:t>2016</w:t>
      </w:r>
      <w:r w:rsidR="00D93468">
        <w:rPr>
          <w:noProof/>
        </w:rPr>
        <w:t>)</w:t>
      </w:r>
      <w:r w:rsidR="009C6667" w:rsidRPr="009C6667">
        <w:rPr>
          <w:noProof/>
        </w:rPr>
        <w:t>;</w:t>
      </w:r>
      <w:r w:rsidR="00D93468">
        <w:rPr>
          <w:noProof/>
        </w:rPr>
        <w:t xml:space="preserve"> and</w:t>
      </w:r>
      <w:r w:rsidR="009C6667" w:rsidRPr="009C6667">
        <w:rPr>
          <w:noProof/>
        </w:rPr>
        <w:t xml:space="preserve"> Jeffrey </w:t>
      </w:r>
      <w:r w:rsidR="009C6667" w:rsidRPr="005A442F">
        <w:rPr>
          <w:noProof/>
        </w:rPr>
        <w:t>et al.</w:t>
      </w:r>
      <w:r w:rsidR="009C6667" w:rsidRPr="009C6667">
        <w:rPr>
          <w:noProof/>
        </w:rPr>
        <w:t xml:space="preserve">, </w:t>
      </w:r>
      <w:r w:rsidR="00D93468">
        <w:rPr>
          <w:noProof/>
        </w:rPr>
        <w:t>(</w:t>
      </w:r>
      <w:r w:rsidR="009C6667" w:rsidRPr="009C6667">
        <w:rPr>
          <w:noProof/>
        </w:rPr>
        <w:t>2017)</w:t>
      </w:r>
      <w:r w:rsidR="009C6667">
        <w:fldChar w:fldCharType="end"/>
      </w:r>
      <w:r w:rsidR="00D93468">
        <w:t xml:space="preserve">. </w:t>
      </w:r>
      <w:r w:rsidR="0009584B">
        <w:t xml:space="preserve">These limitations are compounded if baseline studies are not conducted prior to commencement of operations </w:t>
      </w:r>
      <w:r w:rsidR="0009584B">
        <w:fldChar w:fldCharType="begin" w:fldLock="1"/>
      </w:r>
      <w:r w:rsidR="0057362C">
        <w:instrText>ADDIN CSL_CITATION {"citationItems":[{"id":"ITEM-1","itemData":{"ISBN":"8308130003","author":[{"dropping-particle":"","family":"Hawke","given":"Allan","non-dropping-particle":"","parse-names":false,"suffix":""}],"id":"ITEM-1","issued":{"date-parts":[["2014"]]},"page":"226","title":"Report of the independent inquiry into hydraulic fracturing in the Northern Territory","type":"article-journal"},"uris":["http://www.mendeley.com/documents/?uuid=fb40a20b-bb78-4d1d-bebd-cadb32795c0c"]},{"id":"ITEM-2","itemData":{"ISBN":"9781926558776","abstract":"What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Academies","given":"","non-dropping-particle":"","parse-names":false,"suffix":""}],"id":"ITEM-2","issued":{"date-parts":[["2014"]]},"number-of-pages":"1-292","publisher":"Council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 Hawke, 2014)","plainTextFormattedCitation":"(Council of Canadian Academies, 2014; Hawke, 2014)","previouslyFormattedCitation":"(Council of Canadian Academies, 2014; Hawke, 2014)"},"properties":{"noteIndex":0},"schema":"https://github.com/citation-style-language/schema/raw/master/csl-citation.json"}</w:instrText>
      </w:r>
      <w:r w:rsidR="0009584B">
        <w:fldChar w:fldCharType="separate"/>
      </w:r>
      <w:r w:rsidR="0078111C" w:rsidRPr="0078111C">
        <w:rPr>
          <w:noProof/>
        </w:rPr>
        <w:t>(Council of Canadian Academies, 2014; Hawke, 2014)</w:t>
      </w:r>
      <w:r w:rsidR="0009584B">
        <w:fldChar w:fldCharType="end"/>
      </w:r>
      <w:r w:rsidR="0078111C">
        <w:t>.</w:t>
      </w:r>
      <w:r w:rsidR="0009584B">
        <w:t xml:space="preserve"> </w:t>
      </w:r>
      <w:r w:rsidR="0005519D">
        <w:t xml:space="preserve">This uncertainty caused by the lack of validation data cannot be overcome by the scope of the GBA </w:t>
      </w:r>
      <w:r w:rsidR="009C7299">
        <w:t>Program</w:t>
      </w:r>
      <w:r w:rsidR="0005519D">
        <w:t>.</w:t>
      </w:r>
    </w:p>
    <w:p w14:paraId="7B0F564F" w14:textId="73049544" w:rsidR="005477EE" w:rsidRDefault="005477EE" w:rsidP="005477EE">
      <w:pPr>
        <w:pStyle w:val="Caption"/>
      </w:pPr>
      <w:bookmarkStart w:id="32" w:name="_Ref13050337"/>
      <w:bookmarkStart w:id="33" w:name="_Toc36042885"/>
      <w:r>
        <w:t xml:space="preserve">Table </w:t>
      </w:r>
      <w:r w:rsidR="0085508F">
        <w:rPr>
          <w:noProof/>
        </w:rPr>
        <w:fldChar w:fldCharType="begin"/>
      </w:r>
      <w:r w:rsidR="0085508F">
        <w:rPr>
          <w:noProof/>
        </w:rPr>
        <w:instrText xml:space="preserve"> SEQ Table \* ARABIC </w:instrText>
      </w:r>
      <w:r w:rsidR="0085508F">
        <w:rPr>
          <w:noProof/>
        </w:rPr>
        <w:fldChar w:fldCharType="separate"/>
      </w:r>
      <w:r w:rsidR="00073927">
        <w:rPr>
          <w:noProof/>
        </w:rPr>
        <w:t>2</w:t>
      </w:r>
      <w:r w:rsidR="0085508F">
        <w:rPr>
          <w:noProof/>
        </w:rPr>
        <w:fldChar w:fldCharType="end"/>
      </w:r>
      <w:bookmarkEnd w:id="32"/>
      <w:r>
        <w:t xml:space="preserve"> </w:t>
      </w:r>
      <w:r w:rsidR="006F1D50">
        <w:t>Potential i</w:t>
      </w:r>
      <w:r w:rsidR="00051715">
        <w:t xml:space="preserve">mpact modes related to the compromised well integrity </w:t>
      </w:r>
      <w:r w:rsidR="005421CE">
        <w:t>causal</w:t>
      </w:r>
      <w:r w:rsidR="00051715">
        <w:t xml:space="preserve"> pathways</w:t>
      </w:r>
      <w:r w:rsidR="006D7A9F">
        <w:t xml:space="preserve"> reviewed</w:t>
      </w:r>
      <w:r>
        <w:t xml:space="preserve"> in GBA Stage 2</w:t>
      </w:r>
      <w:bookmarkEnd w:id="33"/>
    </w:p>
    <w:tbl>
      <w:tblPr>
        <w:tblStyle w:val="TableBAHeaderRow"/>
        <w:tblW w:w="9808" w:type="dxa"/>
        <w:tblLayout w:type="fixed"/>
        <w:tblLook w:val="04A0" w:firstRow="1" w:lastRow="0" w:firstColumn="1" w:lastColumn="0" w:noHBand="0" w:noVBand="1"/>
        <w:tblDescription w:val="Blank table illustrating Appendix caption style"/>
      </w:tblPr>
      <w:tblGrid>
        <w:gridCol w:w="454"/>
        <w:gridCol w:w="1814"/>
        <w:gridCol w:w="7540"/>
      </w:tblGrid>
      <w:tr w:rsidR="00EE6CB0" w:rsidRPr="00A8172F" w14:paraId="36E50D6C" w14:textId="77777777" w:rsidTr="006327CE">
        <w:trPr>
          <w:cnfStyle w:val="100000000000" w:firstRow="1" w:lastRow="0" w:firstColumn="0" w:lastColumn="0" w:oddVBand="0" w:evenVBand="0" w:oddHBand="0" w:evenHBand="0" w:firstRowFirstColumn="0" w:firstRowLastColumn="0" w:lastRowFirstColumn="0" w:lastRowLastColumn="0"/>
          <w:tblHeader/>
        </w:trPr>
        <w:tc>
          <w:tcPr>
            <w:tcW w:w="454" w:type="dxa"/>
          </w:tcPr>
          <w:p w14:paraId="205A9ED1" w14:textId="77777777" w:rsidR="00EE6CB0" w:rsidRPr="00DD07F6" w:rsidRDefault="00EE6CB0" w:rsidP="00192E6D">
            <w:pPr>
              <w:pStyle w:val="TableText"/>
              <w:spacing w:before="0" w:after="0" w:line="240" w:lineRule="auto"/>
            </w:pPr>
          </w:p>
        </w:tc>
        <w:tc>
          <w:tcPr>
            <w:tcW w:w="1814" w:type="dxa"/>
          </w:tcPr>
          <w:p w14:paraId="4F8B6BB3" w14:textId="59E9FD34" w:rsidR="00EE6CB0" w:rsidRDefault="006D7A9F" w:rsidP="00192E6D">
            <w:pPr>
              <w:pStyle w:val="TableTextCentred"/>
              <w:spacing w:before="0" w:after="0" w:line="240" w:lineRule="auto"/>
              <w:jc w:val="left"/>
            </w:pPr>
            <w:r>
              <w:t>Impact mode</w:t>
            </w:r>
          </w:p>
        </w:tc>
        <w:tc>
          <w:tcPr>
            <w:tcW w:w="7540" w:type="dxa"/>
          </w:tcPr>
          <w:p w14:paraId="32AF9F93" w14:textId="77777777" w:rsidR="00EE6CB0" w:rsidRPr="00EA63C0" w:rsidRDefault="00EE6CB0" w:rsidP="00192E6D">
            <w:pPr>
              <w:pStyle w:val="TableTextCentred"/>
              <w:spacing w:before="0" w:after="0" w:line="240" w:lineRule="auto"/>
              <w:jc w:val="left"/>
            </w:pPr>
            <w:r>
              <w:t>Description</w:t>
            </w:r>
          </w:p>
        </w:tc>
      </w:tr>
      <w:tr w:rsidR="00EE6CB0" w:rsidRPr="00A8172F" w14:paraId="73379500"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5DB7E8AF" w14:textId="2B63B70E" w:rsidR="00EE6CB0" w:rsidRPr="00EA63C0" w:rsidRDefault="00EE6CB0" w:rsidP="005477EE">
            <w:pPr>
              <w:pStyle w:val="TableText"/>
              <w:spacing w:before="0" w:after="0" w:line="240" w:lineRule="auto"/>
            </w:pPr>
            <w:r>
              <w:t>W.</w:t>
            </w:r>
            <w:r w:rsidR="006D7A9F">
              <w:t>1</w:t>
            </w:r>
          </w:p>
        </w:tc>
        <w:tc>
          <w:tcPr>
            <w:tcW w:w="1814" w:type="dxa"/>
          </w:tcPr>
          <w:p w14:paraId="73666D51" w14:textId="77777777" w:rsidR="00EE6CB0" w:rsidRPr="00A8172F" w:rsidRDefault="00EE6CB0" w:rsidP="005477EE">
            <w:pPr>
              <w:pStyle w:val="TableTextCentred"/>
              <w:spacing w:before="0" w:after="0" w:line="240" w:lineRule="auto"/>
              <w:jc w:val="left"/>
            </w:pPr>
            <w:r>
              <w:t xml:space="preserve">Well rupture or failure across well barriers </w:t>
            </w:r>
          </w:p>
        </w:tc>
        <w:tc>
          <w:tcPr>
            <w:tcW w:w="7540" w:type="dxa"/>
          </w:tcPr>
          <w:p w14:paraId="188A103A" w14:textId="77777777" w:rsidR="001D5A13" w:rsidRPr="00780754" w:rsidRDefault="001D5A13" w:rsidP="001D5A13">
            <w:pPr>
              <w:pStyle w:val="TableTextCentred"/>
              <w:spacing w:before="0" w:after="0" w:line="240" w:lineRule="auto"/>
              <w:jc w:val="left"/>
              <w:rPr>
                <w:b/>
              </w:rPr>
            </w:pPr>
            <w:r w:rsidRPr="00780754">
              <w:rPr>
                <w:b/>
              </w:rPr>
              <w:t>Description</w:t>
            </w:r>
          </w:p>
          <w:p w14:paraId="5D639A17" w14:textId="52587E66" w:rsidR="001D5A13" w:rsidRDefault="001D5A13" w:rsidP="001D5A13">
            <w:pPr>
              <w:pStyle w:val="TableTextCentred"/>
              <w:spacing w:before="0" w:after="0" w:line="240" w:lineRule="auto"/>
              <w:jc w:val="left"/>
            </w:pPr>
            <w:r>
              <w:t>Unintended fluid flow from outside the well to inside the well casing or vice versa</w:t>
            </w:r>
          </w:p>
          <w:p w14:paraId="44260BCE" w14:textId="77777777" w:rsidR="001D5A13" w:rsidRDefault="001D5A13" w:rsidP="001D5A13">
            <w:pPr>
              <w:pStyle w:val="BodyText"/>
            </w:pPr>
          </w:p>
          <w:p w14:paraId="029FA3C0" w14:textId="39E74CB5" w:rsidR="001D5A13" w:rsidRPr="009E4AC2" w:rsidRDefault="001D5A13" w:rsidP="001D5A13">
            <w:pPr>
              <w:pStyle w:val="BodyText"/>
              <w:rPr>
                <w:b/>
              </w:rPr>
            </w:pPr>
            <w:r w:rsidRPr="009E4AC2">
              <w:rPr>
                <w:b/>
              </w:rPr>
              <w:t xml:space="preserve">Major </w:t>
            </w:r>
            <w:r w:rsidR="007E4A66" w:rsidRPr="005A442F">
              <w:rPr>
                <w:b/>
              </w:rPr>
              <w:t>a</w:t>
            </w:r>
            <w:r w:rsidRPr="005A442F">
              <w:rPr>
                <w:b/>
              </w:rPr>
              <w:t>ctivit</w:t>
            </w:r>
            <w:r w:rsidR="00115969" w:rsidRPr="005A442F">
              <w:rPr>
                <w:b/>
              </w:rPr>
              <w:t>ies</w:t>
            </w:r>
          </w:p>
          <w:p w14:paraId="25BF75CB" w14:textId="5F39CD09" w:rsidR="001D5A13" w:rsidRDefault="001D5A13" w:rsidP="006E7F04">
            <w:pPr>
              <w:pStyle w:val="BodyText"/>
              <w:numPr>
                <w:ilvl w:val="0"/>
                <w:numId w:val="39"/>
              </w:numPr>
            </w:pPr>
            <w:r w:rsidRPr="009E4AC2">
              <w:t>Drill and hydraulic fracture</w:t>
            </w:r>
          </w:p>
          <w:p w14:paraId="477BB1CE" w14:textId="7A5856B4" w:rsidR="00115969" w:rsidRDefault="00115969" w:rsidP="006E7F04">
            <w:pPr>
              <w:pStyle w:val="BodyText"/>
              <w:numPr>
                <w:ilvl w:val="0"/>
                <w:numId w:val="39"/>
              </w:numPr>
            </w:pPr>
            <w:r w:rsidRPr="00115969">
              <w:t>Production and processing</w:t>
            </w:r>
          </w:p>
          <w:p w14:paraId="0623CE83" w14:textId="77777777" w:rsidR="00115969" w:rsidRPr="00780754" w:rsidRDefault="00115969" w:rsidP="001D5A13">
            <w:pPr>
              <w:pStyle w:val="BodyText"/>
            </w:pPr>
          </w:p>
          <w:p w14:paraId="3D16BB0C" w14:textId="77777777" w:rsidR="001D5A13" w:rsidRPr="00780754" w:rsidRDefault="001D5A13" w:rsidP="001D5A13">
            <w:pPr>
              <w:pStyle w:val="BodyText"/>
              <w:rPr>
                <w:b/>
              </w:rPr>
            </w:pPr>
            <w:r w:rsidRPr="00780754">
              <w:rPr>
                <w:b/>
              </w:rPr>
              <w:t>Potential effects</w:t>
            </w:r>
          </w:p>
          <w:p w14:paraId="2C128E15" w14:textId="77777777" w:rsidR="001D5A13" w:rsidRDefault="001D5A13" w:rsidP="006E7F04">
            <w:pPr>
              <w:pStyle w:val="BodyText"/>
              <w:numPr>
                <w:ilvl w:val="0"/>
                <w:numId w:val="40"/>
              </w:numPr>
            </w:pPr>
            <w:r>
              <w:t>Changed groundwater quality</w:t>
            </w:r>
          </w:p>
          <w:p w14:paraId="5AD13A55" w14:textId="77777777" w:rsidR="001D5A13" w:rsidRDefault="001D5A13" w:rsidP="001D5A13">
            <w:pPr>
              <w:pStyle w:val="BodyText"/>
            </w:pPr>
          </w:p>
          <w:p w14:paraId="27B7B648" w14:textId="79F82716" w:rsidR="001D5A13" w:rsidRPr="00826216" w:rsidRDefault="001D5A13" w:rsidP="001D5A13">
            <w:pPr>
              <w:pStyle w:val="BodyText"/>
              <w:rPr>
                <w:b/>
              </w:rPr>
            </w:pPr>
            <w:r w:rsidRPr="00826216">
              <w:rPr>
                <w:b/>
              </w:rPr>
              <w:t xml:space="preserve">Impact </w:t>
            </w:r>
            <w:r w:rsidR="007E4A66" w:rsidRPr="005A442F">
              <w:rPr>
                <w:b/>
              </w:rPr>
              <w:t>c</w:t>
            </w:r>
            <w:r w:rsidRPr="005A442F">
              <w:rPr>
                <w:b/>
              </w:rPr>
              <w:t>ause</w:t>
            </w:r>
          </w:p>
          <w:p w14:paraId="0DA8BB8E" w14:textId="72D798F5" w:rsidR="001D5A13" w:rsidRDefault="00343A7F" w:rsidP="006E7F04">
            <w:pPr>
              <w:pStyle w:val="BodyText"/>
              <w:numPr>
                <w:ilvl w:val="0"/>
                <w:numId w:val="40"/>
              </w:numPr>
            </w:pPr>
            <w:r w:rsidRPr="00343A7F">
              <w:t>Well integrity failure (failure of all barriers)</w:t>
            </w:r>
          </w:p>
          <w:p w14:paraId="5413D73A" w14:textId="77777777" w:rsidR="00343A7F" w:rsidRDefault="00343A7F" w:rsidP="001D5A13">
            <w:pPr>
              <w:pStyle w:val="BodyText"/>
            </w:pPr>
          </w:p>
          <w:p w14:paraId="1D2FFBE6" w14:textId="0D9C0700" w:rsidR="001D5A13" w:rsidRPr="00826216" w:rsidRDefault="001D5A13" w:rsidP="001D5A13">
            <w:pPr>
              <w:pStyle w:val="BodyText"/>
              <w:rPr>
                <w:b/>
              </w:rPr>
            </w:pPr>
            <w:r w:rsidRPr="00826216">
              <w:rPr>
                <w:b/>
              </w:rPr>
              <w:t xml:space="preserve">Current </w:t>
            </w:r>
            <w:r w:rsidR="007E4A66" w:rsidRPr="005A442F">
              <w:rPr>
                <w:b/>
              </w:rPr>
              <w:t>c</w:t>
            </w:r>
            <w:r w:rsidRPr="005A442F">
              <w:rPr>
                <w:b/>
              </w:rPr>
              <w:t>ontrols</w:t>
            </w:r>
          </w:p>
          <w:p w14:paraId="4D9290BF" w14:textId="008ED221" w:rsidR="00343A7F" w:rsidRDefault="00343A7F" w:rsidP="006E7F04">
            <w:pPr>
              <w:pStyle w:val="TableTextCentred"/>
              <w:numPr>
                <w:ilvl w:val="0"/>
                <w:numId w:val="29"/>
              </w:numPr>
              <w:spacing w:before="0" w:after="0" w:line="240" w:lineRule="auto"/>
              <w:jc w:val="left"/>
              <w:rPr>
                <w:rFonts w:eastAsia="Calibri" w:cs="Times New Roman"/>
                <w:color w:val="000000"/>
              </w:rPr>
            </w:pPr>
            <w:r w:rsidRPr="00343A7F">
              <w:rPr>
                <w:rFonts w:eastAsia="Calibri" w:cs="Times New Roman"/>
                <w:color w:val="000000"/>
              </w:rPr>
              <w:t>Knowledge of geology</w:t>
            </w:r>
            <w:r w:rsidR="006327CE">
              <w:rPr>
                <w:rFonts w:eastAsia="Calibri" w:cs="Times New Roman"/>
                <w:color w:val="000000"/>
              </w:rPr>
              <w:t xml:space="preserve"> </w:t>
            </w:r>
            <w:r w:rsidR="006327CE" w:rsidRPr="006327CE">
              <w:rPr>
                <w:rFonts w:eastAsia="Calibri" w:cs="Times New Roman"/>
                <w:color w:val="000000"/>
              </w:rPr>
              <w:t>and supplement</w:t>
            </w:r>
            <w:r w:rsidR="006327CE">
              <w:rPr>
                <w:rFonts w:eastAsia="Calibri" w:cs="Times New Roman"/>
                <w:color w:val="000000"/>
              </w:rPr>
              <w:t xml:space="preserve">ary </w:t>
            </w:r>
            <w:r w:rsidR="006327CE" w:rsidRPr="006327CE">
              <w:rPr>
                <w:rFonts w:eastAsia="Calibri" w:cs="Times New Roman"/>
                <w:color w:val="000000"/>
              </w:rPr>
              <w:t>seismic data,</w:t>
            </w:r>
            <w:r w:rsidRPr="00343A7F">
              <w:rPr>
                <w:rFonts w:eastAsia="Calibri" w:cs="Times New Roman"/>
                <w:color w:val="000000"/>
              </w:rPr>
              <w:t xml:space="preserve"> </w:t>
            </w:r>
          </w:p>
          <w:p w14:paraId="1EC61A69" w14:textId="77777777" w:rsidR="00F46D4F" w:rsidRDefault="00F46D4F" w:rsidP="006E7F04">
            <w:pPr>
              <w:pStyle w:val="BodyText"/>
              <w:numPr>
                <w:ilvl w:val="0"/>
                <w:numId w:val="29"/>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12F1CEB6" w14:textId="462AB2A4" w:rsidR="006327CE" w:rsidRDefault="006327CE" w:rsidP="006E7F04">
            <w:pPr>
              <w:pStyle w:val="TableTextCentred"/>
              <w:numPr>
                <w:ilvl w:val="0"/>
                <w:numId w:val="29"/>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0CBED197" w14:textId="351978A7" w:rsidR="006327CE" w:rsidRDefault="006327CE" w:rsidP="006E7F04">
            <w:pPr>
              <w:pStyle w:val="TableTextCentred"/>
              <w:numPr>
                <w:ilvl w:val="0"/>
                <w:numId w:val="29"/>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5F3A419A" w14:textId="292F0AD2" w:rsidR="00343A7F" w:rsidRDefault="00343A7F" w:rsidP="006E7F04">
            <w:pPr>
              <w:pStyle w:val="TableTextCentred"/>
              <w:numPr>
                <w:ilvl w:val="0"/>
                <w:numId w:val="29"/>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4B5FADDA" w14:textId="651F087E" w:rsidR="00343A7F" w:rsidRDefault="00343A7F" w:rsidP="006E7F04">
            <w:pPr>
              <w:pStyle w:val="TableTextCentred"/>
              <w:numPr>
                <w:ilvl w:val="0"/>
                <w:numId w:val="29"/>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sidR="006327CE">
              <w:rPr>
                <w:rFonts w:eastAsia="Calibri" w:cs="Times New Roman"/>
                <w:color w:val="000000"/>
              </w:rPr>
              <w:t xml:space="preserve"> and industry standards</w:t>
            </w:r>
            <w:r w:rsidRPr="00343A7F">
              <w:rPr>
                <w:rFonts w:eastAsia="Calibri" w:cs="Times New Roman"/>
                <w:color w:val="000000"/>
              </w:rPr>
              <w:t xml:space="preserve">, </w:t>
            </w:r>
          </w:p>
          <w:p w14:paraId="644A58C9" w14:textId="77BCDCA5" w:rsidR="00F46D4F" w:rsidRDefault="00343A7F" w:rsidP="006E7F04">
            <w:pPr>
              <w:pStyle w:val="TableTextCentred"/>
              <w:numPr>
                <w:ilvl w:val="0"/>
                <w:numId w:val="29"/>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sidR="006327CE">
              <w:rPr>
                <w:rFonts w:eastAsia="Calibri" w:cs="Times New Roman"/>
                <w:color w:val="000000"/>
              </w:rPr>
              <w:t xml:space="preserve"> </w:t>
            </w:r>
            <w:r w:rsidR="00F1053E">
              <w:rPr>
                <w:rFonts w:eastAsia="Calibri" w:cs="Times New Roman"/>
                <w:color w:val="000000"/>
              </w:rPr>
              <w:t xml:space="preserve">and </w:t>
            </w:r>
            <w:r w:rsidR="00F46D4F">
              <w:rPr>
                <w:rFonts w:eastAsia="Calibri" w:cs="Times New Roman"/>
                <w:color w:val="000000"/>
              </w:rPr>
              <w:t>including</w:t>
            </w:r>
            <w:r w:rsidR="00F46D4F">
              <w:t xml:space="preserve"> </w:t>
            </w:r>
            <w:r w:rsidR="00F46D4F" w:rsidRPr="00F46D4F">
              <w:rPr>
                <w:rFonts w:eastAsia="Calibri" w:cs="Times New Roman"/>
                <w:color w:val="000000"/>
              </w:rPr>
              <w:t xml:space="preserve">specialist engineers on-site during drilling and </w:t>
            </w:r>
            <w:r w:rsidR="005A442F">
              <w:rPr>
                <w:rFonts w:eastAsia="Calibri" w:cs="Times New Roman"/>
                <w:color w:val="000000"/>
              </w:rPr>
              <w:t xml:space="preserve">hydraulic </w:t>
            </w:r>
            <w:r w:rsidR="00F46D4F" w:rsidRPr="00F46D4F">
              <w:rPr>
                <w:rFonts w:eastAsia="Calibri" w:cs="Times New Roman"/>
                <w:color w:val="000000"/>
              </w:rPr>
              <w:t xml:space="preserve">fracturing. </w:t>
            </w:r>
          </w:p>
          <w:p w14:paraId="3B7CC445" w14:textId="5BF39F94" w:rsidR="00EE6CB0" w:rsidRPr="00A8172F" w:rsidRDefault="00F46D4F" w:rsidP="001D5A13">
            <w:pPr>
              <w:pStyle w:val="TableTextCentred"/>
              <w:spacing w:before="0" w:after="0" w:line="240" w:lineRule="auto"/>
              <w:jc w:val="left"/>
            </w:pPr>
            <w:r>
              <w:rPr>
                <w:rFonts w:eastAsia="Calibri" w:cs="Times New Roman"/>
                <w:color w:val="000000"/>
              </w:rPr>
              <w:t xml:space="preserve"> </w:t>
            </w:r>
          </w:p>
        </w:tc>
      </w:tr>
      <w:tr w:rsidR="00EE6CB0" w:rsidRPr="00A8172F" w14:paraId="340682ED" w14:textId="77777777" w:rsidTr="006327CE">
        <w:trPr>
          <w:cnfStyle w:val="000000010000" w:firstRow="0" w:lastRow="0" w:firstColumn="0" w:lastColumn="0" w:oddVBand="0" w:evenVBand="0" w:oddHBand="0" w:evenHBand="1" w:firstRowFirstColumn="0" w:firstRowLastColumn="0" w:lastRowFirstColumn="0" w:lastRowLastColumn="0"/>
        </w:trPr>
        <w:tc>
          <w:tcPr>
            <w:tcW w:w="454" w:type="dxa"/>
          </w:tcPr>
          <w:p w14:paraId="30525FBD" w14:textId="63D30295" w:rsidR="00EE6CB0" w:rsidRDefault="006D7A9F" w:rsidP="005477EE">
            <w:pPr>
              <w:pStyle w:val="TableText"/>
              <w:spacing w:before="0" w:after="0" w:line="240" w:lineRule="auto"/>
            </w:pPr>
            <w:r>
              <w:t>W.2</w:t>
            </w:r>
          </w:p>
        </w:tc>
        <w:tc>
          <w:tcPr>
            <w:tcW w:w="1814" w:type="dxa"/>
          </w:tcPr>
          <w:p w14:paraId="632F8FA7" w14:textId="10022ADC" w:rsidR="00EE6CB0" w:rsidRDefault="006D7A9F" w:rsidP="005477EE">
            <w:pPr>
              <w:pStyle w:val="TableTextCentred"/>
              <w:spacing w:before="0" w:after="0" w:line="240" w:lineRule="auto"/>
              <w:jc w:val="left"/>
            </w:pPr>
            <w:r>
              <w:t xml:space="preserve">Migration along casing annulus from </w:t>
            </w:r>
            <w:r w:rsidRPr="00122C47">
              <w:t>reservoir to surface</w:t>
            </w:r>
          </w:p>
        </w:tc>
        <w:tc>
          <w:tcPr>
            <w:tcW w:w="7540" w:type="dxa"/>
          </w:tcPr>
          <w:p w14:paraId="285B2AB8" w14:textId="77777777" w:rsidR="002809B0" w:rsidRPr="00780754" w:rsidRDefault="002809B0" w:rsidP="002809B0">
            <w:pPr>
              <w:pStyle w:val="TableTextCentred"/>
              <w:spacing w:before="0" w:after="0" w:line="240" w:lineRule="auto"/>
              <w:jc w:val="left"/>
              <w:rPr>
                <w:b/>
              </w:rPr>
            </w:pPr>
            <w:r w:rsidRPr="00780754">
              <w:rPr>
                <w:b/>
              </w:rPr>
              <w:t>Description</w:t>
            </w:r>
          </w:p>
          <w:p w14:paraId="5C1DC001" w14:textId="77777777" w:rsidR="002809B0" w:rsidRDefault="002809B0" w:rsidP="002809B0">
            <w:pPr>
              <w:pStyle w:val="TableTextCentred"/>
              <w:spacing w:before="0" w:after="0" w:line="240" w:lineRule="auto"/>
              <w:jc w:val="left"/>
            </w:pPr>
            <w:r>
              <w:t>Unintended fluid and/or gas flow from reservoir to surface along the annulus outside the well casing</w:t>
            </w:r>
          </w:p>
          <w:p w14:paraId="47E535C1" w14:textId="77777777" w:rsidR="002809B0" w:rsidRDefault="002809B0" w:rsidP="002809B0">
            <w:pPr>
              <w:pStyle w:val="BodyText"/>
            </w:pPr>
          </w:p>
          <w:p w14:paraId="3F4BF7AB" w14:textId="1BA0CAE1" w:rsidR="002809B0" w:rsidRPr="009E4AC2" w:rsidRDefault="002809B0" w:rsidP="002809B0">
            <w:pPr>
              <w:pStyle w:val="BodyText"/>
              <w:rPr>
                <w:b/>
              </w:rPr>
            </w:pPr>
            <w:r w:rsidRPr="009E4AC2">
              <w:rPr>
                <w:b/>
              </w:rPr>
              <w:t xml:space="preserve">Major </w:t>
            </w:r>
            <w:r w:rsidR="005B2B40" w:rsidRPr="005A442F">
              <w:rPr>
                <w:b/>
              </w:rPr>
              <w:t>a</w:t>
            </w:r>
            <w:r w:rsidRPr="005A442F">
              <w:rPr>
                <w:b/>
              </w:rPr>
              <w:t>ctivity</w:t>
            </w:r>
          </w:p>
          <w:p w14:paraId="3D97C4C2" w14:textId="77777777" w:rsidR="002809B0" w:rsidRDefault="002809B0" w:rsidP="002809B0">
            <w:pPr>
              <w:pStyle w:val="BodyText"/>
            </w:pPr>
            <w:r w:rsidRPr="00115969">
              <w:t>Production and processing</w:t>
            </w:r>
          </w:p>
          <w:p w14:paraId="02641501" w14:textId="77777777" w:rsidR="002809B0" w:rsidRPr="00780754" w:rsidRDefault="002809B0" w:rsidP="002809B0">
            <w:pPr>
              <w:pStyle w:val="BodyText"/>
            </w:pPr>
          </w:p>
          <w:p w14:paraId="548688A0" w14:textId="77777777" w:rsidR="002809B0" w:rsidRPr="00780754" w:rsidRDefault="002809B0" w:rsidP="002809B0">
            <w:pPr>
              <w:pStyle w:val="BodyText"/>
              <w:rPr>
                <w:b/>
              </w:rPr>
            </w:pPr>
            <w:r w:rsidRPr="00780754">
              <w:rPr>
                <w:b/>
              </w:rPr>
              <w:t>Potential effects</w:t>
            </w:r>
          </w:p>
          <w:p w14:paraId="1820ED92" w14:textId="0431B38D" w:rsidR="002809B0" w:rsidRDefault="007231AE" w:rsidP="006E7F04">
            <w:pPr>
              <w:pStyle w:val="BodyText"/>
              <w:numPr>
                <w:ilvl w:val="0"/>
                <w:numId w:val="30"/>
              </w:numPr>
            </w:pPr>
            <w:r w:rsidRPr="007231AE">
              <w:t>Soil, groundwater and / or surface water contamination</w:t>
            </w:r>
          </w:p>
          <w:p w14:paraId="01C1DDBA" w14:textId="22C66D06" w:rsidR="00582EEA" w:rsidRDefault="00582EEA" w:rsidP="006E7F04">
            <w:pPr>
              <w:pStyle w:val="BodyText"/>
              <w:numPr>
                <w:ilvl w:val="0"/>
                <w:numId w:val="30"/>
              </w:numPr>
            </w:pPr>
            <w:r w:rsidRPr="00582EEA">
              <w:t>Changed air quality</w:t>
            </w:r>
          </w:p>
          <w:p w14:paraId="06188EDD" w14:textId="77777777" w:rsidR="007231AE" w:rsidRDefault="007231AE" w:rsidP="002809B0">
            <w:pPr>
              <w:pStyle w:val="BodyText"/>
            </w:pPr>
          </w:p>
          <w:p w14:paraId="4246B768" w14:textId="4B6D0E3C" w:rsidR="002809B0" w:rsidRPr="00826216" w:rsidRDefault="002809B0" w:rsidP="002809B0">
            <w:pPr>
              <w:pStyle w:val="BodyText"/>
              <w:rPr>
                <w:b/>
              </w:rPr>
            </w:pPr>
            <w:r w:rsidRPr="00826216">
              <w:rPr>
                <w:b/>
              </w:rPr>
              <w:t xml:space="preserve">Impact </w:t>
            </w:r>
            <w:r w:rsidR="005B2B40" w:rsidRPr="005A442F">
              <w:rPr>
                <w:b/>
              </w:rPr>
              <w:t>c</w:t>
            </w:r>
            <w:r w:rsidRPr="005A442F">
              <w:rPr>
                <w:b/>
              </w:rPr>
              <w:t>ause</w:t>
            </w:r>
          </w:p>
          <w:p w14:paraId="2DF6E18E" w14:textId="77777777" w:rsidR="002809B0" w:rsidRDefault="002809B0" w:rsidP="002809B0">
            <w:pPr>
              <w:pStyle w:val="BodyText"/>
            </w:pPr>
            <w:r w:rsidRPr="00343A7F">
              <w:t>Well integrity failure (failure of all barriers)</w:t>
            </w:r>
          </w:p>
          <w:p w14:paraId="7337D714" w14:textId="77777777" w:rsidR="002809B0" w:rsidRDefault="002809B0" w:rsidP="002809B0">
            <w:pPr>
              <w:pStyle w:val="BodyText"/>
            </w:pPr>
          </w:p>
          <w:p w14:paraId="404319F2" w14:textId="4CD0852B" w:rsidR="002809B0" w:rsidRPr="00826216" w:rsidRDefault="002809B0" w:rsidP="002809B0">
            <w:pPr>
              <w:pStyle w:val="BodyText"/>
              <w:rPr>
                <w:b/>
              </w:rPr>
            </w:pPr>
            <w:r w:rsidRPr="00826216">
              <w:rPr>
                <w:b/>
              </w:rPr>
              <w:t xml:space="preserve">Current </w:t>
            </w:r>
            <w:r w:rsidR="005B2B40" w:rsidRPr="005A442F">
              <w:rPr>
                <w:b/>
              </w:rPr>
              <w:t>c</w:t>
            </w:r>
            <w:r w:rsidRPr="005A442F">
              <w:rPr>
                <w:b/>
              </w:rPr>
              <w:t>ontrols</w:t>
            </w:r>
          </w:p>
          <w:p w14:paraId="1EAEC53F" w14:textId="77777777" w:rsidR="00F46D4F" w:rsidRDefault="00F46D4F" w:rsidP="006E7F04">
            <w:pPr>
              <w:pStyle w:val="BodyText"/>
              <w:numPr>
                <w:ilvl w:val="0"/>
                <w:numId w:val="30"/>
              </w:numPr>
            </w:pPr>
            <w:r w:rsidRPr="005A442F">
              <w:t>Knowledge of geology</w:t>
            </w:r>
            <w:r>
              <w:t xml:space="preserve"> </w:t>
            </w:r>
            <w:r w:rsidRPr="006327CE">
              <w:t>and supplement</w:t>
            </w:r>
            <w:r>
              <w:t xml:space="preserve">ary </w:t>
            </w:r>
            <w:r w:rsidRPr="006327CE">
              <w:t>seismic data,</w:t>
            </w:r>
            <w:r w:rsidRPr="00343A7F">
              <w:t xml:space="preserve"> </w:t>
            </w:r>
          </w:p>
          <w:p w14:paraId="31D1BE81" w14:textId="77777777" w:rsidR="00F46D4F" w:rsidRDefault="00F46D4F" w:rsidP="006E7F04">
            <w:pPr>
              <w:pStyle w:val="BodyText"/>
              <w:numPr>
                <w:ilvl w:val="0"/>
                <w:numId w:val="30"/>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568632AE" w14:textId="200F1445" w:rsidR="00F46D4F" w:rsidRDefault="00F46D4F" w:rsidP="006E7F04">
            <w:pPr>
              <w:pStyle w:val="BodyText"/>
              <w:numPr>
                <w:ilvl w:val="0"/>
                <w:numId w:val="30"/>
              </w:numPr>
            </w:pPr>
            <w:r w:rsidRPr="005A442F">
              <w:t>Well design</w:t>
            </w:r>
            <w:r>
              <w:t xml:space="preserve"> </w:t>
            </w:r>
            <w:r w:rsidRPr="006327CE">
              <w:t>considering site</w:t>
            </w:r>
            <w:r w:rsidR="00435DC5">
              <w:t>-</w:t>
            </w:r>
            <w:r w:rsidRPr="006327CE">
              <w:t xml:space="preserve">specific factors, </w:t>
            </w:r>
          </w:p>
          <w:p w14:paraId="7553128D" w14:textId="77777777" w:rsidR="00F46D4F" w:rsidRDefault="00F46D4F" w:rsidP="006E7F04">
            <w:pPr>
              <w:pStyle w:val="BodyText"/>
              <w:numPr>
                <w:ilvl w:val="0"/>
                <w:numId w:val="30"/>
              </w:numPr>
            </w:pPr>
            <w:r w:rsidRPr="005A442F">
              <w:t>P</w:t>
            </w:r>
            <w:r w:rsidRPr="006327CE">
              <w:t xml:space="preserve">rescriptive work methods and subsurface integrity testing, </w:t>
            </w:r>
          </w:p>
          <w:p w14:paraId="0EFBA728" w14:textId="77777777" w:rsidR="00F46D4F" w:rsidRDefault="00F46D4F" w:rsidP="006E7F04">
            <w:pPr>
              <w:pStyle w:val="BodyText"/>
              <w:numPr>
                <w:ilvl w:val="0"/>
                <w:numId w:val="30"/>
              </w:numPr>
            </w:pPr>
            <w:r w:rsidRPr="005A442F">
              <w:t xml:space="preserve">Good management, </w:t>
            </w:r>
          </w:p>
          <w:p w14:paraId="67486DCA" w14:textId="77777777" w:rsidR="00F46D4F" w:rsidRDefault="00F46D4F" w:rsidP="006E7F04">
            <w:pPr>
              <w:pStyle w:val="BodyText"/>
              <w:numPr>
                <w:ilvl w:val="0"/>
                <w:numId w:val="30"/>
              </w:numPr>
            </w:pPr>
            <w:r w:rsidRPr="005A442F">
              <w:t>R</w:t>
            </w:r>
            <w:r w:rsidRPr="00343A7F">
              <w:t>egulations</w:t>
            </w:r>
            <w:r>
              <w:t xml:space="preserve"> and industry standards</w:t>
            </w:r>
            <w:r w:rsidRPr="00343A7F">
              <w:t xml:space="preserve">, </w:t>
            </w:r>
          </w:p>
          <w:p w14:paraId="06ED5D88" w14:textId="50709C86" w:rsidR="00F1053E" w:rsidRDefault="00F1053E" w:rsidP="006E7F04">
            <w:pPr>
              <w:pStyle w:val="BodyText"/>
              <w:numPr>
                <w:ilvl w:val="0"/>
                <w:numId w:val="30"/>
              </w:numPr>
            </w:pPr>
            <w:r w:rsidRPr="005A442F">
              <w:t>Operator procedures and including</w:t>
            </w:r>
            <w:r>
              <w:t xml:space="preserve"> </w:t>
            </w:r>
            <w:r w:rsidRPr="005A442F">
              <w:t xml:space="preserve">specialist engineers on-site during drilling and </w:t>
            </w:r>
            <w:r w:rsidR="005A442F">
              <w:t xml:space="preserve">hydraulic </w:t>
            </w:r>
            <w:r w:rsidRPr="005A442F">
              <w:t xml:space="preserve">fracturing. </w:t>
            </w:r>
          </w:p>
          <w:p w14:paraId="32A6EA23" w14:textId="3E0CAA48" w:rsidR="002809B0" w:rsidRPr="002809B0" w:rsidRDefault="002809B0" w:rsidP="00F46D4F">
            <w:pPr>
              <w:pStyle w:val="BodyText"/>
            </w:pPr>
          </w:p>
        </w:tc>
      </w:tr>
      <w:tr w:rsidR="00EE6CB0" w:rsidRPr="00A8172F" w14:paraId="0AA90DBE"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78D98A5F" w14:textId="6772E480" w:rsidR="00EE6CB0" w:rsidRDefault="00EE6CB0" w:rsidP="005477EE">
            <w:pPr>
              <w:pStyle w:val="TableText"/>
              <w:spacing w:before="0" w:after="0" w:line="240" w:lineRule="auto"/>
            </w:pPr>
            <w:r>
              <w:t>W.3</w:t>
            </w:r>
          </w:p>
        </w:tc>
        <w:tc>
          <w:tcPr>
            <w:tcW w:w="1814" w:type="dxa"/>
          </w:tcPr>
          <w:p w14:paraId="4C9E5B44" w14:textId="0C323705" w:rsidR="00EE6CB0" w:rsidRPr="0097451E" w:rsidRDefault="006D7A9F" w:rsidP="005477EE">
            <w:pPr>
              <w:pStyle w:val="TableTextCentred"/>
              <w:spacing w:before="0" w:after="0" w:line="240" w:lineRule="auto"/>
              <w:jc w:val="left"/>
            </w:pPr>
            <w:r w:rsidRPr="006D7A9F">
              <w:t>Migration along casing between rock layers</w:t>
            </w:r>
          </w:p>
        </w:tc>
        <w:tc>
          <w:tcPr>
            <w:tcW w:w="7540" w:type="dxa"/>
          </w:tcPr>
          <w:p w14:paraId="7EC3D7C4" w14:textId="77777777" w:rsidR="000137DF" w:rsidRPr="00780754" w:rsidRDefault="000137DF" w:rsidP="000137DF">
            <w:pPr>
              <w:pStyle w:val="TableTextCentred"/>
              <w:spacing w:before="0" w:after="0" w:line="240" w:lineRule="auto"/>
              <w:jc w:val="left"/>
              <w:rPr>
                <w:b/>
              </w:rPr>
            </w:pPr>
            <w:r w:rsidRPr="00780754">
              <w:rPr>
                <w:b/>
              </w:rPr>
              <w:t>Description</w:t>
            </w:r>
          </w:p>
          <w:p w14:paraId="20133F87" w14:textId="0BC3F6EF" w:rsidR="0070258F" w:rsidRDefault="0070258F" w:rsidP="0070258F">
            <w:pPr>
              <w:pStyle w:val="TableTextCentred"/>
              <w:spacing w:before="0" w:after="0" w:line="240" w:lineRule="auto"/>
              <w:jc w:val="left"/>
            </w:pPr>
            <w:r>
              <w:t>Unintended fluid flow between geological layers along the annulus outside the well casing</w:t>
            </w:r>
          </w:p>
          <w:p w14:paraId="49A99E7F" w14:textId="77777777" w:rsidR="000137DF" w:rsidRDefault="000137DF" w:rsidP="000137DF">
            <w:pPr>
              <w:pStyle w:val="BodyText"/>
            </w:pPr>
          </w:p>
          <w:p w14:paraId="0B324ECC" w14:textId="0A435B4B" w:rsidR="000137DF" w:rsidRPr="009E4AC2" w:rsidRDefault="000137DF" w:rsidP="000137DF">
            <w:pPr>
              <w:pStyle w:val="BodyText"/>
              <w:rPr>
                <w:b/>
              </w:rPr>
            </w:pPr>
            <w:r w:rsidRPr="009E4AC2">
              <w:rPr>
                <w:b/>
              </w:rPr>
              <w:t xml:space="preserve">Major </w:t>
            </w:r>
            <w:r w:rsidR="005B2B40" w:rsidRPr="005A442F">
              <w:rPr>
                <w:b/>
              </w:rPr>
              <w:t>a</w:t>
            </w:r>
            <w:r w:rsidRPr="005A442F">
              <w:rPr>
                <w:b/>
              </w:rPr>
              <w:t>ctivity</w:t>
            </w:r>
          </w:p>
          <w:p w14:paraId="2405A7BA" w14:textId="77777777" w:rsidR="000137DF" w:rsidRDefault="000137DF" w:rsidP="006E7F04">
            <w:pPr>
              <w:pStyle w:val="BodyText"/>
              <w:numPr>
                <w:ilvl w:val="0"/>
                <w:numId w:val="34"/>
              </w:numPr>
            </w:pPr>
            <w:r w:rsidRPr="00115969">
              <w:t>Production and processing</w:t>
            </w:r>
          </w:p>
          <w:p w14:paraId="08004638" w14:textId="77777777" w:rsidR="000137DF" w:rsidRPr="00780754" w:rsidRDefault="000137DF" w:rsidP="000137DF">
            <w:pPr>
              <w:pStyle w:val="BodyText"/>
            </w:pPr>
          </w:p>
          <w:p w14:paraId="0D9275F0" w14:textId="77777777" w:rsidR="000137DF" w:rsidRPr="00780754" w:rsidRDefault="000137DF" w:rsidP="000137DF">
            <w:pPr>
              <w:pStyle w:val="BodyText"/>
              <w:rPr>
                <w:b/>
              </w:rPr>
            </w:pPr>
            <w:r w:rsidRPr="00780754">
              <w:rPr>
                <w:b/>
              </w:rPr>
              <w:t>Potential effects</w:t>
            </w:r>
          </w:p>
          <w:p w14:paraId="46C33661" w14:textId="0431E75F" w:rsidR="000137DF" w:rsidRDefault="000137DF" w:rsidP="006E7F04">
            <w:pPr>
              <w:pStyle w:val="BodyText"/>
              <w:numPr>
                <w:ilvl w:val="0"/>
                <w:numId w:val="34"/>
              </w:numPr>
            </w:pPr>
            <w:r>
              <w:t>Changed groundwater quality</w:t>
            </w:r>
          </w:p>
          <w:p w14:paraId="0985D36C" w14:textId="7D8D914C" w:rsidR="0070258F" w:rsidRDefault="0070258F" w:rsidP="006E7F04">
            <w:pPr>
              <w:pStyle w:val="BodyText"/>
              <w:numPr>
                <w:ilvl w:val="0"/>
                <w:numId w:val="34"/>
              </w:numPr>
            </w:pPr>
            <w:r w:rsidRPr="0070258F">
              <w:t>Changed groundwater levels or pressures</w:t>
            </w:r>
          </w:p>
          <w:p w14:paraId="4A09F7F0" w14:textId="77777777" w:rsidR="000137DF" w:rsidRDefault="000137DF" w:rsidP="000137DF">
            <w:pPr>
              <w:pStyle w:val="BodyText"/>
            </w:pPr>
          </w:p>
          <w:p w14:paraId="7B797DB6" w14:textId="1EE25D14" w:rsidR="000137DF" w:rsidRPr="00826216" w:rsidRDefault="000137DF" w:rsidP="000137DF">
            <w:pPr>
              <w:pStyle w:val="BodyText"/>
              <w:rPr>
                <w:b/>
              </w:rPr>
            </w:pPr>
            <w:r w:rsidRPr="00826216">
              <w:rPr>
                <w:b/>
              </w:rPr>
              <w:t xml:space="preserve">Impact </w:t>
            </w:r>
            <w:r w:rsidR="005B2B40" w:rsidRPr="005A442F">
              <w:rPr>
                <w:b/>
              </w:rPr>
              <w:t>c</w:t>
            </w:r>
            <w:r w:rsidRPr="005A442F">
              <w:rPr>
                <w:b/>
              </w:rPr>
              <w:t>ause</w:t>
            </w:r>
          </w:p>
          <w:p w14:paraId="7ED8B2EA" w14:textId="77777777" w:rsidR="000137DF" w:rsidRDefault="000137DF" w:rsidP="006E7F04">
            <w:pPr>
              <w:pStyle w:val="BodyText"/>
              <w:numPr>
                <w:ilvl w:val="0"/>
                <w:numId w:val="35"/>
              </w:numPr>
            </w:pPr>
            <w:r w:rsidRPr="00343A7F">
              <w:t>Well integrity failure (failure of all barriers)</w:t>
            </w:r>
          </w:p>
          <w:p w14:paraId="5A54A854" w14:textId="77777777" w:rsidR="000137DF" w:rsidRDefault="000137DF" w:rsidP="000137DF">
            <w:pPr>
              <w:pStyle w:val="BodyText"/>
            </w:pPr>
          </w:p>
          <w:p w14:paraId="7CCA78F3" w14:textId="03AB29AC" w:rsidR="000137DF" w:rsidRPr="00826216" w:rsidRDefault="000137DF" w:rsidP="000137DF">
            <w:pPr>
              <w:pStyle w:val="BodyText"/>
              <w:rPr>
                <w:b/>
              </w:rPr>
            </w:pPr>
            <w:r w:rsidRPr="00826216">
              <w:rPr>
                <w:b/>
              </w:rPr>
              <w:t xml:space="preserve">Current </w:t>
            </w:r>
            <w:r w:rsidR="005B2B40" w:rsidRPr="005A442F">
              <w:rPr>
                <w:b/>
              </w:rPr>
              <w:t>c</w:t>
            </w:r>
            <w:r w:rsidRPr="005A442F">
              <w:rPr>
                <w:b/>
              </w:rPr>
              <w:t>ontrols</w:t>
            </w:r>
          </w:p>
          <w:p w14:paraId="14BD31CB"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sidRPr="00343A7F">
              <w:rPr>
                <w:rFonts w:eastAsia="Calibri" w:cs="Times New Roman"/>
                <w:color w:val="000000"/>
              </w:rPr>
              <w:t>Knowledge of geology</w:t>
            </w:r>
            <w:r>
              <w:rPr>
                <w:rFonts w:eastAsia="Calibri" w:cs="Times New Roman"/>
                <w:color w:val="000000"/>
              </w:rPr>
              <w:t xml:space="preserve"> </w:t>
            </w:r>
            <w:r w:rsidRPr="006327CE">
              <w:rPr>
                <w:rFonts w:eastAsia="Calibri" w:cs="Times New Roman"/>
                <w:color w:val="000000"/>
              </w:rPr>
              <w:t>and supplement</w:t>
            </w:r>
            <w:r>
              <w:rPr>
                <w:rFonts w:eastAsia="Calibri" w:cs="Times New Roman"/>
                <w:color w:val="000000"/>
              </w:rPr>
              <w:t xml:space="preserve">ary </w:t>
            </w:r>
            <w:r w:rsidRPr="006327CE">
              <w:rPr>
                <w:rFonts w:eastAsia="Calibri" w:cs="Times New Roman"/>
                <w:color w:val="000000"/>
              </w:rPr>
              <w:t>seismic data,</w:t>
            </w:r>
            <w:r w:rsidRPr="00343A7F">
              <w:rPr>
                <w:rFonts w:eastAsia="Calibri" w:cs="Times New Roman"/>
                <w:color w:val="000000"/>
              </w:rPr>
              <w:t xml:space="preserve"> </w:t>
            </w:r>
          </w:p>
          <w:p w14:paraId="392C02B3" w14:textId="77777777" w:rsidR="00F46D4F" w:rsidRDefault="00F46D4F" w:rsidP="006E7F04">
            <w:pPr>
              <w:pStyle w:val="BodyText"/>
              <w:numPr>
                <w:ilvl w:val="0"/>
                <w:numId w:val="35"/>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68707194" w14:textId="12FFE2DB" w:rsidR="00F46D4F" w:rsidRDefault="00F46D4F" w:rsidP="006E7F04">
            <w:pPr>
              <w:pStyle w:val="TableTextCentred"/>
              <w:numPr>
                <w:ilvl w:val="0"/>
                <w:numId w:val="35"/>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3CC231D4"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00FE5D8C"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39577AEF"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Pr>
                <w:rFonts w:eastAsia="Calibri" w:cs="Times New Roman"/>
                <w:color w:val="000000"/>
              </w:rPr>
              <w:t xml:space="preserve"> and industry standards</w:t>
            </w:r>
            <w:r w:rsidRPr="00343A7F">
              <w:rPr>
                <w:rFonts w:eastAsia="Calibri" w:cs="Times New Roman"/>
                <w:color w:val="000000"/>
              </w:rPr>
              <w:t xml:space="preserve">, </w:t>
            </w:r>
          </w:p>
          <w:p w14:paraId="0EBB2785" w14:textId="77777777" w:rsidR="00F1053E" w:rsidRDefault="00F1053E" w:rsidP="006E7F04">
            <w:pPr>
              <w:pStyle w:val="TableTextCentred"/>
              <w:numPr>
                <w:ilvl w:val="0"/>
                <w:numId w:val="35"/>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Pr>
                <w:rFonts w:eastAsia="Calibri" w:cs="Times New Roman"/>
                <w:color w:val="000000"/>
              </w:rPr>
              <w:t xml:space="preserve"> and including</w:t>
            </w:r>
            <w:r>
              <w:t xml:space="preserve"> </w:t>
            </w:r>
            <w:r w:rsidRPr="00F46D4F">
              <w:rPr>
                <w:rFonts w:eastAsia="Calibri" w:cs="Times New Roman"/>
                <w:color w:val="000000"/>
              </w:rPr>
              <w:t xml:space="preserve">specialist engineers on-site during drilling and fracturing. </w:t>
            </w:r>
          </w:p>
          <w:p w14:paraId="72202A2C" w14:textId="06C355B1" w:rsidR="000137DF" w:rsidRPr="000137DF" w:rsidRDefault="000137DF" w:rsidP="00F46D4F">
            <w:pPr>
              <w:pStyle w:val="BodyText"/>
            </w:pPr>
          </w:p>
        </w:tc>
      </w:tr>
      <w:tr w:rsidR="00EE6CB0" w:rsidRPr="00A8172F" w14:paraId="3E8C1FBD" w14:textId="77777777" w:rsidTr="006327CE">
        <w:trPr>
          <w:cnfStyle w:val="000000010000" w:firstRow="0" w:lastRow="0" w:firstColumn="0" w:lastColumn="0" w:oddVBand="0" w:evenVBand="0" w:oddHBand="0" w:evenHBand="1" w:firstRowFirstColumn="0" w:firstRowLastColumn="0" w:lastRowFirstColumn="0" w:lastRowLastColumn="0"/>
        </w:trPr>
        <w:tc>
          <w:tcPr>
            <w:tcW w:w="454" w:type="dxa"/>
          </w:tcPr>
          <w:p w14:paraId="1280E055" w14:textId="77777777" w:rsidR="00EE6CB0" w:rsidRDefault="00EE6CB0" w:rsidP="005477EE">
            <w:pPr>
              <w:pStyle w:val="TableText"/>
              <w:spacing w:before="0" w:after="0" w:line="240" w:lineRule="auto"/>
            </w:pPr>
            <w:r>
              <w:t>W.4</w:t>
            </w:r>
          </w:p>
        </w:tc>
        <w:tc>
          <w:tcPr>
            <w:tcW w:w="1814" w:type="dxa"/>
          </w:tcPr>
          <w:p w14:paraId="752ADA18" w14:textId="77777777" w:rsidR="00EE6CB0" w:rsidRDefault="00EE6CB0" w:rsidP="005477EE">
            <w:pPr>
              <w:pStyle w:val="TableTextCentred"/>
              <w:spacing w:before="0" w:after="0" w:line="240" w:lineRule="auto"/>
              <w:jc w:val="left"/>
            </w:pPr>
            <w:r>
              <w:t>Migration along decommissioned / abandoned wells</w:t>
            </w:r>
          </w:p>
        </w:tc>
        <w:tc>
          <w:tcPr>
            <w:tcW w:w="7540" w:type="dxa"/>
          </w:tcPr>
          <w:p w14:paraId="3D2BBAAF" w14:textId="77777777" w:rsidR="00154D52" w:rsidRPr="00780754" w:rsidRDefault="00154D52" w:rsidP="00154D52">
            <w:pPr>
              <w:pStyle w:val="TableTextCentred"/>
              <w:spacing w:before="0" w:after="0" w:line="240" w:lineRule="auto"/>
              <w:jc w:val="left"/>
              <w:rPr>
                <w:b/>
              </w:rPr>
            </w:pPr>
            <w:r w:rsidRPr="00780754">
              <w:rPr>
                <w:b/>
              </w:rPr>
              <w:t>Description</w:t>
            </w:r>
          </w:p>
          <w:p w14:paraId="48AF39D3" w14:textId="142F835B" w:rsidR="00154D52" w:rsidRDefault="00154D52" w:rsidP="00154D52">
            <w:pPr>
              <w:pStyle w:val="TableTextCentred"/>
              <w:spacing w:before="0" w:after="0" w:line="240" w:lineRule="auto"/>
              <w:jc w:val="left"/>
            </w:pPr>
            <w:r>
              <w:t xml:space="preserve">Unintended fluid flow along decommissioned petroleum wells </w:t>
            </w:r>
          </w:p>
          <w:p w14:paraId="57552CE2" w14:textId="77777777" w:rsidR="00154D52" w:rsidRDefault="00154D52" w:rsidP="00154D52">
            <w:pPr>
              <w:pStyle w:val="BodyText"/>
            </w:pPr>
          </w:p>
          <w:p w14:paraId="79A7B2AA" w14:textId="595FE4EC" w:rsidR="00154D52" w:rsidRPr="009E4AC2" w:rsidRDefault="00154D52" w:rsidP="00154D52">
            <w:pPr>
              <w:pStyle w:val="BodyText"/>
              <w:rPr>
                <w:b/>
              </w:rPr>
            </w:pPr>
            <w:r w:rsidRPr="009E4AC2">
              <w:rPr>
                <w:b/>
              </w:rPr>
              <w:t xml:space="preserve">Major </w:t>
            </w:r>
            <w:r w:rsidR="005B2B40" w:rsidRPr="005A442F">
              <w:rPr>
                <w:b/>
              </w:rPr>
              <w:t>a</w:t>
            </w:r>
            <w:r w:rsidRPr="005A442F">
              <w:rPr>
                <w:b/>
              </w:rPr>
              <w:t>ctivity</w:t>
            </w:r>
          </w:p>
          <w:p w14:paraId="4D7BBA08" w14:textId="7FABB49D" w:rsidR="00154D52" w:rsidRDefault="00154D52" w:rsidP="006E7F04">
            <w:pPr>
              <w:pStyle w:val="BodyText"/>
              <w:numPr>
                <w:ilvl w:val="0"/>
                <w:numId w:val="37"/>
              </w:numPr>
            </w:pPr>
            <w:r w:rsidRPr="00154D52">
              <w:t>Decommissioning and rehabilitation</w:t>
            </w:r>
          </w:p>
          <w:p w14:paraId="793CDE32" w14:textId="77777777" w:rsidR="00154D52" w:rsidRPr="00780754" w:rsidRDefault="00154D52" w:rsidP="00154D52">
            <w:pPr>
              <w:pStyle w:val="BodyText"/>
            </w:pPr>
          </w:p>
          <w:p w14:paraId="1E9C93BC" w14:textId="77777777" w:rsidR="00154D52" w:rsidRPr="00780754" w:rsidRDefault="00154D52" w:rsidP="00154D52">
            <w:pPr>
              <w:pStyle w:val="BodyText"/>
              <w:rPr>
                <w:b/>
              </w:rPr>
            </w:pPr>
            <w:r w:rsidRPr="00780754">
              <w:rPr>
                <w:b/>
              </w:rPr>
              <w:t>Potential effects</w:t>
            </w:r>
          </w:p>
          <w:p w14:paraId="77DC4A11" w14:textId="0A4BEF47" w:rsidR="00154D52" w:rsidRDefault="00154D52" w:rsidP="006E7F04">
            <w:pPr>
              <w:pStyle w:val="BodyText"/>
              <w:numPr>
                <w:ilvl w:val="0"/>
                <w:numId w:val="37"/>
              </w:numPr>
            </w:pPr>
            <w:r>
              <w:t>Changed groundwater quality</w:t>
            </w:r>
          </w:p>
          <w:p w14:paraId="1E273270" w14:textId="2D92EB33" w:rsidR="00582EEA" w:rsidRDefault="00582EEA" w:rsidP="006E7F04">
            <w:pPr>
              <w:pStyle w:val="BodyText"/>
              <w:numPr>
                <w:ilvl w:val="0"/>
                <w:numId w:val="37"/>
              </w:numPr>
            </w:pPr>
            <w:r w:rsidRPr="00582EEA">
              <w:t>Changed air quality</w:t>
            </w:r>
          </w:p>
          <w:p w14:paraId="31DC7FAD" w14:textId="77777777" w:rsidR="00154D52" w:rsidRDefault="00154D52" w:rsidP="00154D52">
            <w:pPr>
              <w:pStyle w:val="BodyText"/>
            </w:pPr>
          </w:p>
          <w:p w14:paraId="731AD621" w14:textId="6F6A67CF" w:rsidR="00154D52" w:rsidRPr="00826216" w:rsidRDefault="00154D52" w:rsidP="00154D52">
            <w:pPr>
              <w:pStyle w:val="BodyText"/>
              <w:rPr>
                <w:b/>
              </w:rPr>
            </w:pPr>
            <w:r w:rsidRPr="00826216">
              <w:rPr>
                <w:b/>
              </w:rPr>
              <w:t xml:space="preserve">Impact </w:t>
            </w:r>
            <w:r w:rsidR="005B2B40" w:rsidRPr="005A442F">
              <w:rPr>
                <w:b/>
              </w:rPr>
              <w:t>c</w:t>
            </w:r>
            <w:r w:rsidRPr="005A442F">
              <w:rPr>
                <w:b/>
              </w:rPr>
              <w:t>ause</w:t>
            </w:r>
          </w:p>
          <w:p w14:paraId="6795985C" w14:textId="77777777" w:rsidR="00154D52" w:rsidRDefault="00154D52" w:rsidP="006E7F04">
            <w:pPr>
              <w:pStyle w:val="BodyText"/>
              <w:numPr>
                <w:ilvl w:val="0"/>
                <w:numId w:val="38"/>
              </w:numPr>
            </w:pPr>
            <w:r w:rsidRPr="00343A7F">
              <w:t>Well integrity failure (failure of all barriers)</w:t>
            </w:r>
          </w:p>
          <w:p w14:paraId="710302AC" w14:textId="77777777" w:rsidR="00154D52" w:rsidRDefault="00154D52" w:rsidP="00154D52">
            <w:pPr>
              <w:pStyle w:val="BodyText"/>
            </w:pPr>
          </w:p>
          <w:p w14:paraId="1B8A66FD" w14:textId="1530EF24" w:rsidR="00154D52" w:rsidRPr="00826216" w:rsidRDefault="00154D52" w:rsidP="00154D52">
            <w:pPr>
              <w:pStyle w:val="BodyText"/>
              <w:rPr>
                <w:b/>
              </w:rPr>
            </w:pPr>
            <w:r w:rsidRPr="00826216">
              <w:rPr>
                <w:b/>
              </w:rPr>
              <w:t xml:space="preserve">Current </w:t>
            </w:r>
            <w:r w:rsidR="005B2B40" w:rsidRPr="005A442F">
              <w:rPr>
                <w:b/>
              </w:rPr>
              <w:t>c</w:t>
            </w:r>
            <w:r w:rsidRPr="005A442F">
              <w:rPr>
                <w:b/>
              </w:rPr>
              <w:t>ontrols</w:t>
            </w:r>
          </w:p>
          <w:p w14:paraId="64352851"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sidRPr="00343A7F">
              <w:rPr>
                <w:rFonts w:eastAsia="Calibri" w:cs="Times New Roman"/>
                <w:color w:val="000000"/>
              </w:rPr>
              <w:t>Knowledge of geology</w:t>
            </w:r>
            <w:r>
              <w:rPr>
                <w:rFonts w:eastAsia="Calibri" w:cs="Times New Roman"/>
                <w:color w:val="000000"/>
              </w:rPr>
              <w:t xml:space="preserve"> </w:t>
            </w:r>
            <w:r w:rsidRPr="006327CE">
              <w:rPr>
                <w:rFonts w:eastAsia="Calibri" w:cs="Times New Roman"/>
                <w:color w:val="000000"/>
              </w:rPr>
              <w:t>and supplement</w:t>
            </w:r>
            <w:r>
              <w:rPr>
                <w:rFonts w:eastAsia="Calibri" w:cs="Times New Roman"/>
                <w:color w:val="000000"/>
              </w:rPr>
              <w:t xml:space="preserve">ary </w:t>
            </w:r>
            <w:r w:rsidRPr="006327CE">
              <w:rPr>
                <w:rFonts w:eastAsia="Calibri" w:cs="Times New Roman"/>
                <w:color w:val="000000"/>
              </w:rPr>
              <w:t>seismic data,</w:t>
            </w:r>
            <w:r w:rsidRPr="00343A7F">
              <w:rPr>
                <w:rFonts w:eastAsia="Calibri" w:cs="Times New Roman"/>
                <w:color w:val="000000"/>
              </w:rPr>
              <w:t xml:space="preserve"> </w:t>
            </w:r>
          </w:p>
          <w:p w14:paraId="66589081" w14:textId="0C56CD1A" w:rsidR="00F46D4F" w:rsidRDefault="00F46D4F" w:rsidP="006E7F04">
            <w:pPr>
              <w:pStyle w:val="BodyText"/>
              <w:numPr>
                <w:ilvl w:val="0"/>
                <w:numId w:val="38"/>
              </w:numPr>
            </w:pPr>
            <w:r>
              <w:t xml:space="preserve">Regulated </w:t>
            </w:r>
            <w:r w:rsidRPr="00162B7C">
              <w:t xml:space="preserve">well </w:t>
            </w:r>
            <w:r w:rsidR="00BD37E5">
              <w:t>decommissioning methods</w:t>
            </w:r>
            <w:r w:rsidRPr="00162B7C">
              <w:t xml:space="preserve"> and verification of proper </w:t>
            </w:r>
            <w:r>
              <w:t xml:space="preserve">well </w:t>
            </w:r>
            <w:r w:rsidRPr="00162B7C">
              <w:t>completion</w:t>
            </w:r>
          </w:p>
          <w:p w14:paraId="6EAC7FF9" w14:textId="247DC45C" w:rsidR="00F46D4F" w:rsidRDefault="00F46D4F" w:rsidP="006E7F04">
            <w:pPr>
              <w:pStyle w:val="TableTextCentred"/>
              <w:numPr>
                <w:ilvl w:val="0"/>
                <w:numId w:val="38"/>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6AB66EDD"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73C7F46A"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58F8886F"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Pr>
                <w:rFonts w:eastAsia="Calibri" w:cs="Times New Roman"/>
                <w:color w:val="000000"/>
              </w:rPr>
              <w:t xml:space="preserve"> and industry standards</w:t>
            </w:r>
            <w:r w:rsidRPr="00343A7F">
              <w:rPr>
                <w:rFonts w:eastAsia="Calibri" w:cs="Times New Roman"/>
                <w:color w:val="000000"/>
              </w:rPr>
              <w:t xml:space="preserve">, </w:t>
            </w:r>
          </w:p>
          <w:p w14:paraId="307CE366" w14:textId="77A6CF80" w:rsidR="00F1053E" w:rsidRDefault="00F1053E" w:rsidP="006E7F04">
            <w:pPr>
              <w:pStyle w:val="TableTextCentred"/>
              <w:numPr>
                <w:ilvl w:val="0"/>
                <w:numId w:val="38"/>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Pr>
                <w:rFonts w:eastAsia="Calibri" w:cs="Times New Roman"/>
                <w:color w:val="000000"/>
              </w:rPr>
              <w:t xml:space="preserve"> and including</w:t>
            </w:r>
            <w:r>
              <w:t xml:space="preserve"> </w:t>
            </w:r>
            <w:r w:rsidRPr="00F46D4F">
              <w:rPr>
                <w:rFonts w:eastAsia="Calibri" w:cs="Times New Roman"/>
                <w:color w:val="000000"/>
              </w:rPr>
              <w:t xml:space="preserve">specialist engineers on-site during </w:t>
            </w:r>
            <w:r>
              <w:rPr>
                <w:rFonts w:eastAsia="Calibri" w:cs="Times New Roman"/>
                <w:color w:val="000000"/>
              </w:rPr>
              <w:t>decommissioning</w:t>
            </w:r>
            <w:r w:rsidRPr="00F46D4F">
              <w:rPr>
                <w:rFonts w:eastAsia="Calibri" w:cs="Times New Roman"/>
                <w:color w:val="000000"/>
              </w:rPr>
              <w:t xml:space="preserve">. </w:t>
            </w:r>
          </w:p>
          <w:p w14:paraId="07FDB3EC" w14:textId="4806306F" w:rsidR="00154D52" w:rsidRPr="00154D52" w:rsidRDefault="00154D52" w:rsidP="00F46D4F">
            <w:pPr>
              <w:pStyle w:val="BodyText"/>
            </w:pPr>
          </w:p>
        </w:tc>
      </w:tr>
      <w:tr w:rsidR="006D7A9F" w:rsidRPr="00A8172F" w14:paraId="0FD78F2E"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76629373" w14:textId="6821D567" w:rsidR="006D7A9F" w:rsidRDefault="006D7A9F" w:rsidP="006D7A9F">
            <w:pPr>
              <w:pStyle w:val="TableText"/>
              <w:spacing w:before="0" w:after="0" w:line="240" w:lineRule="auto"/>
            </w:pPr>
            <w:r>
              <w:t>W.5</w:t>
            </w:r>
          </w:p>
        </w:tc>
        <w:tc>
          <w:tcPr>
            <w:tcW w:w="1814" w:type="dxa"/>
          </w:tcPr>
          <w:p w14:paraId="3EBFA980" w14:textId="2D470B95" w:rsidR="006D7A9F" w:rsidRDefault="006D7A9F" w:rsidP="006D7A9F">
            <w:pPr>
              <w:pStyle w:val="TableTextCentred"/>
              <w:spacing w:before="0" w:after="0" w:line="240" w:lineRule="auto"/>
              <w:jc w:val="left"/>
            </w:pPr>
            <w:r>
              <w:t>Loss of well control</w:t>
            </w:r>
            <w:r w:rsidR="00143047">
              <w:t xml:space="preserve"> (blowout)</w:t>
            </w:r>
          </w:p>
        </w:tc>
        <w:tc>
          <w:tcPr>
            <w:tcW w:w="7540" w:type="dxa"/>
          </w:tcPr>
          <w:p w14:paraId="282E0D41" w14:textId="77777777" w:rsidR="00143047" w:rsidRPr="00780754" w:rsidRDefault="00143047" w:rsidP="00143047">
            <w:pPr>
              <w:pStyle w:val="TableTextCentred"/>
              <w:spacing w:before="0" w:after="0" w:line="240" w:lineRule="auto"/>
              <w:jc w:val="left"/>
              <w:rPr>
                <w:b/>
              </w:rPr>
            </w:pPr>
            <w:r w:rsidRPr="00780754">
              <w:rPr>
                <w:b/>
              </w:rPr>
              <w:t>Description</w:t>
            </w:r>
          </w:p>
          <w:p w14:paraId="20209BBB" w14:textId="0545F8A8" w:rsidR="00143047" w:rsidRDefault="00143047" w:rsidP="00143047">
            <w:pPr>
              <w:pStyle w:val="TableTextCentred"/>
              <w:spacing w:before="0" w:after="0" w:line="240" w:lineRule="auto"/>
              <w:jc w:val="left"/>
            </w:pPr>
            <w:r>
              <w:t xml:space="preserve">Uncontrolled fluid flow from the wellhead at the surface </w:t>
            </w:r>
          </w:p>
          <w:p w14:paraId="0A814F32" w14:textId="77777777" w:rsidR="00143047" w:rsidRDefault="00143047" w:rsidP="00143047">
            <w:pPr>
              <w:pStyle w:val="BodyText"/>
            </w:pPr>
          </w:p>
          <w:p w14:paraId="1DC7F593" w14:textId="283667FD" w:rsidR="00143047" w:rsidRPr="009E4AC2" w:rsidRDefault="00143047" w:rsidP="00143047">
            <w:pPr>
              <w:pStyle w:val="BodyText"/>
              <w:rPr>
                <w:b/>
              </w:rPr>
            </w:pPr>
            <w:r w:rsidRPr="009E4AC2">
              <w:rPr>
                <w:b/>
              </w:rPr>
              <w:t xml:space="preserve">Major </w:t>
            </w:r>
            <w:r w:rsidR="005B2B40" w:rsidRPr="005A442F">
              <w:rPr>
                <w:b/>
              </w:rPr>
              <w:t>a</w:t>
            </w:r>
            <w:r w:rsidRPr="005A442F">
              <w:rPr>
                <w:b/>
              </w:rPr>
              <w:t>ctivity</w:t>
            </w:r>
          </w:p>
          <w:p w14:paraId="7019A0ED" w14:textId="4C210B1A" w:rsidR="00143047" w:rsidRDefault="0028079B" w:rsidP="006E7F04">
            <w:pPr>
              <w:pStyle w:val="BodyText"/>
              <w:numPr>
                <w:ilvl w:val="0"/>
                <w:numId w:val="36"/>
              </w:numPr>
            </w:pPr>
            <w:r w:rsidRPr="0028079B">
              <w:t>Drill and hydraulic fracture</w:t>
            </w:r>
          </w:p>
          <w:p w14:paraId="2AB3AFD3" w14:textId="77777777" w:rsidR="0028079B" w:rsidRPr="00780754" w:rsidRDefault="0028079B" w:rsidP="00143047">
            <w:pPr>
              <w:pStyle w:val="BodyText"/>
            </w:pPr>
          </w:p>
          <w:p w14:paraId="223FA0A1" w14:textId="77777777" w:rsidR="00143047" w:rsidRPr="00780754" w:rsidRDefault="00143047" w:rsidP="00143047">
            <w:pPr>
              <w:pStyle w:val="BodyText"/>
              <w:rPr>
                <w:b/>
              </w:rPr>
            </w:pPr>
            <w:r w:rsidRPr="00780754">
              <w:rPr>
                <w:b/>
              </w:rPr>
              <w:t>Potential effects</w:t>
            </w:r>
          </w:p>
          <w:p w14:paraId="7C301319" w14:textId="6DE1BC6C" w:rsidR="00143047" w:rsidRDefault="0028079B" w:rsidP="006E7F04">
            <w:pPr>
              <w:pStyle w:val="BodyText"/>
              <w:numPr>
                <w:ilvl w:val="0"/>
                <w:numId w:val="33"/>
              </w:numPr>
            </w:pPr>
            <w:r w:rsidRPr="0028079B">
              <w:t>Soil, groundwater and / or surface water contamination</w:t>
            </w:r>
          </w:p>
          <w:p w14:paraId="08066BA1" w14:textId="77777777" w:rsidR="0028079B" w:rsidRDefault="0028079B" w:rsidP="00143047">
            <w:pPr>
              <w:pStyle w:val="BodyText"/>
            </w:pPr>
          </w:p>
          <w:p w14:paraId="5B5993A0" w14:textId="3D21480A" w:rsidR="00143047" w:rsidRPr="00826216" w:rsidRDefault="00143047" w:rsidP="00143047">
            <w:pPr>
              <w:pStyle w:val="BodyText"/>
              <w:rPr>
                <w:b/>
              </w:rPr>
            </w:pPr>
            <w:r w:rsidRPr="00826216">
              <w:rPr>
                <w:b/>
              </w:rPr>
              <w:t xml:space="preserve">Impact </w:t>
            </w:r>
            <w:r w:rsidR="005B2B40" w:rsidRPr="005A442F">
              <w:rPr>
                <w:b/>
              </w:rPr>
              <w:t>c</w:t>
            </w:r>
            <w:r w:rsidRPr="005A442F">
              <w:rPr>
                <w:b/>
              </w:rPr>
              <w:t>ause</w:t>
            </w:r>
          </w:p>
          <w:p w14:paraId="1681508C" w14:textId="77777777" w:rsidR="00143047" w:rsidRDefault="00143047" w:rsidP="006E7F04">
            <w:pPr>
              <w:pStyle w:val="BodyText"/>
              <w:numPr>
                <w:ilvl w:val="0"/>
                <w:numId w:val="32"/>
              </w:numPr>
            </w:pPr>
            <w:r w:rsidRPr="00343A7F">
              <w:t>Well integrity failure (failure of all barriers)</w:t>
            </w:r>
          </w:p>
          <w:p w14:paraId="79FBC227" w14:textId="77777777" w:rsidR="00143047" w:rsidRDefault="00143047" w:rsidP="00143047">
            <w:pPr>
              <w:pStyle w:val="BodyText"/>
            </w:pPr>
          </w:p>
          <w:p w14:paraId="4A545451" w14:textId="2FE2821E" w:rsidR="00143047" w:rsidRPr="00826216" w:rsidRDefault="00143047" w:rsidP="00143047">
            <w:pPr>
              <w:pStyle w:val="BodyText"/>
              <w:rPr>
                <w:b/>
              </w:rPr>
            </w:pPr>
            <w:r w:rsidRPr="00826216">
              <w:rPr>
                <w:b/>
              </w:rPr>
              <w:t xml:space="preserve">Current </w:t>
            </w:r>
            <w:r w:rsidR="005B2B40" w:rsidRPr="005A442F">
              <w:rPr>
                <w:b/>
              </w:rPr>
              <w:t>c</w:t>
            </w:r>
            <w:r w:rsidRPr="005A442F">
              <w:rPr>
                <w:b/>
              </w:rPr>
              <w:t>ontrols</w:t>
            </w:r>
          </w:p>
          <w:p w14:paraId="1CC24DDB" w14:textId="77777777" w:rsidR="00F46D4F" w:rsidRDefault="00F46D4F" w:rsidP="006E7F04">
            <w:pPr>
              <w:pStyle w:val="BodyText"/>
              <w:numPr>
                <w:ilvl w:val="0"/>
                <w:numId w:val="30"/>
              </w:numPr>
            </w:pPr>
            <w:r w:rsidRPr="00343A7F">
              <w:t>Knowledge of geology</w:t>
            </w:r>
            <w:r>
              <w:t xml:space="preserve"> </w:t>
            </w:r>
            <w:r w:rsidRPr="006327CE">
              <w:t>and supplement</w:t>
            </w:r>
            <w:r>
              <w:t xml:space="preserve">ary </w:t>
            </w:r>
            <w:r w:rsidRPr="006327CE">
              <w:t>seismic data,</w:t>
            </w:r>
            <w:r w:rsidRPr="00343A7F">
              <w:t xml:space="preserve"> </w:t>
            </w:r>
          </w:p>
          <w:p w14:paraId="653196AF" w14:textId="77777777" w:rsidR="00F46D4F" w:rsidRDefault="00F46D4F" w:rsidP="006E7F04">
            <w:pPr>
              <w:pStyle w:val="BodyText"/>
              <w:numPr>
                <w:ilvl w:val="0"/>
                <w:numId w:val="30"/>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3A6EA665" w14:textId="58013E58" w:rsidR="00F46D4F" w:rsidRDefault="00F46D4F" w:rsidP="006E7F04">
            <w:pPr>
              <w:pStyle w:val="BodyText"/>
              <w:numPr>
                <w:ilvl w:val="0"/>
                <w:numId w:val="30"/>
              </w:numPr>
            </w:pPr>
            <w:r w:rsidRPr="006327CE">
              <w:t>Well design</w:t>
            </w:r>
            <w:r>
              <w:t xml:space="preserve"> </w:t>
            </w:r>
            <w:r w:rsidRPr="006327CE">
              <w:t>considering site</w:t>
            </w:r>
            <w:r w:rsidR="00435DC5">
              <w:t>-</w:t>
            </w:r>
            <w:r w:rsidRPr="006327CE">
              <w:t xml:space="preserve">specific factors, </w:t>
            </w:r>
          </w:p>
          <w:p w14:paraId="41F23CF8" w14:textId="77777777" w:rsidR="00F46D4F" w:rsidRDefault="00F46D4F" w:rsidP="006E7F04">
            <w:pPr>
              <w:pStyle w:val="BodyText"/>
              <w:numPr>
                <w:ilvl w:val="0"/>
                <w:numId w:val="30"/>
              </w:numPr>
            </w:pPr>
            <w:r>
              <w:t>P</w:t>
            </w:r>
            <w:r w:rsidRPr="006327CE">
              <w:t xml:space="preserve">rescriptive work methods and subsurface integrity testing, </w:t>
            </w:r>
          </w:p>
          <w:p w14:paraId="0519CC7D" w14:textId="77777777" w:rsidR="00F46D4F" w:rsidRDefault="00F46D4F" w:rsidP="006E7F04">
            <w:pPr>
              <w:pStyle w:val="BodyText"/>
              <w:numPr>
                <w:ilvl w:val="0"/>
                <w:numId w:val="30"/>
              </w:numPr>
            </w:pPr>
            <w:r w:rsidRPr="00343A7F">
              <w:t xml:space="preserve">Good management, </w:t>
            </w:r>
          </w:p>
          <w:p w14:paraId="49C69B72" w14:textId="77777777" w:rsidR="00F46D4F" w:rsidRDefault="00F46D4F" w:rsidP="006E7F04">
            <w:pPr>
              <w:pStyle w:val="BodyText"/>
              <w:numPr>
                <w:ilvl w:val="0"/>
                <w:numId w:val="30"/>
              </w:numPr>
            </w:pPr>
            <w:r>
              <w:t>R</w:t>
            </w:r>
            <w:r w:rsidRPr="00343A7F">
              <w:t>egulations</w:t>
            </w:r>
            <w:r>
              <w:t xml:space="preserve"> and industry standards</w:t>
            </w:r>
            <w:r w:rsidRPr="00343A7F">
              <w:t xml:space="preserve">, </w:t>
            </w:r>
          </w:p>
          <w:p w14:paraId="59D65DC1" w14:textId="76C6B90F" w:rsidR="00143047" w:rsidRPr="00F1053E" w:rsidRDefault="00F1053E" w:rsidP="006E7F04">
            <w:pPr>
              <w:pStyle w:val="BodyText"/>
              <w:numPr>
                <w:ilvl w:val="0"/>
                <w:numId w:val="30"/>
              </w:numPr>
            </w:pPr>
            <w:r>
              <w:t>O</w:t>
            </w:r>
            <w:r w:rsidRPr="00343A7F">
              <w:t>perator procedures</w:t>
            </w:r>
            <w:r>
              <w:t xml:space="preserve"> and including </w:t>
            </w:r>
            <w:r w:rsidRPr="00F46D4F">
              <w:t xml:space="preserve">specialist engineers on-site during drilling and fracturing. </w:t>
            </w:r>
          </w:p>
        </w:tc>
      </w:tr>
    </w:tbl>
    <w:p w14:paraId="432D9D9B" w14:textId="77777777" w:rsidR="00120330" w:rsidRDefault="00120330" w:rsidP="00120330">
      <w:pPr>
        <w:pStyle w:val="BodyText"/>
      </w:pPr>
      <w:bookmarkStart w:id="34" w:name="_Toc5272803"/>
    </w:p>
    <w:p w14:paraId="633AB151" w14:textId="77777777" w:rsidR="00120330" w:rsidRPr="00985B69" w:rsidRDefault="00120330" w:rsidP="00985B69">
      <w:pPr>
        <w:pStyle w:val="BodyText"/>
      </w:pPr>
      <w:r>
        <w:br w:type="page"/>
      </w:r>
    </w:p>
    <w:p w14:paraId="1EFC9421" w14:textId="19E2B326" w:rsidR="005477EE" w:rsidRPr="00F379D8" w:rsidRDefault="002B5C16" w:rsidP="00F379D8">
      <w:pPr>
        <w:pStyle w:val="Heading3"/>
      </w:pPr>
      <w:bookmarkStart w:id="35" w:name="_Toc36042855"/>
      <w:r w:rsidRPr="00F379D8">
        <w:t xml:space="preserve">Qualitative </w:t>
      </w:r>
      <w:r w:rsidR="005477EE" w:rsidRPr="00F379D8">
        <w:t>review method</w:t>
      </w:r>
      <w:bookmarkEnd w:id="34"/>
      <w:bookmarkEnd w:id="35"/>
    </w:p>
    <w:p w14:paraId="0800C129" w14:textId="49FE7FD4" w:rsidR="005477EE" w:rsidRDefault="001A10D1" w:rsidP="005477EE">
      <w:pPr>
        <w:pStyle w:val="BodyText"/>
      </w:pPr>
      <w:r>
        <w:t>The i</w:t>
      </w:r>
      <w:r w:rsidR="009B62BC">
        <w:t xml:space="preserve">mpact modes related to hydraulic fracturing and </w:t>
      </w:r>
      <w:r>
        <w:t xml:space="preserve">compromised well integrity causal pathways have been reviewed for each of the three GBA regions. </w:t>
      </w:r>
      <w:r w:rsidR="005477EE">
        <w:t xml:space="preserve">The use of causal pathways is common in recent investigations and inquiries into the impacts of hydraulic fracturing on water resources </w:t>
      </w:r>
      <w:r w:rsidR="005477EE">
        <w:fldChar w:fldCharType="begin" w:fldLock="1"/>
      </w:r>
      <w:r w:rsidR="005477EE">
        <w:instrText>ADDIN CSL_CITATION {"citationItems":[{"id":"ITEM-1","itemData":{"DOI":"10.4225/08/5a30192e476e0","abstract":"The main purpose of the project ‘Deeper groundwater screening hazard: National assessment of chemicals associated with coal seam gas extraction in Australian’ is to deliver a number of enabling science products, including a “proof‐of‐concept” tiered hazard screening framework, developed and tested in at least two separate study areas, and associated protocols for identifying chemicals used in coal seam gas extraction in Australia that may be a potential hazard to aquatic and groundwater depending terrestrial receptors when the main source of contamination is present in deeper groundwater and the main transport pathway is via deeper groundwater. This framework will allow a rapid screening to determine which chemicals are more likely to be hazardous and may thus present potential risks to the environment and human health. Application of the framework will allow chemicals with low hazard levels to be readily excluded from separate, more detailed environmental and human health risk assessments. This further provides a robust evidence base to inform future research priorities into the fate of coal seam gas chemicals.","author":[{"dropping-particle":"","family":"Mallants","given":"Dirk","non-dropping-particle":"","parse-names":false,"suffix":""},{"dropping-particle":"","family":"Apte","given":"Simon","non-dropping-particle":"","parse-names":false,"suffix":""},{"dropping-particle":"","family":"Kear","given":"James","non-dropping-particle":"","parse-names":false,"suffix":""},{"dropping-particle":"","family":"Turnadge","given":"Chris","non-dropping-particle":"","parse-names":false,"suffix":""},{"dropping-particle":"","family":"Janardhanan","given":"Sreekanth","non-dropping-particle":"","parse-names":false,"suffix":""},{"dropping-particle":"","family":"Gonzalez","given":"Dennis","non-dropping-particle":"","parse-names":false,"suffix":""},{"dropping-particle":"","family":"Williams","given":"Mike","non-dropping-particle":"","parse-names":false,"suffix":""},{"dropping-particle":"","family":"Chen","given":"Zuorong","non-dropping-particle":"","parse-names":false,"suffix":""},{"dropping-particle":"","family":"Kookana","given":"Rai","non-dropping-particle":"","parse-names":false,"suffix":""},{"dropping-particle":"","family":"Taylor","given":"Andrew","non-dropping-particle":"","parse-names":false,"suffix":""},{"dropping-particle":"","family":"Raiber","given":"Matthias","non-dropping-particle":"","parse-names":false,"suffix":""},{"dropping-particle":"","family":"Adams","given":"Merrin","non-dropping-particle":"","parse-names":false,"suffix":""},{"dropping-particle":"","family":"Bruce","given":"Jody","non-dropping-particle":"","parse-names":false,"suffix":""},{"dropping-particle":"","family":"Prommer","given":"Henning","non-dropping-particle":"","parse-names":false,"suffix":""}],"id":"ITEM-1","issue":"March","issued":{"date-parts":[["2017"]]},"page":"341","title":"Deeper groundwater hazard screening research","type":"article-journal"},"uris":["http://www.mendeley.com/documents/?uuid=f96a5f7a-e569-4e61-982d-7c94a88a1845","http://www.mendeley.com/documents/?uuid=3b83c5d4-abc7-4d35-9595-2dbd23157eac"]},{"id":"ITEM-2","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-2","issued":{"date-parts":[["2018"]]},"number-of-pages":"506","title":"Final Report of the Scientific Inquiry into Hydraulic Fracturing in the Northern Territory","type":"report"},"uris":["http://www.mendeley.com/documents/?uuid=8382c27f-ce89-496e-8ea0-05d2cfecd777","http://www.mendeley.com/documents/?uuid=23d3e67e-6c00-40f7-a4e0-44de4ed6f0dc"]},{"id":"ITEM-3","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-3","issue":"December","issued":{"date-parts":[["2017"]]},"number-of-pages":"77-168","title":"Report into The shale gas well life cycle and well integrity","type":"report"},"uris":["http://www.mendeley.com/documents/?uuid=986f57a7-eb4a-41bf-9996-fef1698b83ef","http://www.mendeley.com/documents/?uuid=cd79fdd9-296d-473e-868e-9e268b0c657b"]},{"id":"ITEM-4","itemData":{"DOI":"10.4225/08/5997394464ce0","author":[{"dropping-particle":"","family":"Wu","given":"Bailin","non-dropping-particle":"","parse-names":false,"suffix":""},{"dropping-particle":"","family":"Doble","given":"R","non-dropping-particle":"","parse-names":false,"suffix":""},{"dropping-particle":"","family":"Turnadge","given":"C","non-dropping-particle":"","parse-names":false,"suffix":""},{"dropping-particle":"","family":"Mallants","given":"Dirk","non-dropping-particle":"","parse-names":false,"suffix":""}],"id":"ITEM-4","issued":{"date-parts":[["2016"]]},"page":"78","publisher-place":"Canberra","title":"Bore and well induced inter-aquifer connectivity: a review of literature on failure mechanisms and conceptualisation of hydrocarbon reservoir - aquifer failure pathways","type":"article-journal"},"uris":["http://www.mendeley.com/documents/?uuid=efbabcfc-7095-4afe-bcb9-ca62382793eb"]}],"mendeley":{"formattedCitation":"(Wu &lt;i&gt;et al.&lt;/i&gt;, 2016; Huddlestone-Holmes &lt;i&gt;et al.&lt;/i&gt;, 2017; Mallants &lt;i&gt;et al.&lt;/i&gt;, 2017; Pepper &lt;i&gt;et al.&lt;/i&gt;, 2018)","plainTextFormattedCitation":"(Wu et al., 2016; Huddlestone-Holmes et al., 2017; Mallants et al., 2017; Pepper et al., 2018)","previouslyFormattedCitation":"(Wu &lt;i&gt;et al.&lt;/i&gt;, 2016; Huddlestone-Holmes &lt;i&gt;et al.&lt;/i&gt;, 2017; Mallants &lt;i&gt;et al.&lt;/i&gt;, 2017; Pepper &lt;i&gt;et al.&lt;/i&gt;, 2018)"},"properties":{"noteIndex":0},"schema":"https://github.com/citation-style-language/schema/raw/master/csl-citation.json"}</w:instrText>
      </w:r>
      <w:r w:rsidR="005477EE">
        <w:fldChar w:fldCharType="separate"/>
      </w:r>
      <w:r w:rsidR="005477EE" w:rsidRPr="0020152F">
        <w:rPr>
          <w:noProof/>
        </w:rPr>
        <w:t xml:space="preserve">(Wu </w:t>
      </w:r>
      <w:r w:rsidR="005477EE" w:rsidRPr="005A442F">
        <w:rPr>
          <w:noProof/>
        </w:rPr>
        <w:t>et al.</w:t>
      </w:r>
      <w:r w:rsidR="005477EE" w:rsidRPr="0020152F">
        <w:rPr>
          <w:noProof/>
        </w:rPr>
        <w:t xml:space="preserve">, 2016; Huddlestone-Holmes </w:t>
      </w:r>
      <w:r w:rsidR="005477EE" w:rsidRPr="005A442F">
        <w:rPr>
          <w:noProof/>
        </w:rPr>
        <w:t>et al.</w:t>
      </w:r>
      <w:r w:rsidR="005477EE" w:rsidRPr="0020152F">
        <w:rPr>
          <w:noProof/>
        </w:rPr>
        <w:t xml:space="preserve">, 2017; Mallants </w:t>
      </w:r>
      <w:r w:rsidR="005477EE" w:rsidRPr="005A442F">
        <w:rPr>
          <w:noProof/>
        </w:rPr>
        <w:t>et al.</w:t>
      </w:r>
      <w:r w:rsidR="005477EE" w:rsidRPr="0020152F">
        <w:rPr>
          <w:noProof/>
        </w:rPr>
        <w:t xml:space="preserve">, 2017; Pepper </w:t>
      </w:r>
      <w:r w:rsidR="005477EE" w:rsidRPr="005A442F">
        <w:rPr>
          <w:noProof/>
        </w:rPr>
        <w:t>et al.</w:t>
      </w:r>
      <w:r w:rsidR="005477EE" w:rsidRPr="0020152F">
        <w:rPr>
          <w:noProof/>
        </w:rPr>
        <w:t>, 2018)</w:t>
      </w:r>
      <w:r w:rsidR="005477EE">
        <w:fldChar w:fldCharType="end"/>
      </w:r>
      <w:r w:rsidR="005477EE">
        <w:t xml:space="preserve">. This report follows the causal pathway methodology from </w:t>
      </w:r>
      <w:r w:rsidR="005477EE" w:rsidRPr="005A442F">
        <w:fldChar w:fldCharType="begin" w:fldLock="1"/>
      </w:r>
      <w:r w:rsidR="00223B95">
        <w:instrText>ADDIN CSL_CITATION {"citationItems":[{"id":"ITEM-1","itemData":{"ISBN":"9781925315424","author":[{"dropping-particle":"","family":"Henderson","given":"B. L.","non-dropping-particle":"","parse-names":false,"suffix":""},{"dropping-particle":"","family":"Hayes","given":"K. R.","non-dropping-particle":"","parse-names":false,"suffix":""},{"dropping-particle":"","family":"Mount","given":"R.","non-dropping-particle":"","parse-names":false,"suffix":""},{"dropping-particle":"","family":"Schmidt","given":"R. K.","non-dropping-particle":"","parse-names":false,"suffix":""},{"dropping-particle":"","family":"O'Grady","given":"A.","non-dropping-particle":"","parse-names":false,"suffix":""},{"dropping-particle":"","family":"Lewis","given":"S.","non-dropping-particle":"","parse-names":false,"suffix":""},{"dropping-particle":"","family":"Holland","given":"K.","non-dropping-particle":"","parse-names":false,"suffix":""},{"dropping-particle":"","family":"Dambacher","given":"J","non-dropping-particle":"","parse-names":false,"suffix":""},{"dropping-particle":"","family":"Barry","given":"S.","non-dropping-particle":"","parse-names":false,"suffix":""},{"dropping-particle":"","family":"Raiber","given":"M.","non-dropping-particle":"","parse-names":false,"suffix":""}],"id":"ITEM-1","issue":"March","issued":{"date-parts":[["2016"]]},"publisher":"Department of the Environment and Energy, Bureau of Meteorology, CSIRO and Geoscience Australia","publisher-place":"Australia","title":"Developing the conceptual model of causal pathways. Submethodology M05 from the Bioregional Assesment Technical Programme","type":"book"},"uris":["http://www.mendeley.com/documents/?uuid=e621b553-2f33-4781-b7fd-d05b6fdc7b19","http://www.mendeley.com/documents/?uuid=a29ea094-76e7-4d74-8552-21713b780a13"]}],"mendeley":{"formattedCitation":"(Henderson &lt;i&gt;et al.&lt;/i&gt;, 2016)","manualFormatting":"Henderson et al., (2016)","plainTextFormattedCitation":"(Henderson et al., 2016)","previouslyFormattedCitation":"(Henderson &lt;i&gt;et al.&lt;/i&gt;, 2016)"},"properties":{"noteIndex":0},"schema":"https://github.com/citation-style-language/schema/raw/master/csl-citation.json"}</w:instrText>
      </w:r>
      <w:r w:rsidR="005477EE" w:rsidRPr="005A442F">
        <w:fldChar w:fldCharType="separate"/>
      </w:r>
      <w:r w:rsidR="005477EE" w:rsidRPr="005A442F">
        <w:rPr>
          <w:noProof/>
        </w:rPr>
        <w:t xml:space="preserve">Henderson </w:t>
      </w:r>
      <w:r w:rsidR="005477EE" w:rsidRPr="005A442F">
        <w:rPr>
          <w:iCs/>
          <w:noProof/>
        </w:rPr>
        <w:t>et al.</w:t>
      </w:r>
      <w:r w:rsidR="005477EE" w:rsidRPr="005A442F">
        <w:rPr>
          <w:noProof/>
        </w:rPr>
        <w:t>, (2016)</w:t>
      </w:r>
      <w:r w:rsidR="005477EE" w:rsidRPr="005A442F">
        <w:fldChar w:fldCharType="end"/>
      </w:r>
      <w:r w:rsidR="005477EE">
        <w:t xml:space="preserve"> and an approach similar to </w:t>
      </w:r>
      <w:r w:rsidR="005477EE">
        <w:fldChar w:fldCharType="begin" w:fldLock="1"/>
      </w:r>
      <w:r w:rsidR="005477EE">
        <w:instrText>ADDIN CSL_CITATION {"citationItems":[{"id":"ITEM-1","itemData":{"DOI":"10.4225/08/5a30192e476e0","abstract":"The main purpose of the project ‘Deeper groundwater screening hazard: National assessment of chemicals associated with coal seam gas extraction in Australian’ is to deliver a number of enabling science products, including a “proof‐of‐concept” tiered hazard screening framework, developed and tested in at least two separate study areas, and associated protocols for identifying chemicals used in coal seam gas extraction in Australia that may be a potential hazard to aquatic and groundwater depending terrestrial receptors when the main source of contamination is present in deeper groundwater and the main transport pathway is via deeper groundwater. This framework will allow a rapid screening to determine which chemicals are more likely to be hazardous and may thus present potential risks to the environment and human health. Application of the framework will allow chemicals with low hazard levels to be readily excluded from separate, more detailed environmental and human health risk assessments. This further provides a robust evidence base to inform future research priorities into the fate of coal seam gas chemicals.","author":[{"dropping-particle":"","family":"Mallants","given":"Dirk","non-dropping-particle":"","parse-names":false,"suffix":""},{"dropping-particle":"","family":"Apte","given":"Simon","non-dropping-particle":"","parse-names":false,"suffix":""},{"dropping-particle":"","family":"Kear","given":"James","non-dropping-particle":"","parse-names":false,"suffix":""},{"dropping-particle":"","family":"Turnadge","given":"Chris","non-dropping-particle":"","parse-names":false,"suffix":""},{"dropping-particle":"","family":"Janardhanan","given":"Sreekanth","non-dropping-particle":"","parse-names":false,"suffix":""},{"dropping-particle":"","family":"Gonzalez","given":"Dennis","non-dropping-particle":"","parse-names":false,"suffix":""},{"dropping-particle":"","family":"Williams","given":"Mike","non-dropping-particle":"","parse-names":false,"suffix":""},{"dropping-particle":"","family":"Chen","given":"Zuorong","non-dropping-particle":"","parse-names":false,"suffix":""},{"dropping-particle":"","family":"Kookana","given":"Rai","non-dropping-particle":"","parse-names":false,"suffix":""},{"dropping-particle":"","family":"Taylor","given":"Andrew","non-dropping-particle":"","parse-names":false,"suffix":""},{"dropping-particle":"","family":"Raiber","given":"Matthias","non-dropping-particle":"","parse-names":false,"suffix":""},{"dropping-particle":"","family":"Adams","given":"Merrin","non-dropping-particle":"","parse-names":false,"suffix":""},{"dropping-particle":"","family":"Bruce","given":"Jody","non-dropping-particle":"","parse-names":false,"suffix":""},{"dropping-particle":"","family":"Prommer","given":"Henning","non-dropping-particle":"","parse-names":false,"suffix":""}],"id":"ITEM-1","issue":"March","issued":{"date-parts":[["2017"]]},"page":"341","title":"Deeper groundwater hazard screening research","type":"article-journal"},"uris":["http://www.mendeley.com/documents/?uuid=3b83c5d4-abc7-4d35-9595-2dbd23157eac","http://www.mendeley.com/documents/?uuid=f96a5f7a-e569-4e61-982d-7c94a88a1845"]}],"mendeley":{"formattedCitation":"(Mallants &lt;i&gt;et al.&lt;/i&gt;, 2017)","manualFormatting":"Mallants et al., (2017)","plainTextFormattedCitation":"(Mallants et al., 2017)","previouslyFormattedCitation":"(Mallants &lt;i&gt;et al.&lt;/i&gt;, 2017)"},"properties":{"noteIndex":0},"schema":"https://github.com/citation-style-language/schema/raw/master/csl-citation.json"}</w:instrText>
      </w:r>
      <w:r w:rsidR="005477EE">
        <w:fldChar w:fldCharType="separate"/>
      </w:r>
      <w:r w:rsidR="005477EE" w:rsidRPr="00681CAE">
        <w:rPr>
          <w:noProof/>
        </w:rPr>
        <w:t xml:space="preserve">Mallants </w:t>
      </w:r>
      <w:r w:rsidR="005477EE" w:rsidRPr="005A442F">
        <w:rPr>
          <w:noProof/>
        </w:rPr>
        <w:t>et al.</w:t>
      </w:r>
      <w:r w:rsidR="005477EE" w:rsidRPr="00681CAE">
        <w:rPr>
          <w:noProof/>
        </w:rPr>
        <w:t xml:space="preserve">, </w:t>
      </w:r>
      <w:r w:rsidR="005477EE">
        <w:rPr>
          <w:noProof/>
        </w:rPr>
        <w:t>(</w:t>
      </w:r>
      <w:r w:rsidR="005477EE" w:rsidRPr="00681CAE">
        <w:rPr>
          <w:noProof/>
        </w:rPr>
        <w:t>2017)</w:t>
      </w:r>
      <w:r w:rsidR="005477EE">
        <w:fldChar w:fldCharType="end"/>
      </w:r>
      <w:r w:rsidR="005477EE">
        <w:t xml:space="preserve"> in using multiple lines of evidence to evaluate the likelihood of each pathway.</w:t>
      </w:r>
    </w:p>
    <w:p w14:paraId="5F28EE1D" w14:textId="67E14557" w:rsidR="00DD2BCB" w:rsidRDefault="005477EE" w:rsidP="00DD2BCB">
      <w:pPr>
        <w:pStyle w:val="BodyText"/>
      </w:pPr>
      <w:r>
        <w:t xml:space="preserve">The hydraulic fracturing and well integrity findings presented in the </w:t>
      </w:r>
      <w:r w:rsidR="00855162">
        <w:t xml:space="preserve">GBA </w:t>
      </w:r>
      <w:r>
        <w:t xml:space="preserve">Stage 2 </w:t>
      </w:r>
      <w:r w:rsidR="0011456F">
        <w:t xml:space="preserve">GBA synthesis </w:t>
      </w:r>
      <w:r>
        <w:t xml:space="preserve">reports </w:t>
      </w:r>
      <w:r w:rsidR="00855162">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855162">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855162">
        <w:fldChar w:fldCharType="end"/>
      </w:r>
      <w:r w:rsidR="00855162">
        <w:t xml:space="preserve"> </w:t>
      </w:r>
      <w:r>
        <w:t>are underpinned by the analysis of two e</w:t>
      </w:r>
      <w:r w:rsidR="7DE8E393">
        <w:t>xisting line</w:t>
      </w:r>
      <w:r>
        <w:t xml:space="preserve">s of evidence. </w:t>
      </w:r>
      <w:r w:rsidR="004C1C30">
        <w:t>The likelihood of e</w:t>
      </w:r>
      <w:r>
        <w:t xml:space="preserve">ach </w:t>
      </w:r>
      <w:r w:rsidR="004C1C30">
        <w:t xml:space="preserve">impact mode </w:t>
      </w:r>
      <w:r>
        <w:t>has been</w:t>
      </w:r>
      <w:r w:rsidR="00756255">
        <w:t xml:space="preserve"> qualitatively</w:t>
      </w:r>
      <w:r>
        <w:t xml:space="preserve"> </w:t>
      </w:r>
      <w:r w:rsidR="7DE8E393">
        <w:t xml:space="preserve">reviewed </w:t>
      </w:r>
      <w:r>
        <w:t xml:space="preserve">against these two existing lines of evidence </w:t>
      </w:r>
      <w:r w:rsidR="004C1C30">
        <w:t xml:space="preserve">with the results </w:t>
      </w:r>
      <w:r w:rsidR="00756255">
        <w:t xml:space="preserve">presented for comparison to the </w:t>
      </w:r>
      <w:r w:rsidR="008F36CF">
        <w:t xml:space="preserve">likelihood outcome </w:t>
      </w:r>
      <w:r w:rsidR="00756255">
        <w:t xml:space="preserve">from the </w:t>
      </w:r>
      <w:r w:rsidR="00262266">
        <w:t xml:space="preserve">GBA </w:t>
      </w:r>
      <w:r w:rsidR="00756255">
        <w:t>hazard workshops</w:t>
      </w:r>
      <w:r w:rsidR="00262266">
        <w:t xml:space="preserve">. Upon consideration of these findings, the hazards </w:t>
      </w:r>
      <w:r w:rsidR="004F40C8">
        <w:t xml:space="preserve">are prioritised for </w:t>
      </w:r>
      <w:r w:rsidR="7DE8E393">
        <w:t xml:space="preserve">further evaluation (through generation of additional evidence) in </w:t>
      </w:r>
      <w:r w:rsidR="00842084">
        <w:t xml:space="preserve">GBA </w:t>
      </w:r>
      <w:r w:rsidR="7DE8E393">
        <w:t>Stage 3.</w:t>
      </w:r>
    </w:p>
    <w:p w14:paraId="2E33CB04" w14:textId="7479C9E8" w:rsidR="00530354" w:rsidRDefault="00B53DDE" w:rsidP="00274F8C">
      <w:pPr>
        <w:pStyle w:val="BodyText"/>
      </w:pPr>
      <w:r>
        <w:t xml:space="preserve">The risks related to constructing and operating petroleum wells and to conducting hydraulic fracturing stimulation are </w:t>
      </w:r>
      <w:r w:rsidR="000B164D">
        <w:t xml:space="preserve">minimised and managed by regulation </w:t>
      </w:r>
      <w:r w:rsidR="003F3800">
        <w:fldChar w:fldCharType="begin" w:fldLock="1"/>
      </w:r>
      <w:r w:rsidR="0063453B">
        <w:instrText>ADDIN CSL_CITATION {"citationItems":[{"id":"ITEM-1","itemData":{"abstract":"Coal seam gas (CSG), a natural gas consisting mainly of methane, is an important energy source for Queensland and currently supplies around 80% of reticulated gas for Queensland’s domestic, commercial, manufacturing and industrial needs. It is piped throughout many of Queensland’s major cities and is essential to the State’s economy. Natural gas is reticulated throughout almost every major city in the world and this fuel is relied upon to drive economic growth. CSG is extracted from coal seams in several Basins in Queensland. Unlike extraction of conventional natural gas where gas is generally produced at much higher pressures, the development of a CSG field requires many more wells to be drilled at regular spacing to extract equivalent quantities of gas. There have been some public concerns in regard to the impact of CSG (and other wells) on the valuable and significant water resources in the coal seams and surrounding formations, particularly in the Great Artesian Basin. Well integrity during construction, operation and abandonment is fundamental to ensuring sustainable gas production, and ensuring safety outcomes and protection of groundwater resources. The Code addresses safety and environmental issues in the construction and abandonment of CSG wells and water bores.","author":[{"dropping-particle":"","family":"Queensland Department of Natural Resources and Mines","given":"","non-dropping-particle":"","parse-names":false,"suffix":""}],"id":"ITEM-1","issue":"May","issued":{"date-parts":[["2017"]]},"number-of-pages":"46","title":"Code of Practice for the construction and abandonment of coal seam gas wells and associated bores in Queensland","title-short":"QLD Department of Natural Resources and Mines 2017","type":"report"},"uris":["http://www.mendeley.com/documents/?uuid=fecd8a5a-e140-4399-b14c-cc4ea156b968"]},{"id":"ITEM-2","itemData":{"abstract":"Coal seam gas (CSG), a natural gas consisting mainly of methane, is an important energy source for Queensland and currently supplies around 80% of reticulated gas for Queensland’s domestic, commercial, manufacturing and industrial needs. It is piped throughout many of Queensland’s major cities and is essential to the State’s economy. Natural gas is reticulated throughout almost every major city in the world and this fuel is relied upon to drive economic growth. CSG is extracted from coal seams in several Basins in Queensland. Unlike extraction of conventional natural gas where gas is generally produced at much higher pressures, the development of a CSG field requires many more wells to be drilled at regular spacing to extract equivalent quantities of gas. There have been some public concerns in regard to the impact of CSG (and other wells) on the valuable and significant water resources in the coal seams and surrounding formations, particularly in the Great Artesian Basin. Well integrity during construction, operation and abandonment is fundamental to ensuring sustainable gas production, and ensuring safety outcomes and protection of groundwater resources. The Code addresses safety and environmental issues in the construction and abandonment of CSG wells and water bores.","author":[{"dropping-particle":"","family":"Queensland Department of Natural Resources Mines and Energy","given":"","non-dropping-particle":"","parse-names":false,"suffix":""}],"id":"ITEM-2","issue":"September","issued":{"date-parts":[["2018"]]},"number-of-pages":"46","title":"Code of Practice for the construction and abandonment of coal seam gas wells and associated bores in Queensland","type":"report"},"uris":["http://www.mendeley.com/documents/?uuid=0ccd0e04-5fef-4090-b980-206a10eb165e"]}],"mendeley":{"formattedCitation":"(Queensland Department of Natural Resources and Mines, 2017; Queensland Department of Natural Resources Mines and Energy, 2018)","manualFormatting":"(e.g. Queensland Department of Natural Resources and Mines, 2017; Queensland Department of Natural Resources Mines and Energy, 2018)","plainTextFormattedCitation":"(Queensland Department of Natural Resources and Mines, 2017; Queensland Department of Natural Resources Mines and Energy, 2018)","previouslyFormattedCitation":"(Queensland Department of Natural Resources and Mines, 2017; Queensland Department of Natural Resources Mines and Energy, 2018)"},"properties":{"noteIndex":0},"schema":"https://github.com/citation-style-language/schema/raw/master/csl-citation.json"}</w:instrText>
      </w:r>
      <w:r w:rsidR="003F3800">
        <w:fldChar w:fldCharType="separate"/>
      </w:r>
      <w:r w:rsidR="003F3800" w:rsidRPr="003F3800">
        <w:rPr>
          <w:noProof/>
        </w:rPr>
        <w:t>(</w:t>
      </w:r>
      <w:r w:rsidR="003F3800">
        <w:rPr>
          <w:noProof/>
        </w:rPr>
        <w:t xml:space="preserve">e.g. </w:t>
      </w:r>
      <w:r w:rsidR="003F3800" w:rsidRPr="003F3800">
        <w:rPr>
          <w:noProof/>
        </w:rPr>
        <w:t xml:space="preserve">Queensland Department of Natural Resources and Mines, 2017; </w:t>
      </w:r>
      <w:r w:rsidR="00884788">
        <w:rPr>
          <w:noProof/>
        </w:rPr>
        <w:t xml:space="preserve">Queensland </w:t>
      </w:r>
      <w:r w:rsidR="003F3800" w:rsidRPr="003F3800">
        <w:rPr>
          <w:noProof/>
        </w:rPr>
        <w:t>Department of Natural Resources Mines and Energy, 2018)</w:t>
      </w:r>
      <w:r w:rsidR="003F3800">
        <w:fldChar w:fldCharType="end"/>
      </w:r>
      <w:r w:rsidR="00942A02">
        <w:t xml:space="preserve"> </w:t>
      </w:r>
      <w:r w:rsidR="000B164D">
        <w:t xml:space="preserve">and industry </w:t>
      </w:r>
      <w:r w:rsidR="00C66CDE">
        <w:t>standards</w:t>
      </w:r>
      <w:r w:rsidR="00825875">
        <w:t xml:space="preserve"> </w:t>
      </w:r>
      <w:r w:rsidR="00C66CDE">
        <w:fldChar w:fldCharType="begin" w:fldLock="1"/>
      </w:r>
      <w:r w:rsidR="00DE18CD">
        <w:instrText>ADDIN CSL_CITATION {"citationItems":[{"id":"ITEM-1","itemData":{"author":[{"dropping-particle":"","family":"American Petroleum Institute (API)","given":"","non-dropping-particle":"","parse-names":false,"suffix":""}],"container-title":"American Petroleum Institute (API)","id":"ITEM-1","issued":{"date-parts":[["2014"]]},"page":"16","title":"The Oil and Natural Gas Industry's Most Valuable Resource","type":"article-journal"},"uris":["http://www.mendeley.com/documents/?uuid=eb423936-92f9-496f-8c4f-e9a3ba224c96"]},{"id":"ITEM-2","itemData":{"author":[{"dropping-particle":"","family":"International Organization for Standardization","given":"","non-dropping-particle":"","parse-names":false,"suffix":""}],"id":"ITEM-2","issued":{"date-parts":[["2017"]]},"title":"ISO 16530-1:2017(en) Petroleum and natural gas industries — Well integrity — Part 1 : Life cycle governance","type":"article-magazine","volume":"16530-1"},"uris":["http://www.mendeley.com/documents/?uuid=7cbf7668-ea81-4a61-ac13-e3a5ac78d7fb"]}],"mendeley":{"formattedCitation":"(American Petroleum Institute (API), 2014; International Organization for Standardization, 2017)","manualFormatting":"(e.g. American Petroleum Institute (API), 2014; International Organization for Standardization, 2017)","plainTextFormattedCitation":"(American Petroleum Institute (API), 2014; International Organization for Standardization, 2017)","previouslyFormattedCitation":"(American Petroleum Institute (API), 2014; International Organization for Standardization, 2017)"},"properties":{"noteIndex":0},"schema":"https://github.com/citation-style-language/schema/raw/master/csl-citation.json"}</w:instrText>
      </w:r>
      <w:r w:rsidR="00C66CDE">
        <w:fldChar w:fldCharType="separate"/>
      </w:r>
      <w:r w:rsidR="003F3800" w:rsidRPr="003F3800">
        <w:rPr>
          <w:noProof/>
        </w:rPr>
        <w:t>(</w:t>
      </w:r>
      <w:r w:rsidR="003F3800">
        <w:rPr>
          <w:noProof/>
        </w:rPr>
        <w:t xml:space="preserve">e.g. </w:t>
      </w:r>
      <w:r w:rsidR="003F3800" w:rsidRPr="003F3800">
        <w:rPr>
          <w:noProof/>
        </w:rPr>
        <w:t>American Petroleum Institute (API), 2014; International Organization for Standardization, 2017)</w:t>
      </w:r>
      <w:r w:rsidR="00C66CDE">
        <w:fldChar w:fldCharType="end"/>
      </w:r>
      <w:r w:rsidR="00C66CDE">
        <w:t xml:space="preserve"> </w:t>
      </w:r>
      <w:r w:rsidR="003F3800">
        <w:t xml:space="preserve">which </w:t>
      </w:r>
      <w:r w:rsidR="00DD2BCB" w:rsidRPr="0023413F">
        <w:t>requir</w:t>
      </w:r>
      <w:r w:rsidR="003F3800">
        <w:t>e</w:t>
      </w:r>
      <w:r w:rsidR="00DD2BCB" w:rsidRPr="0023413F">
        <w:t xml:space="preserve"> </w:t>
      </w:r>
      <w:r w:rsidR="00825875">
        <w:t xml:space="preserve">or </w:t>
      </w:r>
      <w:r w:rsidR="00825875" w:rsidRPr="005A442F">
        <w:t>recommend</w:t>
      </w:r>
      <w:r w:rsidR="00825875">
        <w:t xml:space="preserve"> </w:t>
      </w:r>
      <w:r w:rsidR="00DD2BCB" w:rsidRPr="0023413F">
        <w:t>operators conduct their operations in certain ways. A</w:t>
      </w:r>
      <w:r w:rsidR="00470C22" w:rsidRPr="0023413F">
        <w:t xml:space="preserve">n assessment </w:t>
      </w:r>
      <w:r w:rsidR="00DD2BCB" w:rsidRPr="0023413F">
        <w:t xml:space="preserve">of the effectiveness of the current regulatory framework </w:t>
      </w:r>
      <w:r w:rsidR="0023413F" w:rsidRPr="0023413F">
        <w:t>and industry best practi</w:t>
      </w:r>
      <w:r w:rsidR="002A45A3">
        <w:t>c</w:t>
      </w:r>
      <w:r w:rsidR="0023413F" w:rsidRPr="0023413F">
        <w:t xml:space="preserve">es and approaches to </w:t>
      </w:r>
      <w:r w:rsidR="00DD2BCB" w:rsidRPr="0023413F">
        <w:t xml:space="preserve">managing the impacts of </w:t>
      </w:r>
      <w:r w:rsidR="003F3800">
        <w:t xml:space="preserve">well integrity failures and </w:t>
      </w:r>
      <w:r w:rsidR="00712C6A">
        <w:t xml:space="preserve">hydraulic fracturing </w:t>
      </w:r>
      <w:r w:rsidR="00DD2BCB" w:rsidRPr="0023413F">
        <w:t>operations</w:t>
      </w:r>
      <w:r w:rsidR="000401F8">
        <w:t xml:space="preserve"> </w:t>
      </w:r>
      <w:r w:rsidR="0023413F" w:rsidRPr="0023413F">
        <w:t xml:space="preserve">is </w:t>
      </w:r>
      <w:r w:rsidR="00DD2BCB" w:rsidRPr="00563BEF">
        <w:t xml:space="preserve">outside the scope of this review. </w:t>
      </w:r>
      <w:r w:rsidR="00563BEF" w:rsidRPr="00563BEF">
        <w:t xml:space="preserve">However, </w:t>
      </w:r>
      <w:r w:rsidR="00563BEF">
        <w:t>S</w:t>
      </w:r>
      <w:r w:rsidR="000401F8" w:rsidRPr="00563BEF">
        <w:t>tage 3 risk assessment</w:t>
      </w:r>
      <w:r w:rsidR="00707736" w:rsidRPr="00563BEF">
        <w:t xml:space="preserve">s </w:t>
      </w:r>
      <w:r w:rsidR="000401F8" w:rsidRPr="00563BEF">
        <w:t xml:space="preserve">will </w:t>
      </w:r>
      <w:r w:rsidR="00563BEF" w:rsidRPr="00563BEF">
        <w:t xml:space="preserve">consider key existing </w:t>
      </w:r>
      <w:r w:rsidR="000401F8" w:rsidRPr="00563BEF">
        <w:t>controls</w:t>
      </w:r>
      <w:r w:rsidR="00563BEF" w:rsidRPr="00563BEF">
        <w:t xml:space="preserve"> including the regulatory</w:t>
      </w:r>
      <w:r w:rsidR="003F3800" w:rsidRPr="00563BEF">
        <w:t xml:space="preserve"> </w:t>
      </w:r>
      <w:r w:rsidR="00563BEF" w:rsidRPr="00563BEF">
        <w:t>framework</w:t>
      </w:r>
      <w:r w:rsidR="003F3800" w:rsidRPr="00563BEF">
        <w:t xml:space="preserve"> </w:t>
      </w:r>
      <w:r w:rsidR="00563BEF" w:rsidRPr="00563BEF">
        <w:t>and</w:t>
      </w:r>
      <w:r w:rsidR="003F3800" w:rsidRPr="00563BEF">
        <w:t xml:space="preserve"> approval process.</w:t>
      </w:r>
    </w:p>
    <w:p w14:paraId="582E9311" w14:textId="5A0A4461" w:rsidR="00F91F4C" w:rsidRPr="00E10706" w:rsidRDefault="00F91F4C" w:rsidP="00E10706">
      <w:pPr>
        <w:pStyle w:val="Heading4"/>
      </w:pPr>
      <w:r w:rsidRPr="00E10706">
        <w:t>Lines of evidence to evaluate hydraulic fracturing</w:t>
      </w:r>
      <w:r w:rsidR="005210E2" w:rsidRPr="00E10706">
        <w:t xml:space="preserve"> and well integrity</w:t>
      </w:r>
    </w:p>
    <w:p w14:paraId="0DCCDACE" w14:textId="7AEF3FA3" w:rsidR="00F91F4C" w:rsidRPr="00F91F4C" w:rsidRDefault="00F91F4C" w:rsidP="00F91F4C">
      <w:pPr>
        <w:pStyle w:val="BodyText"/>
      </w:pPr>
      <w:r w:rsidRPr="00F91F4C">
        <w:t>This</w:t>
      </w:r>
      <w:r w:rsidR="00155664">
        <w:t xml:space="preserve"> </w:t>
      </w:r>
      <w:r w:rsidRPr="00F91F4C">
        <w:t xml:space="preserve">report follows an approach where multiple lines of evidence are used to evaluate the likelihood of each </w:t>
      </w:r>
      <w:r w:rsidR="00155664">
        <w:t>impact mode</w:t>
      </w:r>
      <w:r w:rsidRPr="00F91F4C">
        <w:t xml:space="preserve">. The lines of evidence </w:t>
      </w:r>
      <w:r w:rsidR="006E1DB7">
        <w:t xml:space="preserve">assessed in GBA Stage 2 </w:t>
      </w:r>
      <w:r w:rsidRPr="00F91F4C">
        <w:t xml:space="preserve">that most closely relate to hydraulic fracture </w:t>
      </w:r>
      <w:r w:rsidR="006E1DB7">
        <w:t xml:space="preserve">and compromised well integrity </w:t>
      </w:r>
      <w:r w:rsidRPr="00F91F4C">
        <w:t>causal pathways are:</w:t>
      </w:r>
    </w:p>
    <w:p w14:paraId="06F2CC55" w14:textId="14656C12" w:rsidR="00F91F4C" w:rsidRDefault="00F91F4C" w:rsidP="00F91F4C">
      <w:pPr>
        <w:pStyle w:val="BodyText"/>
      </w:pPr>
      <w:r w:rsidRPr="00F91F4C">
        <w:rPr>
          <w:b/>
        </w:rPr>
        <w:t xml:space="preserve">Line of </w:t>
      </w:r>
      <w:r w:rsidR="00325096">
        <w:rPr>
          <w:b/>
        </w:rPr>
        <w:t>e</w:t>
      </w:r>
      <w:r w:rsidRPr="00F91F4C">
        <w:rPr>
          <w:b/>
        </w:rPr>
        <w:t>vidence 1</w:t>
      </w:r>
      <w:r w:rsidR="00DB492F">
        <w:rPr>
          <w:b/>
        </w:rPr>
        <w:t xml:space="preserve"> (GBA Stage 2)</w:t>
      </w:r>
      <w:r w:rsidRPr="00F91F4C">
        <w:rPr>
          <w:b/>
        </w:rPr>
        <w:t>:</w:t>
      </w:r>
      <w:r w:rsidRPr="00F91F4C">
        <w:t xml:space="preserve"> </w:t>
      </w:r>
      <w:r w:rsidR="005210E2">
        <w:t xml:space="preserve">Analysis of available </w:t>
      </w:r>
      <w:r w:rsidRPr="00F91F4C">
        <w:t xml:space="preserve">data </w:t>
      </w:r>
      <w:r w:rsidR="005210E2">
        <w:t>on</w:t>
      </w:r>
      <w:r w:rsidRPr="00F91F4C">
        <w:t xml:space="preserve"> historical </w:t>
      </w:r>
      <w:r w:rsidR="005210E2">
        <w:t xml:space="preserve">GBA </w:t>
      </w:r>
      <w:r w:rsidR="005B2B40" w:rsidRPr="005A442F">
        <w:t>r</w:t>
      </w:r>
      <w:r w:rsidR="005210E2" w:rsidRPr="005A442F">
        <w:t>egion</w:t>
      </w:r>
      <w:r w:rsidRPr="00F91F4C">
        <w:t xml:space="preserve"> hydraulic fracturing treatments </w:t>
      </w:r>
      <w:r w:rsidR="005210E2">
        <w:t>and well integrity events</w:t>
      </w:r>
    </w:p>
    <w:p w14:paraId="4A61B778" w14:textId="3FA142EA" w:rsidR="005210E2" w:rsidRPr="00F91F4C" w:rsidRDefault="005210E2" w:rsidP="00F91F4C">
      <w:pPr>
        <w:pStyle w:val="BodyText"/>
      </w:pPr>
      <w:r>
        <w:t>Potential data include:</w:t>
      </w:r>
    </w:p>
    <w:p w14:paraId="3801DF9C" w14:textId="3A1E72B3" w:rsidR="39295026" w:rsidRPr="00985B69" w:rsidRDefault="39295026" w:rsidP="00F379D8">
      <w:pPr>
        <w:pStyle w:val="ListBullet"/>
      </w:pPr>
      <w:r>
        <w:t>Remote hydraulic fracture growth monitoring (micro seismic or tiltmeter)</w:t>
      </w:r>
    </w:p>
    <w:p w14:paraId="247E01FD" w14:textId="28F7D4DF" w:rsidR="00F91F4C" w:rsidRPr="00F91F4C" w:rsidRDefault="39295026" w:rsidP="00F379D8">
      <w:pPr>
        <w:pStyle w:val="ListBullet"/>
      </w:pPr>
      <w:r>
        <w:t xml:space="preserve">Operator data on hydraulic fracture treatment design and modelling </w:t>
      </w:r>
    </w:p>
    <w:p w14:paraId="111F16DD" w14:textId="1C354336" w:rsidR="00F91F4C" w:rsidRDefault="007E279F" w:rsidP="00F379D8">
      <w:pPr>
        <w:pStyle w:val="ListBullet"/>
      </w:pPr>
      <w:r>
        <w:t>I</w:t>
      </w:r>
      <w:r w:rsidR="00F91F4C" w:rsidRPr="00F91F4C">
        <w:t xml:space="preserve">nterpretation of hydraulic fracture treatment pressure </w:t>
      </w:r>
    </w:p>
    <w:p w14:paraId="70E922CF" w14:textId="3CC48A5F" w:rsidR="00E90A06" w:rsidRPr="00F91F4C" w:rsidRDefault="39295026" w:rsidP="00F379D8">
      <w:pPr>
        <w:pStyle w:val="ListBullet"/>
      </w:pPr>
      <w:r>
        <w:t>Publicly available data on well integrity failures</w:t>
      </w:r>
      <w:r w:rsidR="005B2B40" w:rsidRPr="005A442F">
        <w:t>.</w:t>
      </w:r>
      <w:r>
        <w:t xml:space="preserve"> </w:t>
      </w:r>
    </w:p>
    <w:p w14:paraId="12E40303" w14:textId="615DEDE2" w:rsidR="00325096" w:rsidRDefault="00325096" w:rsidP="00325096">
      <w:pPr>
        <w:pStyle w:val="BodyText"/>
      </w:pPr>
      <w:r>
        <w:t>The findings of the review of line of evidence 1 for each GBA region are presented in the</w:t>
      </w:r>
      <w:r w:rsidRPr="00325096">
        <w:t xml:space="preserve"> </w:t>
      </w:r>
      <w:r>
        <w:t xml:space="preserve">Cooper, </w:t>
      </w:r>
      <w:r w:rsidRPr="00325096">
        <w:t>Isa</w:t>
      </w:r>
      <w:r>
        <w:t xml:space="preserve"> and </w:t>
      </w:r>
      <w:r w:rsidRPr="00325096">
        <w:t>Beetaloo addend</w:t>
      </w:r>
      <w:r>
        <w:t>a to this report.</w:t>
      </w:r>
    </w:p>
    <w:p w14:paraId="70BCC87D" w14:textId="0DFBF24C" w:rsidR="00F91F4C" w:rsidRDefault="00F91F4C" w:rsidP="00F91F4C">
      <w:pPr>
        <w:pStyle w:val="BodyText"/>
      </w:pPr>
      <w:r w:rsidRPr="00F91F4C">
        <w:rPr>
          <w:b/>
        </w:rPr>
        <w:t xml:space="preserve">Line of </w:t>
      </w:r>
      <w:r w:rsidR="00325096">
        <w:rPr>
          <w:b/>
        </w:rPr>
        <w:t>e</w:t>
      </w:r>
      <w:r w:rsidRPr="00F91F4C">
        <w:rPr>
          <w:b/>
        </w:rPr>
        <w:t>vidence 2</w:t>
      </w:r>
      <w:r w:rsidR="00DB492F">
        <w:rPr>
          <w:b/>
        </w:rPr>
        <w:t xml:space="preserve"> (GBA Stage 2)</w:t>
      </w:r>
      <w:r w:rsidRPr="00F91F4C">
        <w:rPr>
          <w:b/>
        </w:rPr>
        <w:t>:</w:t>
      </w:r>
      <w:r w:rsidRPr="00F91F4C">
        <w:t xml:space="preserve"> </w:t>
      </w:r>
      <w:r w:rsidR="005210E2">
        <w:t xml:space="preserve">Review of </w:t>
      </w:r>
      <w:r w:rsidRPr="00F91F4C">
        <w:t>findings from relevant international inquiries</w:t>
      </w:r>
    </w:p>
    <w:p w14:paraId="6551A489" w14:textId="400B1AF5" w:rsidR="00F873CD" w:rsidRDefault="00A35B9C" w:rsidP="003D0272">
      <w:pPr>
        <w:pStyle w:val="BodyText"/>
        <w:rPr>
          <w:highlight w:val="yellow"/>
        </w:rPr>
      </w:pPr>
      <w:r>
        <w:t>I</w:t>
      </w:r>
      <w:r w:rsidR="003D0272">
        <w:t xml:space="preserve">nformation </w:t>
      </w:r>
      <w:r w:rsidR="001E6963">
        <w:t>from international and domestic inquiries is</w:t>
      </w:r>
      <w:r w:rsidR="003D0272">
        <w:t xml:space="preserve"> of broad relevance to </w:t>
      </w:r>
      <w:r w:rsidR="0031334A">
        <w:t xml:space="preserve">unconventional </w:t>
      </w:r>
      <w:r w:rsidR="001E6963">
        <w:t xml:space="preserve">petroleum </w:t>
      </w:r>
      <w:r w:rsidR="0031334A">
        <w:t>development in each GBA region</w:t>
      </w:r>
      <w:r w:rsidR="00D00878">
        <w:t xml:space="preserve">. Nine inquiries </w:t>
      </w:r>
      <w:r w:rsidR="00BD3AD4">
        <w:t xml:space="preserve">were selected </w:t>
      </w:r>
      <w:r w:rsidR="00D00878">
        <w:t xml:space="preserve">as </w:t>
      </w:r>
      <w:r w:rsidR="00BD3AD4">
        <w:t xml:space="preserve">the </w:t>
      </w:r>
      <w:r w:rsidR="00D00878">
        <w:t xml:space="preserve">most relevant to the GBA regions </w:t>
      </w:r>
      <w:r w:rsidR="003D0272">
        <w:t xml:space="preserve">and </w:t>
      </w:r>
      <w:r w:rsidR="00507C39">
        <w:t xml:space="preserve">a qualitative assessment of </w:t>
      </w:r>
      <w:r w:rsidR="003D0272">
        <w:t>the technical information and findings</w:t>
      </w:r>
      <w:r w:rsidR="00D00878">
        <w:t xml:space="preserve"> </w:t>
      </w:r>
      <w:r w:rsidR="00882DCF">
        <w:t>was undertaken</w:t>
      </w:r>
      <w:r w:rsidR="00BD3AD4">
        <w:t xml:space="preserve"> for each impact mode</w:t>
      </w:r>
      <w:r w:rsidR="00535A6A">
        <w:t xml:space="preserve"> and are presented in Section </w:t>
      </w:r>
      <w:r w:rsidR="00535A6A">
        <w:fldChar w:fldCharType="begin"/>
      </w:r>
      <w:r w:rsidR="00535A6A">
        <w:instrText xml:space="preserve"> REF _Ref18666666 \r \h </w:instrText>
      </w:r>
      <w:r w:rsidR="00535A6A">
        <w:fldChar w:fldCharType="separate"/>
      </w:r>
      <w:r w:rsidR="00073927">
        <w:t>2</w:t>
      </w:r>
      <w:r w:rsidR="00535A6A">
        <w:fldChar w:fldCharType="end"/>
      </w:r>
      <w:r w:rsidR="0031334A">
        <w:t>.</w:t>
      </w:r>
    </w:p>
    <w:p w14:paraId="2C887DC5" w14:textId="44CC801B" w:rsidR="00325096" w:rsidRPr="00325096" w:rsidRDefault="00325096" w:rsidP="00405A25">
      <w:pPr>
        <w:pStyle w:val="BodyText"/>
        <w:rPr>
          <w:b/>
        </w:rPr>
      </w:pPr>
      <w:r w:rsidRPr="00325096">
        <w:rPr>
          <w:b/>
        </w:rPr>
        <w:t xml:space="preserve">Output from GBA </w:t>
      </w:r>
      <w:r w:rsidR="00400022">
        <w:rPr>
          <w:b/>
        </w:rPr>
        <w:t>S</w:t>
      </w:r>
      <w:r w:rsidRPr="00325096">
        <w:rPr>
          <w:b/>
        </w:rPr>
        <w:t>tage 2 hydraulic fracturing and well integrity review</w:t>
      </w:r>
    </w:p>
    <w:p w14:paraId="06EDD300" w14:textId="49AE9DDE" w:rsidR="00405A25" w:rsidRDefault="00405A25" w:rsidP="00405A25">
      <w:pPr>
        <w:pStyle w:val="BodyText"/>
      </w:pPr>
      <w:r>
        <w:t xml:space="preserve">The output of this Stage 2 </w:t>
      </w:r>
      <w:r w:rsidR="00F42698">
        <w:t>hydraulic fracturing and well integrity review</w:t>
      </w:r>
      <w:r>
        <w:t xml:space="preserve"> is </w:t>
      </w:r>
      <w:r w:rsidR="0013537C">
        <w:t xml:space="preserve">a qualitative likelihood score for each </w:t>
      </w:r>
      <w:r w:rsidR="00F42698">
        <w:t xml:space="preserve">impact mode to inform </w:t>
      </w:r>
      <w:r>
        <w:t xml:space="preserve">identification of prioritised </w:t>
      </w:r>
      <w:r w:rsidR="006F10A4">
        <w:t>subsurface flow</w:t>
      </w:r>
      <w:r w:rsidR="002A45A3">
        <w:t xml:space="preserve"> path</w:t>
      </w:r>
      <w:r w:rsidR="006F10A4">
        <w:t xml:space="preserve"> </w:t>
      </w:r>
      <w:r>
        <w:t xml:space="preserve">impact modes for investigation in GBA Stage 3. </w:t>
      </w:r>
    </w:p>
    <w:p w14:paraId="15646A0F" w14:textId="7A08FA58" w:rsidR="00F91F4C" w:rsidRPr="00F91F4C" w:rsidRDefault="00F91F4C" w:rsidP="00F91F4C">
      <w:pPr>
        <w:pStyle w:val="BodyText"/>
      </w:pPr>
      <w:r w:rsidRPr="00F91F4C">
        <w:rPr>
          <w:b/>
        </w:rPr>
        <w:t xml:space="preserve">Line of </w:t>
      </w:r>
      <w:r w:rsidR="00325096">
        <w:rPr>
          <w:b/>
        </w:rPr>
        <w:t>e</w:t>
      </w:r>
      <w:r w:rsidRPr="00F91F4C">
        <w:rPr>
          <w:b/>
        </w:rPr>
        <w:t>vidence 3</w:t>
      </w:r>
      <w:r w:rsidR="00DB492F">
        <w:rPr>
          <w:b/>
        </w:rPr>
        <w:t xml:space="preserve"> (as required GBA Stage 3)</w:t>
      </w:r>
      <w:r w:rsidRPr="00F91F4C">
        <w:rPr>
          <w:b/>
        </w:rPr>
        <w:t>:</w:t>
      </w:r>
      <w:r w:rsidRPr="00F91F4C">
        <w:t xml:space="preserve"> hydraulic fracture growth modelling using parameters representative of the </w:t>
      </w:r>
      <w:r w:rsidR="005210E2">
        <w:t>GB</w:t>
      </w:r>
      <w:r w:rsidR="00D5151D">
        <w:t>A r</w:t>
      </w:r>
      <w:r w:rsidR="005210E2">
        <w:t>egion</w:t>
      </w:r>
      <w:r w:rsidR="00DB492F">
        <w:t>s</w:t>
      </w:r>
      <w:r w:rsidRPr="00F91F4C">
        <w:t xml:space="preserve"> (undertaken as part of Stage 3)</w:t>
      </w:r>
    </w:p>
    <w:p w14:paraId="484584A9" w14:textId="2CB6446D" w:rsidR="00F91F4C" w:rsidRPr="00F91F4C" w:rsidRDefault="00F91F4C" w:rsidP="00F91F4C">
      <w:pPr>
        <w:pStyle w:val="BodyText"/>
      </w:pPr>
      <w:r w:rsidRPr="00F91F4C">
        <w:rPr>
          <w:b/>
        </w:rPr>
        <w:t xml:space="preserve">Line of </w:t>
      </w:r>
      <w:r w:rsidR="00325096">
        <w:rPr>
          <w:b/>
        </w:rPr>
        <w:t>e</w:t>
      </w:r>
      <w:r w:rsidRPr="00F91F4C">
        <w:rPr>
          <w:b/>
        </w:rPr>
        <w:t>vidence 4</w:t>
      </w:r>
      <w:r w:rsidR="00DB492F">
        <w:rPr>
          <w:b/>
        </w:rPr>
        <w:t xml:space="preserve"> (as required GBA Stage 3)</w:t>
      </w:r>
      <w:r w:rsidRPr="00F91F4C">
        <w:rPr>
          <w:b/>
        </w:rPr>
        <w:t>:</w:t>
      </w:r>
      <w:r w:rsidRPr="00F91F4C">
        <w:t xml:space="preserve"> physical evidence or data relating to contaminants entering key receptors from international literature, reports and bulletins, and field investigations (undertaken as part of Stage 3)</w:t>
      </w:r>
    </w:p>
    <w:p w14:paraId="2DFF1E9D" w14:textId="5408169D" w:rsidR="00F91F4C" w:rsidRPr="00985B69" w:rsidRDefault="00563BEF" w:rsidP="00F379D8">
      <w:pPr>
        <w:pStyle w:val="ListBullet"/>
      </w:pPr>
      <w:r>
        <w:t>I</w:t>
      </w:r>
      <w:r w:rsidR="39295026" w:rsidRPr="39295026">
        <w:t>dentification of hydraulic fracturing fluid or shale pore water components in samples taken from monitoring / water bores</w:t>
      </w:r>
      <w:r>
        <w:t>.</w:t>
      </w:r>
    </w:p>
    <w:p w14:paraId="4F24CAAD" w14:textId="78DF3A37" w:rsidR="00F91F4C" w:rsidRPr="00985B69" w:rsidRDefault="00563BEF" w:rsidP="00F379D8">
      <w:pPr>
        <w:pStyle w:val="ListBullet"/>
      </w:pPr>
      <w:r>
        <w:t>R</w:t>
      </w:r>
      <w:r w:rsidR="00541E9A">
        <w:t>eview pressure and flow profiles relative to model responses to determine the potential of vertical propagation</w:t>
      </w:r>
      <w:r>
        <w:t>.</w:t>
      </w:r>
    </w:p>
    <w:p w14:paraId="26C94D7D" w14:textId="0FBAB515" w:rsidR="00325096" w:rsidRPr="00325096" w:rsidRDefault="00325096" w:rsidP="00325096">
      <w:pPr>
        <w:pStyle w:val="BodyText"/>
        <w:rPr>
          <w:b/>
        </w:rPr>
      </w:pPr>
      <w:r w:rsidRPr="00325096">
        <w:rPr>
          <w:b/>
        </w:rPr>
        <w:t xml:space="preserve">Output from GBA stage </w:t>
      </w:r>
      <w:r>
        <w:rPr>
          <w:b/>
        </w:rPr>
        <w:t>3</w:t>
      </w:r>
      <w:r w:rsidRPr="00325096">
        <w:rPr>
          <w:b/>
        </w:rPr>
        <w:t xml:space="preserve"> hydraulic fracturing and well integrity </w:t>
      </w:r>
      <w:r>
        <w:rPr>
          <w:b/>
        </w:rPr>
        <w:t>investigation</w:t>
      </w:r>
    </w:p>
    <w:p w14:paraId="703DAD49" w14:textId="6BED5FAB" w:rsidR="00015B73" w:rsidRDefault="00882DCF" w:rsidP="00A7202E">
      <w:pPr>
        <w:pStyle w:val="BodyText"/>
      </w:pPr>
      <w:r>
        <w:t>The outputs of the Stage 3 investigation will include potential effects of each impact mode which will compliment other GBA work such as contaminant transport modelling.</w:t>
      </w:r>
    </w:p>
    <w:p w14:paraId="2BB2D234" w14:textId="450A2461" w:rsidR="00015B73" w:rsidRDefault="00C82648" w:rsidP="00C82648">
      <w:pPr>
        <w:pStyle w:val="Heading4"/>
      </w:pPr>
      <w:r>
        <w:t>Qualitative l</w:t>
      </w:r>
      <w:r w:rsidR="00263882">
        <w:t xml:space="preserve">ikelihood </w:t>
      </w:r>
      <w:r>
        <w:t>categorisation</w:t>
      </w:r>
    </w:p>
    <w:p w14:paraId="00AE7D29" w14:textId="3EF4D6E2" w:rsidR="00F2370F" w:rsidRDefault="00F81BD5" w:rsidP="00F379D8">
      <w:pPr>
        <w:pStyle w:val="BodyText"/>
      </w:pPr>
      <w:r>
        <w:t xml:space="preserve">On consideration of </w:t>
      </w:r>
      <w:r w:rsidR="00D67874">
        <w:t>lines of evidence 1 and 2 in this Stage 2 review, each</w:t>
      </w:r>
      <w:r w:rsidR="00C82648">
        <w:t xml:space="preserve"> hydraulic fracturing and compromised well integrity causal pathway impact mode </w:t>
      </w:r>
      <w:r>
        <w:t xml:space="preserve">has </w:t>
      </w:r>
      <w:r w:rsidR="00D67874">
        <w:t>been assi</w:t>
      </w:r>
      <w:r w:rsidR="00535A52">
        <w:t xml:space="preserve">gned a qualitative likelihood. </w:t>
      </w:r>
      <w:r w:rsidR="009541BD">
        <w:t>The likelihood descriptors used in this review are consistent with the</w:t>
      </w:r>
      <w:r w:rsidR="00F2370F">
        <w:t xml:space="preserve"> </w:t>
      </w:r>
      <w:r w:rsidR="005B2B40" w:rsidRPr="005A442F">
        <w:t>h</w:t>
      </w:r>
      <w:r w:rsidR="00EA3420" w:rsidRPr="005A442F">
        <w:t xml:space="preserve">azard </w:t>
      </w:r>
      <w:r w:rsidR="005B2B40" w:rsidRPr="005A442F">
        <w:t>i</w:t>
      </w:r>
      <w:r w:rsidR="00EA3420" w:rsidRPr="005A442F">
        <w:t>dentification</w:t>
      </w:r>
      <w:r w:rsidR="00EA3420">
        <w:t xml:space="preserve"> </w:t>
      </w:r>
      <w:r w:rsidR="00911DD2">
        <w:t xml:space="preserve">scores from the GBA Stage 2 synthesis reports </w:t>
      </w:r>
      <w:r w:rsidR="00C47FBD">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C47FBD">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C47FBD">
        <w:fldChar w:fldCharType="end"/>
      </w:r>
      <w:r w:rsidR="00C47FBD">
        <w:t xml:space="preserve"> </w:t>
      </w:r>
      <w:r w:rsidR="00F2370F">
        <w:t xml:space="preserve">and </w:t>
      </w:r>
      <w:r w:rsidR="00855162">
        <w:t>the Independent Scientific Panel Inquiry into Hydraulic Fracture Stimulation in Western Australia</w:t>
      </w:r>
      <w:r w:rsidR="00F2370F">
        <w:t xml:space="preserve"> </w:t>
      </w:r>
      <w:r w:rsidR="00F2370F">
        <w:fldChar w:fldCharType="begin" w:fldLock="1"/>
      </w:r>
      <w:r w:rsidR="00F2370F">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F2370F">
        <w:fldChar w:fldCharType="separate"/>
      </w:r>
      <w:r w:rsidR="00F2370F" w:rsidRPr="005E66D4">
        <w:rPr>
          <w:noProof/>
        </w:rPr>
        <w:t xml:space="preserve">(Hatton </w:t>
      </w:r>
      <w:r w:rsidR="00F2370F" w:rsidRPr="005A442F">
        <w:rPr>
          <w:noProof/>
        </w:rPr>
        <w:t>et al.</w:t>
      </w:r>
      <w:r w:rsidR="00F2370F" w:rsidRPr="005E66D4">
        <w:rPr>
          <w:noProof/>
        </w:rPr>
        <w:t>, 2018)</w:t>
      </w:r>
      <w:r w:rsidR="00F2370F">
        <w:fldChar w:fldCharType="end"/>
      </w:r>
      <w:r w:rsidR="009541BD">
        <w:t xml:space="preserve"> as shown in</w:t>
      </w:r>
      <w:r w:rsidR="00A57173">
        <w:t xml:space="preserve"> </w:t>
      </w:r>
      <w:r w:rsidR="009541BD" w:rsidRPr="005A442F">
        <w:fldChar w:fldCharType="begin"/>
      </w:r>
      <w:r w:rsidR="009541BD" w:rsidRPr="005A442F">
        <w:instrText xml:space="preserve"> REF _Ref7534717 \h </w:instrText>
      </w:r>
      <w:r w:rsidR="005A442F" w:rsidRPr="005A442F">
        <w:instrText xml:space="preserve"> \* MERGEFORMAT </w:instrText>
      </w:r>
      <w:r w:rsidR="009541BD" w:rsidRPr="005A442F">
        <w:fldChar w:fldCharType="separate"/>
      </w:r>
      <w:r w:rsidR="00073927">
        <w:t xml:space="preserve">Table </w:t>
      </w:r>
      <w:r w:rsidR="00073927">
        <w:rPr>
          <w:noProof/>
        </w:rPr>
        <w:t>3</w:t>
      </w:r>
      <w:r w:rsidR="009541BD" w:rsidRPr="005A442F">
        <w:fldChar w:fldCharType="end"/>
      </w:r>
      <w:r w:rsidR="00F2370F" w:rsidRPr="005A442F">
        <w:t>.</w:t>
      </w:r>
    </w:p>
    <w:p w14:paraId="51574AC1" w14:textId="431AFBBA" w:rsidR="00A57173" w:rsidRDefault="00A57173" w:rsidP="00985B69">
      <w:pPr>
        <w:pStyle w:val="BodyText"/>
      </w:pPr>
    </w:p>
    <w:p w14:paraId="7D37EB41" w14:textId="77777777" w:rsidR="00A57173" w:rsidRDefault="00A57173" w:rsidP="00985B69">
      <w:pPr>
        <w:pStyle w:val="BodyText"/>
      </w:pPr>
    </w:p>
    <w:p w14:paraId="3BBF2F2D" w14:textId="5B5D4EA1" w:rsidR="00F2370F" w:rsidRDefault="00F2370F" w:rsidP="00F2370F">
      <w:pPr>
        <w:pStyle w:val="Caption"/>
      </w:pPr>
      <w:bookmarkStart w:id="36" w:name="_Ref7534717"/>
      <w:bookmarkStart w:id="37" w:name="_Toc36042886"/>
      <w:r>
        <w:t xml:space="preserve">Table </w:t>
      </w:r>
      <w:r>
        <w:rPr>
          <w:noProof/>
        </w:rPr>
        <w:fldChar w:fldCharType="begin"/>
      </w:r>
      <w:r>
        <w:rPr>
          <w:noProof/>
        </w:rPr>
        <w:instrText xml:space="preserve"> SEQ Table \* ARABIC </w:instrText>
      </w:r>
      <w:r>
        <w:rPr>
          <w:noProof/>
        </w:rPr>
        <w:fldChar w:fldCharType="separate"/>
      </w:r>
      <w:r w:rsidR="00073927">
        <w:rPr>
          <w:noProof/>
        </w:rPr>
        <w:t>3</w:t>
      </w:r>
      <w:r>
        <w:rPr>
          <w:noProof/>
        </w:rPr>
        <w:fldChar w:fldCharType="end"/>
      </w:r>
      <w:bookmarkEnd w:id="36"/>
      <w:r w:rsidRPr="005A442F">
        <w:t xml:space="preserve"> </w:t>
      </w:r>
      <w:r w:rsidR="00A631E5">
        <w:t>L</w:t>
      </w:r>
      <w:r w:rsidRPr="005A442F">
        <w:t xml:space="preserve">ikelihood </w:t>
      </w:r>
      <w:r w:rsidR="00A631E5">
        <w:t>definitions as used in this report related to other related likelihood definitions and ranking methods</w:t>
      </w:r>
      <w:bookmarkEnd w:id="37"/>
    </w:p>
    <w:tbl>
      <w:tblPr>
        <w:tblStyle w:val="TableBAHeaderRow"/>
        <w:tblW w:w="9895" w:type="dxa"/>
        <w:tblLook w:val="04A0" w:firstRow="1" w:lastRow="0" w:firstColumn="1" w:lastColumn="0" w:noHBand="0" w:noVBand="1"/>
      </w:tblPr>
      <w:tblGrid>
        <w:gridCol w:w="980"/>
        <w:gridCol w:w="2224"/>
        <w:gridCol w:w="1559"/>
        <w:gridCol w:w="1719"/>
        <w:gridCol w:w="3413"/>
      </w:tblGrid>
      <w:tr w:rsidR="00295FC8" w:rsidRPr="00AA4ACB" w14:paraId="15C65B18" w14:textId="77777777" w:rsidTr="00A631E5">
        <w:trPr>
          <w:cnfStyle w:val="100000000000" w:firstRow="1" w:lastRow="0" w:firstColumn="0" w:lastColumn="0" w:oddVBand="0" w:evenVBand="0" w:oddHBand="0" w:evenHBand="0" w:firstRowFirstColumn="0" w:firstRowLastColumn="0" w:lastRowFirstColumn="0" w:lastRowLastColumn="0"/>
        </w:trPr>
        <w:tc>
          <w:tcPr>
            <w:tcW w:w="980" w:type="dxa"/>
          </w:tcPr>
          <w:p w14:paraId="308195C2" w14:textId="76C45807" w:rsidR="00F2370F" w:rsidRPr="00AA4ACB" w:rsidRDefault="00F2370F" w:rsidP="00F379D8">
            <w:pPr>
              <w:pStyle w:val="TableText"/>
            </w:pPr>
            <w:bookmarkStart w:id="38" w:name="_Hlk18666345"/>
            <w:r>
              <w:t xml:space="preserve">Likelihood </w:t>
            </w:r>
            <w:r w:rsidR="00DE34C8">
              <w:t>d</w:t>
            </w:r>
            <w:r w:rsidR="00DE34C8" w:rsidRPr="005A442F">
              <w:t>escriptor</w:t>
            </w:r>
          </w:p>
        </w:tc>
        <w:tc>
          <w:tcPr>
            <w:tcW w:w="2224" w:type="dxa"/>
          </w:tcPr>
          <w:p w14:paraId="35478518" w14:textId="6C7D732E" w:rsidR="00DE34C8" w:rsidRPr="005A442F" w:rsidRDefault="00DE34C8" w:rsidP="00F379D8">
            <w:pPr>
              <w:pStyle w:val="TableText"/>
            </w:pPr>
            <w:r w:rsidRPr="005A442F">
              <w:t xml:space="preserve">Qualitative definition as used in this report to summarise </w:t>
            </w:r>
            <w:r>
              <w:t xml:space="preserve">qualitative findings from review of GBA region historical data </w:t>
            </w:r>
          </w:p>
        </w:tc>
        <w:tc>
          <w:tcPr>
            <w:tcW w:w="1559" w:type="dxa"/>
          </w:tcPr>
          <w:p w14:paraId="765B0718" w14:textId="21D64CD6" w:rsidR="00F2370F" w:rsidRPr="00AA4ACB" w:rsidRDefault="00DE34C8" w:rsidP="00F379D8">
            <w:pPr>
              <w:pStyle w:val="TableText"/>
            </w:pPr>
            <w:r>
              <w:t>GBA likelihood score as used in the hazard identification workshops</w:t>
            </w:r>
          </w:p>
        </w:tc>
        <w:tc>
          <w:tcPr>
            <w:tcW w:w="1719" w:type="dxa"/>
          </w:tcPr>
          <w:p w14:paraId="1D2C18D6" w14:textId="123757BC" w:rsidR="00F2370F" w:rsidRDefault="00DE34C8" w:rsidP="00F379D8">
            <w:pPr>
              <w:pStyle w:val="TableText"/>
            </w:pPr>
            <w:r w:rsidRPr="005A442F">
              <w:t xml:space="preserve">Quantitative </w:t>
            </w:r>
            <w:r>
              <w:t>f</w:t>
            </w:r>
            <w:r w:rsidRPr="005A442F">
              <w:t>requency of recurrence</w:t>
            </w:r>
            <w:r w:rsidR="00A631E5">
              <w:t xml:space="preserve"> as used in the hazard identification workshops</w:t>
            </w:r>
          </w:p>
        </w:tc>
        <w:tc>
          <w:tcPr>
            <w:tcW w:w="3413" w:type="dxa"/>
          </w:tcPr>
          <w:p w14:paraId="3FC1799F" w14:textId="54116B0D" w:rsidR="00F2370F" w:rsidRPr="00AA4ACB" w:rsidRDefault="00A631E5" w:rsidP="00F379D8">
            <w:pPr>
              <w:pStyle w:val="TableText"/>
            </w:pPr>
            <w:r>
              <w:t>Qualitative</w:t>
            </w:r>
            <w:r w:rsidR="00F2370F">
              <w:t xml:space="preserve"> d</w:t>
            </w:r>
            <w:r w:rsidR="00F2370F" w:rsidRPr="00AA4ACB">
              <w:t xml:space="preserve">efinition </w:t>
            </w:r>
            <w:r w:rsidR="00F2370F">
              <w:t xml:space="preserve">from </w:t>
            </w:r>
            <w:r w:rsidR="00F2370F" w:rsidRPr="009A5C05">
              <w:fldChar w:fldCharType="begin" w:fldLock="1"/>
            </w:r>
            <w:r w:rsidR="00F2370F">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F2370F" w:rsidRPr="009A5C05">
              <w:fldChar w:fldCharType="separate"/>
            </w:r>
            <w:r w:rsidR="00F2370F" w:rsidRPr="009A5C05">
              <w:rPr>
                <w:noProof/>
              </w:rPr>
              <w:t>(Hatton et al., 2018)</w:t>
            </w:r>
            <w:r w:rsidR="00F2370F" w:rsidRPr="009A5C05">
              <w:fldChar w:fldCharType="end"/>
            </w:r>
          </w:p>
        </w:tc>
      </w:tr>
      <w:tr w:rsidR="00295FC8" w14:paraId="4FD4F141"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75A16408" w14:textId="5AC4CAAA" w:rsidR="00F2370F" w:rsidRDefault="00F2370F" w:rsidP="00A57173">
            <w:pPr>
              <w:pStyle w:val="TableText"/>
            </w:pPr>
            <w:r>
              <w:t xml:space="preserve">Very </w:t>
            </w:r>
            <w:r w:rsidR="00DE34C8">
              <w:t>r</w:t>
            </w:r>
            <w:r w:rsidR="00DE34C8" w:rsidRPr="005A442F">
              <w:t>are</w:t>
            </w:r>
          </w:p>
        </w:tc>
        <w:tc>
          <w:tcPr>
            <w:tcW w:w="2224" w:type="dxa"/>
          </w:tcPr>
          <w:p w14:paraId="6E91E9C2" w14:textId="60F7B78E" w:rsidR="00DE34C8" w:rsidRPr="005A442F" w:rsidRDefault="00DE34C8" w:rsidP="00A57173">
            <w:pPr>
              <w:pStyle w:val="TableText"/>
            </w:pPr>
            <w:r w:rsidRPr="005A442F">
              <w:t>Near-zero chance of occurring in the area of study</w:t>
            </w:r>
          </w:p>
        </w:tc>
        <w:tc>
          <w:tcPr>
            <w:tcW w:w="1559" w:type="dxa"/>
          </w:tcPr>
          <w:p w14:paraId="4B878F93" w14:textId="472FAF85" w:rsidR="00F2370F" w:rsidRDefault="00F2370F" w:rsidP="00A57173">
            <w:pPr>
              <w:pStyle w:val="TableText"/>
            </w:pPr>
            <w:r>
              <w:t>-2.5</w:t>
            </w:r>
          </w:p>
        </w:tc>
        <w:tc>
          <w:tcPr>
            <w:tcW w:w="1719" w:type="dxa"/>
          </w:tcPr>
          <w:p w14:paraId="2A9BE03B" w14:textId="77777777" w:rsidR="00F2370F" w:rsidRPr="0033367B" w:rsidRDefault="00F2370F" w:rsidP="00A57173">
            <w:pPr>
              <w:pStyle w:val="TableText"/>
            </w:pPr>
          </w:p>
        </w:tc>
        <w:tc>
          <w:tcPr>
            <w:tcW w:w="3413" w:type="dxa"/>
          </w:tcPr>
          <w:p w14:paraId="38F60B81" w14:textId="77777777" w:rsidR="00F2370F" w:rsidRDefault="00F2370F" w:rsidP="00A57173">
            <w:pPr>
              <w:pStyle w:val="TableText"/>
            </w:pPr>
          </w:p>
        </w:tc>
      </w:tr>
      <w:tr w:rsidR="00295FC8" w14:paraId="7509FCE7"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3738225B" w14:textId="77777777" w:rsidR="00F2370F" w:rsidRDefault="00F2370F" w:rsidP="00A57173">
            <w:pPr>
              <w:pStyle w:val="TableText"/>
            </w:pPr>
            <w:r>
              <w:t>Rare</w:t>
            </w:r>
          </w:p>
        </w:tc>
        <w:tc>
          <w:tcPr>
            <w:tcW w:w="2224" w:type="dxa"/>
          </w:tcPr>
          <w:p w14:paraId="6A0F1878" w14:textId="6BB38832" w:rsidR="00DE34C8" w:rsidRPr="005A442F" w:rsidRDefault="00DE34C8" w:rsidP="00A57173">
            <w:pPr>
              <w:pStyle w:val="TableText"/>
            </w:pPr>
            <w:r w:rsidRPr="005A442F">
              <w:t xml:space="preserve">Very improbable to occur in the area of study given local </w:t>
            </w:r>
            <w:r w:rsidR="00535A6A">
              <w:t>geology</w:t>
            </w:r>
            <w:r w:rsidRPr="005A442F">
              <w:t>, existing operational controls and/or regulatory conditions</w:t>
            </w:r>
          </w:p>
        </w:tc>
        <w:tc>
          <w:tcPr>
            <w:tcW w:w="1559" w:type="dxa"/>
          </w:tcPr>
          <w:p w14:paraId="7F8ACB6E" w14:textId="413517B2" w:rsidR="00F2370F" w:rsidRDefault="00F2370F" w:rsidP="00A57173">
            <w:pPr>
              <w:pStyle w:val="TableText"/>
            </w:pPr>
            <w:r>
              <w:t>-2.0</w:t>
            </w:r>
          </w:p>
        </w:tc>
        <w:tc>
          <w:tcPr>
            <w:tcW w:w="1719" w:type="dxa"/>
          </w:tcPr>
          <w:p w14:paraId="0AAB3B04" w14:textId="77777777" w:rsidR="00F2370F" w:rsidRDefault="00F2370F" w:rsidP="00A57173">
            <w:pPr>
              <w:pStyle w:val="TableText"/>
            </w:pPr>
            <w:r w:rsidRPr="0033367B">
              <w:t>One event in 100 years</w:t>
            </w:r>
          </w:p>
        </w:tc>
        <w:tc>
          <w:tcPr>
            <w:tcW w:w="3413" w:type="dxa"/>
          </w:tcPr>
          <w:p w14:paraId="6603CC43" w14:textId="77777777" w:rsidR="00F2370F" w:rsidRDefault="00F2370F" w:rsidP="00A57173">
            <w:pPr>
              <w:pStyle w:val="TableText"/>
            </w:pPr>
            <w:r>
              <w:t>Highly unlikely but it may occur in exceptional circumstances; not forecast to be encountered under foreseeable future circumstances in view of current knowledge and existing controls.</w:t>
            </w:r>
          </w:p>
        </w:tc>
      </w:tr>
      <w:tr w:rsidR="001B3F49" w14:paraId="7AB29193"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236EC151" w14:textId="5801BE94" w:rsidR="001B3F49" w:rsidRPr="00E47B6B" w:rsidRDefault="001B3F49" w:rsidP="00A57173">
            <w:pPr>
              <w:pStyle w:val="TableText"/>
            </w:pPr>
            <w:r>
              <w:t xml:space="preserve">Very </w:t>
            </w:r>
            <w:r w:rsidR="00DE34C8">
              <w:t>u</w:t>
            </w:r>
            <w:r w:rsidR="00DE34C8" w:rsidRPr="005A442F">
              <w:t>nlikely</w:t>
            </w:r>
          </w:p>
        </w:tc>
        <w:tc>
          <w:tcPr>
            <w:tcW w:w="2224" w:type="dxa"/>
          </w:tcPr>
          <w:p w14:paraId="1C17CBE5" w14:textId="7DC55A77" w:rsidR="00DE34C8" w:rsidRPr="005A442F" w:rsidRDefault="00DE34C8" w:rsidP="00A57173">
            <w:pPr>
              <w:pStyle w:val="TableText"/>
            </w:pPr>
            <w:r w:rsidRPr="005A442F">
              <w:t>Very unlikely to occur in the area of study given local geological, operational and/or regulatory conditions</w:t>
            </w:r>
          </w:p>
        </w:tc>
        <w:tc>
          <w:tcPr>
            <w:tcW w:w="1559" w:type="dxa"/>
          </w:tcPr>
          <w:p w14:paraId="6AFB0C8D" w14:textId="0A1DA985" w:rsidR="001B3F49" w:rsidRDefault="001B3F49" w:rsidP="00A57173">
            <w:pPr>
              <w:pStyle w:val="TableText"/>
            </w:pPr>
            <w:r>
              <w:t>-1.5</w:t>
            </w:r>
          </w:p>
        </w:tc>
        <w:tc>
          <w:tcPr>
            <w:tcW w:w="1719" w:type="dxa"/>
          </w:tcPr>
          <w:p w14:paraId="3C1D6C0B" w14:textId="1D9D6BDE" w:rsidR="001B3F49" w:rsidRPr="00D14455" w:rsidRDefault="001B3F49" w:rsidP="00A57173">
            <w:pPr>
              <w:pStyle w:val="TableText"/>
            </w:pPr>
            <w:r>
              <w:t>One event in 33 years</w:t>
            </w:r>
          </w:p>
        </w:tc>
        <w:tc>
          <w:tcPr>
            <w:tcW w:w="3413" w:type="dxa"/>
          </w:tcPr>
          <w:p w14:paraId="4FC6AE59" w14:textId="77777777" w:rsidR="001B3F49" w:rsidRDefault="001B3F49" w:rsidP="00A57173">
            <w:pPr>
              <w:pStyle w:val="TableText"/>
            </w:pPr>
          </w:p>
        </w:tc>
      </w:tr>
      <w:tr w:rsidR="00295FC8" w14:paraId="311023C5"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1B382374" w14:textId="77777777" w:rsidR="00F2370F" w:rsidRDefault="00F2370F" w:rsidP="00A57173">
            <w:pPr>
              <w:pStyle w:val="TableText"/>
            </w:pPr>
            <w:r w:rsidRPr="00E47B6B">
              <w:t>Unlikely</w:t>
            </w:r>
          </w:p>
        </w:tc>
        <w:tc>
          <w:tcPr>
            <w:tcW w:w="2224" w:type="dxa"/>
          </w:tcPr>
          <w:p w14:paraId="2F9E025E" w14:textId="7E3B3A75" w:rsidR="00DE34C8" w:rsidRPr="005A442F" w:rsidRDefault="00DE34C8" w:rsidP="00A57173">
            <w:pPr>
              <w:pStyle w:val="TableText"/>
            </w:pPr>
            <w:r w:rsidRPr="005A442F">
              <w:t>Possible but unlikely to occur in the area of study given local geological, operational and/or regulatory conditions</w:t>
            </w:r>
          </w:p>
        </w:tc>
        <w:tc>
          <w:tcPr>
            <w:tcW w:w="1559" w:type="dxa"/>
          </w:tcPr>
          <w:p w14:paraId="53B4E498" w14:textId="51A0C1BB" w:rsidR="00F2370F" w:rsidRDefault="00F2370F" w:rsidP="00A57173">
            <w:pPr>
              <w:pStyle w:val="TableText"/>
            </w:pPr>
            <w:r>
              <w:t>-1.0</w:t>
            </w:r>
          </w:p>
        </w:tc>
        <w:tc>
          <w:tcPr>
            <w:tcW w:w="1719" w:type="dxa"/>
          </w:tcPr>
          <w:p w14:paraId="5DB271AF" w14:textId="77777777" w:rsidR="00F2370F" w:rsidRDefault="00F2370F" w:rsidP="00A57173">
            <w:pPr>
              <w:pStyle w:val="TableText"/>
            </w:pPr>
            <w:r w:rsidRPr="00D14455">
              <w:t>One event in 10 years</w:t>
            </w:r>
          </w:p>
        </w:tc>
        <w:tc>
          <w:tcPr>
            <w:tcW w:w="3413" w:type="dxa"/>
          </w:tcPr>
          <w:p w14:paraId="21C037F1" w14:textId="77777777" w:rsidR="00F2370F" w:rsidRDefault="00F2370F" w:rsidP="00A57173">
            <w:pPr>
              <w:pStyle w:val="TableText"/>
            </w:pPr>
            <w:r>
              <w:t>Not expected but it may occur at some time; could potentially occur under future foreseeable circumstances if management or regulatory controls fall below best practice standards.</w:t>
            </w:r>
          </w:p>
        </w:tc>
      </w:tr>
      <w:tr w:rsidR="00295FC8" w14:paraId="4007537A"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53390D57" w14:textId="77777777" w:rsidR="00F2370F" w:rsidRDefault="00F2370F" w:rsidP="00A57173">
            <w:pPr>
              <w:pStyle w:val="TableText"/>
            </w:pPr>
            <w:r w:rsidRPr="00E47B6B">
              <w:t>Possible</w:t>
            </w:r>
          </w:p>
        </w:tc>
        <w:tc>
          <w:tcPr>
            <w:tcW w:w="2224" w:type="dxa"/>
          </w:tcPr>
          <w:p w14:paraId="013A4A99" w14:textId="265365D9" w:rsidR="00DE34C8" w:rsidRPr="005A442F" w:rsidRDefault="00535A6A" w:rsidP="00A57173">
            <w:pPr>
              <w:pStyle w:val="TableText"/>
            </w:pPr>
            <w:r>
              <w:t>M</w:t>
            </w:r>
            <w:r w:rsidRPr="00535A6A">
              <w:t>ay occur</w:t>
            </w:r>
            <w:r>
              <w:t xml:space="preserve"> or there is</w:t>
            </w:r>
            <w:r w:rsidRPr="00535A6A">
              <w:t xml:space="preserve"> some evidence to support it will </w:t>
            </w:r>
            <w:r>
              <w:t xml:space="preserve">occur </w:t>
            </w:r>
            <w:r w:rsidRPr="00535A6A">
              <w:t>in the area of study</w:t>
            </w:r>
          </w:p>
        </w:tc>
        <w:tc>
          <w:tcPr>
            <w:tcW w:w="1559" w:type="dxa"/>
          </w:tcPr>
          <w:p w14:paraId="4EC1951A" w14:textId="49F6E872" w:rsidR="00F2370F" w:rsidRDefault="00F2370F" w:rsidP="00A57173">
            <w:pPr>
              <w:pStyle w:val="TableText"/>
            </w:pPr>
            <w:r>
              <w:t>-0.5</w:t>
            </w:r>
          </w:p>
        </w:tc>
        <w:tc>
          <w:tcPr>
            <w:tcW w:w="1719" w:type="dxa"/>
          </w:tcPr>
          <w:p w14:paraId="7381DFC2" w14:textId="77777777" w:rsidR="00F2370F" w:rsidRDefault="00F2370F" w:rsidP="00A57173">
            <w:pPr>
              <w:pStyle w:val="TableText"/>
            </w:pPr>
            <w:r w:rsidRPr="0073177A">
              <w:t>One event in 3 years </w:t>
            </w:r>
          </w:p>
        </w:tc>
        <w:tc>
          <w:tcPr>
            <w:tcW w:w="3413" w:type="dxa"/>
          </w:tcPr>
          <w:p w14:paraId="58720318" w14:textId="77777777" w:rsidR="00F2370F" w:rsidRDefault="00F2370F" w:rsidP="00A57173">
            <w:pPr>
              <w:pStyle w:val="TableText"/>
            </w:pPr>
            <w:r>
              <w:t>The event should occur at some time as there is a history of casual occurrence of similar issues with past projects/activities.</w:t>
            </w:r>
          </w:p>
        </w:tc>
      </w:tr>
      <w:tr w:rsidR="00295FC8" w14:paraId="1CA445FE"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741A4F9A" w14:textId="77777777" w:rsidR="00F2370F" w:rsidRDefault="00F2370F" w:rsidP="00A57173">
            <w:pPr>
              <w:pStyle w:val="TableText"/>
            </w:pPr>
            <w:r w:rsidRPr="00E47B6B">
              <w:t>Likely</w:t>
            </w:r>
          </w:p>
        </w:tc>
        <w:tc>
          <w:tcPr>
            <w:tcW w:w="2224" w:type="dxa"/>
          </w:tcPr>
          <w:p w14:paraId="6876582A" w14:textId="7C5FB7C1" w:rsidR="00DE34C8" w:rsidRDefault="00DE34C8" w:rsidP="00A57173">
            <w:pPr>
              <w:pStyle w:val="TableText"/>
            </w:pPr>
            <w:r>
              <w:t>Expected</w:t>
            </w:r>
            <w:r w:rsidRPr="005A442F">
              <w:t xml:space="preserve"> to occur in some activities in the area of study </w:t>
            </w:r>
          </w:p>
        </w:tc>
        <w:tc>
          <w:tcPr>
            <w:tcW w:w="1559" w:type="dxa"/>
          </w:tcPr>
          <w:p w14:paraId="306CB072" w14:textId="20353EBB" w:rsidR="00F2370F" w:rsidRDefault="00F2370F" w:rsidP="00A57173">
            <w:pPr>
              <w:pStyle w:val="TableText"/>
            </w:pPr>
            <w:r>
              <w:t>0</w:t>
            </w:r>
          </w:p>
        </w:tc>
        <w:tc>
          <w:tcPr>
            <w:tcW w:w="1719" w:type="dxa"/>
          </w:tcPr>
          <w:p w14:paraId="54B9D5A9" w14:textId="77777777" w:rsidR="00F2370F" w:rsidRDefault="00F2370F" w:rsidP="00A57173">
            <w:pPr>
              <w:pStyle w:val="TableText"/>
            </w:pPr>
            <w:r w:rsidRPr="00C57677">
              <w:t>One event in 1 year</w:t>
            </w:r>
          </w:p>
        </w:tc>
        <w:tc>
          <w:tcPr>
            <w:tcW w:w="3413" w:type="dxa"/>
          </w:tcPr>
          <w:p w14:paraId="7846A2D6" w14:textId="77777777" w:rsidR="00F2370F" w:rsidRDefault="00F2370F" w:rsidP="00A57173">
            <w:pPr>
              <w:pStyle w:val="TableText"/>
            </w:pPr>
            <w:r>
              <w:t>The event is expected to occur as there is a history of frequent occurrence with past projects/activities.</w:t>
            </w:r>
          </w:p>
        </w:tc>
      </w:tr>
      <w:tr w:rsidR="00295FC8" w14:paraId="782872B7"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651DEA67" w14:textId="6DF1ABFC" w:rsidR="00F2370F" w:rsidRDefault="00F2370F" w:rsidP="00A57173">
            <w:pPr>
              <w:pStyle w:val="TableText"/>
            </w:pPr>
            <w:r>
              <w:t>Most</w:t>
            </w:r>
            <w:r w:rsidRPr="004928B6">
              <w:t xml:space="preserve"> </w:t>
            </w:r>
            <w:r w:rsidR="00DE34C8">
              <w:t>c</w:t>
            </w:r>
            <w:r w:rsidR="00DE34C8" w:rsidRPr="005A442F">
              <w:t>ertain</w:t>
            </w:r>
          </w:p>
        </w:tc>
        <w:tc>
          <w:tcPr>
            <w:tcW w:w="2224" w:type="dxa"/>
          </w:tcPr>
          <w:p w14:paraId="79DEC425" w14:textId="77777777" w:rsidR="00DE34C8" w:rsidRPr="005A442F" w:rsidRDefault="00DE34C8" w:rsidP="00A57173">
            <w:pPr>
              <w:pStyle w:val="TableText"/>
            </w:pPr>
          </w:p>
        </w:tc>
        <w:tc>
          <w:tcPr>
            <w:tcW w:w="1559" w:type="dxa"/>
          </w:tcPr>
          <w:p w14:paraId="47B6560C" w14:textId="7E2A0245" w:rsidR="00F2370F" w:rsidRDefault="00F2370F" w:rsidP="00A57173">
            <w:pPr>
              <w:pStyle w:val="TableText"/>
            </w:pPr>
            <w:r>
              <w:t>1.0</w:t>
            </w:r>
          </w:p>
        </w:tc>
        <w:tc>
          <w:tcPr>
            <w:tcW w:w="1719" w:type="dxa"/>
          </w:tcPr>
          <w:p w14:paraId="390FE207" w14:textId="77777777" w:rsidR="00F2370F" w:rsidRDefault="00F2370F" w:rsidP="00A57173">
            <w:pPr>
              <w:pStyle w:val="TableText"/>
            </w:pPr>
            <w:r w:rsidRPr="004C2B74">
              <w:t>Ten events in 1 year</w:t>
            </w:r>
          </w:p>
        </w:tc>
        <w:tc>
          <w:tcPr>
            <w:tcW w:w="3413" w:type="dxa"/>
          </w:tcPr>
          <w:p w14:paraId="315EEDF3" w14:textId="77777777" w:rsidR="00F2370F" w:rsidRDefault="00F2370F" w:rsidP="00A57173">
            <w:pPr>
              <w:pStyle w:val="TableText"/>
            </w:pPr>
            <w:r>
              <w:t>The event will occur in most circumstances as there is a history of continuous occurrence with past projects/activities.</w:t>
            </w:r>
          </w:p>
        </w:tc>
      </w:tr>
    </w:tbl>
    <w:bookmarkEnd w:id="38"/>
    <w:p w14:paraId="42C5BBA2" w14:textId="77777777" w:rsidR="00F2370F" w:rsidRDefault="00F2370F" w:rsidP="00F2370F">
      <w:pPr>
        <w:pStyle w:val="BodyText"/>
      </w:pPr>
      <w:r>
        <w:t xml:space="preserve"> </w:t>
      </w:r>
    </w:p>
    <w:p w14:paraId="4295DC23" w14:textId="5B1CB931" w:rsidR="00451AAE" w:rsidRPr="00E10706" w:rsidRDefault="00451AAE" w:rsidP="00E10706">
      <w:pPr>
        <w:pStyle w:val="Heading2"/>
      </w:pPr>
      <w:bookmarkStart w:id="39" w:name="_Toc5272811"/>
      <w:bookmarkStart w:id="40" w:name="_Ref18666666"/>
      <w:bookmarkStart w:id="41" w:name="_Toc36042856"/>
      <w:r w:rsidRPr="00E10706">
        <w:t xml:space="preserve">Line of </w:t>
      </w:r>
      <w:r w:rsidR="00360A23">
        <w:t>e</w:t>
      </w:r>
      <w:r w:rsidRPr="00E10706">
        <w:t>vidence 2: Findings from relevant reviews and inquiries</w:t>
      </w:r>
      <w:bookmarkEnd w:id="39"/>
      <w:bookmarkEnd w:id="40"/>
      <w:bookmarkEnd w:id="41"/>
    </w:p>
    <w:p w14:paraId="5D279C11" w14:textId="6E8D60E7" w:rsidR="00C818A0" w:rsidRDefault="00C818A0" w:rsidP="00C818A0">
      <w:pPr>
        <w:pStyle w:val="BodyText"/>
      </w:pPr>
      <w:r>
        <w:t>Several prominent</w:t>
      </w:r>
      <w:r w:rsidRPr="001E5E61">
        <w:t xml:space="preserve"> international and domestic inquiries have </w:t>
      </w:r>
      <w:r w:rsidR="002F788E">
        <w:t>conducted</w:t>
      </w:r>
      <w:r>
        <w:t xml:space="preserve"> </w:t>
      </w:r>
      <w:r w:rsidRPr="001E5E61">
        <w:t>review</w:t>
      </w:r>
      <w:r>
        <w:t>s</w:t>
      </w:r>
      <w:r w:rsidR="003F53B9">
        <w:t xml:space="preserve"> of</w:t>
      </w:r>
      <w:r w:rsidRPr="001E5E61">
        <w:t xml:space="preserve"> the </w:t>
      </w:r>
      <w:r>
        <w:t>risks</w:t>
      </w:r>
      <w:r w:rsidRPr="001E5E61">
        <w:t xml:space="preserve"> of hydraulic fracturing activities including considering the potential likelihoods of many of the impact modes in their local contexts. Although geological properties, in-situ stresses and applied hydraulic fracture techniques will impact local risk profiles, these</w:t>
      </w:r>
      <w:r>
        <w:t xml:space="preserve"> </w:t>
      </w:r>
      <w:r w:rsidR="00586252">
        <w:t>inquiries</w:t>
      </w:r>
      <w:r w:rsidRPr="001E5E61">
        <w:t xml:space="preserve"> provide an important line of evidence in assessing the relative likelihood of each </w:t>
      </w:r>
      <w:r>
        <w:t>impact mode</w:t>
      </w:r>
      <w:r w:rsidRPr="001E5E61">
        <w:t xml:space="preserve"> in </w:t>
      </w:r>
      <w:r w:rsidR="0073177A">
        <w:t xml:space="preserve">each </w:t>
      </w:r>
      <w:r>
        <w:t xml:space="preserve">GBA </w:t>
      </w:r>
      <w:r w:rsidR="00691B1D" w:rsidRPr="005A442F">
        <w:t>r</w:t>
      </w:r>
      <w:r w:rsidRPr="005A442F">
        <w:t>egion</w:t>
      </w:r>
      <w:r w:rsidRPr="001E5E61">
        <w:t xml:space="preserve">. The </w:t>
      </w:r>
      <w:r>
        <w:t>findings</w:t>
      </w:r>
      <w:r w:rsidRPr="001E5E61">
        <w:t xml:space="preserve"> from </w:t>
      </w:r>
      <w:r>
        <w:t xml:space="preserve">nine </w:t>
      </w:r>
      <w:r w:rsidRPr="001E5E61">
        <w:t>inquir</w:t>
      </w:r>
      <w:r>
        <w:t>ies</w:t>
      </w:r>
      <w:r w:rsidRPr="001E5E61">
        <w:t xml:space="preserve"> have been </w:t>
      </w:r>
      <w:r w:rsidR="00586252">
        <w:t xml:space="preserve">analysed (with key excerpts presented in </w:t>
      </w:r>
      <w:r w:rsidR="004E4FBB">
        <w:t>S</w:t>
      </w:r>
      <w:r w:rsidR="00586252">
        <w:t xml:space="preserve">ections </w:t>
      </w:r>
      <w:r w:rsidR="00586252" w:rsidRPr="005A442F">
        <w:fldChar w:fldCharType="begin"/>
      </w:r>
      <w:r w:rsidR="00586252" w:rsidRPr="005A442F">
        <w:instrText xml:space="preserve"> REF _Ref16686096 \r \h </w:instrText>
      </w:r>
      <w:r w:rsidR="005A442F" w:rsidRPr="005A442F">
        <w:instrText xml:space="preserve"> \* MERGEFORMAT </w:instrText>
      </w:r>
      <w:r w:rsidR="00586252" w:rsidRPr="005A442F">
        <w:fldChar w:fldCharType="separate"/>
      </w:r>
      <w:r w:rsidR="00073927">
        <w:t>2.1</w:t>
      </w:r>
      <w:r w:rsidR="00586252" w:rsidRPr="005A442F">
        <w:fldChar w:fldCharType="end"/>
      </w:r>
      <w:r w:rsidR="00586252">
        <w:t xml:space="preserve"> to </w:t>
      </w:r>
      <w:r w:rsidR="00586252" w:rsidRPr="005A442F">
        <w:fldChar w:fldCharType="begin"/>
      </w:r>
      <w:r w:rsidR="00586252" w:rsidRPr="005A442F">
        <w:instrText xml:space="preserve"> REF _Ref16686104 \r \h </w:instrText>
      </w:r>
      <w:r w:rsidR="005A442F" w:rsidRPr="005A442F">
        <w:instrText xml:space="preserve"> \* MERGEFORMAT </w:instrText>
      </w:r>
      <w:r w:rsidR="00586252" w:rsidRPr="005A442F">
        <w:fldChar w:fldCharType="separate"/>
      </w:r>
      <w:r w:rsidR="00073927">
        <w:t>2.9</w:t>
      </w:r>
      <w:r w:rsidR="00586252" w:rsidRPr="005A442F">
        <w:fldChar w:fldCharType="end"/>
      </w:r>
      <w:r w:rsidR="00586252">
        <w:t>) and categorised</w:t>
      </w:r>
      <w:r w:rsidRPr="001E5E61">
        <w:t xml:space="preserve"> </w:t>
      </w:r>
      <w:r w:rsidR="00586252">
        <w:t xml:space="preserve">against the likelihood descriptions in </w:t>
      </w:r>
      <w:r w:rsidR="00586252" w:rsidRPr="005A442F">
        <w:fldChar w:fldCharType="begin"/>
      </w:r>
      <w:r w:rsidR="00586252" w:rsidRPr="005A442F">
        <w:instrText xml:space="preserve"> REF _Ref528838278 \h </w:instrText>
      </w:r>
      <w:r w:rsidR="005A442F" w:rsidRPr="005A442F">
        <w:instrText xml:space="preserve"> \* MERGEFORMAT </w:instrText>
      </w:r>
      <w:r w:rsidR="00586252" w:rsidRPr="005A442F">
        <w:fldChar w:fldCharType="separate"/>
      </w:r>
      <w:r w:rsidR="00073927">
        <w:t xml:space="preserve">Table </w:t>
      </w:r>
      <w:r w:rsidR="00073927">
        <w:rPr>
          <w:noProof/>
        </w:rPr>
        <w:t>4</w:t>
      </w:r>
      <w:r w:rsidR="00586252" w:rsidRPr="005A442F">
        <w:fldChar w:fldCharType="end"/>
      </w:r>
      <w:r w:rsidR="004E4FBB">
        <w:t xml:space="preserve"> and </w:t>
      </w:r>
      <w:r w:rsidR="004E4FBB" w:rsidRPr="005A442F">
        <w:fldChar w:fldCharType="begin"/>
      </w:r>
      <w:r w:rsidR="004E4FBB" w:rsidRPr="005A442F">
        <w:instrText xml:space="preserve"> REF _Ref2347433 \h </w:instrText>
      </w:r>
      <w:r w:rsidR="005A442F" w:rsidRPr="005A442F">
        <w:instrText xml:space="preserve"> \* MERGEFORMAT </w:instrText>
      </w:r>
      <w:r w:rsidR="004E4FBB" w:rsidRPr="005A442F">
        <w:fldChar w:fldCharType="separate"/>
      </w:r>
      <w:r w:rsidR="00073927">
        <w:t xml:space="preserve">Table </w:t>
      </w:r>
      <w:r w:rsidR="00073927">
        <w:rPr>
          <w:noProof/>
        </w:rPr>
        <w:t>5</w:t>
      </w:r>
      <w:r w:rsidR="004E4FBB" w:rsidRPr="005A442F">
        <w:fldChar w:fldCharType="end"/>
      </w:r>
      <w:r w:rsidR="00586252">
        <w:t xml:space="preserve"> </w:t>
      </w:r>
      <w:r w:rsidRPr="001E5E61">
        <w:t xml:space="preserve">to distil, where possible, a relative </w:t>
      </w:r>
      <w:r w:rsidR="00E24E5A">
        <w:t xml:space="preserve">qualitative </w:t>
      </w:r>
      <w:r w:rsidRPr="001E5E61">
        <w:t xml:space="preserve">likelihood of occurrence for each impact mode. </w:t>
      </w:r>
    </w:p>
    <w:p w14:paraId="24D0CA5E" w14:textId="580A2663" w:rsidR="000056C6" w:rsidRDefault="00C818A0" w:rsidP="000056C6">
      <w:pPr>
        <w:pStyle w:val="BodyText"/>
      </w:pPr>
      <w:r w:rsidRPr="001E5E61">
        <w:t xml:space="preserve">The arithmetic mode of these </w:t>
      </w:r>
      <w:r w:rsidR="00E24E5A">
        <w:t>qualitative</w:t>
      </w:r>
      <w:r w:rsidRPr="001E5E61">
        <w:t xml:space="preserve"> likelihoods across the </w:t>
      </w:r>
      <w:r>
        <w:t xml:space="preserve">domestic and </w:t>
      </w:r>
      <w:r w:rsidRPr="001E5E61">
        <w:t xml:space="preserve">international </w:t>
      </w:r>
      <w:r>
        <w:t xml:space="preserve">inquiries </w:t>
      </w:r>
      <w:r w:rsidRPr="001E5E61">
        <w:t xml:space="preserve">is presented as an indication of the current state of </w:t>
      </w:r>
      <w:r>
        <w:t>scientific</w:t>
      </w:r>
      <w:r w:rsidRPr="001E5E61">
        <w:t xml:space="preserve"> understanding</w:t>
      </w:r>
      <w:r w:rsidRPr="007C1AED">
        <w:t xml:space="preserve"> </w:t>
      </w:r>
      <w:r w:rsidRPr="001E5E61">
        <w:t xml:space="preserve">for each impact mode. The range </w:t>
      </w:r>
      <w:r w:rsidR="00D77ECB">
        <w:t xml:space="preserve">of assessed likelihoods </w:t>
      </w:r>
      <w:r w:rsidRPr="001E5E61">
        <w:t xml:space="preserve">is also presented as a coarse indicator of either the level of alignment between the inquiries </w:t>
      </w:r>
      <w:r>
        <w:t>and/or</w:t>
      </w:r>
      <w:r w:rsidRPr="001E5E61">
        <w:t xml:space="preserve"> the </w:t>
      </w:r>
      <w:r w:rsidRPr="00830302">
        <w:t xml:space="preserve">differences between the local </w:t>
      </w:r>
      <w:r w:rsidR="00691B1D" w:rsidRPr="005A442F">
        <w:t>subsurface</w:t>
      </w:r>
      <w:r w:rsidRPr="00830302">
        <w:t xml:space="preserve"> conditions and industry operational practices. The findings from each of the nine reviewed inquiries are summarised in</w:t>
      </w:r>
      <w:r w:rsidR="00E77503">
        <w:t xml:space="preserve"> tables </w:t>
      </w:r>
      <w:r w:rsidR="00E77503" w:rsidRPr="005A442F">
        <w:fldChar w:fldCharType="begin"/>
      </w:r>
      <w:r w:rsidR="00E77503" w:rsidRPr="005A442F">
        <w:instrText xml:space="preserve"> REF _Ref528838278 \h </w:instrText>
      </w:r>
      <w:r w:rsidR="005A442F" w:rsidRPr="005A442F">
        <w:instrText xml:space="preserve"> \* MERGEFORMAT </w:instrText>
      </w:r>
      <w:r w:rsidR="00E77503" w:rsidRPr="005A442F">
        <w:fldChar w:fldCharType="separate"/>
      </w:r>
      <w:r w:rsidR="00073927">
        <w:t xml:space="preserve">Table </w:t>
      </w:r>
      <w:r w:rsidR="00073927">
        <w:rPr>
          <w:noProof/>
        </w:rPr>
        <w:t>4</w:t>
      </w:r>
      <w:r w:rsidR="00E77503" w:rsidRPr="005A442F">
        <w:fldChar w:fldCharType="end"/>
      </w:r>
      <w:r w:rsidR="00E77503">
        <w:t xml:space="preserve"> and </w:t>
      </w:r>
      <w:r w:rsidR="00E77503" w:rsidRPr="005A442F">
        <w:fldChar w:fldCharType="begin"/>
      </w:r>
      <w:r w:rsidR="00E77503" w:rsidRPr="005A442F">
        <w:instrText xml:space="preserve"> REF _Ref2347433 \h </w:instrText>
      </w:r>
      <w:r w:rsidR="005A442F" w:rsidRPr="005A442F">
        <w:instrText xml:space="preserve"> \* MERGEFORMAT </w:instrText>
      </w:r>
      <w:r w:rsidR="00E77503" w:rsidRPr="005A442F">
        <w:fldChar w:fldCharType="separate"/>
      </w:r>
      <w:r w:rsidR="00073927">
        <w:t xml:space="preserve">Table </w:t>
      </w:r>
      <w:r w:rsidR="00073927">
        <w:rPr>
          <w:noProof/>
        </w:rPr>
        <w:t>5</w:t>
      </w:r>
      <w:r w:rsidR="00E77503" w:rsidRPr="005A442F">
        <w:fldChar w:fldCharType="end"/>
      </w:r>
      <w:r w:rsidR="00E77503">
        <w:t xml:space="preserve"> </w:t>
      </w:r>
      <w:r w:rsidR="00056956" w:rsidRPr="00830302">
        <w:t xml:space="preserve">and presented in the </w:t>
      </w:r>
      <w:r w:rsidR="00830302" w:rsidRPr="00830302">
        <w:t>Stage 2 synthesis reports for each of the GBA regions</w:t>
      </w:r>
      <w:r w:rsidR="004C3E41">
        <w:t xml:space="preserve"> </w:t>
      </w:r>
      <w:r w:rsidR="004C3E41">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4C3E41">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4C3E41">
        <w:fldChar w:fldCharType="end"/>
      </w:r>
      <w:r w:rsidR="00830302" w:rsidRPr="00830302">
        <w:t xml:space="preserve">. </w:t>
      </w:r>
      <w:r w:rsidR="00BC1168">
        <w:t>K</w:t>
      </w:r>
      <w:r w:rsidR="00D97032">
        <w:t xml:space="preserve">ey excerpts from each </w:t>
      </w:r>
      <w:r w:rsidR="00D36056" w:rsidRPr="00D36056">
        <w:t>inquir</w:t>
      </w:r>
      <w:r w:rsidR="00D36056">
        <w:t>y are</w:t>
      </w:r>
      <w:r w:rsidR="00D36056" w:rsidRPr="00D36056">
        <w:t xml:space="preserve"> </w:t>
      </w:r>
      <w:r w:rsidR="00D97032">
        <w:t xml:space="preserve">presented </w:t>
      </w:r>
      <w:r w:rsidR="00122C47">
        <w:t>in</w:t>
      </w:r>
      <w:r w:rsidR="00D36056">
        <w:t xml:space="preserve"> the</w:t>
      </w:r>
      <w:r w:rsidR="00122C47">
        <w:t xml:space="preserve"> subsequent sections</w:t>
      </w:r>
      <w:r w:rsidR="00D97032">
        <w:t>:</w:t>
      </w:r>
    </w:p>
    <w:p w14:paraId="53B1AA9F" w14:textId="0AC69C28" w:rsidR="00D97032" w:rsidRDefault="002104C4" w:rsidP="00F379D8">
      <w:pPr>
        <w:pStyle w:val="ListBullet"/>
      </w:pPr>
      <w:r>
        <w:t xml:space="preserve">Section </w:t>
      </w:r>
      <w:r w:rsidR="00361C2D">
        <w:fldChar w:fldCharType="begin"/>
      </w:r>
      <w:r w:rsidR="00361C2D">
        <w:instrText xml:space="preserve"> REF _Ref16686096 \r \h </w:instrText>
      </w:r>
      <w:r w:rsidR="00F379D8">
        <w:instrText xml:space="preserve"> \* MERGEFORMAT </w:instrText>
      </w:r>
      <w:r w:rsidR="00361C2D">
        <w:fldChar w:fldCharType="separate"/>
      </w:r>
      <w:r w:rsidR="00073927">
        <w:t>2.1</w:t>
      </w:r>
      <w:r w:rsidR="00361C2D">
        <w:fldChar w:fldCharType="end"/>
      </w:r>
      <w:r w:rsidR="003446BD">
        <w:t xml:space="preserve"> </w:t>
      </w:r>
      <w:r w:rsidR="002E07C9" w:rsidRPr="002E07C9">
        <w:t>Hydraulic fracturing for oil and gas: Impacts from the hydraulic fracturing water cycle on drinking water resources in the United States</w:t>
      </w:r>
      <w:r w:rsidR="002E07C9">
        <w:t xml:space="preserve"> </w:t>
      </w:r>
      <w:r w:rsidR="002E07C9">
        <w:fldChar w:fldCharType="begin" w:fldLock="1"/>
      </w:r>
      <w:r w:rsidR="004C3E41">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2016)","plainTextFormattedCitation":"(USEPA, 2016)","previouslyFormattedCitation":"(USEPA, 2016)"},"properties":{"noteIndex":0},"schema":"https://github.com/citation-style-language/schema/raw/master/csl-citation.json"}</w:instrText>
      </w:r>
      <w:r w:rsidR="002E07C9">
        <w:fldChar w:fldCharType="separate"/>
      </w:r>
      <w:r w:rsidR="00A44D30" w:rsidRPr="00A44D30">
        <w:rPr>
          <w:noProof/>
        </w:rPr>
        <w:t>(USEPA, 2016)</w:t>
      </w:r>
      <w:r w:rsidR="002E07C9">
        <w:fldChar w:fldCharType="end"/>
      </w:r>
    </w:p>
    <w:p w14:paraId="61EB67CE" w14:textId="3018BEA7" w:rsidR="00D97032" w:rsidRDefault="002104C4" w:rsidP="00F379D8">
      <w:pPr>
        <w:pStyle w:val="ListBullet"/>
      </w:pPr>
      <w:r>
        <w:t xml:space="preserve">Section </w:t>
      </w:r>
      <w:r w:rsidR="002E07C9" w:rsidRPr="005A442F">
        <w:fldChar w:fldCharType="begin"/>
      </w:r>
      <w:r w:rsidR="002E07C9" w:rsidRPr="005A442F">
        <w:instrText xml:space="preserve"> REF _Ref528836930 \r \h </w:instrText>
      </w:r>
      <w:r w:rsidR="005A442F" w:rsidRPr="005A442F">
        <w:instrText xml:space="preserve"> \* MERGEFORMAT </w:instrText>
      </w:r>
      <w:r w:rsidR="002E07C9" w:rsidRPr="005A442F">
        <w:fldChar w:fldCharType="separate"/>
      </w:r>
      <w:r w:rsidR="00073927">
        <w:t>2.2</w:t>
      </w:r>
      <w:r w:rsidR="002E07C9" w:rsidRPr="005A442F">
        <w:fldChar w:fldCharType="end"/>
      </w:r>
      <w:r w:rsidR="002E07C9">
        <w:t xml:space="preserve"> </w:t>
      </w:r>
      <w:r w:rsidR="002E07C9" w:rsidRPr="002E07C9">
        <w:t xml:space="preserve">Report of the independent inquiry into hydraulic fracturing in the Northern Territory </w:t>
      </w:r>
      <w:r w:rsidR="002E07C9">
        <w:fldChar w:fldCharType="begin" w:fldLock="1"/>
      </w:r>
      <w:r w:rsidR="0057362C">
        <w:instrText>ADDIN CSL_CITATION {"citationItems":[{"id":"ITEM-1","itemData":{"ISBN":"8308130003","author":[{"dropping-particle":"","family":"Hawke","given":"Allan","non-dropping-particle":"","parse-names":false,"suffix":""}],"id":"ITEM-1","issued":{"date-parts":[["2014"]]},"page":"226","title":"Report of the independent inquiry into hydraulic fracturing in the Northern Territory","type":"article-journal"},"uris":["http://www.mendeley.com/documents/?uuid=fb40a20b-bb78-4d1d-bebd-cadb32795c0c"]}],"mendeley":{"formattedCitation":"(Hawke, 2014)","plainTextFormattedCitation":"(Hawke, 2014)","previouslyFormattedCitation":"(Hawke, 2014)"},"properties":{"noteIndex":0},"schema":"https://github.com/citation-style-language/schema/raw/master/csl-citation.json"}</w:instrText>
      </w:r>
      <w:r w:rsidR="002E07C9">
        <w:fldChar w:fldCharType="separate"/>
      </w:r>
      <w:r w:rsidR="002E07C9" w:rsidRPr="002E07C9">
        <w:rPr>
          <w:noProof/>
        </w:rPr>
        <w:t>(Hawke, 2014)</w:t>
      </w:r>
      <w:r w:rsidR="002E07C9">
        <w:fldChar w:fldCharType="end"/>
      </w:r>
    </w:p>
    <w:p w14:paraId="1EFA4612" w14:textId="5FA816DD" w:rsidR="00D97032" w:rsidRDefault="002104C4" w:rsidP="00F379D8">
      <w:pPr>
        <w:pStyle w:val="ListBullet"/>
      </w:pPr>
      <w:r>
        <w:t xml:space="preserve">Section </w:t>
      </w:r>
      <w:r w:rsidR="002E07C9" w:rsidRPr="005A442F">
        <w:fldChar w:fldCharType="begin"/>
      </w:r>
      <w:r w:rsidR="002E07C9" w:rsidRPr="005A442F">
        <w:instrText xml:space="preserve"> REF _Ref528836936 \r \h </w:instrText>
      </w:r>
      <w:r w:rsidR="005A442F" w:rsidRPr="005A442F">
        <w:instrText xml:space="preserve"> \* MERGEFORMAT </w:instrText>
      </w:r>
      <w:r w:rsidR="002E07C9" w:rsidRPr="005A442F">
        <w:fldChar w:fldCharType="separate"/>
      </w:r>
      <w:r w:rsidR="00073927">
        <w:t>2.3</w:t>
      </w:r>
      <w:r w:rsidR="002E07C9" w:rsidRPr="005A442F">
        <w:fldChar w:fldCharType="end"/>
      </w:r>
      <w:r w:rsidR="00004F82">
        <w:t xml:space="preserve"> </w:t>
      </w:r>
      <w:r w:rsidR="00004F82" w:rsidRPr="00004F82">
        <w:t>Engineering Energy: Unconventional Gas Production</w:t>
      </w:r>
      <w:r w:rsidR="00004F82">
        <w:t>.</w:t>
      </w:r>
      <w:r w:rsidR="00004F82" w:rsidRPr="00004F82">
        <w:t xml:space="preserve"> Report for the Australian Council of Learned Academics </w:t>
      </w:r>
      <w:r w:rsidR="0073177A">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2013)","plainTextFormattedCitation":"(Cook et al., 2013)","previouslyFormattedCitation":"(Cook &lt;i&gt;et al.&lt;/i&gt;, 2013)"},"properties":{"noteIndex":0},"schema":"https://github.com/citation-style-language/schema/raw/master/csl-citation.json"}</w:instrText>
      </w:r>
      <w:r w:rsidR="0073177A">
        <w:fldChar w:fldCharType="separate"/>
      </w:r>
      <w:r w:rsidR="0073177A" w:rsidRPr="0073177A">
        <w:rPr>
          <w:noProof/>
        </w:rPr>
        <w:t xml:space="preserve">(Cook </w:t>
      </w:r>
      <w:r w:rsidR="0073177A" w:rsidRPr="005A442F">
        <w:rPr>
          <w:noProof/>
        </w:rPr>
        <w:t>et al.</w:t>
      </w:r>
      <w:r w:rsidR="0073177A" w:rsidRPr="0073177A">
        <w:rPr>
          <w:noProof/>
        </w:rPr>
        <w:t>, 2013)</w:t>
      </w:r>
      <w:r w:rsidR="0073177A">
        <w:fldChar w:fldCharType="end"/>
      </w:r>
    </w:p>
    <w:p w14:paraId="025EDA2A" w14:textId="6B9DD1DB" w:rsidR="00D97032" w:rsidRDefault="002104C4" w:rsidP="00F379D8">
      <w:pPr>
        <w:pStyle w:val="ListBullet"/>
      </w:pPr>
      <w:r>
        <w:t xml:space="preserve">Section </w:t>
      </w:r>
      <w:r w:rsidR="002E07C9" w:rsidRPr="005A442F">
        <w:fldChar w:fldCharType="begin"/>
      </w:r>
      <w:r w:rsidR="002E07C9" w:rsidRPr="005A442F">
        <w:instrText xml:space="preserve"> REF _Ref528836950 \r \h </w:instrText>
      </w:r>
      <w:r w:rsidR="005A442F" w:rsidRPr="005A442F">
        <w:instrText xml:space="preserve"> \* MERGEFORMAT </w:instrText>
      </w:r>
      <w:r w:rsidR="002E07C9" w:rsidRPr="005A442F">
        <w:fldChar w:fldCharType="separate"/>
      </w:r>
      <w:r w:rsidR="00073927">
        <w:t>2.4</w:t>
      </w:r>
      <w:r w:rsidR="002E07C9" w:rsidRPr="005A442F">
        <w:fldChar w:fldCharType="end"/>
      </w:r>
      <w:r w:rsidR="002E07C9">
        <w:t xml:space="preserve"> </w:t>
      </w:r>
      <w:r w:rsidR="00004F82" w:rsidRPr="00004F82">
        <w:t>Shale gas extraction in the UK : a review of hydraulic fracturing</w:t>
      </w:r>
      <w:r w:rsidR="002E07C9">
        <w:t xml:space="preserve"> </w:t>
      </w:r>
      <w:r w:rsidR="002E07C9">
        <w:fldChar w:fldCharType="begin" w:fldLock="1"/>
      </w:r>
      <w:r w:rsidR="002E07C9">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fracturing","type":"report"},"uris":["http://www.mendeley.com/documents/?uuid=98f27b6f-4d54-4a26-a72d-abb1bc3752fe"]}],"mendeley":{"formattedCitation":"(The Royal Society and The Royal Academy of Engineering, 2012)","plainTextFormattedCitation":"(The Royal Society and The Royal Academy of Engineering, 2012)","previouslyFormattedCitation":"(The Royal Society and The Royal Academy of Engineering, 2012)"},"properties":{"noteIndex":0},"schema":"https://github.com/citation-style-language/schema/raw/master/csl-citation.json"}</w:instrText>
      </w:r>
      <w:r w:rsidR="002E07C9">
        <w:fldChar w:fldCharType="separate"/>
      </w:r>
      <w:r w:rsidR="002E07C9" w:rsidRPr="002E07C9">
        <w:rPr>
          <w:noProof/>
        </w:rPr>
        <w:t>(The Royal Society and The Royal Academy of Engineering, 2012)</w:t>
      </w:r>
      <w:r w:rsidR="002E07C9">
        <w:fldChar w:fldCharType="end"/>
      </w:r>
    </w:p>
    <w:p w14:paraId="468B6853" w14:textId="3422E92E" w:rsidR="002E07C9" w:rsidRDefault="002104C4" w:rsidP="00F379D8">
      <w:pPr>
        <w:pStyle w:val="ListBullet"/>
      </w:pPr>
      <w:r>
        <w:t xml:space="preserve">Section </w:t>
      </w:r>
      <w:r w:rsidR="002E07C9" w:rsidRPr="005A442F">
        <w:fldChar w:fldCharType="begin"/>
      </w:r>
      <w:r w:rsidR="002E07C9" w:rsidRPr="005A442F">
        <w:instrText xml:space="preserve"> REF _Ref528836971 \r \h </w:instrText>
      </w:r>
      <w:r w:rsidR="005A442F" w:rsidRPr="005A442F">
        <w:instrText xml:space="preserve"> \* MERGEFORMAT </w:instrText>
      </w:r>
      <w:r w:rsidR="002E07C9" w:rsidRPr="005A442F">
        <w:fldChar w:fldCharType="separate"/>
      </w:r>
      <w:r w:rsidR="00073927">
        <w:t>2.5</w:t>
      </w:r>
      <w:r w:rsidR="002E07C9" w:rsidRPr="005A442F">
        <w:fldChar w:fldCharType="end"/>
      </w:r>
      <w:r w:rsidR="002E07C9">
        <w:t xml:space="preserve"> </w:t>
      </w:r>
      <w:r w:rsidR="00004F82" w:rsidRPr="00004F82">
        <w:t>Drilling for oil and gas in New Zealand: Environmental oversight and regulation</w:t>
      </w:r>
      <w:r w:rsidR="00004F82">
        <w:t xml:space="preserve"> </w:t>
      </w:r>
      <w:r w:rsidR="002E07C9">
        <w:fldChar w:fldCharType="begin" w:fldLock="1"/>
      </w:r>
      <w:r w:rsidR="002E07C9">
        <w:instrText>ADDIN CSL_CITATION {"citationItems":[{"id":"ITEM-1","itemData":{"author":[{"dropping-particle":"","family":"Wright","given":"Jan","non-dropping-particle":"","parse-names":false,"suffix":""}],"id":"ITEM-1","issue":"June","issued":{"date-parts":[["2014"]]},"page":"1-100","title":"Drilling for oil and gas in New Zealand: Environmental oversight and regulation","type":"article-journal"},"uris":["http://www.mendeley.com/documents/?uuid=abf3cf8a-da32-4608-888e-854f4e31469a"]}],"mendeley":{"formattedCitation":"(Wright, 2014)","plainTextFormattedCitation":"(Wright, 2014)","previouslyFormattedCitation":"(Wright, 2014)"},"properties":{"noteIndex":0},"schema":"https://github.com/citation-style-language/schema/raw/master/csl-citation.json"}</w:instrText>
      </w:r>
      <w:r w:rsidR="002E07C9">
        <w:fldChar w:fldCharType="separate"/>
      </w:r>
      <w:r w:rsidR="002E07C9" w:rsidRPr="002E07C9">
        <w:rPr>
          <w:noProof/>
        </w:rPr>
        <w:t>(Wright, 2014)</w:t>
      </w:r>
      <w:r w:rsidR="002E07C9">
        <w:fldChar w:fldCharType="end"/>
      </w:r>
    </w:p>
    <w:p w14:paraId="4A59E30D" w14:textId="67E23894" w:rsidR="00D97032" w:rsidRDefault="002104C4" w:rsidP="00F379D8">
      <w:pPr>
        <w:pStyle w:val="ListBullet"/>
      </w:pPr>
      <w:r>
        <w:t xml:space="preserve">Section </w:t>
      </w:r>
      <w:r w:rsidR="002E07C9" w:rsidRPr="005A442F">
        <w:fldChar w:fldCharType="begin"/>
      </w:r>
      <w:r w:rsidR="002E07C9" w:rsidRPr="005A442F">
        <w:instrText xml:space="preserve"> REF _Ref528837053 \r \h </w:instrText>
      </w:r>
      <w:r w:rsidR="005A442F" w:rsidRPr="005A442F">
        <w:instrText xml:space="preserve"> \* MERGEFORMAT </w:instrText>
      </w:r>
      <w:r w:rsidR="002E07C9" w:rsidRPr="005A442F">
        <w:fldChar w:fldCharType="separate"/>
      </w:r>
      <w:r w:rsidR="00073927">
        <w:t>2.6</w:t>
      </w:r>
      <w:r w:rsidR="002E07C9" w:rsidRPr="005A442F">
        <w:fldChar w:fldCharType="end"/>
      </w:r>
      <w:r w:rsidR="002E07C9">
        <w:t xml:space="preserve"> </w:t>
      </w:r>
      <w:r w:rsidR="002E07C9" w:rsidRPr="002E07C9">
        <w:t xml:space="preserve">Environmental Impacts of Shale Gas Extraction in Canada </w:t>
      </w:r>
      <w:r w:rsidR="002E07C9">
        <w:fldChar w:fldCharType="begin" w:fldLock="1"/>
      </w:r>
      <w:r w:rsidR="002E07C9">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rsidR="002E07C9">
        <w:fldChar w:fldCharType="separate"/>
      </w:r>
      <w:r w:rsidR="002E07C9" w:rsidRPr="002E07C9">
        <w:rPr>
          <w:noProof/>
        </w:rPr>
        <w:t>(Council of Canadian Academies, 2014)</w:t>
      </w:r>
      <w:r w:rsidR="002E07C9">
        <w:fldChar w:fldCharType="end"/>
      </w:r>
    </w:p>
    <w:p w14:paraId="7568474C" w14:textId="0A473C29" w:rsidR="00D97032" w:rsidRDefault="002104C4" w:rsidP="00F379D8">
      <w:pPr>
        <w:pStyle w:val="ListBullet"/>
      </w:pPr>
      <w:r>
        <w:t xml:space="preserve">Section </w:t>
      </w:r>
      <w:r w:rsidR="002E07C9" w:rsidRPr="005A442F">
        <w:fldChar w:fldCharType="begin"/>
      </w:r>
      <w:r w:rsidR="002E07C9" w:rsidRPr="005A442F">
        <w:instrText xml:space="preserve"> REF _Ref528837017 \r \h </w:instrText>
      </w:r>
      <w:r w:rsidR="005A442F" w:rsidRPr="005A442F">
        <w:instrText xml:space="preserve"> \* MERGEFORMAT </w:instrText>
      </w:r>
      <w:r w:rsidR="002E07C9" w:rsidRPr="005A442F">
        <w:fldChar w:fldCharType="separate"/>
      </w:r>
      <w:r w:rsidR="00073927">
        <w:t>2.7</w:t>
      </w:r>
      <w:r w:rsidR="002E07C9" w:rsidRPr="005A442F">
        <w:fldChar w:fldCharType="end"/>
      </w:r>
      <w:r w:rsidR="002E07C9">
        <w:t xml:space="preserve"> R</w:t>
      </w:r>
      <w:r w:rsidR="002E07C9" w:rsidRPr="00AA2CBC">
        <w:t>eport of the Nova Scotia Independent Panel On Hydraulic Fracturing</w:t>
      </w:r>
      <w:r w:rsidR="002E07C9">
        <w:t xml:space="preserve"> </w:t>
      </w:r>
      <w:r w:rsidR="002E07C9">
        <w:fldChar w:fldCharType="begin" w:fldLock="1"/>
      </w:r>
      <w:r w:rsidR="002E07C9">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2014)","plainTextFormattedCitation":"(Atherton et al., 2014)","previouslyFormattedCitation":"(Atherton &lt;i&gt;et al.&lt;/i&gt;, 2014)"},"properties":{"noteIndex":0},"schema":"https://github.com/citation-style-language/schema/raw/master/csl-citation.json"}</w:instrText>
      </w:r>
      <w:r w:rsidR="002E07C9">
        <w:fldChar w:fldCharType="separate"/>
      </w:r>
      <w:r w:rsidR="002E07C9" w:rsidRPr="002E07C9">
        <w:rPr>
          <w:noProof/>
        </w:rPr>
        <w:t xml:space="preserve">(Atherton </w:t>
      </w:r>
      <w:r w:rsidR="002E07C9" w:rsidRPr="005A442F">
        <w:rPr>
          <w:noProof/>
        </w:rPr>
        <w:t>et al.</w:t>
      </w:r>
      <w:r w:rsidR="002E07C9" w:rsidRPr="002E07C9">
        <w:rPr>
          <w:noProof/>
        </w:rPr>
        <w:t>, 2014)</w:t>
      </w:r>
      <w:r w:rsidR="002E07C9">
        <w:fldChar w:fldCharType="end"/>
      </w:r>
    </w:p>
    <w:p w14:paraId="3C841A82" w14:textId="28F03130" w:rsidR="00D97032" w:rsidRDefault="002104C4" w:rsidP="00F379D8">
      <w:pPr>
        <w:pStyle w:val="ListBullet"/>
      </w:pPr>
      <w:r>
        <w:t xml:space="preserve">Section </w:t>
      </w:r>
      <w:r w:rsidR="002E07C9" w:rsidRPr="005A442F">
        <w:fldChar w:fldCharType="begin"/>
      </w:r>
      <w:r w:rsidR="002E07C9" w:rsidRPr="005A442F">
        <w:instrText xml:space="preserve"> REF _Ref528836995 \r \h </w:instrText>
      </w:r>
      <w:r w:rsidR="005A442F" w:rsidRPr="005A442F">
        <w:instrText xml:space="preserve"> \* MERGEFORMAT </w:instrText>
      </w:r>
      <w:r w:rsidR="002E07C9" w:rsidRPr="005A442F">
        <w:fldChar w:fldCharType="separate"/>
      </w:r>
      <w:r w:rsidR="00073927">
        <w:t>2.8</w:t>
      </w:r>
      <w:r w:rsidR="002E07C9" w:rsidRPr="005A442F">
        <w:fldChar w:fldCharType="end"/>
      </w:r>
      <w:r w:rsidR="002E07C9">
        <w:t xml:space="preserve"> </w:t>
      </w:r>
      <w:r w:rsidR="002E07C9" w:rsidRPr="008C4B5A">
        <w:t>Final Report of the Scientific Inquiry into Hydraulic Fracturing in the Northern Territory</w:t>
      </w:r>
      <w:r w:rsidR="002E07C9">
        <w:t xml:space="preserve"> </w:t>
      </w:r>
      <w:r w:rsidR="002E07C9">
        <w:fldChar w:fldCharType="begin" w:fldLock="1"/>
      </w:r>
      <w:r w:rsidR="002E07C9">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002E07C9">
        <w:fldChar w:fldCharType="separate"/>
      </w:r>
      <w:r w:rsidR="002E07C9" w:rsidRPr="002E07C9">
        <w:rPr>
          <w:noProof/>
        </w:rPr>
        <w:t xml:space="preserve">(Pepper </w:t>
      </w:r>
      <w:r w:rsidR="002E07C9" w:rsidRPr="005A442F">
        <w:rPr>
          <w:noProof/>
        </w:rPr>
        <w:t>et al.</w:t>
      </w:r>
      <w:r w:rsidR="002E07C9" w:rsidRPr="002E07C9">
        <w:rPr>
          <w:noProof/>
        </w:rPr>
        <w:t>, 2018)</w:t>
      </w:r>
      <w:r w:rsidR="002E07C9">
        <w:fldChar w:fldCharType="end"/>
      </w:r>
    </w:p>
    <w:p w14:paraId="36B25807" w14:textId="6F9A51EF" w:rsidR="006D3378" w:rsidRDefault="00386486" w:rsidP="00F379D8">
      <w:pPr>
        <w:pStyle w:val="ListBullet"/>
        <w:sectPr w:rsidR="006D3378" w:rsidSect="007B0192">
          <w:headerReference w:type="even" r:id="rId35"/>
          <w:headerReference w:type="default" r:id="rId36"/>
          <w:footerReference w:type="even" r:id="rId37"/>
          <w:footerReference w:type="default" r:id="rId38"/>
          <w:pgSz w:w="11906" w:h="16838" w:code="9"/>
          <w:pgMar w:top="1247" w:right="1134" w:bottom="1134" w:left="1134" w:header="510" w:footer="624" w:gutter="0"/>
          <w:pgNumType w:start="1"/>
          <w:cols w:space="284"/>
          <w:docGrid w:linePitch="360"/>
        </w:sectPr>
      </w:pPr>
      <w:r>
        <w:t xml:space="preserve">Section </w:t>
      </w:r>
      <w:r w:rsidRPr="005A442F">
        <w:fldChar w:fldCharType="begin"/>
      </w:r>
      <w:r w:rsidRPr="005A442F">
        <w:instrText xml:space="preserve"> REF _Ref7009984 \r \h </w:instrText>
      </w:r>
      <w:r w:rsidR="005A442F" w:rsidRPr="005A442F">
        <w:instrText xml:space="preserve"> \* MERGEFORMAT </w:instrText>
      </w:r>
      <w:r w:rsidRPr="005A442F">
        <w:fldChar w:fldCharType="separate"/>
      </w:r>
      <w:r w:rsidR="00073927">
        <w:t>2.9</w:t>
      </w:r>
      <w:r w:rsidRPr="005A442F">
        <w:fldChar w:fldCharType="end"/>
      </w:r>
      <w:r>
        <w:t xml:space="preserve"> </w:t>
      </w:r>
      <w:r w:rsidRPr="00386486">
        <w:t xml:space="preserve">Independent Scientific Panel Inquiry into Hydraulic Fracture Stimulation in Western Australia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005E66D4" w:rsidRPr="005E66D4">
        <w:rPr>
          <w:noProof/>
        </w:rPr>
        <w:t xml:space="preserve">(Hatton </w:t>
      </w:r>
      <w:r w:rsidR="005E66D4" w:rsidRPr="005A442F">
        <w:rPr>
          <w:noProof/>
        </w:rPr>
        <w:t>et al.</w:t>
      </w:r>
      <w:r w:rsidR="005E66D4" w:rsidRPr="005E66D4">
        <w:rPr>
          <w:noProof/>
        </w:rPr>
        <w:t>, 2018)</w:t>
      </w:r>
      <w:r>
        <w:fldChar w:fldCharType="end"/>
      </w:r>
      <w:r w:rsidR="00700C81">
        <w:t>.</w:t>
      </w:r>
    </w:p>
    <w:p w14:paraId="5E3C6ABF" w14:textId="5D29C561" w:rsidR="005C62BD" w:rsidRPr="00BC1168" w:rsidRDefault="005C62BD" w:rsidP="005C62BD">
      <w:pPr>
        <w:pStyle w:val="BodyText"/>
        <w:rPr>
          <w:b/>
        </w:rPr>
      </w:pPr>
      <w:r w:rsidRPr="00BC1168">
        <w:rPr>
          <w:b/>
        </w:rPr>
        <w:t xml:space="preserve">Hydraulic fracturing </w:t>
      </w:r>
      <w:r w:rsidR="005421CE">
        <w:rPr>
          <w:b/>
        </w:rPr>
        <w:t>causal</w:t>
      </w:r>
      <w:r w:rsidRPr="00BC1168">
        <w:rPr>
          <w:b/>
        </w:rPr>
        <w:t xml:space="preserve"> pathway impact modes </w:t>
      </w:r>
    </w:p>
    <w:p w14:paraId="62FF8BF4" w14:textId="74A4C0AC" w:rsidR="00004F82" w:rsidRDefault="00004F82" w:rsidP="00004F82">
      <w:pPr>
        <w:pStyle w:val="Caption"/>
      </w:pPr>
      <w:bookmarkStart w:id="42" w:name="_Ref528838278"/>
      <w:bookmarkStart w:id="43" w:name="_Ref7708626"/>
      <w:bookmarkStart w:id="44" w:name="_Ref6930754"/>
      <w:bookmarkStart w:id="45" w:name="_Toc36042887"/>
      <w:r>
        <w:t xml:space="preserve">Table </w:t>
      </w:r>
      <w:r w:rsidR="0085508F">
        <w:rPr>
          <w:noProof/>
        </w:rPr>
        <w:fldChar w:fldCharType="begin"/>
      </w:r>
      <w:r w:rsidR="0085508F">
        <w:rPr>
          <w:noProof/>
        </w:rPr>
        <w:instrText xml:space="preserve"> SEQ Table \* ARABIC </w:instrText>
      </w:r>
      <w:r w:rsidR="0085508F">
        <w:rPr>
          <w:noProof/>
        </w:rPr>
        <w:fldChar w:fldCharType="separate"/>
      </w:r>
      <w:r w:rsidR="00073927">
        <w:rPr>
          <w:noProof/>
        </w:rPr>
        <w:t>4</w:t>
      </w:r>
      <w:r w:rsidR="0085508F">
        <w:rPr>
          <w:noProof/>
        </w:rPr>
        <w:fldChar w:fldCharType="end"/>
      </w:r>
      <w:bookmarkEnd w:id="42"/>
      <w:bookmarkEnd w:id="43"/>
      <w:r>
        <w:t xml:space="preserve"> Summary of the findings of the likelihoods of each </w:t>
      </w:r>
      <w:r w:rsidR="00F96A50" w:rsidRPr="00F96A50">
        <w:t xml:space="preserve">hydraulic fracturing </w:t>
      </w:r>
      <w:r w:rsidR="00F345EA">
        <w:t xml:space="preserve">causal pathway impact mode </w:t>
      </w:r>
      <w:r>
        <w:t>from key domestic and international works along with the description of the likelihood scores</w:t>
      </w:r>
      <w:bookmarkEnd w:id="44"/>
      <w:bookmarkEnd w:id="45"/>
      <w:r>
        <w:t xml:space="preserve"> </w:t>
      </w:r>
    </w:p>
    <w:tbl>
      <w:tblPr>
        <w:tblStyle w:val="TableBAHeaderRow"/>
        <w:tblpPr w:leftFromText="180" w:rightFromText="180" w:vertAnchor="text" w:tblpY="1"/>
        <w:tblW w:w="14927" w:type="dxa"/>
        <w:tblInd w:w="0" w:type="dxa"/>
        <w:tblLayout w:type="fixed"/>
        <w:tblLook w:val="04A0" w:firstRow="1" w:lastRow="0" w:firstColumn="1" w:lastColumn="0" w:noHBand="0" w:noVBand="1"/>
      </w:tblPr>
      <w:tblGrid>
        <w:gridCol w:w="407"/>
        <w:gridCol w:w="1766"/>
        <w:gridCol w:w="1361"/>
        <w:gridCol w:w="850"/>
        <w:gridCol w:w="850"/>
        <w:gridCol w:w="1134"/>
        <w:gridCol w:w="850"/>
        <w:gridCol w:w="1020"/>
        <w:gridCol w:w="907"/>
        <w:gridCol w:w="850"/>
        <w:gridCol w:w="850"/>
        <w:gridCol w:w="4082"/>
      </w:tblGrid>
      <w:tr w:rsidR="00BE76E1" w14:paraId="35A49668" w14:textId="084B7379" w:rsidTr="00624440">
        <w:trPr>
          <w:cnfStyle w:val="100000000000" w:firstRow="1" w:lastRow="0" w:firstColumn="0" w:lastColumn="0" w:oddVBand="0" w:evenVBand="0" w:oddHBand="0" w:evenHBand="0" w:firstRowFirstColumn="0" w:firstRowLastColumn="0" w:lastRowFirstColumn="0" w:lastRowLastColumn="0"/>
          <w:tblHeader/>
        </w:trPr>
        <w:tc>
          <w:tcPr>
            <w:tcW w:w="407" w:type="dxa"/>
          </w:tcPr>
          <w:p w14:paraId="3451F79C" w14:textId="77777777" w:rsidR="00FF62EA" w:rsidRPr="00DD07F6" w:rsidRDefault="00FF62EA" w:rsidP="00A57173">
            <w:pPr>
              <w:pStyle w:val="TableHeading"/>
            </w:pPr>
          </w:p>
        </w:tc>
        <w:tc>
          <w:tcPr>
            <w:tcW w:w="1766" w:type="dxa"/>
          </w:tcPr>
          <w:p w14:paraId="4794E1BB" w14:textId="569ABB37" w:rsidR="00FF62EA" w:rsidRDefault="00FC61BF" w:rsidP="00F379D8">
            <w:pPr>
              <w:pStyle w:val="TableText"/>
            </w:pPr>
            <w:r>
              <w:t>Impact mode</w:t>
            </w:r>
          </w:p>
        </w:tc>
        <w:tc>
          <w:tcPr>
            <w:tcW w:w="1361" w:type="dxa"/>
          </w:tcPr>
          <w:p w14:paraId="63FCECB8" w14:textId="77777777" w:rsidR="00E24728" w:rsidRDefault="00FF62EA" w:rsidP="00F379D8">
            <w:pPr>
              <w:pStyle w:val="TableText"/>
              <w:rPr>
                <w:b w:val="0"/>
              </w:rPr>
            </w:pPr>
            <w:r w:rsidRPr="00016790">
              <w:t xml:space="preserve">US Environmental Protection Agency, </w:t>
            </w:r>
          </w:p>
          <w:p w14:paraId="7A64DF9F" w14:textId="2EF40F55" w:rsidR="00FF62EA" w:rsidRDefault="00FF62EA" w:rsidP="00F379D8">
            <w:pPr>
              <w:pStyle w:val="TableText"/>
            </w:pPr>
            <w:r>
              <w:t>(</w:t>
            </w:r>
            <w:r w:rsidRPr="00016790">
              <w:t>2016)</w:t>
            </w:r>
          </w:p>
        </w:tc>
        <w:tc>
          <w:tcPr>
            <w:tcW w:w="850" w:type="dxa"/>
          </w:tcPr>
          <w:p w14:paraId="029827AF" w14:textId="7B9A9538" w:rsidR="00FF62EA" w:rsidRDefault="00FF62EA" w:rsidP="00F379D8">
            <w:pPr>
              <w:pStyle w:val="TableText"/>
            </w:pPr>
            <w:r w:rsidRPr="00016790">
              <w:t xml:space="preserve">Hawke, </w:t>
            </w:r>
            <w:r>
              <w:t>(</w:t>
            </w:r>
            <w:r w:rsidRPr="00016790">
              <w:t>2014)</w:t>
            </w:r>
          </w:p>
        </w:tc>
        <w:tc>
          <w:tcPr>
            <w:tcW w:w="850" w:type="dxa"/>
          </w:tcPr>
          <w:p w14:paraId="1A80DAAA" w14:textId="0543736C" w:rsidR="00FF62EA" w:rsidRDefault="00FF62EA" w:rsidP="00F379D8">
            <w:pPr>
              <w:pStyle w:val="TableText"/>
            </w:pPr>
            <w:r w:rsidRPr="00016790">
              <w:t xml:space="preserve">Cook et al. </w:t>
            </w:r>
            <w:r>
              <w:t>(</w:t>
            </w:r>
            <w:r w:rsidRPr="00016790">
              <w:t>2013)</w:t>
            </w:r>
          </w:p>
        </w:tc>
        <w:tc>
          <w:tcPr>
            <w:tcW w:w="1134" w:type="dxa"/>
          </w:tcPr>
          <w:p w14:paraId="11222D89" w14:textId="397169F8" w:rsidR="00FF62EA" w:rsidRDefault="00FF62EA" w:rsidP="00F379D8">
            <w:pPr>
              <w:pStyle w:val="TableText"/>
            </w:pPr>
            <w:r w:rsidRPr="00016790">
              <w:t>The Royal Society and The Royal Academy of Engineerin</w:t>
            </w:r>
            <w:r w:rsidR="00BE76E1">
              <w:t>g</w:t>
            </w:r>
            <w:r w:rsidRPr="00016790">
              <w:t xml:space="preserve"> </w:t>
            </w:r>
            <w:r>
              <w:t>(</w:t>
            </w:r>
            <w:r w:rsidRPr="00016790">
              <w:t>2012)</w:t>
            </w:r>
          </w:p>
        </w:tc>
        <w:tc>
          <w:tcPr>
            <w:tcW w:w="850" w:type="dxa"/>
          </w:tcPr>
          <w:p w14:paraId="3CDEBD56" w14:textId="1D3E8F18" w:rsidR="00FF62EA" w:rsidRDefault="00FF62EA" w:rsidP="00F379D8">
            <w:pPr>
              <w:pStyle w:val="TableText"/>
            </w:pPr>
            <w:r w:rsidRPr="00016790">
              <w:t xml:space="preserve">Wright, </w:t>
            </w:r>
            <w:r>
              <w:t>(</w:t>
            </w:r>
            <w:r w:rsidRPr="00016790">
              <w:t>2014)</w:t>
            </w:r>
          </w:p>
        </w:tc>
        <w:tc>
          <w:tcPr>
            <w:tcW w:w="1020" w:type="dxa"/>
          </w:tcPr>
          <w:p w14:paraId="46C79424" w14:textId="2921308D" w:rsidR="00FF62EA" w:rsidRDefault="00FF62EA" w:rsidP="00F379D8">
            <w:pPr>
              <w:pStyle w:val="TableText"/>
            </w:pPr>
            <w:r w:rsidRPr="00004F82">
              <w:t xml:space="preserve">Council of Canadian Academies </w:t>
            </w:r>
            <w:r>
              <w:t>(</w:t>
            </w:r>
            <w:r w:rsidRPr="00004F82">
              <w:t>2014)</w:t>
            </w:r>
          </w:p>
        </w:tc>
        <w:tc>
          <w:tcPr>
            <w:tcW w:w="907" w:type="dxa"/>
          </w:tcPr>
          <w:p w14:paraId="603D127B" w14:textId="2DBF2531" w:rsidR="00FF62EA" w:rsidRDefault="00FF62EA" w:rsidP="00F379D8">
            <w:pPr>
              <w:pStyle w:val="TableText"/>
            </w:pPr>
            <w:r w:rsidRPr="00016790">
              <w:t xml:space="preserve">Atherton et al., </w:t>
            </w:r>
            <w:r>
              <w:t>(</w:t>
            </w:r>
            <w:r w:rsidRPr="00016790">
              <w:t>2014)</w:t>
            </w:r>
          </w:p>
        </w:tc>
        <w:tc>
          <w:tcPr>
            <w:tcW w:w="850" w:type="dxa"/>
          </w:tcPr>
          <w:p w14:paraId="33A90F3C" w14:textId="4F07C06D" w:rsidR="00FF62EA" w:rsidRDefault="00FF62EA" w:rsidP="00F379D8">
            <w:pPr>
              <w:pStyle w:val="TableText"/>
            </w:pPr>
            <w:r w:rsidRPr="00016790">
              <w:t xml:space="preserve">Pepper et al., </w:t>
            </w:r>
            <w:r>
              <w:t>(</w:t>
            </w:r>
            <w:r w:rsidRPr="00016790">
              <w:t>2018)</w:t>
            </w:r>
          </w:p>
        </w:tc>
        <w:tc>
          <w:tcPr>
            <w:tcW w:w="850" w:type="dxa"/>
          </w:tcPr>
          <w:p w14:paraId="37F26299" w14:textId="3610422B" w:rsidR="00FF62EA" w:rsidRPr="00BE76E1" w:rsidRDefault="00BE76E1" w:rsidP="00F379D8">
            <w:pPr>
              <w:pStyle w:val="TableText"/>
            </w:pPr>
            <w:r w:rsidRPr="00BE76E1">
              <w:t xml:space="preserve">Hatton et al., </w:t>
            </w:r>
            <w:r>
              <w:t>(</w:t>
            </w:r>
            <w:r w:rsidRPr="00BE76E1">
              <w:t>2018)</w:t>
            </w:r>
          </w:p>
        </w:tc>
        <w:tc>
          <w:tcPr>
            <w:tcW w:w="4082" w:type="dxa"/>
          </w:tcPr>
          <w:p w14:paraId="5199AC9E" w14:textId="4470D6EF" w:rsidR="00FF62EA" w:rsidRDefault="00FF62EA" w:rsidP="00F379D8">
            <w:pPr>
              <w:pStyle w:val="TableText"/>
            </w:pPr>
            <w:r>
              <w:t>Description of likelihood scores</w:t>
            </w:r>
          </w:p>
        </w:tc>
      </w:tr>
      <w:tr w:rsidR="00BE76E1" w:rsidRPr="00A8172F" w14:paraId="34824943" w14:textId="44FDB4CA" w:rsidTr="00624440">
        <w:trPr>
          <w:cnfStyle w:val="000000100000" w:firstRow="0" w:lastRow="0" w:firstColumn="0" w:lastColumn="0" w:oddVBand="0" w:evenVBand="0" w:oddHBand="1" w:evenHBand="0" w:firstRowFirstColumn="0" w:firstRowLastColumn="0" w:lastRowFirstColumn="0" w:lastRowLastColumn="0"/>
        </w:trPr>
        <w:tc>
          <w:tcPr>
            <w:tcW w:w="407" w:type="dxa"/>
          </w:tcPr>
          <w:p w14:paraId="63BA5A3B" w14:textId="77777777" w:rsidR="00FF62EA" w:rsidRPr="00EA63C0" w:rsidRDefault="00FF62EA" w:rsidP="00414C96">
            <w:pPr>
              <w:pStyle w:val="TableText"/>
              <w:spacing w:before="0" w:after="0" w:line="240" w:lineRule="auto"/>
              <w:jc w:val="center"/>
            </w:pPr>
            <w:r>
              <w:t>F.1</w:t>
            </w:r>
          </w:p>
        </w:tc>
        <w:tc>
          <w:tcPr>
            <w:tcW w:w="1766" w:type="dxa"/>
          </w:tcPr>
          <w:p w14:paraId="7F2473FA" w14:textId="77777777" w:rsidR="00FF62EA" w:rsidRPr="00A8172F" w:rsidRDefault="00FF62EA" w:rsidP="00414C96">
            <w:pPr>
              <w:pStyle w:val="TableTextCentred"/>
              <w:spacing w:before="0" w:after="0" w:line="240" w:lineRule="auto"/>
            </w:pPr>
            <w:r>
              <w:t>Hydraulic fracture growth into aquifer</w:t>
            </w:r>
          </w:p>
        </w:tc>
        <w:tc>
          <w:tcPr>
            <w:tcW w:w="1361" w:type="dxa"/>
          </w:tcPr>
          <w:p w14:paraId="462B3776" w14:textId="20AE4694" w:rsidR="00FF62EA" w:rsidRDefault="009D1009" w:rsidP="00414C96">
            <w:pPr>
              <w:pStyle w:val="TableTextCentred"/>
              <w:spacing w:before="0" w:after="0" w:line="240" w:lineRule="auto"/>
            </w:pPr>
            <w:r>
              <w:t>Unlikely</w:t>
            </w:r>
          </w:p>
        </w:tc>
        <w:tc>
          <w:tcPr>
            <w:tcW w:w="850" w:type="dxa"/>
          </w:tcPr>
          <w:p w14:paraId="5B7372B7" w14:textId="010F838A" w:rsidR="00FF62EA" w:rsidRDefault="009D1009" w:rsidP="00414C96">
            <w:pPr>
              <w:pStyle w:val="TableTextCentred"/>
              <w:spacing w:before="0" w:after="0" w:line="240" w:lineRule="auto"/>
            </w:pPr>
            <w:r>
              <w:t>Rare</w:t>
            </w:r>
          </w:p>
        </w:tc>
        <w:tc>
          <w:tcPr>
            <w:tcW w:w="850" w:type="dxa"/>
          </w:tcPr>
          <w:p w14:paraId="6132F53C" w14:textId="350BDCC2" w:rsidR="00FF62EA" w:rsidRDefault="009D1009" w:rsidP="00414C96">
            <w:pPr>
              <w:pStyle w:val="TableTextCentred"/>
              <w:spacing w:before="0" w:after="0" w:line="240" w:lineRule="auto"/>
            </w:pPr>
            <w:r>
              <w:t>Unlikely</w:t>
            </w:r>
          </w:p>
        </w:tc>
        <w:tc>
          <w:tcPr>
            <w:tcW w:w="1134" w:type="dxa"/>
          </w:tcPr>
          <w:p w14:paraId="39CF365A" w14:textId="71E55AF4" w:rsidR="00FF62EA" w:rsidRDefault="009D1009" w:rsidP="00414C96">
            <w:pPr>
              <w:pStyle w:val="TableTextCentred"/>
              <w:spacing w:before="0" w:after="0" w:line="240" w:lineRule="auto"/>
            </w:pPr>
            <w:r>
              <w:t>Rare</w:t>
            </w:r>
          </w:p>
        </w:tc>
        <w:tc>
          <w:tcPr>
            <w:tcW w:w="850" w:type="dxa"/>
          </w:tcPr>
          <w:p w14:paraId="3625D838" w14:textId="68D15C25" w:rsidR="00FF62EA" w:rsidRDefault="001B7930" w:rsidP="00414C96">
            <w:pPr>
              <w:pStyle w:val="TableTextCentred"/>
              <w:spacing w:before="0" w:after="0" w:line="240" w:lineRule="auto"/>
            </w:pPr>
            <w:r>
              <w:t>Not assessed</w:t>
            </w:r>
          </w:p>
        </w:tc>
        <w:tc>
          <w:tcPr>
            <w:tcW w:w="1020" w:type="dxa"/>
          </w:tcPr>
          <w:p w14:paraId="20402E78" w14:textId="3B3A0B11" w:rsidR="00FF62EA" w:rsidRDefault="009D1009" w:rsidP="00414C96">
            <w:pPr>
              <w:pStyle w:val="TableTextCentred"/>
              <w:spacing w:before="0" w:after="0" w:line="240" w:lineRule="auto"/>
            </w:pPr>
            <w:r>
              <w:t>Rare</w:t>
            </w:r>
          </w:p>
        </w:tc>
        <w:tc>
          <w:tcPr>
            <w:tcW w:w="907" w:type="dxa"/>
          </w:tcPr>
          <w:p w14:paraId="39EE03C9" w14:textId="45592035" w:rsidR="00FF62EA" w:rsidRDefault="009D1009" w:rsidP="00414C96">
            <w:pPr>
              <w:pStyle w:val="TableTextCentred"/>
              <w:spacing w:before="0" w:after="0" w:line="240" w:lineRule="auto"/>
            </w:pPr>
            <w:r>
              <w:t>Rare</w:t>
            </w:r>
          </w:p>
        </w:tc>
        <w:tc>
          <w:tcPr>
            <w:tcW w:w="850" w:type="dxa"/>
          </w:tcPr>
          <w:p w14:paraId="6D365724" w14:textId="271DEC1C" w:rsidR="00FF62EA" w:rsidRDefault="009D1009" w:rsidP="00414C96">
            <w:pPr>
              <w:pStyle w:val="TableTextCentred"/>
              <w:spacing w:before="0" w:after="0" w:line="240" w:lineRule="auto"/>
            </w:pPr>
            <w:r>
              <w:t>Rare</w:t>
            </w:r>
          </w:p>
        </w:tc>
        <w:tc>
          <w:tcPr>
            <w:tcW w:w="850" w:type="dxa"/>
          </w:tcPr>
          <w:p w14:paraId="45E1AAF3" w14:textId="70BABC9E" w:rsidR="00FF62EA" w:rsidRPr="00FC04FF" w:rsidRDefault="00833659" w:rsidP="00414C96">
            <w:pPr>
              <w:pStyle w:val="TableTextCentred"/>
              <w:spacing w:before="0" w:after="0" w:line="240" w:lineRule="auto"/>
              <w:jc w:val="left"/>
            </w:pPr>
            <w:r>
              <w:t>Rare</w:t>
            </w:r>
          </w:p>
        </w:tc>
        <w:tc>
          <w:tcPr>
            <w:tcW w:w="4082" w:type="dxa"/>
          </w:tcPr>
          <w:p w14:paraId="62C0AD50" w14:textId="6FB7E565" w:rsidR="00FF62EA" w:rsidRDefault="00843F77" w:rsidP="00414C96">
            <w:pPr>
              <w:pStyle w:val="TableTextCentred"/>
              <w:spacing w:before="0" w:after="0" w:line="240" w:lineRule="auto"/>
              <w:jc w:val="left"/>
            </w:pPr>
            <w:r>
              <w:rPr>
                <w:b/>
              </w:rPr>
              <w:t>Rare</w:t>
            </w:r>
            <w:r w:rsidR="00FF62EA">
              <w:t xml:space="preserve">: </w:t>
            </w:r>
            <w:r w:rsidR="001B7930">
              <w:t>Hydraulic f</w:t>
            </w:r>
            <w:r w:rsidR="00FF62EA">
              <w:t xml:space="preserve">ractures </w:t>
            </w:r>
            <w:r w:rsidR="00233F15">
              <w:t>could</w:t>
            </w:r>
            <w:r w:rsidR="00FF62EA">
              <w:t xml:space="preserve"> conceivably grow</w:t>
            </w:r>
            <w:r w:rsidR="00804E92">
              <w:t xml:space="preserve"> in </w:t>
            </w:r>
            <w:r w:rsidR="0062719D">
              <w:t>height to</w:t>
            </w:r>
            <w:r w:rsidR="00FF62EA">
              <w:t xml:space="preserve"> a maximum of</w:t>
            </w:r>
            <w:r w:rsidR="00804E92">
              <w:t xml:space="preserve"> approximately </w:t>
            </w:r>
            <w:r w:rsidR="00FF62EA">
              <w:t>400-500</w:t>
            </w:r>
            <w:r w:rsidR="005C683C">
              <w:t xml:space="preserve"> </w:t>
            </w:r>
            <w:r w:rsidR="00FF62EA">
              <w:t xml:space="preserve">m </w:t>
            </w:r>
            <w:r w:rsidR="00DA04CB">
              <w:t xml:space="preserve">however this would be insufficient </w:t>
            </w:r>
            <w:r w:rsidR="00FF62EA">
              <w:t xml:space="preserve">to intersect aquifers in the jurisdiction / study area </w:t>
            </w:r>
          </w:p>
          <w:p w14:paraId="540D8146" w14:textId="42F2F686" w:rsidR="00FF62EA" w:rsidRPr="00013164" w:rsidRDefault="00843F77" w:rsidP="00414C96">
            <w:pPr>
              <w:pStyle w:val="BodyText"/>
            </w:pPr>
            <w:r w:rsidRPr="00843F77">
              <w:rPr>
                <w:b/>
              </w:rPr>
              <w:t>Unlikely:</w:t>
            </w:r>
            <w:r w:rsidR="00233F15">
              <w:t xml:space="preserve"> </w:t>
            </w:r>
            <w:r w:rsidR="00233F15" w:rsidRPr="00233F15">
              <w:t>Hydraulic fractures could conceivably grow in height to a maximum of approximately 400 m and this may be enough to intersect aquifers in the jurisdiction / study area</w:t>
            </w:r>
          </w:p>
        </w:tc>
      </w:tr>
      <w:tr w:rsidR="00BE76E1" w14:paraId="611C8A05" w14:textId="07302E72" w:rsidTr="00624440">
        <w:trPr>
          <w:cnfStyle w:val="000000010000" w:firstRow="0" w:lastRow="0" w:firstColumn="0" w:lastColumn="0" w:oddVBand="0" w:evenVBand="0" w:oddHBand="0" w:evenHBand="1" w:firstRowFirstColumn="0" w:firstRowLastColumn="0" w:lastRowFirstColumn="0" w:lastRowLastColumn="0"/>
        </w:trPr>
        <w:tc>
          <w:tcPr>
            <w:tcW w:w="407" w:type="dxa"/>
          </w:tcPr>
          <w:p w14:paraId="05416A88" w14:textId="77777777" w:rsidR="00FF62EA" w:rsidRDefault="00FF62EA" w:rsidP="00414C96">
            <w:pPr>
              <w:pStyle w:val="TableText"/>
              <w:spacing w:before="0" w:after="0" w:line="240" w:lineRule="auto"/>
              <w:jc w:val="center"/>
            </w:pPr>
            <w:r>
              <w:t>F.2</w:t>
            </w:r>
          </w:p>
        </w:tc>
        <w:tc>
          <w:tcPr>
            <w:tcW w:w="1766" w:type="dxa"/>
          </w:tcPr>
          <w:p w14:paraId="39A0990E" w14:textId="77777777" w:rsidR="00FF62EA" w:rsidRDefault="00FF62EA" w:rsidP="00414C96">
            <w:pPr>
              <w:pStyle w:val="TableTextCentred"/>
              <w:spacing w:before="0" w:after="0" w:line="240" w:lineRule="auto"/>
            </w:pPr>
            <w:r>
              <w:t>Hydraulic fracture growth into well</w:t>
            </w:r>
          </w:p>
        </w:tc>
        <w:tc>
          <w:tcPr>
            <w:tcW w:w="1361" w:type="dxa"/>
          </w:tcPr>
          <w:p w14:paraId="231B890A" w14:textId="3EA166E4" w:rsidR="00FF62EA" w:rsidRDefault="009D1009" w:rsidP="00414C96">
            <w:pPr>
              <w:pStyle w:val="TableTextCentred"/>
              <w:spacing w:before="0" w:after="0" w:line="240" w:lineRule="auto"/>
            </w:pPr>
            <w:r>
              <w:t>Unlikely</w:t>
            </w:r>
          </w:p>
        </w:tc>
        <w:tc>
          <w:tcPr>
            <w:tcW w:w="850" w:type="dxa"/>
          </w:tcPr>
          <w:p w14:paraId="51117224" w14:textId="2783E408" w:rsidR="00FF62EA" w:rsidRDefault="001B7930" w:rsidP="00414C96">
            <w:pPr>
              <w:pStyle w:val="TableTextCentred"/>
              <w:spacing w:before="0" w:after="0" w:line="240" w:lineRule="auto"/>
            </w:pPr>
            <w:r>
              <w:t>Not assessed</w:t>
            </w:r>
          </w:p>
        </w:tc>
        <w:tc>
          <w:tcPr>
            <w:tcW w:w="850" w:type="dxa"/>
          </w:tcPr>
          <w:p w14:paraId="7C944166" w14:textId="2E27C710" w:rsidR="00FF62EA" w:rsidRDefault="001B7930" w:rsidP="00414C96">
            <w:pPr>
              <w:pStyle w:val="TableTextCentred"/>
              <w:spacing w:before="0" w:after="0" w:line="240" w:lineRule="auto"/>
            </w:pPr>
            <w:r>
              <w:t>Not assessed</w:t>
            </w:r>
          </w:p>
        </w:tc>
        <w:tc>
          <w:tcPr>
            <w:tcW w:w="1134" w:type="dxa"/>
          </w:tcPr>
          <w:p w14:paraId="6438A906" w14:textId="203B5430" w:rsidR="00FF62EA" w:rsidRDefault="001B7930" w:rsidP="00414C96">
            <w:pPr>
              <w:pStyle w:val="TableTextCentred"/>
              <w:spacing w:before="0" w:after="0" w:line="240" w:lineRule="auto"/>
            </w:pPr>
            <w:r>
              <w:t>Not assessed</w:t>
            </w:r>
          </w:p>
        </w:tc>
        <w:tc>
          <w:tcPr>
            <w:tcW w:w="850" w:type="dxa"/>
          </w:tcPr>
          <w:p w14:paraId="7AB1A48B" w14:textId="67E82BD4" w:rsidR="00FF62EA" w:rsidRDefault="001B7930" w:rsidP="00414C96">
            <w:pPr>
              <w:pStyle w:val="TableTextCentred"/>
              <w:spacing w:before="0" w:after="0" w:line="240" w:lineRule="auto"/>
            </w:pPr>
            <w:r>
              <w:t>Not assessed</w:t>
            </w:r>
          </w:p>
        </w:tc>
        <w:tc>
          <w:tcPr>
            <w:tcW w:w="1020" w:type="dxa"/>
          </w:tcPr>
          <w:p w14:paraId="4410725F" w14:textId="63E2C6EA" w:rsidR="00FF62EA" w:rsidRDefault="009D1009" w:rsidP="00414C96">
            <w:pPr>
              <w:pStyle w:val="TableTextCentred"/>
              <w:spacing w:before="0" w:after="0" w:line="240" w:lineRule="auto"/>
            </w:pPr>
            <w:r>
              <w:t>Unlikely</w:t>
            </w:r>
          </w:p>
        </w:tc>
        <w:tc>
          <w:tcPr>
            <w:tcW w:w="907" w:type="dxa"/>
          </w:tcPr>
          <w:p w14:paraId="4A8AFBBC" w14:textId="2CDA3F81" w:rsidR="00FF62EA" w:rsidRDefault="009D1009" w:rsidP="00414C96">
            <w:pPr>
              <w:pStyle w:val="TableTextCentred"/>
              <w:spacing w:before="0" w:after="0" w:line="240" w:lineRule="auto"/>
            </w:pPr>
            <w:r>
              <w:t>Unlikely</w:t>
            </w:r>
          </w:p>
        </w:tc>
        <w:tc>
          <w:tcPr>
            <w:tcW w:w="850" w:type="dxa"/>
          </w:tcPr>
          <w:p w14:paraId="35CBACA7" w14:textId="538AC0BF" w:rsidR="00FF62EA" w:rsidRDefault="001B7930" w:rsidP="00414C96">
            <w:pPr>
              <w:pStyle w:val="TableTextCentred"/>
              <w:spacing w:before="0" w:after="0" w:line="240" w:lineRule="auto"/>
            </w:pPr>
            <w:r>
              <w:t>Not assessed</w:t>
            </w:r>
          </w:p>
        </w:tc>
        <w:tc>
          <w:tcPr>
            <w:tcW w:w="850" w:type="dxa"/>
          </w:tcPr>
          <w:p w14:paraId="2E45D4FD" w14:textId="3A44D3AD" w:rsidR="00FF62EA" w:rsidRPr="008D7D6F" w:rsidRDefault="00833659" w:rsidP="00414C96">
            <w:pPr>
              <w:pStyle w:val="BodyText"/>
            </w:pPr>
            <w:r>
              <w:t>Rare</w:t>
            </w:r>
          </w:p>
        </w:tc>
        <w:tc>
          <w:tcPr>
            <w:tcW w:w="4082" w:type="dxa"/>
          </w:tcPr>
          <w:p w14:paraId="54A0C4C2" w14:textId="51B200DC" w:rsidR="00FF62EA" w:rsidRDefault="00843F77" w:rsidP="00414C96">
            <w:pPr>
              <w:pStyle w:val="BodyText"/>
            </w:pPr>
            <w:r>
              <w:rPr>
                <w:b/>
              </w:rPr>
              <w:t>Rare</w:t>
            </w:r>
            <w:r w:rsidR="00FF62EA">
              <w:rPr>
                <w:b/>
              </w:rPr>
              <w:t>:</w:t>
            </w:r>
            <w:r w:rsidR="00FF62EA">
              <w:t xml:space="preserve"> Fracture growth into other wells has been suggested as a possible cause for changes to nearby water quality but </w:t>
            </w:r>
            <w:r w:rsidR="00D1732F">
              <w:t xml:space="preserve">this has </w:t>
            </w:r>
            <w:r w:rsidR="00FF62EA">
              <w:t xml:space="preserve">not </w:t>
            </w:r>
            <w:r w:rsidR="00D1732F">
              <w:t xml:space="preserve">been </w:t>
            </w:r>
            <w:r w:rsidR="00FF62EA">
              <w:t>conclusively linked</w:t>
            </w:r>
            <w:r w:rsidR="008D7D6F">
              <w:t xml:space="preserve"> or is not considered probable in the area of study</w:t>
            </w:r>
            <w:r w:rsidR="00D1732F">
              <w:t xml:space="preserve"> </w:t>
            </w:r>
          </w:p>
          <w:p w14:paraId="5E727FA3" w14:textId="2EE544EE" w:rsidR="00FF62EA" w:rsidRPr="00013164" w:rsidRDefault="00843F77" w:rsidP="00414C96">
            <w:pPr>
              <w:pStyle w:val="BodyText"/>
            </w:pPr>
            <w:r w:rsidRPr="00843F77">
              <w:rPr>
                <w:b/>
              </w:rPr>
              <w:t>Unlikely:</w:t>
            </w:r>
            <w:r w:rsidR="00FF62EA">
              <w:t xml:space="preserve"> </w:t>
            </w:r>
            <w:bookmarkStart w:id="46" w:name="_Hlk532399236"/>
            <w:r w:rsidR="00FF62EA">
              <w:t xml:space="preserve">Hydraulic fracture Intersection and </w:t>
            </w:r>
            <w:r w:rsidR="00923B88">
              <w:t>changes in</w:t>
            </w:r>
            <w:r w:rsidR="00FF62EA">
              <w:t xml:space="preserve"> fluid flow in other </w:t>
            </w:r>
            <w:r w:rsidR="00923B88">
              <w:t xml:space="preserve">bores or </w:t>
            </w:r>
            <w:r w:rsidR="00FF62EA">
              <w:t xml:space="preserve">wells has been observed in </w:t>
            </w:r>
            <w:r w:rsidR="00923B88">
              <w:t xml:space="preserve">the </w:t>
            </w:r>
            <w:r w:rsidR="00FF62EA">
              <w:t>area of study</w:t>
            </w:r>
            <w:bookmarkEnd w:id="46"/>
          </w:p>
        </w:tc>
      </w:tr>
      <w:tr w:rsidR="00BE76E1" w14:paraId="069CD0E9" w14:textId="0872F816" w:rsidTr="00624440">
        <w:trPr>
          <w:cnfStyle w:val="000000100000" w:firstRow="0" w:lastRow="0" w:firstColumn="0" w:lastColumn="0" w:oddVBand="0" w:evenVBand="0" w:oddHBand="1" w:evenHBand="0" w:firstRowFirstColumn="0" w:firstRowLastColumn="0" w:lastRowFirstColumn="0" w:lastRowLastColumn="0"/>
        </w:trPr>
        <w:tc>
          <w:tcPr>
            <w:tcW w:w="407" w:type="dxa"/>
          </w:tcPr>
          <w:p w14:paraId="1EE7DD27" w14:textId="77777777" w:rsidR="00FF62EA" w:rsidRDefault="00FF62EA" w:rsidP="00414C96">
            <w:pPr>
              <w:pStyle w:val="TableText"/>
              <w:spacing w:before="0" w:after="0" w:line="240" w:lineRule="auto"/>
              <w:jc w:val="center"/>
            </w:pPr>
            <w:r>
              <w:t>F.3</w:t>
            </w:r>
          </w:p>
        </w:tc>
        <w:tc>
          <w:tcPr>
            <w:tcW w:w="1766" w:type="dxa"/>
          </w:tcPr>
          <w:p w14:paraId="401BD3E5" w14:textId="77777777" w:rsidR="00FF62EA" w:rsidRDefault="00FF62EA" w:rsidP="00414C96">
            <w:pPr>
              <w:pStyle w:val="TableTextCentred"/>
              <w:spacing w:before="0" w:after="0" w:line="240" w:lineRule="auto"/>
            </w:pPr>
            <w:r>
              <w:t>Hydraulic fracture growth into fault</w:t>
            </w:r>
          </w:p>
        </w:tc>
        <w:tc>
          <w:tcPr>
            <w:tcW w:w="1361" w:type="dxa"/>
          </w:tcPr>
          <w:p w14:paraId="00EE776F" w14:textId="55687ECF" w:rsidR="00FF62EA" w:rsidRDefault="009D1009" w:rsidP="00414C96">
            <w:pPr>
              <w:pStyle w:val="TableTextCentred"/>
              <w:spacing w:before="0" w:after="0" w:line="240" w:lineRule="auto"/>
            </w:pPr>
            <w:r>
              <w:t>Rare</w:t>
            </w:r>
          </w:p>
        </w:tc>
        <w:tc>
          <w:tcPr>
            <w:tcW w:w="850" w:type="dxa"/>
          </w:tcPr>
          <w:p w14:paraId="77AA181D" w14:textId="12D3575D" w:rsidR="00FF62EA" w:rsidRDefault="009D1009" w:rsidP="00414C96">
            <w:pPr>
              <w:pStyle w:val="TableTextCentred"/>
              <w:spacing w:before="0" w:after="0" w:line="240" w:lineRule="auto"/>
            </w:pPr>
            <w:r>
              <w:t>Unlikely</w:t>
            </w:r>
          </w:p>
        </w:tc>
        <w:tc>
          <w:tcPr>
            <w:tcW w:w="850" w:type="dxa"/>
          </w:tcPr>
          <w:p w14:paraId="7C09DBE6" w14:textId="2009630C" w:rsidR="00FF62EA" w:rsidRDefault="009D1009" w:rsidP="00414C96">
            <w:pPr>
              <w:pStyle w:val="TableTextCentred"/>
              <w:spacing w:before="0" w:after="0" w:line="240" w:lineRule="auto"/>
            </w:pPr>
            <w:r>
              <w:t>Unlikely</w:t>
            </w:r>
          </w:p>
        </w:tc>
        <w:tc>
          <w:tcPr>
            <w:tcW w:w="1134" w:type="dxa"/>
          </w:tcPr>
          <w:p w14:paraId="3EAACA60" w14:textId="0DA0494A" w:rsidR="00FF62EA" w:rsidRDefault="009D1009" w:rsidP="00414C96">
            <w:pPr>
              <w:pStyle w:val="TableTextCentred"/>
              <w:spacing w:before="0" w:after="0" w:line="240" w:lineRule="auto"/>
            </w:pPr>
            <w:r>
              <w:t>Unlikely</w:t>
            </w:r>
          </w:p>
        </w:tc>
        <w:tc>
          <w:tcPr>
            <w:tcW w:w="850" w:type="dxa"/>
          </w:tcPr>
          <w:p w14:paraId="304ECB62" w14:textId="7FF4ADC3" w:rsidR="00FF62EA" w:rsidRDefault="001B7930" w:rsidP="00414C96">
            <w:pPr>
              <w:pStyle w:val="TableTextCentred"/>
              <w:spacing w:before="0" w:after="0" w:line="240" w:lineRule="auto"/>
            </w:pPr>
            <w:r>
              <w:t>Not assessed</w:t>
            </w:r>
          </w:p>
        </w:tc>
        <w:tc>
          <w:tcPr>
            <w:tcW w:w="1020" w:type="dxa"/>
          </w:tcPr>
          <w:p w14:paraId="115F54A9" w14:textId="36623D30" w:rsidR="00FF62EA" w:rsidRDefault="009D1009" w:rsidP="00414C96">
            <w:pPr>
              <w:pStyle w:val="TableTextCentred"/>
              <w:spacing w:before="0" w:after="0" w:line="240" w:lineRule="auto"/>
            </w:pPr>
            <w:r>
              <w:t>Rare</w:t>
            </w:r>
          </w:p>
        </w:tc>
        <w:tc>
          <w:tcPr>
            <w:tcW w:w="907" w:type="dxa"/>
          </w:tcPr>
          <w:p w14:paraId="19075223" w14:textId="4F8F65CC" w:rsidR="00FF62EA" w:rsidRDefault="001B7930" w:rsidP="00414C96">
            <w:pPr>
              <w:pStyle w:val="TableTextCentred"/>
              <w:spacing w:before="0" w:after="0" w:line="240" w:lineRule="auto"/>
            </w:pPr>
            <w:r>
              <w:t>Not assessed</w:t>
            </w:r>
          </w:p>
        </w:tc>
        <w:tc>
          <w:tcPr>
            <w:tcW w:w="850" w:type="dxa"/>
          </w:tcPr>
          <w:p w14:paraId="49FC505A" w14:textId="29152EFE" w:rsidR="00FF62EA" w:rsidRDefault="009D1009" w:rsidP="00414C96">
            <w:pPr>
              <w:pStyle w:val="TableTextCentred"/>
              <w:spacing w:before="0" w:after="0" w:line="240" w:lineRule="auto"/>
            </w:pPr>
            <w:r>
              <w:t>Rare</w:t>
            </w:r>
          </w:p>
        </w:tc>
        <w:tc>
          <w:tcPr>
            <w:tcW w:w="850" w:type="dxa"/>
          </w:tcPr>
          <w:p w14:paraId="0E3A4FB3" w14:textId="62CA97E9" w:rsidR="00FF62EA" w:rsidRPr="00122C47" w:rsidRDefault="00833659" w:rsidP="0060771A">
            <w:pPr>
              <w:pStyle w:val="TableTextCentred"/>
              <w:spacing w:before="0" w:after="0" w:line="240" w:lineRule="auto"/>
              <w:rPr>
                <w:b/>
              </w:rPr>
            </w:pPr>
            <w:r>
              <w:t>Unlikely</w:t>
            </w:r>
          </w:p>
        </w:tc>
        <w:tc>
          <w:tcPr>
            <w:tcW w:w="4082" w:type="dxa"/>
          </w:tcPr>
          <w:p w14:paraId="61423ADA" w14:textId="1D1B738E" w:rsidR="00FF62EA" w:rsidRDefault="00843F77" w:rsidP="00414C96">
            <w:pPr>
              <w:pStyle w:val="BodyText"/>
            </w:pPr>
            <w:r>
              <w:rPr>
                <w:b/>
              </w:rPr>
              <w:t>Rare</w:t>
            </w:r>
            <w:r w:rsidR="00FF62EA">
              <w:rPr>
                <w:b/>
              </w:rPr>
              <w:t>:</w:t>
            </w:r>
            <w:r w:rsidR="00FF62EA">
              <w:t xml:space="preserve"> Fracture mechanics make it impossible for </w:t>
            </w:r>
            <w:r w:rsidR="003D33FD">
              <w:t xml:space="preserve">a hydraulic </w:t>
            </w:r>
            <w:r w:rsidR="00FF62EA">
              <w:t xml:space="preserve">fracture to grow </w:t>
            </w:r>
            <w:r w:rsidR="003D33FD">
              <w:t xml:space="preserve">to a height greater </w:t>
            </w:r>
            <w:r w:rsidR="00FF62EA">
              <w:t xml:space="preserve">than </w:t>
            </w:r>
            <w:r w:rsidR="003D33FD">
              <w:t xml:space="preserve">approximately 500 m </w:t>
            </w:r>
          </w:p>
          <w:p w14:paraId="3DA40CAE" w14:textId="0D498B88" w:rsidR="00FF62EA" w:rsidRPr="00552122" w:rsidRDefault="00843F77" w:rsidP="00414C96">
            <w:pPr>
              <w:pStyle w:val="BodyText"/>
            </w:pPr>
            <w:r w:rsidRPr="00843F77">
              <w:rPr>
                <w:b/>
              </w:rPr>
              <w:t>Unlikely:</w:t>
            </w:r>
            <w:r w:rsidR="00FF62EA">
              <w:t xml:space="preserve"> Operators must characterise local stresses and faults to prevent </w:t>
            </w:r>
            <w:r w:rsidR="004F04E5">
              <w:t>hydraulic fracture</w:t>
            </w:r>
            <w:r w:rsidR="00677585">
              <w:t>s</w:t>
            </w:r>
            <w:r w:rsidR="004F04E5">
              <w:t xml:space="preserve"> from </w:t>
            </w:r>
            <w:r w:rsidR="00FF62EA">
              <w:t>enhanc</w:t>
            </w:r>
            <w:r w:rsidR="004F04E5">
              <w:t xml:space="preserve">ing </w:t>
            </w:r>
            <w:r w:rsidR="00677585">
              <w:t xml:space="preserve">the conductivity of any intersected </w:t>
            </w:r>
            <w:r w:rsidR="00FF62EA">
              <w:t>vertical faults</w:t>
            </w:r>
          </w:p>
        </w:tc>
      </w:tr>
    </w:tbl>
    <w:p w14:paraId="53258589" w14:textId="76DCFFBE" w:rsidR="00082543" w:rsidRPr="00985B69" w:rsidRDefault="0062719D" w:rsidP="00985B69">
      <w:pPr>
        <w:pStyle w:val="BodyText"/>
        <w:rPr>
          <w:b/>
          <w:bCs/>
        </w:rPr>
      </w:pPr>
      <w:r w:rsidRPr="00985B69">
        <w:rPr>
          <w:b/>
          <w:bCs/>
        </w:rPr>
        <w:br w:type="page"/>
      </w:r>
      <w:r w:rsidR="00CC58E1" w:rsidRPr="00985B69">
        <w:rPr>
          <w:b/>
          <w:bCs/>
        </w:rPr>
        <w:t>Compromised well in</w:t>
      </w:r>
      <w:r w:rsidR="000A6203" w:rsidRPr="00985B69">
        <w:rPr>
          <w:b/>
          <w:bCs/>
        </w:rPr>
        <w:t>tegrity</w:t>
      </w:r>
      <w:r w:rsidR="00082543" w:rsidRPr="00985B69">
        <w:rPr>
          <w:b/>
          <w:bCs/>
        </w:rPr>
        <w:t xml:space="preserve"> </w:t>
      </w:r>
      <w:r w:rsidR="005421CE" w:rsidRPr="00985B69">
        <w:rPr>
          <w:b/>
          <w:bCs/>
        </w:rPr>
        <w:t>causal</w:t>
      </w:r>
      <w:r w:rsidR="00082543" w:rsidRPr="00985B69">
        <w:rPr>
          <w:b/>
          <w:bCs/>
        </w:rPr>
        <w:t xml:space="preserve"> pathway impact modes </w:t>
      </w:r>
    </w:p>
    <w:p w14:paraId="21162F58" w14:textId="5592FC27" w:rsidR="00F96A50" w:rsidRDefault="00F96A50" w:rsidP="004854D3">
      <w:pPr>
        <w:pStyle w:val="Caption"/>
      </w:pPr>
      <w:bookmarkStart w:id="47" w:name="_Ref2347433"/>
      <w:bookmarkStart w:id="48" w:name="_Toc36042888"/>
      <w:r>
        <w:t xml:space="preserve">Table </w:t>
      </w:r>
      <w:r>
        <w:rPr>
          <w:noProof/>
        </w:rPr>
        <w:fldChar w:fldCharType="begin"/>
      </w:r>
      <w:r>
        <w:rPr>
          <w:noProof/>
        </w:rPr>
        <w:instrText xml:space="preserve"> SEQ Table \* ARABIC </w:instrText>
      </w:r>
      <w:r>
        <w:rPr>
          <w:noProof/>
        </w:rPr>
        <w:fldChar w:fldCharType="separate"/>
      </w:r>
      <w:r w:rsidR="00073927">
        <w:rPr>
          <w:noProof/>
        </w:rPr>
        <w:t>5</w:t>
      </w:r>
      <w:r>
        <w:rPr>
          <w:noProof/>
        </w:rPr>
        <w:fldChar w:fldCharType="end"/>
      </w:r>
      <w:bookmarkEnd w:id="47"/>
      <w:r>
        <w:t xml:space="preserve"> Summary of the findings of the likelihoods of each compromised well integrity causal pathway from key domestic and international works along with the description of the likelihood scores</w:t>
      </w:r>
      <w:bookmarkEnd w:id="48"/>
      <w:r>
        <w:t xml:space="preserve"> </w:t>
      </w:r>
    </w:p>
    <w:tbl>
      <w:tblPr>
        <w:tblStyle w:val="TableBAHeaderRow"/>
        <w:tblW w:w="14984" w:type="dxa"/>
        <w:tblInd w:w="0" w:type="dxa"/>
        <w:tblLayout w:type="fixed"/>
        <w:tblLook w:val="04A0" w:firstRow="1" w:lastRow="0" w:firstColumn="1" w:lastColumn="0" w:noHBand="0" w:noVBand="1"/>
      </w:tblPr>
      <w:tblGrid>
        <w:gridCol w:w="709"/>
        <w:gridCol w:w="1464"/>
        <w:gridCol w:w="1361"/>
        <w:gridCol w:w="850"/>
        <w:gridCol w:w="850"/>
        <w:gridCol w:w="1134"/>
        <w:gridCol w:w="850"/>
        <w:gridCol w:w="1020"/>
        <w:gridCol w:w="907"/>
        <w:gridCol w:w="850"/>
        <w:gridCol w:w="850"/>
        <w:gridCol w:w="4139"/>
      </w:tblGrid>
      <w:tr w:rsidR="00624440" w:rsidRPr="00A8172F" w14:paraId="785A6022" w14:textId="77777777" w:rsidTr="00624440">
        <w:trPr>
          <w:cnfStyle w:val="100000000000" w:firstRow="1" w:lastRow="0" w:firstColumn="0" w:lastColumn="0" w:oddVBand="0" w:evenVBand="0" w:oddHBand="0" w:evenHBand="0" w:firstRowFirstColumn="0" w:firstRowLastColumn="0" w:lastRowFirstColumn="0" w:lastRowLastColumn="0"/>
          <w:tblHeader/>
        </w:trPr>
        <w:tc>
          <w:tcPr>
            <w:tcW w:w="709" w:type="dxa"/>
          </w:tcPr>
          <w:p w14:paraId="1C719F89" w14:textId="77777777" w:rsidR="00E24728" w:rsidRDefault="00E24728" w:rsidP="00A57173">
            <w:pPr>
              <w:pStyle w:val="TableHeading"/>
            </w:pPr>
          </w:p>
        </w:tc>
        <w:tc>
          <w:tcPr>
            <w:tcW w:w="1464" w:type="dxa"/>
          </w:tcPr>
          <w:p w14:paraId="4E021672" w14:textId="00FACC2B" w:rsidR="00E24728" w:rsidRPr="00004F82" w:rsidRDefault="00E24728" w:rsidP="00F379D8">
            <w:pPr>
              <w:pStyle w:val="TableText"/>
            </w:pPr>
            <w:r>
              <w:t>Impact mode</w:t>
            </w:r>
          </w:p>
        </w:tc>
        <w:tc>
          <w:tcPr>
            <w:tcW w:w="1361" w:type="dxa"/>
          </w:tcPr>
          <w:p w14:paraId="41DA670F" w14:textId="77777777" w:rsidR="00E24728" w:rsidRDefault="00E24728" w:rsidP="00F379D8">
            <w:pPr>
              <w:pStyle w:val="TableText"/>
            </w:pPr>
            <w:r w:rsidRPr="00016790">
              <w:t xml:space="preserve">US Environmental Protection Agency, </w:t>
            </w:r>
          </w:p>
          <w:p w14:paraId="4123FEC9" w14:textId="72B07899" w:rsidR="00E24728" w:rsidRDefault="00E24728" w:rsidP="00F379D8">
            <w:pPr>
              <w:pStyle w:val="TableText"/>
            </w:pPr>
            <w:r>
              <w:t>(</w:t>
            </w:r>
            <w:r w:rsidRPr="00016790">
              <w:t>2016)</w:t>
            </w:r>
          </w:p>
        </w:tc>
        <w:tc>
          <w:tcPr>
            <w:tcW w:w="850" w:type="dxa"/>
          </w:tcPr>
          <w:p w14:paraId="1CF24A06" w14:textId="2664862F" w:rsidR="00E24728" w:rsidRDefault="00E24728" w:rsidP="00F379D8">
            <w:pPr>
              <w:pStyle w:val="TableText"/>
            </w:pPr>
            <w:r w:rsidRPr="00016790">
              <w:t xml:space="preserve">Hawke, </w:t>
            </w:r>
            <w:r>
              <w:t>(</w:t>
            </w:r>
            <w:r w:rsidRPr="00016790">
              <w:t>2014)</w:t>
            </w:r>
          </w:p>
        </w:tc>
        <w:tc>
          <w:tcPr>
            <w:tcW w:w="850" w:type="dxa"/>
          </w:tcPr>
          <w:p w14:paraId="160E9C54" w14:textId="38768B34" w:rsidR="00E24728" w:rsidRDefault="00E24728" w:rsidP="00F379D8">
            <w:pPr>
              <w:pStyle w:val="TableText"/>
            </w:pPr>
            <w:r w:rsidRPr="00016790">
              <w:t xml:space="preserve">Cook et al. </w:t>
            </w:r>
            <w:r>
              <w:t>(</w:t>
            </w:r>
            <w:r w:rsidRPr="00016790">
              <w:t>2013)</w:t>
            </w:r>
          </w:p>
        </w:tc>
        <w:tc>
          <w:tcPr>
            <w:tcW w:w="1134" w:type="dxa"/>
          </w:tcPr>
          <w:p w14:paraId="498FF551" w14:textId="0CECBA10" w:rsidR="00E24728" w:rsidRDefault="00E24728" w:rsidP="00F379D8">
            <w:pPr>
              <w:pStyle w:val="TableText"/>
            </w:pPr>
            <w:r w:rsidRPr="00016790">
              <w:t>The Royal Society and The Royal Academy of Engineerin</w:t>
            </w:r>
            <w:r>
              <w:t>g</w:t>
            </w:r>
            <w:r w:rsidRPr="00016790">
              <w:t xml:space="preserve"> </w:t>
            </w:r>
            <w:r>
              <w:t>(</w:t>
            </w:r>
            <w:r w:rsidRPr="00016790">
              <w:t>2012)</w:t>
            </w:r>
          </w:p>
        </w:tc>
        <w:tc>
          <w:tcPr>
            <w:tcW w:w="850" w:type="dxa"/>
          </w:tcPr>
          <w:p w14:paraId="32C3041C" w14:textId="5EF2C21F" w:rsidR="00E24728" w:rsidRDefault="00E24728" w:rsidP="00F379D8">
            <w:pPr>
              <w:pStyle w:val="TableText"/>
            </w:pPr>
            <w:r w:rsidRPr="00016790">
              <w:t xml:space="preserve">Wright, </w:t>
            </w:r>
            <w:r>
              <w:t>(</w:t>
            </w:r>
            <w:r w:rsidRPr="00016790">
              <w:t>2014)</w:t>
            </w:r>
          </w:p>
        </w:tc>
        <w:tc>
          <w:tcPr>
            <w:tcW w:w="1020" w:type="dxa"/>
          </w:tcPr>
          <w:p w14:paraId="7E817E49" w14:textId="0FD78C91" w:rsidR="00E24728" w:rsidRDefault="00E24728" w:rsidP="00F379D8">
            <w:pPr>
              <w:pStyle w:val="TableText"/>
            </w:pPr>
            <w:r w:rsidRPr="00004F82">
              <w:t xml:space="preserve">Council of Canadian Academies </w:t>
            </w:r>
            <w:r>
              <w:t>(</w:t>
            </w:r>
            <w:r w:rsidRPr="00004F82">
              <w:t>2014)</w:t>
            </w:r>
          </w:p>
        </w:tc>
        <w:tc>
          <w:tcPr>
            <w:tcW w:w="907" w:type="dxa"/>
          </w:tcPr>
          <w:p w14:paraId="48D6A7BC" w14:textId="1839DA96" w:rsidR="00E24728" w:rsidRDefault="00E24728" w:rsidP="00F379D8">
            <w:pPr>
              <w:pStyle w:val="TableText"/>
            </w:pPr>
            <w:r w:rsidRPr="00016790">
              <w:t xml:space="preserve">Atherton et al., </w:t>
            </w:r>
            <w:r>
              <w:t>(</w:t>
            </w:r>
            <w:r w:rsidRPr="00016790">
              <w:t>2014)</w:t>
            </w:r>
          </w:p>
        </w:tc>
        <w:tc>
          <w:tcPr>
            <w:tcW w:w="850" w:type="dxa"/>
          </w:tcPr>
          <w:p w14:paraId="6DEDC2D1" w14:textId="125E6F40" w:rsidR="00E24728" w:rsidRDefault="00E24728" w:rsidP="00F379D8">
            <w:pPr>
              <w:pStyle w:val="TableText"/>
            </w:pPr>
            <w:r w:rsidRPr="00016790">
              <w:t xml:space="preserve">Pepper et al., </w:t>
            </w:r>
            <w:r>
              <w:t>(</w:t>
            </w:r>
            <w:r w:rsidRPr="00016790">
              <w:t>2018)</w:t>
            </w:r>
          </w:p>
        </w:tc>
        <w:tc>
          <w:tcPr>
            <w:tcW w:w="850" w:type="dxa"/>
          </w:tcPr>
          <w:p w14:paraId="23AE618F" w14:textId="36EB3385" w:rsidR="00E24728" w:rsidRDefault="00E24728" w:rsidP="00F379D8">
            <w:pPr>
              <w:pStyle w:val="TableText"/>
            </w:pPr>
            <w:r w:rsidRPr="00BE76E1">
              <w:t xml:space="preserve">Hatton et al., </w:t>
            </w:r>
            <w:r>
              <w:t>(</w:t>
            </w:r>
            <w:r w:rsidRPr="00BE76E1">
              <w:t>2018)</w:t>
            </w:r>
          </w:p>
        </w:tc>
        <w:tc>
          <w:tcPr>
            <w:tcW w:w="4139" w:type="dxa"/>
          </w:tcPr>
          <w:p w14:paraId="5C6DB8E0" w14:textId="3D55E7E7" w:rsidR="00E24728" w:rsidRDefault="00E24728" w:rsidP="00F379D8">
            <w:pPr>
              <w:pStyle w:val="TableText"/>
            </w:pPr>
            <w:r>
              <w:t>Description of likelihood scores</w:t>
            </w:r>
          </w:p>
        </w:tc>
      </w:tr>
      <w:tr w:rsidR="00E24728" w:rsidRPr="00A8172F" w14:paraId="323A5AD1" w14:textId="46D2DD53"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4672E2B7" w14:textId="77777777" w:rsidR="00FF62EA" w:rsidRPr="00EA63C0" w:rsidRDefault="00FF62EA" w:rsidP="00624440">
            <w:pPr>
              <w:pStyle w:val="TableText"/>
              <w:spacing w:before="0" w:after="0" w:line="240" w:lineRule="auto"/>
              <w:jc w:val="center"/>
            </w:pPr>
            <w:r>
              <w:t>W.1</w:t>
            </w:r>
          </w:p>
        </w:tc>
        <w:tc>
          <w:tcPr>
            <w:tcW w:w="1464" w:type="dxa"/>
          </w:tcPr>
          <w:p w14:paraId="407060B2" w14:textId="6D1B120F" w:rsidR="00FF62EA" w:rsidRPr="00A8172F" w:rsidRDefault="00FF62EA" w:rsidP="00624440">
            <w:pPr>
              <w:pStyle w:val="TableTextCentred"/>
              <w:spacing w:before="0" w:after="0" w:line="240" w:lineRule="auto"/>
            </w:pPr>
            <w:r>
              <w:t>Well rupture or failure across barriers</w:t>
            </w:r>
          </w:p>
        </w:tc>
        <w:tc>
          <w:tcPr>
            <w:tcW w:w="1361" w:type="dxa"/>
          </w:tcPr>
          <w:p w14:paraId="22B69912" w14:textId="7DC4EBFB" w:rsidR="00FF62EA" w:rsidRDefault="009D1009" w:rsidP="00624440">
            <w:pPr>
              <w:pStyle w:val="TableTextCentred"/>
              <w:spacing w:before="0" w:after="0" w:line="240" w:lineRule="auto"/>
            </w:pPr>
            <w:r>
              <w:t>Rare</w:t>
            </w:r>
          </w:p>
        </w:tc>
        <w:tc>
          <w:tcPr>
            <w:tcW w:w="850" w:type="dxa"/>
          </w:tcPr>
          <w:p w14:paraId="414DB9E9" w14:textId="7507FDCC" w:rsidR="00FF62EA" w:rsidRDefault="009D1009" w:rsidP="00624440">
            <w:pPr>
              <w:pStyle w:val="TableTextCentred"/>
              <w:spacing w:before="0" w:after="0" w:line="240" w:lineRule="auto"/>
            </w:pPr>
            <w:r>
              <w:t>Rare</w:t>
            </w:r>
          </w:p>
        </w:tc>
        <w:tc>
          <w:tcPr>
            <w:tcW w:w="850" w:type="dxa"/>
          </w:tcPr>
          <w:p w14:paraId="5EE8F87C" w14:textId="7B0F7B9B" w:rsidR="00FF62EA" w:rsidRDefault="009D1009" w:rsidP="00624440">
            <w:pPr>
              <w:pStyle w:val="TableTextCentred"/>
              <w:spacing w:before="0" w:after="0" w:line="240" w:lineRule="auto"/>
            </w:pPr>
            <w:r>
              <w:t>Rare</w:t>
            </w:r>
          </w:p>
        </w:tc>
        <w:tc>
          <w:tcPr>
            <w:tcW w:w="1134" w:type="dxa"/>
          </w:tcPr>
          <w:p w14:paraId="0D7E60DD" w14:textId="5AEE1168" w:rsidR="00FF62EA" w:rsidRDefault="001B7930" w:rsidP="00624440">
            <w:pPr>
              <w:pStyle w:val="TableTextCentred"/>
              <w:spacing w:before="0" w:after="0" w:line="240" w:lineRule="auto"/>
            </w:pPr>
            <w:r>
              <w:t>Not assessed</w:t>
            </w:r>
          </w:p>
        </w:tc>
        <w:tc>
          <w:tcPr>
            <w:tcW w:w="850" w:type="dxa"/>
          </w:tcPr>
          <w:p w14:paraId="15AC96EE" w14:textId="28B9C57A" w:rsidR="00FF62EA" w:rsidRDefault="009D1009" w:rsidP="00624440">
            <w:pPr>
              <w:pStyle w:val="TableTextCentred"/>
              <w:spacing w:before="0" w:after="0" w:line="240" w:lineRule="auto"/>
            </w:pPr>
            <w:r>
              <w:t>Rare</w:t>
            </w:r>
          </w:p>
        </w:tc>
        <w:tc>
          <w:tcPr>
            <w:tcW w:w="1020" w:type="dxa"/>
          </w:tcPr>
          <w:p w14:paraId="48CADDC8" w14:textId="2B235276" w:rsidR="00FF62EA" w:rsidRDefault="009D1009" w:rsidP="00624440">
            <w:pPr>
              <w:pStyle w:val="TableTextCentred"/>
              <w:spacing w:before="0" w:after="0" w:line="240" w:lineRule="auto"/>
            </w:pPr>
            <w:r>
              <w:t>Rare</w:t>
            </w:r>
          </w:p>
        </w:tc>
        <w:tc>
          <w:tcPr>
            <w:tcW w:w="907" w:type="dxa"/>
          </w:tcPr>
          <w:p w14:paraId="03EE4837" w14:textId="61B435A0" w:rsidR="00FF62EA" w:rsidRDefault="009D1009" w:rsidP="00624440">
            <w:pPr>
              <w:pStyle w:val="TableTextCentred"/>
              <w:spacing w:before="0" w:after="0" w:line="240" w:lineRule="auto"/>
            </w:pPr>
            <w:r>
              <w:t>Very rare</w:t>
            </w:r>
          </w:p>
        </w:tc>
        <w:tc>
          <w:tcPr>
            <w:tcW w:w="850" w:type="dxa"/>
          </w:tcPr>
          <w:p w14:paraId="657B277A" w14:textId="1D478058" w:rsidR="00FF62EA" w:rsidRDefault="009D1009" w:rsidP="00624440">
            <w:pPr>
              <w:pStyle w:val="TableTextCentred"/>
              <w:spacing w:before="0" w:after="0" w:line="240" w:lineRule="auto"/>
            </w:pPr>
            <w:r>
              <w:t>Rare</w:t>
            </w:r>
          </w:p>
        </w:tc>
        <w:tc>
          <w:tcPr>
            <w:tcW w:w="850" w:type="dxa"/>
          </w:tcPr>
          <w:p w14:paraId="18147693" w14:textId="0A8169DC" w:rsidR="00FF62EA" w:rsidRPr="00122C47" w:rsidRDefault="009D1009" w:rsidP="00624440">
            <w:pPr>
              <w:pStyle w:val="TableTextCentred"/>
              <w:spacing w:before="0" w:after="0" w:line="240" w:lineRule="auto"/>
              <w:rPr>
                <w:b/>
              </w:rPr>
            </w:pPr>
            <w:r>
              <w:t>Rare</w:t>
            </w:r>
          </w:p>
        </w:tc>
        <w:tc>
          <w:tcPr>
            <w:tcW w:w="4139" w:type="dxa"/>
          </w:tcPr>
          <w:p w14:paraId="331081B8" w14:textId="689239B8" w:rsidR="00624440" w:rsidRPr="00624440" w:rsidRDefault="009D1009" w:rsidP="00DE34C8">
            <w:pPr>
              <w:pStyle w:val="TableTextCentred"/>
              <w:spacing w:before="0" w:after="180" w:line="240" w:lineRule="auto"/>
              <w:jc w:val="left"/>
            </w:pPr>
            <w:r>
              <w:rPr>
                <w:b/>
              </w:rPr>
              <w:t>Very rare</w:t>
            </w:r>
            <w:r w:rsidR="00FF62EA">
              <w:t xml:space="preserve">: Fracture rupture would be detected </w:t>
            </w:r>
            <w:r w:rsidR="00843F77">
              <w:t>immediately,</w:t>
            </w:r>
            <w:r w:rsidR="00FF62EA">
              <w:t xml:space="preserve"> and operations halted</w:t>
            </w:r>
          </w:p>
          <w:p w14:paraId="22818402" w14:textId="32334C82" w:rsidR="00FF62EA" w:rsidRPr="00BB65FC" w:rsidRDefault="004854D3" w:rsidP="00624440">
            <w:pPr>
              <w:pStyle w:val="BodyText"/>
            </w:pPr>
            <w:r>
              <w:rPr>
                <w:b/>
              </w:rPr>
              <w:t>Rare</w:t>
            </w:r>
            <w:r w:rsidR="00FF62EA">
              <w:t>: Well rupture or failure of well barriers has been observed or is possible in jurisdiction / study area but human error rather than mechanical failure is the failure mode</w:t>
            </w:r>
          </w:p>
        </w:tc>
      </w:tr>
      <w:tr w:rsidR="00E24728" w14:paraId="7738247C" w14:textId="3946E202" w:rsidTr="00624440">
        <w:trPr>
          <w:cnfStyle w:val="000000010000" w:firstRow="0" w:lastRow="0" w:firstColumn="0" w:lastColumn="0" w:oddVBand="0" w:evenVBand="0" w:oddHBand="0" w:evenHBand="1" w:firstRowFirstColumn="0" w:firstRowLastColumn="0" w:lastRowFirstColumn="0" w:lastRowLastColumn="0"/>
        </w:trPr>
        <w:tc>
          <w:tcPr>
            <w:tcW w:w="709" w:type="dxa"/>
          </w:tcPr>
          <w:p w14:paraId="03BAC8B7" w14:textId="77777777" w:rsidR="00FF62EA" w:rsidRDefault="00FF62EA" w:rsidP="00624440">
            <w:pPr>
              <w:pStyle w:val="TableText"/>
              <w:spacing w:before="0" w:after="0" w:line="240" w:lineRule="auto"/>
              <w:jc w:val="center"/>
            </w:pPr>
            <w:r>
              <w:t>W.2</w:t>
            </w:r>
          </w:p>
        </w:tc>
        <w:tc>
          <w:tcPr>
            <w:tcW w:w="1464" w:type="dxa"/>
          </w:tcPr>
          <w:p w14:paraId="2FB2BE38" w14:textId="7B5CBBC1" w:rsidR="00FF62EA" w:rsidRDefault="00FF62EA" w:rsidP="00624440">
            <w:pPr>
              <w:pStyle w:val="TableTextCentred"/>
              <w:spacing w:before="0" w:after="0" w:line="240" w:lineRule="auto"/>
            </w:pPr>
            <w:r>
              <w:t xml:space="preserve">Migration along casing from </w:t>
            </w:r>
            <w:r w:rsidRPr="00122C47">
              <w:t>reservoir to surface</w:t>
            </w:r>
          </w:p>
        </w:tc>
        <w:tc>
          <w:tcPr>
            <w:tcW w:w="1361" w:type="dxa"/>
          </w:tcPr>
          <w:p w14:paraId="7DC217F8" w14:textId="2FF30034" w:rsidR="00FF62EA" w:rsidRDefault="009D1009" w:rsidP="00624440">
            <w:pPr>
              <w:pStyle w:val="TableTextCentred"/>
              <w:spacing w:before="0" w:after="0" w:line="240" w:lineRule="auto"/>
            </w:pPr>
            <w:r>
              <w:t>Unlikely</w:t>
            </w:r>
          </w:p>
        </w:tc>
        <w:tc>
          <w:tcPr>
            <w:tcW w:w="850" w:type="dxa"/>
          </w:tcPr>
          <w:p w14:paraId="42E1ED37" w14:textId="1242596F" w:rsidR="00FF62EA" w:rsidRDefault="009D1009" w:rsidP="00624440">
            <w:pPr>
              <w:pStyle w:val="TableTextCentred"/>
              <w:spacing w:before="0" w:after="0" w:line="240" w:lineRule="auto"/>
            </w:pPr>
            <w:r>
              <w:t>Rare</w:t>
            </w:r>
          </w:p>
        </w:tc>
        <w:tc>
          <w:tcPr>
            <w:tcW w:w="850" w:type="dxa"/>
          </w:tcPr>
          <w:p w14:paraId="73620232" w14:textId="79710123" w:rsidR="00FF62EA" w:rsidRDefault="001B7930" w:rsidP="00624440">
            <w:pPr>
              <w:pStyle w:val="TableTextCentred"/>
              <w:spacing w:before="0" w:after="0" w:line="240" w:lineRule="auto"/>
            </w:pPr>
            <w:r>
              <w:t>Not assessed</w:t>
            </w:r>
          </w:p>
        </w:tc>
        <w:tc>
          <w:tcPr>
            <w:tcW w:w="1134" w:type="dxa"/>
          </w:tcPr>
          <w:p w14:paraId="18FD34ED" w14:textId="08F08421" w:rsidR="00FF62EA" w:rsidRDefault="009D1009" w:rsidP="00624440">
            <w:pPr>
              <w:pStyle w:val="TableTextCentred"/>
              <w:spacing w:before="0" w:after="0" w:line="240" w:lineRule="auto"/>
            </w:pPr>
            <w:r>
              <w:t>Rare</w:t>
            </w:r>
          </w:p>
        </w:tc>
        <w:tc>
          <w:tcPr>
            <w:tcW w:w="850" w:type="dxa"/>
          </w:tcPr>
          <w:p w14:paraId="3346B717" w14:textId="2334262D" w:rsidR="00FF62EA" w:rsidRDefault="009D1009" w:rsidP="00624440">
            <w:pPr>
              <w:pStyle w:val="TableTextCentred"/>
              <w:spacing w:before="0" w:after="0" w:line="240" w:lineRule="auto"/>
            </w:pPr>
            <w:r>
              <w:t>Rare</w:t>
            </w:r>
          </w:p>
        </w:tc>
        <w:tc>
          <w:tcPr>
            <w:tcW w:w="1020" w:type="dxa"/>
          </w:tcPr>
          <w:p w14:paraId="16BFDFE3" w14:textId="0A47DF99" w:rsidR="00FF62EA" w:rsidRDefault="009D1009" w:rsidP="00624440">
            <w:pPr>
              <w:pStyle w:val="TableTextCentred"/>
              <w:spacing w:before="0" w:after="0" w:line="240" w:lineRule="auto"/>
            </w:pPr>
            <w:r>
              <w:t>Unlikely</w:t>
            </w:r>
          </w:p>
        </w:tc>
        <w:tc>
          <w:tcPr>
            <w:tcW w:w="907" w:type="dxa"/>
          </w:tcPr>
          <w:p w14:paraId="5009CA9C" w14:textId="576BD4FD" w:rsidR="00FF62EA" w:rsidRDefault="009D1009" w:rsidP="00624440">
            <w:pPr>
              <w:pStyle w:val="TableTextCentred"/>
              <w:spacing w:before="0" w:after="0" w:line="240" w:lineRule="auto"/>
            </w:pPr>
            <w:r>
              <w:t>Rare</w:t>
            </w:r>
          </w:p>
        </w:tc>
        <w:tc>
          <w:tcPr>
            <w:tcW w:w="850" w:type="dxa"/>
          </w:tcPr>
          <w:p w14:paraId="4CBFD009" w14:textId="71F05474" w:rsidR="00FF62EA" w:rsidRDefault="009D1009" w:rsidP="00624440">
            <w:pPr>
              <w:pStyle w:val="TableTextCentred"/>
              <w:spacing w:before="0" w:after="0" w:line="240" w:lineRule="auto"/>
            </w:pPr>
            <w:r>
              <w:t>Rare</w:t>
            </w:r>
          </w:p>
        </w:tc>
        <w:tc>
          <w:tcPr>
            <w:tcW w:w="850" w:type="dxa"/>
          </w:tcPr>
          <w:p w14:paraId="37258EAB" w14:textId="23F06410" w:rsidR="00FF62EA" w:rsidRPr="00A5556E" w:rsidRDefault="00BC07DF" w:rsidP="00624440">
            <w:pPr>
              <w:pStyle w:val="TableTextCentred"/>
              <w:spacing w:before="0" w:after="0" w:line="240" w:lineRule="auto"/>
            </w:pPr>
            <w:r>
              <w:t>Not assessed</w:t>
            </w:r>
          </w:p>
        </w:tc>
        <w:tc>
          <w:tcPr>
            <w:tcW w:w="4139" w:type="dxa"/>
          </w:tcPr>
          <w:p w14:paraId="23A40F1E" w14:textId="0334AE9A" w:rsidR="00624440" w:rsidRPr="00624440" w:rsidRDefault="001F40DD" w:rsidP="00DE34C8">
            <w:pPr>
              <w:pStyle w:val="TableTextCentred"/>
              <w:spacing w:before="0" w:after="180" w:line="240" w:lineRule="auto"/>
              <w:jc w:val="left"/>
            </w:pPr>
            <w:r>
              <w:rPr>
                <w:b/>
              </w:rPr>
              <w:t>Rare</w:t>
            </w:r>
            <w:r w:rsidR="00FF62EA">
              <w:t>: Large vertical distance and good well construction practices will supress the likelihood of this causal pathway</w:t>
            </w:r>
          </w:p>
          <w:p w14:paraId="6F594043" w14:textId="51CBA040" w:rsidR="00FF62EA" w:rsidRPr="0010473B" w:rsidRDefault="001F40DD" w:rsidP="00624440">
            <w:pPr>
              <w:pStyle w:val="BodyText"/>
            </w:pPr>
            <w:r w:rsidRPr="001F40DD">
              <w:rPr>
                <w:b/>
              </w:rPr>
              <w:t>Unlikely</w:t>
            </w:r>
            <w:r w:rsidR="00FF62EA">
              <w:t>: Risks are variable and poorly quantified but annular migration is the most likely pathway for methane. Liquid migration is not expected</w:t>
            </w:r>
          </w:p>
        </w:tc>
      </w:tr>
      <w:tr w:rsidR="00E24728" w14:paraId="1332A29F" w14:textId="33B4455D"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3FDCA774" w14:textId="77777777" w:rsidR="00FF62EA" w:rsidRDefault="00FF62EA" w:rsidP="00624440">
            <w:pPr>
              <w:pStyle w:val="TableText"/>
              <w:spacing w:before="0" w:after="0" w:line="240" w:lineRule="auto"/>
              <w:jc w:val="center"/>
            </w:pPr>
            <w:r>
              <w:t>W.3</w:t>
            </w:r>
          </w:p>
        </w:tc>
        <w:tc>
          <w:tcPr>
            <w:tcW w:w="1464" w:type="dxa"/>
          </w:tcPr>
          <w:p w14:paraId="0F10D11B" w14:textId="77777777" w:rsidR="00FF62EA" w:rsidRDefault="00FF62EA" w:rsidP="00624440">
            <w:pPr>
              <w:pStyle w:val="TableTextCentred"/>
              <w:spacing w:before="0" w:after="0" w:line="240" w:lineRule="auto"/>
            </w:pPr>
            <w:r>
              <w:t>Migration along casing between rock layers</w:t>
            </w:r>
          </w:p>
        </w:tc>
        <w:tc>
          <w:tcPr>
            <w:tcW w:w="1361" w:type="dxa"/>
          </w:tcPr>
          <w:p w14:paraId="0A52C059" w14:textId="44F499BE" w:rsidR="00FF62EA" w:rsidRDefault="009D1009" w:rsidP="00624440">
            <w:pPr>
              <w:pStyle w:val="TableTextCentred"/>
              <w:spacing w:before="0" w:after="0" w:line="240" w:lineRule="auto"/>
            </w:pPr>
            <w:r>
              <w:t>Unlikely</w:t>
            </w:r>
          </w:p>
        </w:tc>
        <w:tc>
          <w:tcPr>
            <w:tcW w:w="850" w:type="dxa"/>
          </w:tcPr>
          <w:p w14:paraId="49797CC0" w14:textId="3CC2071B" w:rsidR="00FF62EA" w:rsidRDefault="009D1009" w:rsidP="00624440">
            <w:pPr>
              <w:pStyle w:val="TableTextCentred"/>
              <w:spacing w:before="0" w:after="0" w:line="240" w:lineRule="auto"/>
            </w:pPr>
            <w:r w:rsidRPr="005A442F">
              <w:t>V</w:t>
            </w:r>
            <w:r w:rsidR="00DE34C8">
              <w:t>e</w:t>
            </w:r>
            <w:r w:rsidRPr="005A442F">
              <w:t>ry</w:t>
            </w:r>
            <w:r>
              <w:t xml:space="preserve"> rare</w:t>
            </w:r>
          </w:p>
        </w:tc>
        <w:tc>
          <w:tcPr>
            <w:tcW w:w="850" w:type="dxa"/>
          </w:tcPr>
          <w:p w14:paraId="12F33C75" w14:textId="78B1D0BD" w:rsidR="00FF62EA" w:rsidRDefault="009D1009" w:rsidP="00624440">
            <w:pPr>
              <w:pStyle w:val="TableTextCentred"/>
              <w:spacing w:before="0" w:after="0" w:line="240" w:lineRule="auto"/>
            </w:pPr>
            <w:r>
              <w:t>Unlikely</w:t>
            </w:r>
          </w:p>
        </w:tc>
        <w:tc>
          <w:tcPr>
            <w:tcW w:w="1134" w:type="dxa"/>
          </w:tcPr>
          <w:p w14:paraId="22FA4E2D" w14:textId="108D6187" w:rsidR="00FF62EA" w:rsidRDefault="001B7930" w:rsidP="00624440">
            <w:pPr>
              <w:pStyle w:val="TableTextCentred"/>
              <w:spacing w:before="0" w:after="0" w:line="240" w:lineRule="auto"/>
            </w:pPr>
            <w:r>
              <w:t>Not assessed</w:t>
            </w:r>
          </w:p>
        </w:tc>
        <w:tc>
          <w:tcPr>
            <w:tcW w:w="850" w:type="dxa"/>
          </w:tcPr>
          <w:p w14:paraId="7973C96B" w14:textId="2D4463F4" w:rsidR="00FF62EA" w:rsidRDefault="00FF62EA" w:rsidP="00624440">
            <w:pPr>
              <w:pStyle w:val="TableTextCentred"/>
              <w:spacing w:before="0" w:after="0" w:line="240" w:lineRule="auto"/>
            </w:pPr>
            <w:r>
              <w:t>N/A</w:t>
            </w:r>
          </w:p>
        </w:tc>
        <w:tc>
          <w:tcPr>
            <w:tcW w:w="1020" w:type="dxa"/>
          </w:tcPr>
          <w:p w14:paraId="70245AE5" w14:textId="51A0B709" w:rsidR="00FF62EA" w:rsidRDefault="009D1009" w:rsidP="00624440">
            <w:pPr>
              <w:pStyle w:val="TableTextCentred"/>
              <w:spacing w:before="0" w:after="0" w:line="240" w:lineRule="auto"/>
            </w:pPr>
            <w:r>
              <w:t>Unlikely</w:t>
            </w:r>
          </w:p>
        </w:tc>
        <w:tc>
          <w:tcPr>
            <w:tcW w:w="907" w:type="dxa"/>
          </w:tcPr>
          <w:p w14:paraId="5FBCB735" w14:textId="03DEF854" w:rsidR="00FF62EA" w:rsidRDefault="009D1009" w:rsidP="00624440">
            <w:pPr>
              <w:pStyle w:val="TableTextCentred"/>
              <w:spacing w:before="0" w:after="0" w:line="240" w:lineRule="auto"/>
            </w:pPr>
            <w:r>
              <w:t>Rare</w:t>
            </w:r>
          </w:p>
        </w:tc>
        <w:tc>
          <w:tcPr>
            <w:tcW w:w="850" w:type="dxa"/>
          </w:tcPr>
          <w:p w14:paraId="2F45F945" w14:textId="5543B53E" w:rsidR="00FF62EA" w:rsidRDefault="009D1009" w:rsidP="00624440">
            <w:pPr>
              <w:pStyle w:val="TableTextCentred"/>
              <w:spacing w:before="0" w:after="0" w:line="240" w:lineRule="auto"/>
            </w:pPr>
            <w:r>
              <w:t>Unlikely</w:t>
            </w:r>
          </w:p>
        </w:tc>
        <w:tc>
          <w:tcPr>
            <w:tcW w:w="850" w:type="dxa"/>
          </w:tcPr>
          <w:p w14:paraId="77253D06" w14:textId="3F6A1B78" w:rsidR="00FF62EA" w:rsidRPr="00A5556E" w:rsidRDefault="009D1009" w:rsidP="00624440">
            <w:pPr>
              <w:pStyle w:val="TableTextCentred"/>
              <w:spacing w:before="0" w:after="0" w:line="240" w:lineRule="auto"/>
            </w:pPr>
            <w:r>
              <w:t>Rare</w:t>
            </w:r>
          </w:p>
        </w:tc>
        <w:tc>
          <w:tcPr>
            <w:tcW w:w="4139" w:type="dxa"/>
          </w:tcPr>
          <w:p w14:paraId="60A2CF7C" w14:textId="7F6EF30A" w:rsidR="00FF62EA" w:rsidRDefault="009D1009" w:rsidP="00624440">
            <w:pPr>
              <w:pStyle w:val="BodyText"/>
            </w:pPr>
            <w:r>
              <w:rPr>
                <w:b/>
              </w:rPr>
              <w:t>Very rare</w:t>
            </w:r>
            <w:r w:rsidR="00FF62EA">
              <w:t>:</w:t>
            </w:r>
            <w:r w:rsidR="004B2C47">
              <w:t xml:space="preserve"> Vertical m</w:t>
            </w:r>
            <w:r w:rsidR="00A50E90">
              <w:t xml:space="preserve">igration of fluids </w:t>
            </w:r>
            <w:r w:rsidR="001B3BBE">
              <w:t xml:space="preserve">along the outside of the well casing </w:t>
            </w:r>
            <w:r w:rsidR="004B2C47">
              <w:t>between permeable formations is estimated as occurring in less than 0.</w:t>
            </w:r>
            <w:r w:rsidR="00FF62EA">
              <w:t>1%</w:t>
            </w:r>
            <w:r w:rsidR="004B2C47">
              <w:t xml:space="preserve"> of wells</w:t>
            </w:r>
          </w:p>
          <w:p w14:paraId="5E6EB5FA" w14:textId="77777777" w:rsidR="00624440" w:rsidRDefault="00624440" w:rsidP="00624440">
            <w:pPr>
              <w:pStyle w:val="BodyText"/>
            </w:pPr>
          </w:p>
          <w:p w14:paraId="140DD24C" w14:textId="5AD2AE26" w:rsidR="00FF62EA" w:rsidRDefault="001F40DD" w:rsidP="00624440">
            <w:pPr>
              <w:pStyle w:val="BodyText"/>
            </w:pPr>
            <w:r>
              <w:rPr>
                <w:b/>
              </w:rPr>
              <w:t>Rare</w:t>
            </w:r>
            <w:r w:rsidR="004B2C47">
              <w:rPr>
                <w:b/>
              </w:rPr>
              <w:t>:</w:t>
            </w:r>
            <w:r w:rsidR="00FF62EA">
              <w:t xml:space="preserve"> </w:t>
            </w:r>
            <w:r w:rsidR="004B2C47">
              <w:t xml:space="preserve">Vertical migration of fluids along the outside of the well casing between permeable formations is estimated as occurring in less than </w:t>
            </w:r>
            <w:r w:rsidR="00FF62EA">
              <w:t>1%</w:t>
            </w:r>
            <w:r w:rsidR="004B2C47">
              <w:t xml:space="preserve"> of wells</w:t>
            </w:r>
          </w:p>
          <w:p w14:paraId="25BE7920" w14:textId="77777777" w:rsidR="00624440" w:rsidRDefault="00624440" w:rsidP="00624440">
            <w:pPr>
              <w:pStyle w:val="BodyText"/>
            </w:pPr>
          </w:p>
          <w:p w14:paraId="25D5D289" w14:textId="7F94A326" w:rsidR="00FF62EA" w:rsidRPr="00552122" w:rsidRDefault="001F40DD" w:rsidP="00624440">
            <w:pPr>
              <w:pStyle w:val="TableTextCentred"/>
              <w:spacing w:before="0" w:after="0" w:line="240" w:lineRule="auto"/>
              <w:jc w:val="left"/>
            </w:pPr>
            <w:r>
              <w:rPr>
                <w:b/>
              </w:rPr>
              <w:t>Unlikely</w:t>
            </w:r>
            <w:r w:rsidR="00FF62EA">
              <w:t>:</w:t>
            </w:r>
            <w:r w:rsidR="004B2C47">
              <w:t xml:space="preserve"> Vertical migration of fluids along the outside of the well casing between permeable formations is estimated as occurring in less than </w:t>
            </w:r>
            <w:r w:rsidR="00FF62EA">
              <w:t>3%</w:t>
            </w:r>
            <w:r w:rsidR="004B2C47">
              <w:t xml:space="preserve"> of wells</w:t>
            </w:r>
          </w:p>
        </w:tc>
      </w:tr>
      <w:tr w:rsidR="00E24728" w14:paraId="0F7A36DF" w14:textId="73D5AAD3" w:rsidTr="00624440">
        <w:trPr>
          <w:cnfStyle w:val="000000010000" w:firstRow="0" w:lastRow="0" w:firstColumn="0" w:lastColumn="0" w:oddVBand="0" w:evenVBand="0" w:oddHBand="0" w:evenHBand="1" w:firstRowFirstColumn="0" w:firstRowLastColumn="0" w:lastRowFirstColumn="0" w:lastRowLastColumn="0"/>
        </w:trPr>
        <w:tc>
          <w:tcPr>
            <w:tcW w:w="709" w:type="dxa"/>
          </w:tcPr>
          <w:p w14:paraId="18956EE1" w14:textId="77777777" w:rsidR="00FF62EA" w:rsidRDefault="00FF62EA" w:rsidP="00624440">
            <w:pPr>
              <w:pStyle w:val="TableText"/>
              <w:spacing w:before="0" w:after="0" w:line="240" w:lineRule="auto"/>
              <w:jc w:val="center"/>
            </w:pPr>
            <w:r>
              <w:t>W.4</w:t>
            </w:r>
          </w:p>
        </w:tc>
        <w:tc>
          <w:tcPr>
            <w:tcW w:w="1464" w:type="dxa"/>
          </w:tcPr>
          <w:p w14:paraId="37CB5B4C" w14:textId="77777777" w:rsidR="00FF62EA" w:rsidRDefault="00FF62EA" w:rsidP="00624440">
            <w:pPr>
              <w:pStyle w:val="TableTextCentred"/>
              <w:spacing w:before="0" w:after="0" w:line="240" w:lineRule="auto"/>
            </w:pPr>
            <w:r>
              <w:t>Migration along decommissioned / abandoned wells</w:t>
            </w:r>
          </w:p>
        </w:tc>
        <w:tc>
          <w:tcPr>
            <w:tcW w:w="1361" w:type="dxa"/>
          </w:tcPr>
          <w:p w14:paraId="791AF0CA" w14:textId="38A92B88" w:rsidR="00FF62EA" w:rsidRDefault="009D1009" w:rsidP="00624440">
            <w:pPr>
              <w:pStyle w:val="TableTextCentred"/>
              <w:spacing w:before="0" w:after="0" w:line="240" w:lineRule="auto"/>
            </w:pPr>
            <w:r>
              <w:t>Unlikely</w:t>
            </w:r>
          </w:p>
        </w:tc>
        <w:tc>
          <w:tcPr>
            <w:tcW w:w="850" w:type="dxa"/>
          </w:tcPr>
          <w:p w14:paraId="0C74278B" w14:textId="597FAB73" w:rsidR="00FF62EA" w:rsidRDefault="009D1009" w:rsidP="00624440">
            <w:pPr>
              <w:pStyle w:val="TableTextCentred"/>
              <w:spacing w:before="0" w:after="0" w:line="240" w:lineRule="auto"/>
            </w:pPr>
            <w:r>
              <w:t>Unlikely</w:t>
            </w:r>
          </w:p>
        </w:tc>
        <w:tc>
          <w:tcPr>
            <w:tcW w:w="850" w:type="dxa"/>
          </w:tcPr>
          <w:p w14:paraId="63327916" w14:textId="07AF42F2" w:rsidR="00FF62EA" w:rsidRDefault="009D1009" w:rsidP="00624440">
            <w:pPr>
              <w:pStyle w:val="TableTextCentred"/>
              <w:spacing w:before="0" w:after="0" w:line="240" w:lineRule="auto"/>
            </w:pPr>
            <w:r>
              <w:t>Unlikely</w:t>
            </w:r>
          </w:p>
        </w:tc>
        <w:tc>
          <w:tcPr>
            <w:tcW w:w="1134" w:type="dxa"/>
          </w:tcPr>
          <w:p w14:paraId="608EB2FA" w14:textId="6A3502E3" w:rsidR="00FF62EA" w:rsidRDefault="009D1009" w:rsidP="00624440">
            <w:pPr>
              <w:pStyle w:val="TableTextCentred"/>
              <w:spacing w:before="0" w:after="0" w:line="240" w:lineRule="auto"/>
            </w:pPr>
            <w:r>
              <w:t>Unlikely</w:t>
            </w:r>
          </w:p>
        </w:tc>
        <w:tc>
          <w:tcPr>
            <w:tcW w:w="850" w:type="dxa"/>
          </w:tcPr>
          <w:p w14:paraId="3F5A4569" w14:textId="7747F62E" w:rsidR="00FF62EA" w:rsidRDefault="009D1009" w:rsidP="00624440">
            <w:pPr>
              <w:pStyle w:val="TableTextCentred"/>
              <w:spacing w:before="0" w:after="0" w:line="240" w:lineRule="auto"/>
            </w:pPr>
            <w:r>
              <w:t>Unlikely</w:t>
            </w:r>
          </w:p>
        </w:tc>
        <w:tc>
          <w:tcPr>
            <w:tcW w:w="1020" w:type="dxa"/>
          </w:tcPr>
          <w:p w14:paraId="707AF5E8" w14:textId="38B5ED71" w:rsidR="00FF62EA" w:rsidRDefault="009D1009" w:rsidP="00624440">
            <w:pPr>
              <w:pStyle w:val="TableTextCentred"/>
              <w:spacing w:before="0" w:after="0" w:line="240" w:lineRule="auto"/>
            </w:pPr>
            <w:r>
              <w:t>Unlikely</w:t>
            </w:r>
          </w:p>
        </w:tc>
        <w:tc>
          <w:tcPr>
            <w:tcW w:w="907" w:type="dxa"/>
          </w:tcPr>
          <w:p w14:paraId="7BC0F74D" w14:textId="72D86EF4" w:rsidR="00FF62EA" w:rsidRDefault="0098734C" w:rsidP="00624440">
            <w:pPr>
              <w:pStyle w:val="TableTextCentred"/>
              <w:spacing w:before="0" w:after="0" w:line="240" w:lineRule="auto"/>
            </w:pPr>
            <w:r>
              <w:t>Likely</w:t>
            </w:r>
          </w:p>
        </w:tc>
        <w:tc>
          <w:tcPr>
            <w:tcW w:w="850" w:type="dxa"/>
          </w:tcPr>
          <w:p w14:paraId="36347514" w14:textId="08057616" w:rsidR="00FF62EA" w:rsidRDefault="009D1009" w:rsidP="00624440">
            <w:pPr>
              <w:pStyle w:val="TableTextCentred"/>
              <w:spacing w:before="0" w:after="0" w:line="240" w:lineRule="auto"/>
            </w:pPr>
            <w:r>
              <w:t>Unlikely</w:t>
            </w:r>
          </w:p>
        </w:tc>
        <w:tc>
          <w:tcPr>
            <w:tcW w:w="850" w:type="dxa"/>
          </w:tcPr>
          <w:p w14:paraId="57ED37DC" w14:textId="3BDAAB49" w:rsidR="00FF62EA" w:rsidRPr="00122C47" w:rsidRDefault="009D1009" w:rsidP="00624440">
            <w:pPr>
              <w:pStyle w:val="TableTextCentred"/>
              <w:spacing w:before="0" w:after="0" w:line="240" w:lineRule="auto"/>
              <w:jc w:val="left"/>
              <w:rPr>
                <w:b/>
              </w:rPr>
            </w:pPr>
            <w:r>
              <w:t>Unlikely</w:t>
            </w:r>
          </w:p>
        </w:tc>
        <w:tc>
          <w:tcPr>
            <w:tcW w:w="4139" w:type="dxa"/>
          </w:tcPr>
          <w:p w14:paraId="7B7C2933" w14:textId="1518BB94" w:rsidR="00FF62EA" w:rsidRDefault="009D1009" w:rsidP="00624440">
            <w:pPr>
              <w:pStyle w:val="TableTextCentred"/>
              <w:spacing w:before="0" w:after="0" w:line="240" w:lineRule="auto"/>
              <w:jc w:val="left"/>
            </w:pPr>
            <w:r>
              <w:rPr>
                <w:b/>
              </w:rPr>
              <w:t>Unlikely</w:t>
            </w:r>
            <w:r w:rsidR="00FF62EA">
              <w:rPr>
                <w:b/>
              </w:rPr>
              <w:t>:</w:t>
            </w:r>
            <w:r w:rsidR="00FF62EA">
              <w:t xml:space="preserve"> </w:t>
            </w:r>
            <w:bookmarkStart w:id="49" w:name="_Hlk532485177"/>
            <w:r w:rsidR="00FF62EA">
              <w:t xml:space="preserve">Some </w:t>
            </w:r>
            <w:r w:rsidR="0098399F">
              <w:t xml:space="preserve">decommissioned </w:t>
            </w:r>
            <w:r w:rsidR="00FF62EA">
              <w:t>wells are likely to leak methane</w:t>
            </w:r>
            <w:r w:rsidR="0098399F">
              <w:t xml:space="preserve"> and</w:t>
            </w:r>
            <w:r w:rsidR="00FF62EA">
              <w:t xml:space="preserve"> some level of monitoring is required</w:t>
            </w:r>
          </w:p>
          <w:p w14:paraId="02B18C26" w14:textId="77777777" w:rsidR="00FF62EA" w:rsidRPr="00340510" w:rsidRDefault="00FF62EA" w:rsidP="00624440">
            <w:pPr>
              <w:pStyle w:val="BodyText"/>
            </w:pPr>
          </w:p>
          <w:p w14:paraId="67074F78" w14:textId="052D0117" w:rsidR="00FF62EA" w:rsidRPr="004C0975" w:rsidRDefault="009D1009" w:rsidP="00624440">
            <w:pPr>
              <w:pStyle w:val="BodyText"/>
            </w:pPr>
            <w:r>
              <w:rPr>
                <w:b/>
              </w:rPr>
              <w:t>Likely</w:t>
            </w:r>
            <w:r w:rsidR="00FF62EA">
              <w:rPr>
                <w:b/>
              </w:rPr>
              <w:t>:</w:t>
            </w:r>
            <w:r w:rsidR="00FF62EA">
              <w:t xml:space="preserve"> Methane leakage from decommissioned / abandoned well</w:t>
            </w:r>
            <w:r w:rsidR="0098399F">
              <w:t>s</w:t>
            </w:r>
            <w:r w:rsidR="00FF62EA">
              <w:t xml:space="preserve"> is certain</w:t>
            </w:r>
            <w:bookmarkEnd w:id="49"/>
          </w:p>
        </w:tc>
      </w:tr>
      <w:tr w:rsidR="00E24728" w14:paraId="60395773" w14:textId="269BF2BA"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5E97CEB2" w14:textId="77777777" w:rsidR="00FF62EA" w:rsidRDefault="00FF62EA" w:rsidP="00624440">
            <w:pPr>
              <w:pStyle w:val="TableText"/>
              <w:spacing w:before="0" w:after="0" w:line="240" w:lineRule="auto"/>
              <w:jc w:val="center"/>
            </w:pPr>
            <w:r>
              <w:t>W.5</w:t>
            </w:r>
          </w:p>
        </w:tc>
        <w:tc>
          <w:tcPr>
            <w:tcW w:w="1464" w:type="dxa"/>
          </w:tcPr>
          <w:p w14:paraId="00E159A9" w14:textId="77777777" w:rsidR="00FF62EA" w:rsidRDefault="00FF62EA" w:rsidP="00624440">
            <w:pPr>
              <w:pStyle w:val="TableTextCentred"/>
              <w:spacing w:before="0" w:after="0" w:line="240" w:lineRule="auto"/>
            </w:pPr>
            <w:r>
              <w:t>Loss of well control</w:t>
            </w:r>
          </w:p>
        </w:tc>
        <w:tc>
          <w:tcPr>
            <w:tcW w:w="1361" w:type="dxa"/>
          </w:tcPr>
          <w:p w14:paraId="287AC700" w14:textId="35C7B302" w:rsidR="00FF62EA" w:rsidRDefault="00E641C9" w:rsidP="00624440">
            <w:pPr>
              <w:pStyle w:val="TableTextCentred"/>
              <w:spacing w:before="0" w:after="0" w:line="240" w:lineRule="auto"/>
            </w:pPr>
            <w:r>
              <w:t>Not assessed</w:t>
            </w:r>
          </w:p>
        </w:tc>
        <w:tc>
          <w:tcPr>
            <w:tcW w:w="850" w:type="dxa"/>
          </w:tcPr>
          <w:p w14:paraId="14A409CE" w14:textId="49F7E86D" w:rsidR="00FF62EA" w:rsidRDefault="00E641C9" w:rsidP="00624440">
            <w:pPr>
              <w:pStyle w:val="TableTextCentred"/>
              <w:spacing w:before="0" w:after="0" w:line="240" w:lineRule="auto"/>
            </w:pPr>
            <w:r>
              <w:t>Not assessed</w:t>
            </w:r>
          </w:p>
        </w:tc>
        <w:tc>
          <w:tcPr>
            <w:tcW w:w="850" w:type="dxa"/>
          </w:tcPr>
          <w:p w14:paraId="3F208BD8" w14:textId="563C2DAF" w:rsidR="00FF62EA" w:rsidRDefault="00E641C9" w:rsidP="00624440">
            <w:pPr>
              <w:pStyle w:val="TableTextCentred"/>
              <w:spacing w:before="0" w:after="0" w:line="240" w:lineRule="auto"/>
            </w:pPr>
            <w:r>
              <w:t>Not assessed</w:t>
            </w:r>
          </w:p>
        </w:tc>
        <w:tc>
          <w:tcPr>
            <w:tcW w:w="1134" w:type="dxa"/>
          </w:tcPr>
          <w:p w14:paraId="0BA6173F" w14:textId="2A225977" w:rsidR="00FF62EA" w:rsidRDefault="001B7930" w:rsidP="00624440">
            <w:pPr>
              <w:pStyle w:val="TableTextCentred"/>
              <w:spacing w:before="0" w:after="0" w:line="240" w:lineRule="auto"/>
            </w:pPr>
            <w:r>
              <w:t>Not assessed</w:t>
            </w:r>
          </w:p>
        </w:tc>
        <w:tc>
          <w:tcPr>
            <w:tcW w:w="850" w:type="dxa"/>
          </w:tcPr>
          <w:p w14:paraId="3E40E5CE" w14:textId="26A07F97" w:rsidR="00FF62EA" w:rsidRDefault="001B7930" w:rsidP="00624440">
            <w:pPr>
              <w:pStyle w:val="TableTextCentred"/>
              <w:spacing w:before="0" w:after="0" w:line="240" w:lineRule="auto"/>
            </w:pPr>
            <w:r>
              <w:t>Not assessed</w:t>
            </w:r>
          </w:p>
        </w:tc>
        <w:tc>
          <w:tcPr>
            <w:tcW w:w="1020" w:type="dxa"/>
          </w:tcPr>
          <w:p w14:paraId="53A50151" w14:textId="3ACB6B8A" w:rsidR="00FF62EA" w:rsidRDefault="001B7930" w:rsidP="00624440">
            <w:pPr>
              <w:pStyle w:val="TableTextCentred"/>
              <w:spacing w:before="0" w:after="0" w:line="240" w:lineRule="auto"/>
            </w:pPr>
            <w:r>
              <w:t>Not assessed</w:t>
            </w:r>
          </w:p>
        </w:tc>
        <w:tc>
          <w:tcPr>
            <w:tcW w:w="907" w:type="dxa"/>
          </w:tcPr>
          <w:p w14:paraId="6B2CBE0B" w14:textId="62CE858A" w:rsidR="00FF62EA" w:rsidRDefault="009D1009" w:rsidP="00624440">
            <w:pPr>
              <w:pStyle w:val="TableTextCentred"/>
              <w:spacing w:before="0" w:after="0" w:line="240" w:lineRule="auto"/>
            </w:pPr>
            <w:r>
              <w:t>Rare</w:t>
            </w:r>
          </w:p>
        </w:tc>
        <w:tc>
          <w:tcPr>
            <w:tcW w:w="850" w:type="dxa"/>
          </w:tcPr>
          <w:p w14:paraId="2F1642A5" w14:textId="4101B40F" w:rsidR="00FF62EA" w:rsidRDefault="001B7930" w:rsidP="00624440">
            <w:pPr>
              <w:pStyle w:val="TableTextCentred"/>
              <w:spacing w:before="0" w:after="0" w:line="240" w:lineRule="auto"/>
            </w:pPr>
            <w:r>
              <w:t>Not assessed</w:t>
            </w:r>
          </w:p>
        </w:tc>
        <w:tc>
          <w:tcPr>
            <w:tcW w:w="850" w:type="dxa"/>
          </w:tcPr>
          <w:p w14:paraId="0D419EE1" w14:textId="25371E76" w:rsidR="00FF62EA" w:rsidRDefault="00A5556E" w:rsidP="00624440">
            <w:pPr>
              <w:pStyle w:val="TableTextCentred"/>
              <w:spacing w:before="0" w:after="0" w:line="240" w:lineRule="auto"/>
            </w:pPr>
            <w:r>
              <w:t>Not assessed</w:t>
            </w:r>
          </w:p>
        </w:tc>
        <w:tc>
          <w:tcPr>
            <w:tcW w:w="4139" w:type="dxa"/>
          </w:tcPr>
          <w:p w14:paraId="47BBA116" w14:textId="5E9ECD94" w:rsidR="00FF62EA" w:rsidRDefault="00FF62EA" w:rsidP="00624440">
            <w:pPr>
              <w:pStyle w:val="TableTextCentred"/>
              <w:spacing w:before="0" w:after="0" w:line="240" w:lineRule="auto"/>
              <w:jc w:val="left"/>
            </w:pPr>
          </w:p>
        </w:tc>
      </w:tr>
    </w:tbl>
    <w:p w14:paraId="18285ACF" w14:textId="77777777" w:rsidR="002F788E" w:rsidRDefault="002F788E" w:rsidP="00985B69">
      <w:pPr>
        <w:pStyle w:val="BodyText"/>
        <w:sectPr w:rsidR="002F788E" w:rsidSect="002F788E">
          <w:pgSz w:w="16838" w:h="11906" w:orient="landscape" w:code="9"/>
          <w:pgMar w:top="1134" w:right="1247" w:bottom="1134" w:left="1134" w:header="510" w:footer="624" w:gutter="0"/>
          <w:cols w:space="284"/>
          <w:docGrid w:linePitch="360"/>
        </w:sectPr>
      </w:pPr>
    </w:p>
    <w:p w14:paraId="7D91FB8F" w14:textId="28D20B93" w:rsidR="003C4ABF" w:rsidRPr="00F379D8" w:rsidRDefault="00273D75" w:rsidP="00F379D8">
      <w:pPr>
        <w:pStyle w:val="Heading3"/>
      </w:pPr>
      <w:bookmarkStart w:id="50" w:name="_Ref528836916"/>
      <w:bookmarkStart w:id="51" w:name="_Ref16686096"/>
      <w:bookmarkStart w:id="52" w:name="_Toc36042857"/>
      <w:bookmarkStart w:id="53" w:name="_Toc5272812"/>
      <w:r w:rsidRPr="00F379D8">
        <w:t xml:space="preserve">Qualitative review of the findings </w:t>
      </w:r>
      <w:r w:rsidR="00533A6B" w:rsidRPr="00F379D8">
        <w:t>from</w:t>
      </w:r>
      <w:bookmarkEnd w:id="50"/>
      <w:r w:rsidR="00122C47" w:rsidRPr="00F379D8">
        <w:t>: Hydraulic fracturing for oil and gas: Impacts from the hydraulic fracturing water cycle on drinking water resources in the United States (US Environmental Protection Agency, 2016)</w:t>
      </w:r>
      <w:bookmarkEnd w:id="51"/>
      <w:bookmarkEnd w:id="52"/>
      <w:r w:rsidR="00984242" w:rsidRPr="00F379D8">
        <w:rPr>
          <w:rStyle w:val="CommentReference"/>
          <w:rFonts w:eastAsia="Times"/>
        </w:rPr>
        <w:t xml:space="preserve"> </w:t>
      </w:r>
      <w:bookmarkEnd w:id="53"/>
    </w:p>
    <w:p w14:paraId="6824D234" w14:textId="79D67B28" w:rsidR="00822417" w:rsidRDefault="00822417" w:rsidP="00B65D6D">
      <w:pPr>
        <w:pStyle w:val="Heading4notnumbered"/>
      </w:pPr>
      <w:r>
        <w:t xml:space="preserve">Background and </w:t>
      </w:r>
      <w:r w:rsidR="00F33E5E">
        <w:t>s</w:t>
      </w:r>
      <w:r>
        <w:t>cope</w:t>
      </w:r>
    </w:p>
    <w:p w14:paraId="44F7AEEB" w14:textId="40C248F9" w:rsidR="00F33E5E" w:rsidRDefault="00F33E5E" w:rsidP="00F33E5E">
      <w:pPr>
        <w:pStyle w:val="BodyText"/>
      </w:pPr>
      <w:r w:rsidRPr="00F33E5E">
        <w:t>In 2010, the U</w:t>
      </w:r>
      <w:r w:rsidR="009C7299">
        <w:t>S</w:t>
      </w:r>
      <w:r w:rsidRPr="00F33E5E">
        <w:t xml:space="preserve"> Environmental Protection Agency (EPA) initiated a study of the potential impacts of hydraulic fracturing activities on drinking water resources. The EPA defined the scope of its study to focus on the acquisition, use, disposal, and reuse of water used for hydraulic fracturing. This was done in recognition that concerns raised about potential impacts were not limited to the relatively short-term act of fracturing rock, but can include impacts related to other activities associated with hydraulic fracturing.</w:t>
      </w:r>
      <w:r>
        <w:t xml:space="preserve"> </w:t>
      </w:r>
      <w:r w:rsidRPr="00F33E5E">
        <w:t>Th</w:t>
      </w:r>
      <w:r w:rsidR="003D321E">
        <w:t>e</w:t>
      </w:r>
      <w:r w:rsidRPr="00F33E5E">
        <w:t xml:space="preserve"> report represents the capstone product of the EPA’s hydraulic fracturing drinking water study. It captures the state-of-the-science concerning drinking water impacts from activities in the hydraulic fracturing activities water cycle and integrates the results of the EPA’s study of the subject with approximately 1,200 other publications and sources of information. </w:t>
      </w:r>
    </w:p>
    <w:p w14:paraId="333D823C" w14:textId="0177FD10" w:rsidR="00F33E5E" w:rsidRDefault="00F33E5E" w:rsidP="00B65D6D">
      <w:pPr>
        <w:pStyle w:val="Heading4notnumbered"/>
      </w:pPr>
      <w:r>
        <w:t>Study area</w:t>
      </w:r>
    </w:p>
    <w:p w14:paraId="73340AC1" w14:textId="0F1456B7" w:rsidR="00F33E5E" w:rsidRPr="00F33E5E" w:rsidRDefault="00F33E5E" w:rsidP="00F33E5E">
      <w:pPr>
        <w:pStyle w:val="BodyText"/>
      </w:pPr>
      <w:r>
        <w:t xml:space="preserve">United States of America </w:t>
      </w:r>
    </w:p>
    <w:p w14:paraId="07D00337" w14:textId="731978D5" w:rsidR="00F33E5E" w:rsidRDefault="00F33E5E" w:rsidP="00B65D6D">
      <w:pPr>
        <w:pStyle w:val="Heading4notnumbered"/>
      </w:pPr>
      <w:r>
        <w:t>Authors</w:t>
      </w:r>
    </w:p>
    <w:p w14:paraId="0BDB6B9E" w14:textId="60FA2F7A" w:rsidR="00F33E5E" w:rsidRPr="00F33E5E" w:rsidRDefault="00F33E5E" w:rsidP="00F33E5E">
      <w:pPr>
        <w:pStyle w:val="BodyText"/>
      </w:pPr>
      <w:r w:rsidRPr="00F33E5E">
        <w:t>US EPA (U</w:t>
      </w:r>
      <w:r w:rsidR="009C7299">
        <w:t>S</w:t>
      </w:r>
      <w:r w:rsidRPr="00F33E5E">
        <w:t xml:space="preserve"> Environmental Protection Agency)</w:t>
      </w:r>
      <w:r>
        <w:t xml:space="preserve"> staff and consultants</w:t>
      </w:r>
    </w:p>
    <w:p w14:paraId="5B15029E" w14:textId="361E67C1" w:rsidR="00F33E5E" w:rsidRDefault="00F33E5E" w:rsidP="00B65D6D">
      <w:pPr>
        <w:pStyle w:val="Heading4notnumbered"/>
      </w:pPr>
      <w:r>
        <w:t>Focus</w:t>
      </w:r>
    </w:p>
    <w:p w14:paraId="19ABD938" w14:textId="342719C9" w:rsidR="00F33E5E" w:rsidRPr="00F33E5E" w:rsidRDefault="00F33E5E" w:rsidP="00F33E5E">
      <w:pPr>
        <w:pStyle w:val="BodyText"/>
      </w:pPr>
      <w:r w:rsidRPr="00F33E5E">
        <w:t>The goals of this report were to assess the potential for activities in the hydraulic fracturing water cycle to impact the quality or quantity of drinking water resources and to identify factors that affect the frequency or severity of those impacts.</w:t>
      </w:r>
    </w:p>
    <w:p w14:paraId="004DA40F" w14:textId="4E359E62" w:rsidR="00822417" w:rsidRPr="00822417" w:rsidRDefault="00E07FD4" w:rsidP="00B65D6D">
      <w:pPr>
        <w:pStyle w:val="Heading4notnumbered"/>
      </w:pPr>
      <w:r>
        <w:t>K</w:t>
      </w:r>
      <w:r w:rsidR="00822417">
        <w:t>ey findings</w:t>
      </w:r>
      <w:r w:rsidR="00F33E5E">
        <w:t xml:space="preserve"> </w:t>
      </w:r>
    </w:p>
    <w:p w14:paraId="2071D8D7" w14:textId="5CD443E9" w:rsidR="00AA262F" w:rsidRPr="005A442F" w:rsidRDefault="00AA262F" w:rsidP="001F5CD0">
      <w:pPr>
        <w:pStyle w:val="BodyText"/>
      </w:pPr>
      <w:r w:rsidRPr="005A442F">
        <w:t xml:space="preserve">Each stage of the hydraulic fracturing water cycle was assessed to identify </w:t>
      </w:r>
      <w:r w:rsidR="00ED2A5E" w:rsidRPr="005A442F">
        <w:t>firstly</w:t>
      </w:r>
      <w:r w:rsidRPr="005A442F">
        <w:t xml:space="preserve"> the potential for impacts on drinking water resources and </w:t>
      </w:r>
      <w:r w:rsidR="00ED2A5E" w:rsidRPr="005A442F">
        <w:t xml:space="preserve">secondly, </w:t>
      </w:r>
      <w:r w:rsidRPr="005A442F">
        <w:t xml:space="preserve">factors that affect the frequency or severity of impacts. </w:t>
      </w:r>
    </w:p>
    <w:p w14:paraId="02CA50D2" w14:textId="38309386" w:rsidR="001F5CD0" w:rsidRPr="005A442F" w:rsidRDefault="00AA262F" w:rsidP="005919F0">
      <w:pPr>
        <w:pStyle w:val="BodyText"/>
      </w:pPr>
      <w:r w:rsidRPr="005A442F">
        <w:t>The</w:t>
      </w:r>
      <w:r w:rsidR="001F5CD0" w:rsidRPr="005A442F">
        <w:t xml:space="preserve"> report found that the</w:t>
      </w:r>
      <w:r w:rsidRPr="005A442F">
        <w:t xml:space="preserve"> primary factors that can affect the frequency or severity of impacts are: </w:t>
      </w:r>
    </w:p>
    <w:p w14:paraId="49882DF7" w14:textId="6F0FC05A" w:rsidR="001F5CD0" w:rsidRPr="005A442F" w:rsidRDefault="001F5CD0" w:rsidP="00F379D8">
      <w:pPr>
        <w:pStyle w:val="ListNumber"/>
      </w:pPr>
      <w:r w:rsidRPr="005A442F">
        <w:t xml:space="preserve">the construction and condition of the well that is being hydraulically fractured, </w:t>
      </w:r>
    </w:p>
    <w:p w14:paraId="3163B0B3" w14:textId="57E172C6" w:rsidR="001F5CD0" w:rsidRPr="005A442F" w:rsidRDefault="001F5CD0" w:rsidP="00F379D8">
      <w:pPr>
        <w:pStyle w:val="ListNumber"/>
      </w:pPr>
      <w:r w:rsidRPr="005A442F">
        <w:t xml:space="preserve">the amount of vertical separation between the production zone and formations that contain drinking water resources, and </w:t>
      </w:r>
    </w:p>
    <w:p w14:paraId="65C6EA00" w14:textId="755EED78" w:rsidR="00967EF2" w:rsidRPr="005A442F" w:rsidRDefault="001F5CD0" w:rsidP="00F379D8">
      <w:pPr>
        <w:pStyle w:val="ListNumber"/>
      </w:pPr>
      <w:r w:rsidRPr="005A442F">
        <w:t>the location, depth, and condition of nearby wells or natural faults or fractures.</w:t>
      </w:r>
    </w:p>
    <w:p w14:paraId="771952D8"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1E776849" w14:textId="6857E6AF" w:rsidR="00D905FB" w:rsidRPr="00D905FB" w:rsidRDefault="00273D75" w:rsidP="00675B34">
      <w:pPr>
        <w:pStyle w:val="BodyText"/>
      </w:pPr>
      <w:r>
        <w:t xml:space="preserve">A qualitative review of the findings from </w:t>
      </w:r>
      <w:r w:rsidRPr="00273D75">
        <w:t xml:space="preserve">US Environmental Protection Agency, (2016) </w:t>
      </w:r>
      <w:r>
        <w:t xml:space="preserve">has been undertaken though analysis of key </w:t>
      </w:r>
      <w:r w:rsidRPr="005A442F">
        <w:t>exce</w:t>
      </w:r>
      <w:r w:rsidR="00DB0F28"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provides a likelihood score for each impact mode. T</w:t>
      </w:r>
      <w:r w:rsidR="000820D5">
        <w:t xml:space="preserve">he </w:t>
      </w:r>
      <w:r w:rsidR="00212812">
        <w:t xml:space="preserve">likelihood </w:t>
      </w:r>
      <w:r w:rsidR="002D4209">
        <w:t xml:space="preserve">score for each impact mode with related supporting </w:t>
      </w:r>
      <w:r w:rsidR="002D4209" w:rsidRPr="005A442F">
        <w:t>exce</w:t>
      </w:r>
      <w:r w:rsidR="00DB0F28" w:rsidRPr="005A442F">
        <w:t>r</w:t>
      </w:r>
      <w:r w:rsidR="002D4209" w:rsidRPr="005A442F">
        <w:t>pts</w:t>
      </w:r>
      <w:r w:rsidR="002D4209">
        <w:t xml:space="preserve"> </w:t>
      </w:r>
      <w:r>
        <w:t xml:space="preserve">are shown below in </w:t>
      </w:r>
      <w:r w:rsidRPr="005A442F">
        <w:fldChar w:fldCharType="begin"/>
      </w:r>
      <w:r w:rsidRPr="005A442F">
        <w:instrText xml:space="preserve"> REF _Ref14705529 \h </w:instrText>
      </w:r>
      <w:r w:rsidR="005A442F" w:rsidRPr="005A442F">
        <w:instrText xml:space="preserve"> \* MERGEFORMAT </w:instrText>
      </w:r>
      <w:r w:rsidRPr="005A442F">
        <w:fldChar w:fldCharType="separate"/>
      </w:r>
      <w:r w:rsidR="00073927">
        <w:t>Table 6</w:t>
      </w:r>
      <w:r w:rsidRPr="005A442F">
        <w:fldChar w:fldCharType="end"/>
      </w:r>
      <w:r w:rsidR="002D4209">
        <w:t xml:space="preserve">. </w:t>
      </w:r>
    </w:p>
    <w:p w14:paraId="6BBF7BE1" w14:textId="57C31821" w:rsidR="003109A0" w:rsidRDefault="003109A0" w:rsidP="003109A0">
      <w:pPr>
        <w:pStyle w:val="Caption"/>
      </w:pPr>
      <w:bookmarkStart w:id="54" w:name="_Ref14705529"/>
      <w:bookmarkStart w:id="55" w:name="_Ref14697147"/>
      <w:bookmarkStart w:id="56" w:name="_Toc36042889"/>
      <w:r>
        <w:t xml:space="preserve">Table </w:t>
      </w:r>
      <w:r>
        <w:fldChar w:fldCharType="begin"/>
      </w:r>
      <w:r>
        <w:instrText>SEQ Table \* ARABIC</w:instrText>
      </w:r>
      <w:r>
        <w:fldChar w:fldCharType="separate"/>
      </w:r>
      <w:r w:rsidR="00073927">
        <w:rPr>
          <w:noProof/>
        </w:rPr>
        <w:t>6</w:t>
      </w:r>
      <w:r>
        <w:fldChar w:fldCharType="end"/>
      </w:r>
      <w:bookmarkEnd w:id="54"/>
      <w:r>
        <w:t xml:space="preserve"> </w:t>
      </w:r>
      <w:r w:rsidRPr="003109A0">
        <w:t xml:space="preserve">Excerpts from US Environmental Protection Agency, </w:t>
      </w:r>
      <w:r>
        <w:t>(</w:t>
      </w:r>
      <w:r w:rsidRPr="003109A0">
        <w:t>2016) related to each impact mode</w:t>
      </w:r>
      <w:bookmarkEnd w:id="55"/>
      <w:bookmarkEnd w:id="56"/>
    </w:p>
    <w:tbl>
      <w:tblPr>
        <w:tblStyle w:val="TableBAHeaderRow"/>
        <w:tblpPr w:leftFromText="180" w:rightFromText="180" w:vertAnchor="text" w:tblpY="1"/>
        <w:tblOverlap w:val="never"/>
        <w:tblW w:w="9700" w:type="dxa"/>
        <w:tblInd w:w="0" w:type="dxa"/>
        <w:tblLook w:val="04A0" w:firstRow="1" w:lastRow="0" w:firstColumn="1" w:lastColumn="0" w:noHBand="0" w:noVBand="1"/>
      </w:tblPr>
      <w:tblGrid>
        <w:gridCol w:w="444"/>
        <w:gridCol w:w="1933"/>
        <w:gridCol w:w="973"/>
        <w:gridCol w:w="6350"/>
      </w:tblGrid>
      <w:tr w:rsidR="002F7982" w14:paraId="1DFF03A2" w14:textId="77777777" w:rsidTr="002F7982">
        <w:trPr>
          <w:cnfStyle w:val="100000000000" w:firstRow="1" w:lastRow="0" w:firstColumn="0" w:lastColumn="0" w:oddVBand="0" w:evenVBand="0" w:oddHBand="0" w:evenHBand="0" w:firstRowFirstColumn="0" w:firstRowLastColumn="0" w:lastRowFirstColumn="0" w:lastRowLastColumn="0"/>
          <w:tblHeader/>
        </w:trPr>
        <w:tc>
          <w:tcPr>
            <w:tcW w:w="0" w:type="auto"/>
          </w:tcPr>
          <w:p w14:paraId="0E876FF7" w14:textId="77777777" w:rsidR="002F7982" w:rsidRPr="00DD07F6" w:rsidRDefault="002F7982" w:rsidP="0045301B">
            <w:pPr>
              <w:pStyle w:val="TableText"/>
              <w:keepLines/>
              <w:spacing w:before="0" w:after="0" w:line="240" w:lineRule="auto"/>
            </w:pPr>
            <w:bookmarkStart w:id="57" w:name="_Hlk14696843"/>
          </w:p>
        </w:tc>
        <w:tc>
          <w:tcPr>
            <w:tcW w:w="0" w:type="auto"/>
          </w:tcPr>
          <w:p w14:paraId="7CDF0EA0" w14:textId="7E54A292" w:rsidR="002F7982" w:rsidRDefault="002F7982" w:rsidP="00F379D8">
            <w:pPr>
              <w:pStyle w:val="TableText"/>
            </w:pPr>
            <w:r>
              <w:t>Impact Mode</w:t>
            </w:r>
          </w:p>
        </w:tc>
        <w:tc>
          <w:tcPr>
            <w:tcW w:w="973" w:type="dxa"/>
          </w:tcPr>
          <w:p w14:paraId="1440FD4C" w14:textId="06CD2ED6" w:rsidR="002F7982" w:rsidRDefault="002F7982" w:rsidP="00F379D8">
            <w:pPr>
              <w:pStyle w:val="TableText"/>
            </w:pPr>
            <w:r>
              <w:t xml:space="preserve">Likelihood score </w:t>
            </w:r>
          </w:p>
        </w:tc>
        <w:tc>
          <w:tcPr>
            <w:tcW w:w="6350" w:type="dxa"/>
          </w:tcPr>
          <w:p w14:paraId="1C42191D" w14:textId="5630EDBC" w:rsidR="002F7982" w:rsidRDefault="002F7982" w:rsidP="00F379D8">
            <w:pPr>
              <w:pStyle w:val="TableText"/>
            </w:pPr>
            <w:r w:rsidRPr="00122C47">
              <w:t>Key excerpts from: Hydraulic fracturing for oil and gas: Impacts from the hydraulic fracturing water cycle on drinking water resources in the United States (US Environmental Protection Agency, 2016)</w:t>
            </w:r>
          </w:p>
        </w:tc>
      </w:tr>
      <w:tr w:rsidR="0024219A" w:rsidRPr="00A8172F" w14:paraId="5E7932BC" w14:textId="77777777" w:rsidTr="0078111C">
        <w:trPr>
          <w:cnfStyle w:val="000000100000" w:firstRow="0" w:lastRow="0" w:firstColumn="0" w:lastColumn="0" w:oddVBand="0" w:evenVBand="0" w:oddHBand="1" w:evenHBand="0" w:firstRowFirstColumn="0" w:firstRowLastColumn="0" w:lastRowFirstColumn="0" w:lastRowLastColumn="0"/>
        </w:trPr>
        <w:tc>
          <w:tcPr>
            <w:tcW w:w="9700" w:type="dxa"/>
            <w:gridSpan w:val="4"/>
          </w:tcPr>
          <w:p w14:paraId="36D79DFC" w14:textId="711A2A96" w:rsidR="0024219A" w:rsidRDefault="0024219A" w:rsidP="0045301B">
            <w:pPr>
              <w:pStyle w:val="TableTextCentred"/>
              <w:keepLines/>
              <w:spacing w:before="0" w:after="0" w:line="240" w:lineRule="auto"/>
              <w:jc w:val="left"/>
            </w:pPr>
            <w:r w:rsidRPr="7DE8E393">
              <w:rPr>
                <w:b/>
                <w:bCs/>
              </w:rPr>
              <w:t>Hydraulic fracture growth</w:t>
            </w:r>
          </w:p>
        </w:tc>
      </w:tr>
      <w:tr w:rsidR="002F7982" w:rsidRPr="00A8172F" w14:paraId="467364D4"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6A9C3634" w14:textId="77777777" w:rsidR="002F7982" w:rsidRPr="00EA63C0" w:rsidRDefault="002F7982" w:rsidP="0045301B">
            <w:pPr>
              <w:pStyle w:val="TableText"/>
              <w:keepLines/>
              <w:spacing w:before="0" w:after="0" w:line="240" w:lineRule="auto"/>
            </w:pPr>
            <w:r>
              <w:t>F.1</w:t>
            </w:r>
          </w:p>
        </w:tc>
        <w:tc>
          <w:tcPr>
            <w:tcW w:w="0" w:type="auto"/>
          </w:tcPr>
          <w:p w14:paraId="05D855EA" w14:textId="77777777" w:rsidR="002F7982" w:rsidRPr="00A8172F" w:rsidRDefault="002F7982" w:rsidP="0045301B">
            <w:pPr>
              <w:pStyle w:val="TableTextCentred"/>
              <w:keepLines/>
              <w:spacing w:before="0" w:after="0" w:line="240" w:lineRule="auto"/>
              <w:jc w:val="left"/>
            </w:pPr>
            <w:r>
              <w:t>Hydraulic fracture growth into aquifer</w:t>
            </w:r>
          </w:p>
        </w:tc>
        <w:tc>
          <w:tcPr>
            <w:tcW w:w="973" w:type="dxa"/>
          </w:tcPr>
          <w:p w14:paraId="5764B07F" w14:textId="24E6B705" w:rsidR="002F7982" w:rsidRDefault="002F7982" w:rsidP="0045301B">
            <w:pPr>
              <w:pStyle w:val="TableTextCentred"/>
              <w:keepLines/>
              <w:spacing w:before="0" w:after="0" w:line="240" w:lineRule="auto"/>
              <w:jc w:val="left"/>
            </w:pPr>
            <w:r w:rsidRPr="00197ED2">
              <w:t>Unlikely</w:t>
            </w:r>
          </w:p>
        </w:tc>
        <w:tc>
          <w:tcPr>
            <w:tcW w:w="6350" w:type="dxa"/>
          </w:tcPr>
          <w:p w14:paraId="088CA883" w14:textId="6B386C59" w:rsidR="002F7982" w:rsidRDefault="002F7982" w:rsidP="0045301B">
            <w:pPr>
              <w:pStyle w:val="TableTextCentred"/>
              <w:keepLines/>
              <w:spacing w:before="0" w:after="0" w:line="240" w:lineRule="auto"/>
              <w:jc w:val="left"/>
            </w:pPr>
            <w:r>
              <w:t>“</w:t>
            </w:r>
            <w:r w:rsidRPr="00E84202">
              <w:t>Fracture growth from a deep formation to a near-surface aquifer is generally considered to be limited by layered geological environments and other physical constraints</w:t>
            </w:r>
            <w:r>
              <w:t>.” p</w:t>
            </w:r>
            <w:r w:rsidRPr="005D14A8">
              <w:t>6-55</w:t>
            </w:r>
          </w:p>
          <w:p w14:paraId="34E352BF" w14:textId="77777777" w:rsidR="002F7982" w:rsidRPr="007343E5" w:rsidRDefault="002F7982" w:rsidP="007343E5">
            <w:pPr>
              <w:pStyle w:val="BodyText"/>
            </w:pPr>
          </w:p>
          <w:p w14:paraId="1A687E70" w14:textId="15A94DA9" w:rsidR="002F7982" w:rsidRDefault="002F7982" w:rsidP="0045301B">
            <w:pPr>
              <w:pStyle w:val="TableTextCentred"/>
              <w:keepNext/>
              <w:keepLines/>
              <w:spacing w:before="0" w:after="0" w:line="240" w:lineRule="auto"/>
              <w:jc w:val="left"/>
            </w:pPr>
            <w:r>
              <w:t>“I</w:t>
            </w:r>
            <w:r w:rsidRPr="00C6532C">
              <w:t>n some parts of the United States (e.g., the Powder River Basin in Montana and Wyoming), there is no vertical distance between the top of the hydraulically fractured oil- or gas-bearing rock formation and the bottom of treatable water</w:t>
            </w:r>
            <w:r>
              <w:t xml:space="preserve">.  </w:t>
            </w:r>
            <w:r w:rsidRPr="00C6532C">
              <w:t>When hydraulically fractured oil and gas production wells are located near or within drinking water resources, there is a greater potential for activities in the hydraulic fracturing water cycle to impact those resources</w:t>
            </w:r>
            <w:r>
              <w:t>.”</w:t>
            </w:r>
            <w:r w:rsidR="00E91771">
              <w:t xml:space="preserve"> </w:t>
            </w:r>
            <w:r>
              <w:t>pES-8</w:t>
            </w:r>
          </w:p>
          <w:p w14:paraId="03A9BCAB" w14:textId="77777777" w:rsidR="002F7982" w:rsidRPr="007343E5" w:rsidRDefault="002F7982" w:rsidP="007343E5">
            <w:pPr>
              <w:pStyle w:val="BodyText"/>
            </w:pPr>
          </w:p>
          <w:p w14:paraId="42568864" w14:textId="6E9C9D49" w:rsidR="002F7982" w:rsidRDefault="002F7982" w:rsidP="0045301B">
            <w:pPr>
              <w:pStyle w:val="BodyText"/>
              <w:keepNext/>
              <w:keepLines/>
            </w:pPr>
            <w:r>
              <w:t>“</w:t>
            </w:r>
            <w:r w:rsidRPr="00EA75A0">
              <w:t>Hydraulic fracturing can occur at or near the bottom of a production well or it may take place at different intermediate depths depending on the location of economically producible oil and gas, and thus the total vertical depth of a production well does not necessarily correlate to the depth at which hydraulic fracturing occurs</w:t>
            </w:r>
            <w:r>
              <w:t>.” p2-16</w:t>
            </w:r>
          </w:p>
          <w:p w14:paraId="6049D056" w14:textId="77777777" w:rsidR="002F7982" w:rsidRPr="00EA75A0" w:rsidRDefault="002F7982" w:rsidP="0045301B">
            <w:pPr>
              <w:pStyle w:val="BodyText"/>
              <w:keepNext/>
              <w:keepLines/>
            </w:pPr>
          </w:p>
          <w:p w14:paraId="73B49E21" w14:textId="4926F99C" w:rsidR="002F7982" w:rsidRDefault="002F7982" w:rsidP="0045301B">
            <w:pPr>
              <w:pStyle w:val="BodyText"/>
              <w:keepNext/>
              <w:keepLines/>
            </w:pPr>
            <w:r>
              <w:t>“</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216C9C">
              <w:rPr>
                <w:noProof/>
              </w:rPr>
              <w:t xml:space="preserve">Fisher and Warpinski, </w:t>
            </w:r>
            <w:r>
              <w:rPr>
                <w:noProof/>
              </w:rPr>
              <w:t>(</w:t>
            </w:r>
            <w:r w:rsidRPr="00216C9C">
              <w:rPr>
                <w:noProof/>
              </w:rPr>
              <w:t>2012)</w:t>
            </w:r>
            <w:r>
              <w:fldChar w:fldCharType="end"/>
            </w:r>
            <w:r w:rsidRPr="005713B7">
              <w:t xml:space="preserve"> and </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2012)","manualFormatting":"Davies et al., (2012)","plainTextFormattedCitation":"(Davies et al., 2012)","previouslyFormattedCitation":"(Davies &lt;i&gt;et al.&lt;/i&gt;, 2012)"},"properties":{"noteIndex":0},"schema":"https://github.com/citation-style-language/schema/raw/master/csl-citation.json"}</w:instrText>
            </w:r>
            <w:r>
              <w:fldChar w:fldCharType="separate"/>
            </w:r>
            <w:r w:rsidRPr="00216C9C">
              <w:rPr>
                <w:noProof/>
              </w:rPr>
              <w:t xml:space="preserve">Davies </w:t>
            </w:r>
            <w:r w:rsidRPr="005A442F">
              <w:rPr>
                <w:noProof/>
              </w:rPr>
              <w:t>et al.</w:t>
            </w:r>
            <w:r w:rsidRPr="00216C9C">
              <w:rPr>
                <w:noProof/>
              </w:rPr>
              <w:t xml:space="preserve">, </w:t>
            </w:r>
            <w:r>
              <w:rPr>
                <w:noProof/>
              </w:rPr>
              <w:t>(</w:t>
            </w:r>
            <w:r w:rsidRPr="00216C9C">
              <w:rPr>
                <w:noProof/>
              </w:rPr>
              <w:t>2012)</w:t>
            </w:r>
            <w:r>
              <w:fldChar w:fldCharType="end"/>
            </w:r>
            <w:r w:rsidRPr="005713B7">
              <w:t xml:space="preserve"> indicate</w:t>
            </w:r>
            <w:r>
              <w:t xml:space="preserve"> 1%</w:t>
            </w:r>
            <w:r w:rsidRPr="008A56A0">
              <w:t xml:space="preserve"> of fractures had a fracture height greater than 350 meters, and the maximum fracture height among all of the data reported was</w:t>
            </w:r>
            <w:r>
              <w:t xml:space="preserve"> </w:t>
            </w:r>
            <w:r w:rsidRPr="008A56A0">
              <w:t>588 meters. These reported fracture heights suggest that some fractures can grow out of the targeted rock formation and into an overlying formation</w:t>
            </w:r>
            <w:r>
              <w:t>.” pES-27</w:t>
            </w:r>
          </w:p>
          <w:p w14:paraId="65207F2A" w14:textId="77777777" w:rsidR="002F7982" w:rsidRDefault="002F7982" w:rsidP="0045301B">
            <w:pPr>
              <w:pStyle w:val="BodyText"/>
              <w:keepNext/>
              <w:keepLines/>
            </w:pPr>
          </w:p>
          <w:p w14:paraId="5995402A" w14:textId="1335962F" w:rsidR="002F7982" w:rsidRDefault="002F7982" w:rsidP="0045301B">
            <w:pPr>
              <w:pStyle w:val="BodyText"/>
              <w:keepNext/>
              <w:keepLines/>
            </w:pPr>
            <w:r>
              <w:t>“</w:t>
            </w:r>
            <w:r w:rsidRPr="005713B7">
              <w:t xml:space="preserve">Because fluids travel through the newly-created </w:t>
            </w:r>
            <w:r>
              <w:t xml:space="preserve">hydraulic </w:t>
            </w:r>
            <w:r w:rsidRPr="005713B7">
              <w:t>fractures, the location of these fractures relative to underground drinking water resources is an important factor affecting the frequency and severity of potential impacts on drinking water resources.</w:t>
            </w:r>
            <w:r>
              <w:t>” pES-30</w:t>
            </w:r>
          </w:p>
          <w:p w14:paraId="021695A6" w14:textId="77777777" w:rsidR="002F7982" w:rsidRDefault="002F7982" w:rsidP="0045301B">
            <w:pPr>
              <w:pStyle w:val="BodyText"/>
              <w:keepNext/>
              <w:keepLines/>
            </w:pPr>
          </w:p>
          <w:p w14:paraId="329D81A6" w14:textId="093EC899" w:rsidR="002F7982" w:rsidRDefault="002F7982" w:rsidP="0045301B">
            <w:pPr>
              <w:pStyle w:val="BodyText"/>
              <w:keepNext/>
              <w:keepLines/>
            </w:pPr>
            <w:r>
              <w:t xml:space="preserve">“Without data on </w:t>
            </w:r>
            <w:r w:rsidRPr="005713B7">
              <w:t>relative location of induced fractures to underground drinking water resources</w:t>
            </w:r>
            <w:r>
              <w:t xml:space="preserve"> </w:t>
            </w:r>
            <w:r w:rsidRPr="005713B7">
              <w:t>we were often unable to determine with certainty whether fractures created during hydraulic fracturing have reached underground drinking water resources. Instead, we considered the vertical separation distance between hydraulically fractured rock formations and the bottom of underground drinking water resources</w:t>
            </w:r>
            <w:r>
              <w:t>.” pES-30</w:t>
            </w:r>
          </w:p>
          <w:p w14:paraId="5059E995" w14:textId="77777777" w:rsidR="002F7982" w:rsidRDefault="002F7982" w:rsidP="0045301B">
            <w:pPr>
              <w:pStyle w:val="BodyText"/>
              <w:keepNext/>
              <w:keepLines/>
            </w:pPr>
          </w:p>
          <w:p w14:paraId="71554380" w14:textId="10812164" w:rsidR="002F7982" w:rsidRDefault="002F7982" w:rsidP="00F7602A">
            <w:pPr>
              <w:pStyle w:val="BodyText"/>
              <w:keepNext/>
              <w:keepLines/>
            </w:pPr>
            <w:r>
              <w:t>“</w:t>
            </w:r>
            <w:r w:rsidRPr="00995AD8">
              <w:t xml:space="preserve">Microseismic data and modeling studies suggest that, </w:t>
            </w:r>
            <w:r>
              <w:t xml:space="preserve">in </w:t>
            </w:r>
            <w:r w:rsidRPr="00995AD8">
              <w:t>deep shale formations, fractures created during hydraulic fracturing are unlikely to grow through thousands of feet of rock into underground drinking water resources.</w:t>
            </w:r>
            <w:r>
              <w:t>” pES-31</w:t>
            </w:r>
          </w:p>
          <w:p w14:paraId="6FCAE553" w14:textId="77777777" w:rsidR="002F7982" w:rsidRDefault="002F7982" w:rsidP="0045301B">
            <w:pPr>
              <w:pStyle w:val="BodyText"/>
              <w:keepNext/>
              <w:keepLines/>
            </w:pPr>
          </w:p>
          <w:p w14:paraId="26A37138" w14:textId="2C14A792" w:rsidR="002F7982" w:rsidRDefault="002F7982" w:rsidP="0045301B">
            <w:pPr>
              <w:pStyle w:val="BodyText"/>
              <w:keepNext/>
              <w:keepLines/>
            </w:pPr>
            <w:r>
              <w:t>“…</w:t>
            </w:r>
            <w:r w:rsidRPr="00995AD8">
              <w:t>hydraulic fracturing has occurred within underground drinking water resources in parts of the United States</w:t>
            </w:r>
            <w:r>
              <w:t xml:space="preserve">.” </w:t>
            </w:r>
            <w:r w:rsidRPr="005D14A8">
              <w:t>pES-3</w:t>
            </w:r>
            <w:r>
              <w:t>2</w:t>
            </w:r>
          </w:p>
          <w:p w14:paraId="6089D937" w14:textId="77777777" w:rsidR="002F7982" w:rsidRDefault="002F7982" w:rsidP="0045301B">
            <w:pPr>
              <w:pStyle w:val="BodyText"/>
              <w:keepNext/>
              <w:keepLines/>
            </w:pPr>
          </w:p>
          <w:p w14:paraId="45EC7812" w14:textId="34706CFA" w:rsidR="002F7982" w:rsidRDefault="002F7982" w:rsidP="0045301B">
            <w:pPr>
              <w:pStyle w:val="BodyText"/>
              <w:keepNext/>
              <w:keepLines/>
            </w:pPr>
            <w:r>
              <w:t>“…</w:t>
            </w:r>
            <w:r w:rsidRPr="00995AD8">
              <w:t>the vertical separation distance between the targeted rock formation and underground drinking water resources are important factors that affect the frequency and severity of impacts on drinking water resources</w:t>
            </w:r>
            <w:r>
              <w:t>.” pES-32</w:t>
            </w:r>
          </w:p>
          <w:p w14:paraId="36E7B6A9" w14:textId="77777777" w:rsidR="002F7982" w:rsidRDefault="002F7982" w:rsidP="0045301B">
            <w:pPr>
              <w:pStyle w:val="BodyText"/>
              <w:keepNext/>
              <w:keepLines/>
            </w:pPr>
          </w:p>
          <w:p w14:paraId="2C2CDCBC" w14:textId="753F89F7" w:rsidR="002F7982" w:rsidRDefault="002F7982" w:rsidP="0045301B">
            <w:pPr>
              <w:pStyle w:val="BodyText"/>
              <w:keepNext/>
              <w:keepLines/>
            </w:pPr>
            <w:r>
              <w:t>“…</w:t>
            </w:r>
            <w:r w:rsidRPr="00995AD8">
              <w:t>thousands of feet of rock between hydraulically fractured</w:t>
            </w:r>
            <w:r>
              <w:t xml:space="preserve"> </w:t>
            </w:r>
            <w:r w:rsidRPr="00995AD8">
              <w:t>rock formations and underground drinking water resources can reduce the frequency of impacts on drinking water resources during the well injection stage of the hydraulic fracturing water cycle</w:t>
            </w:r>
            <w:r>
              <w:t>.” pES-33</w:t>
            </w:r>
          </w:p>
          <w:p w14:paraId="65661194" w14:textId="77777777" w:rsidR="002F7982" w:rsidRDefault="002F7982" w:rsidP="0045301B">
            <w:pPr>
              <w:pStyle w:val="BodyText"/>
              <w:keepNext/>
              <w:keepLines/>
            </w:pPr>
          </w:p>
          <w:p w14:paraId="3554E66E" w14:textId="235F255A" w:rsidR="002F7982" w:rsidRDefault="002F7982" w:rsidP="0045301B">
            <w:pPr>
              <w:pStyle w:val="BodyText"/>
              <w:keepNext/>
              <w:keepLines/>
            </w:pPr>
            <w:r>
              <w:t>“</w:t>
            </w:r>
            <w:r w:rsidRPr="00ED4D9C">
              <w:t xml:space="preserve">There is limited publicly available information </w:t>
            </w:r>
            <w:r>
              <w:t xml:space="preserve">(in the USA) </w:t>
            </w:r>
            <w:r w:rsidRPr="00ED4D9C">
              <w:t>to determine the vertical distance separating the shallowest hydraulic fracturing initiation point in a production well from the deepest drinking water resource.</w:t>
            </w:r>
            <w:r>
              <w:t>” p2-8</w:t>
            </w:r>
          </w:p>
          <w:p w14:paraId="4C9E05C7" w14:textId="77777777" w:rsidR="002F7982" w:rsidRDefault="002F7982" w:rsidP="0045301B">
            <w:pPr>
              <w:pStyle w:val="BodyText"/>
              <w:keepNext/>
              <w:keepLines/>
            </w:pPr>
          </w:p>
          <w:p w14:paraId="70C66A0C" w14:textId="3CC1C078" w:rsidR="002F7982" w:rsidRDefault="002F7982" w:rsidP="0045301B">
            <w:pPr>
              <w:pStyle w:val="BodyText"/>
              <w:keepLines/>
            </w:pPr>
            <w:r>
              <w:t>“</w:t>
            </w:r>
            <w:r w:rsidRPr="00CD7F12">
              <w:t xml:space="preserve">The primary factors that can affect the frequency or severity of impacts to drinking water associated with injection for hydraulic fracturing are: </w:t>
            </w:r>
            <w:r>
              <w:t>…</w:t>
            </w:r>
            <w:r w:rsidRPr="00CD7F12">
              <w:t>(2) the vertical separation between the production zone and formations that contain drinking water resources,</w:t>
            </w:r>
            <w:r>
              <w:t>…” p6-1</w:t>
            </w:r>
          </w:p>
          <w:p w14:paraId="4AC39773" w14:textId="77777777" w:rsidR="002F7982" w:rsidRDefault="002F7982" w:rsidP="0045301B">
            <w:pPr>
              <w:pStyle w:val="BodyText"/>
              <w:keepLines/>
            </w:pPr>
          </w:p>
          <w:p w14:paraId="2061D7CE" w14:textId="46C23503" w:rsidR="002F7982" w:rsidRDefault="002F7982" w:rsidP="0045301B">
            <w:pPr>
              <w:pStyle w:val="BodyText"/>
              <w:keepLines/>
            </w:pPr>
            <w:r>
              <w:t xml:space="preserve">[Data limits on well integrity, </w:t>
            </w:r>
            <w:r w:rsidRPr="00312D3C">
              <w:t>pre- and post-hydraulic fracturing groundwater quality,</w:t>
            </w:r>
            <w:r>
              <w:t xml:space="preserve"> and fracture extent]</w:t>
            </w:r>
            <w:r w:rsidRPr="00312D3C">
              <w:t xml:space="preserve"> </w:t>
            </w:r>
            <w:r>
              <w:t>“…</w:t>
            </w:r>
            <w:r w:rsidRPr="00312D3C">
              <w:t>in combination with the geologic complexity of the subsurface environment and the fact that these processes cannot be directly observed, make determining the frequency of such impacts challenging</w:t>
            </w:r>
            <w:r>
              <w:t xml:space="preserve">.” </w:t>
            </w:r>
            <w:r w:rsidR="00CF1382">
              <w:t>p</w:t>
            </w:r>
            <w:r>
              <w:t>6-1</w:t>
            </w:r>
          </w:p>
          <w:p w14:paraId="798834D1" w14:textId="77777777" w:rsidR="002F7982" w:rsidRDefault="002F7982" w:rsidP="0045301B">
            <w:pPr>
              <w:pStyle w:val="BodyText"/>
              <w:keepLines/>
            </w:pPr>
          </w:p>
          <w:p w14:paraId="23A1D6FE" w14:textId="02F8D2B1" w:rsidR="002F7982" w:rsidRDefault="002F7982" w:rsidP="0045301B">
            <w:pPr>
              <w:pStyle w:val="BodyText"/>
              <w:keepLines/>
            </w:pPr>
            <w:r>
              <w:t>“…</w:t>
            </w:r>
            <w:r w:rsidRPr="007F7EEE">
              <w:t>hydraulic fracturing operations are unlikely to generate sufficient pressure to drive fluids into shallow drinking water zones</w:t>
            </w:r>
            <w:r>
              <w:t>.” p6-52</w:t>
            </w:r>
          </w:p>
          <w:p w14:paraId="52ECE4F8" w14:textId="77777777" w:rsidR="002F7982" w:rsidRDefault="002F7982" w:rsidP="0045301B">
            <w:pPr>
              <w:pStyle w:val="BodyText"/>
              <w:keepLines/>
            </w:pPr>
          </w:p>
          <w:p w14:paraId="58EDA58B" w14:textId="52E95A92" w:rsidR="002F7982" w:rsidRDefault="002F7982" w:rsidP="0045301B">
            <w:pPr>
              <w:pStyle w:val="BodyText"/>
              <w:keepLines/>
            </w:pPr>
            <w:r>
              <w:t>“</w:t>
            </w:r>
            <w:r w:rsidRPr="005B6C24">
              <w:t>Vertical separation between the zone where hydraulic fracturing operations occur and drinking water resources reduces the potential for fluid migration to impact the quality of drinking water resources.</w:t>
            </w:r>
            <w:r>
              <w:t>” p6-71</w:t>
            </w:r>
          </w:p>
          <w:p w14:paraId="4CD3E4B5" w14:textId="36DD0AA1" w:rsidR="002F7982" w:rsidRPr="008A56A0" w:rsidRDefault="002F7982" w:rsidP="0045301B">
            <w:pPr>
              <w:pStyle w:val="BodyText"/>
              <w:keepLines/>
            </w:pPr>
          </w:p>
        </w:tc>
      </w:tr>
      <w:tr w:rsidR="002F7982" w14:paraId="51756F04"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53EFF840" w14:textId="77777777" w:rsidR="002F7982" w:rsidRDefault="002F7982" w:rsidP="0045301B">
            <w:pPr>
              <w:pStyle w:val="TableText"/>
              <w:keepLines/>
              <w:spacing w:before="0" w:after="0" w:line="240" w:lineRule="auto"/>
            </w:pPr>
            <w:r>
              <w:t>F.2</w:t>
            </w:r>
          </w:p>
        </w:tc>
        <w:tc>
          <w:tcPr>
            <w:tcW w:w="0" w:type="auto"/>
          </w:tcPr>
          <w:p w14:paraId="381383EB" w14:textId="77777777" w:rsidR="002F7982" w:rsidRDefault="002F7982" w:rsidP="0045301B">
            <w:pPr>
              <w:pStyle w:val="TableTextCentred"/>
              <w:keepLines/>
              <w:spacing w:before="0" w:after="0" w:line="240" w:lineRule="auto"/>
              <w:jc w:val="left"/>
            </w:pPr>
            <w:r>
              <w:t>Hydraulic fracture growth into well</w:t>
            </w:r>
          </w:p>
        </w:tc>
        <w:tc>
          <w:tcPr>
            <w:tcW w:w="973" w:type="dxa"/>
          </w:tcPr>
          <w:p w14:paraId="5FB8B1F3" w14:textId="17290EC4" w:rsidR="002F7982" w:rsidRDefault="002F7982" w:rsidP="0045301B">
            <w:pPr>
              <w:pStyle w:val="TableTextCentred"/>
              <w:keepLines/>
              <w:spacing w:before="0" w:after="0" w:line="240" w:lineRule="auto"/>
              <w:jc w:val="left"/>
            </w:pPr>
            <w:r w:rsidRPr="00197ED2">
              <w:t>Unlikely</w:t>
            </w:r>
          </w:p>
        </w:tc>
        <w:tc>
          <w:tcPr>
            <w:tcW w:w="6350" w:type="dxa"/>
          </w:tcPr>
          <w:p w14:paraId="21E89515" w14:textId="42111062" w:rsidR="002F7982" w:rsidRDefault="002F7982" w:rsidP="0045301B">
            <w:pPr>
              <w:pStyle w:val="TableTextCentred"/>
              <w:keepLines/>
              <w:spacing w:before="0" w:after="0" w:line="240" w:lineRule="auto"/>
              <w:jc w:val="left"/>
            </w:pPr>
            <w:r>
              <w:t>“</w:t>
            </w:r>
            <w:r w:rsidRPr="00995AD8">
              <w:t>Regardless of the vertical separation between the targeted rock formation and the underground drinking water resource, the presence of other wells near hydraulic fracturing operations can increase the potential for hydraulic fracturing fluids or other subsurface fluids to move to drinking water resources</w:t>
            </w:r>
            <w:r>
              <w:t xml:space="preserve">. </w:t>
            </w:r>
            <w:r w:rsidRPr="00995AD8">
              <w:t>Frac hits have also been observed at wells up to 8,422 feet (2,567 meters) away from a well undergoing hydraulic fracturing.</w:t>
            </w:r>
            <w:r>
              <w:t>” pES-32</w:t>
            </w:r>
          </w:p>
          <w:p w14:paraId="33A87A57" w14:textId="77777777" w:rsidR="002F7982" w:rsidRPr="007343E5" w:rsidRDefault="002F7982" w:rsidP="007343E5">
            <w:pPr>
              <w:pStyle w:val="BodyText"/>
            </w:pPr>
          </w:p>
          <w:p w14:paraId="24710B9A" w14:textId="008A26A5" w:rsidR="002F7982" w:rsidRDefault="002F7982" w:rsidP="0045301B">
            <w:pPr>
              <w:pStyle w:val="BodyText"/>
              <w:keepLines/>
            </w:pPr>
            <w:r>
              <w:t>“</w:t>
            </w:r>
            <w:r w:rsidRPr="00995AD8">
              <w:t>Abandoned wells near a well undergoing hydraulic fracturing can provide a pathway for vertical fluid movement to drinking water resources if those wells were not properly plugged or if the plugs and cement have degraded over time. For example, an abandoned well in Pennsylvania produced a 30-foot (9-meter) geyser of brine and gas for more than a week after hydraulic fracturing of a nearby gas well.</w:t>
            </w:r>
            <w:r>
              <w:t>” pES-32</w:t>
            </w:r>
          </w:p>
          <w:p w14:paraId="79327361" w14:textId="77777777" w:rsidR="002F7982" w:rsidRDefault="002F7982" w:rsidP="0045301B">
            <w:pPr>
              <w:pStyle w:val="BodyText"/>
              <w:keepLines/>
            </w:pPr>
          </w:p>
          <w:p w14:paraId="00361891" w14:textId="4DB4162E" w:rsidR="002F7982" w:rsidRDefault="002F7982" w:rsidP="0045301B">
            <w:pPr>
              <w:pStyle w:val="BodyText"/>
              <w:keepLines/>
            </w:pPr>
            <w:r>
              <w:t>“</w:t>
            </w:r>
            <w:r w:rsidRPr="00ED4D9C">
              <w:t>To produce a consistent measure of proximity between these hydraulically fractured oil and gas production wells and drinking water resources during this time frame, the EPA counted the number hydraulically fractured oil and gas production wells located within 1 mile of public drinking water sources, and performed a count of the counties with a relatively high reliance on self-supplied drinking water that also contain one or more of these hydraulically fractured production wells. Between 2000 and 2013, approximately 3,900 public water systems had between one and 144 wells hydraulically fractured within 1 mile of their water source</w:t>
            </w:r>
            <w:r>
              <w:t>…” p2-18</w:t>
            </w:r>
          </w:p>
          <w:p w14:paraId="062CB989" w14:textId="77777777" w:rsidR="002F7982" w:rsidRDefault="002F7982" w:rsidP="0045301B">
            <w:pPr>
              <w:pStyle w:val="BodyText"/>
              <w:keepLines/>
            </w:pPr>
          </w:p>
          <w:p w14:paraId="2DC171FE" w14:textId="30367532" w:rsidR="002F7982" w:rsidRDefault="002F7982" w:rsidP="0045301B">
            <w:pPr>
              <w:pStyle w:val="BodyText"/>
              <w:keepLines/>
            </w:pPr>
            <w:r>
              <w:t>“</w:t>
            </w:r>
            <w:r w:rsidRPr="00CD7F12">
              <w:t xml:space="preserve">The primary factors that can affect the frequency or severity of impacts to drinking water associated with injection for hydraulic fracturing are: (1) the condition of the well’s casing and cement and their placement relative to drinking water resources, </w:t>
            </w:r>
            <w:r>
              <w:t>…</w:t>
            </w:r>
            <w:r w:rsidRPr="00CD7F12">
              <w:t>and (3) the presence/proximity and condition of wells near the hydraulic fracturing operation.</w:t>
            </w:r>
            <w:r>
              <w:t>” p6-1</w:t>
            </w:r>
          </w:p>
          <w:p w14:paraId="759D02A1" w14:textId="77777777" w:rsidR="002F7982" w:rsidRDefault="002F7982" w:rsidP="0045301B">
            <w:pPr>
              <w:pStyle w:val="BodyText"/>
              <w:keepLines/>
            </w:pPr>
          </w:p>
          <w:p w14:paraId="5694B213" w14:textId="097D1AD5" w:rsidR="002F7982" w:rsidRDefault="002F7982" w:rsidP="0045301B">
            <w:pPr>
              <w:pStyle w:val="BodyText"/>
              <w:keepLines/>
            </w:pPr>
            <w:r>
              <w:t>“</w:t>
            </w:r>
            <w:r w:rsidRPr="009B0F24">
              <w:t>Anomalies in operational monitoring data can also indicate whether an unexpected event has occurred, such as communication with another well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9B0F24">
              <w:t>Section 6.3.2.3).</w:t>
            </w:r>
            <w:r>
              <w:t>” p6-43</w:t>
            </w:r>
          </w:p>
          <w:p w14:paraId="27B5B23E" w14:textId="77777777" w:rsidR="002F7982" w:rsidRDefault="002F7982" w:rsidP="0045301B">
            <w:pPr>
              <w:pStyle w:val="BodyText"/>
              <w:keepLines/>
            </w:pPr>
          </w:p>
          <w:p w14:paraId="43B75B67" w14:textId="67EFDF67" w:rsidR="002F7982" w:rsidRDefault="002F7982" w:rsidP="0045301B">
            <w:pPr>
              <w:pStyle w:val="BodyText"/>
              <w:keepLines/>
            </w:pPr>
            <w:r>
              <w:t>“Frac hits (</w:t>
            </w:r>
            <w:r w:rsidRPr="005160F2">
              <w:t>hydraulic fractures propagate to</w:t>
            </w:r>
            <w:r w:rsidRPr="00A07AFF">
              <w:t xml:space="preserve"> </w:t>
            </w:r>
            <w:r w:rsidRPr="005160F2">
              <w:t>other existing hydraulic fractures</w:t>
            </w:r>
            <w:r>
              <w:t xml:space="preserve">) </w:t>
            </w:r>
            <w:r w:rsidRPr="00A07AFF">
              <w:t>can be a particular concern in shallower formations, where the local least principal stress is vertical (resulting in more horizontal fracture propagation), and in situations where there are drinking water wells in the same formation as wells used for hydraulic fracturing</w:t>
            </w:r>
            <w:r>
              <w:t>.” p6-58</w:t>
            </w:r>
          </w:p>
          <w:p w14:paraId="61A63126" w14:textId="77777777" w:rsidR="002F7982" w:rsidRDefault="002F7982" w:rsidP="0045301B">
            <w:pPr>
              <w:pStyle w:val="BodyText"/>
              <w:keepLines/>
            </w:pPr>
          </w:p>
          <w:p w14:paraId="24EEBD6E" w14:textId="69F888BD" w:rsidR="002F7982" w:rsidRDefault="002F7982" w:rsidP="0045301B">
            <w:pPr>
              <w:pStyle w:val="BodyText"/>
              <w:keepLines/>
            </w:pPr>
            <w:r>
              <w:t>“</w:t>
            </w:r>
            <w:r w:rsidRPr="005160F2">
              <w:t>While the subsurface effects of frac hits have not been extensively studied, these cases demonstrate the possibility of fluid migration via communication with other wells and/or their fracture networks. More generally, well communication events can indicate fracture behavior that was not intended by the treatment design.</w:t>
            </w:r>
            <w:r>
              <w:t>” p6-59</w:t>
            </w:r>
          </w:p>
          <w:p w14:paraId="6D44A608" w14:textId="77777777" w:rsidR="002F7982" w:rsidRDefault="002F7982" w:rsidP="0045301B">
            <w:pPr>
              <w:pStyle w:val="BodyText"/>
              <w:keepLines/>
            </w:pPr>
          </w:p>
          <w:p w14:paraId="49FB1969" w14:textId="709DCD90" w:rsidR="002F7982" w:rsidRDefault="002F7982" w:rsidP="0045301B">
            <w:pPr>
              <w:pStyle w:val="BodyText"/>
              <w:keepLines/>
            </w:pPr>
            <w:r>
              <w:t>“…</w:t>
            </w:r>
            <w:r w:rsidRPr="005160F2">
              <w:t>results indicate that the subsurface interactions of well networks or complex hydraulics driven by each well at a densely populated (with respect to wells) area are important factors to consider for the design of hydraulic fracturing treatments and other aspects of oil and gas production.</w:t>
            </w:r>
            <w:r>
              <w:t>” p6-61</w:t>
            </w:r>
          </w:p>
          <w:p w14:paraId="11630A3D" w14:textId="77777777" w:rsidR="002F7982" w:rsidRDefault="002F7982" w:rsidP="0045301B">
            <w:pPr>
              <w:pStyle w:val="BodyText"/>
              <w:keepLines/>
            </w:pPr>
          </w:p>
          <w:p w14:paraId="738408A1" w14:textId="02C84431" w:rsidR="002F7982" w:rsidRDefault="002F7982" w:rsidP="0045301B">
            <w:pPr>
              <w:pStyle w:val="BodyText"/>
              <w:keepLines/>
            </w:pPr>
            <w:r>
              <w:t>“</w:t>
            </w:r>
            <w:r w:rsidRPr="00B5275A">
              <w:t xml:space="preserve">The key factor affecting the likelihood of a well communication event and the impact of a frac hit is the location of the offset well relative to the well where hydraulic fracturing was conducted </w:t>
            </w:r>
            <w:r>
              <w:fldChar w:fldCharType="begin" w:fldLock="1"/>
            </w:r>
            <w:r>
              <w:instrText>ADDIN CSL_CITATION {"citationItems":[{"id":"ITEM-1","itemData":{"DOI":"10.2118/151045-MS","ISBN":"9781613991787","abstract":"Advances in drilling and fracturing technologies in Woodford Shale have attracted the operators to drill horizontal wells with long laterals (up to 5,000 ft), and to fracture using multiple stages (up to 22) using large amounts of slickwater and sand. It has been observed that exploitation of shale plays relies on the ability to contact as much of the reservoir as possible using fracturing techniques by creating a network of interconnecting fractures between laterals placed as close as 660 ft apart. As the spacing gets closer, the operators have a vested interest in knowing the optimal spacing of infill wells. Ideally, an infill well should have as little interference with the existing wells as possible. In this paper, we examine fracture data, and daily gas and water production data of 179 horizontal gas wells over five years in the Arkoma Basin to quantify the impact of interference between wells on their performance. We quantify the lost gas production from the surrounding wells; calculate the probability of interference as a function of distance and age of the surrounding well; determine the preferential direction of interference, and develop a new measure of spacing to understand the relationship between performance of the well and its surrounding wells. Finally, we provide recommendations regarding the spacing of infill wells.","author":[{"dropping-particle":"","family":"Ajani","given":"Ayantayo Abdulkamil","non-dropping-particle":"","parse-names":false,"suffix":""},{"dropping-particle":"","family":"Kelkar","given":"Mohan Gajanan","non-dropping-particle":"","parse-names":false,"suffix":""}],"container-title":"SPE Hydraulic Fracturing Technology Conference","id":"ITEM-1","issue":"February","issued":{"date-parts":[["2012"]]},"page":"6-8","publisher-place":"The Woodlands, Texas","title":"Interference Study in Shale Plays","type":"paper-conference"},"uris":["http://www.mendeley.com/documents/?uuid=5b20c67f-5ad4-404e-b2bc-53e78825588c"]}],"mendeley":{"formattedCitation":"(Ajani and Kelkar, 2012)","plainTextFormattedCitation":"(Ajani and Kelkar, 2012)","previouslyFormattedCitation":"(Ajani and Kelkar, 2012)"},"properties":{"noteIndex":0},"schema":"https://github.com/citation-style-language/schema/raw/master/csl-citation.json"}</w:instrText>
            </w:r>
            <w:r>
              <w:fldChar w:fldCharType="separate"/>
            </w:r>
            <w:r w:rsidRPr="00DC4A3D">
              <w:rPr>
                <w:noProof/>
              </w:rPr>
              <w:t>(Ajani and Kelkar, 2012)</w:t>
            </w:r>
            <w:r>
              <w:fldChar w:fldCharType="end"/>
            </w:r>
            <w:r w:rsidRPr="00B5275A">
              <w:t xml:space="preserve">. In the </w:t>
            </w:r>
            <w:r>
              <w:fldChar w:fldCharType="begin" w:fldLock="1"/>
            </w:r>
            <w:r>
              <w:instrText>ADDIN CSL_CITATION {"citationItems":[{"id":"ITEM-1","itemData":{"DOI":"10.2118/151045-MS","ISBN":"9781613991787","abstract":"Advances in drilling and fracturing technologies in Woodford Shale have attracted the operators to drill horizontal wells with long laterals (up to 5,000 ft), and to fracture using multiple stages (up to 22) using large amounts of slickwater and sand. It has been observed that exploitation of shale plays relies on the ability to contact as much of the reservoir as possible using fracturing techniques by creating a network of interconnecting fractures between laterals placed as close as 660 ft apart. As the spacing gets closer, the operators have a vested interest in knowing the optimal spacing of infill wells. Ideally, an infill well should have as little interference with the existing wells as possible. In this paper, we examine fracture data, and daily gas and water production data of 179 horizontal gas wells over five years in the Arkoma Basin to quantify the impact of interference between wells on their performance. We quantify the lost gas production from the surrounding wells; calculate the probability of interference as a function of distance and age of the surrounding well; determine the preferential direction of interference, and develop a new measure of spacing to understand the relationship between performance of the well and its surrounding wells. Finally, we provide recommendations regarding the spacing of infill wells.","author":[{"dropping-particle":"","family":"Ajani","given":"Ayantayo Abdulkamil","non-dropping-particle":"","parse-names":false,"suffix":""},{"dropping-particle":"","family":"Kelkar","given":"Mohan Gajanan","non-dropping-particle":"","parse-names":false,"suffix":""}],"container-title":"SPE Hydraulic Fracturing Technology Conference","id":"ITEM-1","issue":"February","issued":{"date-parts":[["2012"]]},"page":"6-8","publisher-place":"The Woodlands, Texas","title":"Interference Study in Shale Plays","type":"paper-conference"},"uris":["http://www.mendeley.com/documents/?uuid=5b20c67f-5ad4-404e-b2bc-53e78825588c"]}],"mendeley":{"formattedCitation":"(Ajani and Kelkar, 2012)","manualFormatting":"Ajani and Kelkar (2012)","plainTextFormattedCitation":"(Ajani and Kelkar, 2012)","previouslyFormattedCitation":"(Ajani and Kelkar, 2012)"},"properties":{"noteIndex":0},"schema":"https://github.com/citation-style-language/schema/raw/master/csl-citation.json"}</w:instrText>
            </w:r>
            <w:r>
              <w:fldChar w:fldCharType="separate"/>
            </w:r>
            <w:r w:rsidRPr="00DC4A3D">
              <w:rPr>
                <w:noProof/>
              </w:rPr>
              <w:t xml:space="preserve">Ajani and Kelkar </w:t>
            </w:r>
            <w:r>
              <w:rPr>
                <w:noProof/>
              </w:rPr>
              <w:t>(</w:t>
            </w:r>
            <w:r w:rsidRPr="00DC4A3D">
              <w:rPr>
                <w:noProof/>
              </w:rPr>
              <w:t>2012)</w:t>
            </w:r>
            <w:r>
              <w:fldChar w:fldCharType="end"/>
            </w:r>
            <w:r w:rsidRPr="00B5275A">
              <w:t xml:space="preserve"> analysis, the likelihood of a communication event was less than 10% in wells more than 4,000 ft (1,000 m) apart, but rose to nearly 50% in wells less than 1,000 ft (300 m) apart.</w:t>
            </w:r>
            <w:r>
              <w:t xml:space="preserve"> </w:t>
            </w:r>
            <w:r w:rsidRPr="00B5275A">
              <w:t xml:space="preserve">Well communication was also much more likely with wells drilled from the same pad. The affected wells were found to be in the direction of maximum horizontal stress in the field, which correlates with the expected direction of fracture propagation. Modeling work by </w:t>
            </w:r>
            <w:r>
              <w:fldChar w:fldCharType="begin" w:fldLock="1"/>
            </w:r>
            <w:r>
              <w:instrText>ADDIN CSL_CITATION {"citationItems":[{"id":"ITEM-1","itemData":{"DOI":"10.1016/j.jngse.2015.08.030","ISSN":"18755100","abstract":"One of the critical environmental questions about hydraulic fracturing in shales is the potential for contamination of ground and surface water. There are two specific concerns arising from hydraulic treatments: 1) whether hydraulic fractures extend upward through overlying strata to reach overlying aquifers containing drinking water, and 2) whether injected fluids push native fluids upward into these overlying aquifers. In this work, the extent of likely fracture growth through overlying layers during hydraulic treatment of the Marcellus shale was estimated using a hydraulic fracture model. A wide range of material and fluid flow properties in a multi-layered geologic model was considered. The model was based on conditions and characteristics applicable to the Marcellus shale in that part of the Appalachian basin within southwestern Pennsylvania. Predictions of vertical termination frequencies for hydraulic fractures were used in a multi-layer model of the strata and natural fractures for studying brine migration through the natural and induced fracture network. NFFLOW, the software for explicitly modeling flow within networks of fractures, was utilized to compute transient flow rates according to the schedule of injected fluid during hydraulic fracturing. To aid our analysis, the modeled sequence of geologic strata was capped with a fictitious unfractured, but moderately-permeable layer, which serves as a monitoring zone. The analysis assumes one well lateral was placed in the middle of the Marcellus shale with hydraulic fractures penetrating layers in the model. The newly-developed geomechanical module within NFFLOW was used to represent stress-sensitivity of the fractures. This allows the opening and closing of fracture apertures with changes in fluid pressures within fracture segments. Pressure increases in the formations overlying the Tully limestone, indicating fluid flow, was observed due to the hydraulic stimulation; and the impact of these increased pressures on brine migration towards the surface was considered.","author":[{"dropping-particle":"","family":"Myshakin","given":"Evgeniy","non-dropping-particle":"","parse-names":false,"suffix":""},{"dropping-particle":"","family":"Siriwardane","given":"Hema","non-dropping-particle":"","parse-names":false,"suffix":""},{"dropping-particle":"","family":"Hulcher","given":"Carter","non-dropping-particle":"","parse-names":false,"suffix":""},{"dropping-particle":"","family":"Lindner","given":"Ernest","non-dropping-particle":"","parse-names":false,"suffix":""},{"dropping-particle":"","family":"Sams","given":"Neal","non-dropping-particle":"","parse-names":false,"suffix":""},{"dropping-particle":"","family":"King","given":"Seth","non-dropping-particle":"","parse-names":false,"suffix":""},{"dropping-particle":"","family":"McKoy","given":"Mark","non-dropping-particle":"","parse-names":false,"suffix":""}],"container-title":"Journal of Natural Gas Science and Engineering","id":"ITEM-1","issued":{"date-parts":[["2015"]]},"page":"531-544","publisher":"Elsevier B.V","title":"Numerical simulations of vertical growth of hydraulic fractures and brine migration in geological formations above the Marcellus shale","type":"article-journal","volume":"27"},"uris":["http://www.mendeley.com/documents/?uuid=850868a9-de33-467c-8e3f-760c1c1ad488"]}],"mendeley":{"formattedCitation":"(Myshakin &lt;i&gt;et al.&lt;/i&gt;, 2015)","manualFormatting":"Myshakin et al., (2015)","plainTextFormattedCitation":"(Myshakin et al., 2015)","previouslyFormattedCitation":"(Myshakin &lt;i&gt;et al.&lt;/i&gt;, 2015)"},"properties":{"noteIndex":0},"schema":"https://github.com/citation-style-language/schema/raw/master/csl-citation.json"}</w:instrText>
            </w:r>
            <w:r>
              <w:fldChar w:fldCharType="separate"/>
            </w:r>
            <w:r w:rsidRPr="00DC4A3D">
              <w:rPr>
                <w:noProof/>
              </w:rPr>
              <w:t xml:space="preserve">Myshakin </w:t>
            </w:r>
            <w:r w:rsidRPr="005A442F">
              <w:rPr>
                <w:noProof/>
              </w:rPr>
              <w:t>et al.</w:t>
            </w:r>
            <w:r w:rsidRPr="00DC4A3D">
              <w:rPr>
                <w:noProof/>
              </w:rPr>
              <w:t xml:space="preserve">, </w:t>
            </w:r>
            <w:r>
              <w:rPr>
                <w:noProof/>
              </w:rPr>
              <w:t>(</w:t>
            </w:r>
            <w:r w:rsidRPr="00DC4A3D">
              <w:rPr>
                <w:noProof/>
              </w:rPr>
              <w:t>2015)</w:t>
            </w:r>
            <w:r>
              <w:fldChar w:fldCharType="end"/>
            </w:r>
            <w:r w:rsidRPr="00B5275A">
              <w:t xml:space="preserve"> is generally consistent with these results, indicating that the risk of fluid movement through pre-existing wellbores or open faults is negligible unless hydraulic fractures are located very close to these features.</w:t>
            </w:r>
            <w:r>
              <w:t>” p6-61</w:t>
            </w:r>
          </w:p>
          <w:p w14:paraId="4D3832C9" w14:textId="77777777" w:rsidR="002F7982" w:rsidRDefault="002F7982" w:rsidP="0045301B">
            <w:pPr>
              <w:pStyle w:val="BodyText"/>
              <w:keepLines/>
            </w:pPr>
          </w:p>
          <w:p w14:paraId="03646A79" w14:textId="2507DA07" w:rsidR="002F7982" w:rsidRDefault="002F7982" w:rsidP="0045301B">
            <w:pPr>
              <w:pStyle w:val="BodyText"/>
              <w:keepLines/>
            </w:pPr>
            <w:r>
              <w:t>“</w:t>
            </w:r>
            <w:r w:rsidRPr="006156CA">
              <w:t>Well communication may be more likely to occur where there is less resistance to fracture growth. Such conditions may be related to existing production operations (e.g., where previous hydrocarbon extraction has reduced the pore pressure, changed stress fields, or affected existing fracture networks) or the existence of high-permeability rock units</w:t>
            </w:r>
            <w:r>
              <w:t xml:space="preserve"> - </w:t>
            </w:r>
            <w:r w:rsidRPr="006156CA">
              <w:t>tendency for asymmetric fracture growth toward depleted areas in low-permeability gas reservoirs due to pore pressure depletion from production at offset wells.</w:t>
            </w:r>
            <w:r>
              <w:t>” p6-61</w:t>
            </w:r>
          </w:p>
          <w:p w14:paraId="740F257D" w14:textId="77777777" w:rsidR="002F7982" w:rsidRDefault="002F7982" w:rsidP="0045301B">
            <w:pPr>
              <w:pStyle w:val="BodyText"/>
              <w:keepLines/>
            </w:pPr>
          </w:p>
          <w:p w14:paraId="5A387601" w14:textId="1CA98F90" w:rsidR="002F7982" w:rsidRDefault="002F7982" w:rsidP="0045301B">
            <w:pPr>
              <w:pStyle w:val="BodyText"/>
              <w:keepLines/>
            </w:pPr>
            <w:r>
              <w:t>“…</w:t>
            </w:r>
            <w:r w:rsidRPr="006156CA">
              <w:t>the potential for impact on a drinking water resource also depends on the condition of the offset well</w:t>
            </w:r>
            <w:r>
              <w:t xml:space="preserve">…. </w:t>
            </w:r>
            <w:r w:rsidRPr="006156CA">
              <w:t>If the cement in the annulus between the casing and the formation is intact and the well components can withstand the stress exerted by the pressure of the fluid, nothing more than an increase in pressure and extra production of fluids would occur during a well communication event</w:t>
            </w:r>
            <w:r>
              <w:t xml:space="preserve">. </w:t>
            </w:r>
            <w:r w:rsidRPr="006156CA">
              <w:t>However, if the offset well is not able to withstand the pressure of the hydraulic fracturing fluid, well components could fail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6156CA">
              <w:t>Figure 6-4), allowing fluid to migrate out of the well.</w:t>
            </w:r>
            <w:r>
              <w:t>” p6-62</w:t>
            </w:r>
          </w:p>
          <w:p w14:paraId="5AD9FAFB" w14:textId="77777777" w:rsidR="002F7982" w:rsidRDefault="002F7982" w:rsidP="0045301B">
            <w:pPr>
              <w:pStyle w:val="BodyText"/>
              <w:keepLines/>
            </w:pPr>
          </w:p>
          <w:p w14:paraId="275DCE32" w14:textId="2C79615D" w:rsidR="002F7982" w:rsidRDefault="002F7982" w:rsidP="0045301B">
            <w:pPr>
              <w:pStyle w:val="BodyText"/>
              <w:keepLines/>
            </w:pPr>
            <w:r>
              <w:t>“</w:t>
            </w:r>
            <w:r w:rsidRPr="006156CA">
              <w:t>In older wells near a hydraulic fracturing operation, plugs and cement can degrade over time; in some cases, abandoned wells may never have been plugged properly</w:t>
            </w:r>
            <w:r>
              <w:t>.” p6-62</w:t>
            </w:r>
          </w:p>
          <w:p w14:paraId="449573AD" w14:textId="77777777" w:rsidR="002F7982" w:rsidRDefault="002F7982" w:rsidP="0045301B">
            <w:pPr>
              <w:pStyle w:val="BodyText"/>
              <w:keepLines/>
            </w:pPr>
          </w:p>
          <w:p w14:paraId="4B8FA07A" w14:textId="5FEB4AC2" w:rsidR="002F7982" w:rsidRPr="00995AD8" w:rsidRDefault="002F7982" w:rsidP="0045301B">
            <w:pPr>
              <w:pStyle w:val="BodyText"/>
              <w:keepLines/>
            </w:pPr>
            <w:r>
              <w:t>“</w:t>
            </w:r>
            <w:r w:rsidRPr="005B6C24">
              <w:t>Based on the available information, frac hits most commonly occur on multi-well pads and when wells are spaced less than 1,100 ft (340 m) apart, but they have been observed at wells up to 8,422 ft (2,567 m) away from a well undergoing hydraulic fracturing.</w:t>
            </w:r>
            <w:r>
              <w:t>” p6-71</w:t>
            </w:r>
          </w:p>
        </w:tc>
      </w:tr>
      <w:tr w:rsidR="002F7982" w14:paraId="2D9E1C97"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2130BAC1" w14:textId="77777777" w:rsidR="002F7982" w:rsidRDefault="002F7982" w:rsidP="0045301B">
            <w:pPr>
              <w:pStyle w:val="TableText"/>
              <w:keepLines/>
              <w:spacing w:before="0" w:after="0" w:line="240" w:lineRule="auto"/>
            </w:pPr>
            <w:r>
              <w:t>F.3</w:t>
            </w:r>
          </w:p>
        </w:tc>
        <w:tc>
          <w:tcPr>
            <w:tcW w:w="0" w:type="auto"/>
          </w:tcPr>
          <w:p w14:paraId="657950D5" w14:textId="77777777" w:rsidR="002F7982" w:rsidRDefault="002F7982" w:rsidP="0045301B">
            <w:pPr>
              <w:pStyle w:val="TableTextCentred"/>
              <w:keepLines/>
              <w:spacing w:before="0" w:after="0" w:line="240" w:lineRule="auto"/>
              <w:jc w:val="left"/>
            </w:pPr>
            <w:r>
              <w:t>Hydraulic fracture growth into fault</w:t>
            </w:r>
          </w:p>
        </w:tc>
        <w:tc>
          <w:tcPr>
            <w:tcW w:w="973" w:type="dxa"/>
          </w:tcPr>
          <w:p w14:paraId="7A1EE998" w14:textId="4E80EA95" w:rsidR="002F7982" w:rsidRDefault="002F7982" w:rsidP="0045301B">
            <w:pPr>
              <w:pStyle w:val="TableTextCentred"/>
              <w:keepLines/>
              <w:spacing w:before="0" w:after="0" w:line="240" w:lineRule="auto"/>
              <w:jc w:val="left"/>
            </w:pPr>
            <w:r>
              <w:t>Rare</w:t>
            </w:r>
          </w:p>
        </w:tc>
        <w:tc>
          <w:tcPr>
            <w:tcW w:w="6350" w:type="dxa"/>
          </w:tcPr>
          <w:p w14:paraId="0A592FF3" w14:textId="249676E6" w:rsidR="002F7982" w:rsidRDefault="002F7982" w:rsidP="0045301B">
            <w:pPr>
              <w:pStyle w:val="TableTextCentred"/>
              <w:keepLines/>
              <w:spacing w:before="0" w:after="0" w:line="240" w:lineRule="auto"/>
              <w:jc w:val="left"/>
            </w:pPr>
            <w:r>
              <w:t>“…</w:t>
            </w:r>
            <w:r w:rsidRPr="009B0F24">
              <w:t xml:space="preserve">pressure data from previous hydraulic fracturing operations can indicate whether a geologic barrier to fracture growth exists and whether the barrier has been penetrated, or whether fractures have intersected with natural fractures or faults </w:t>
            </w:r>
            <w:r>
              <w:fldChar w:fldCharType="begin" w:fldLock="1"/>
            </w:r>
            <w:r>
              <w:instrText>ADDIN CSL_CITATION {"citationItems":[{"id":"ITEM-1","itemData":{"author":[{"dropping-particle":"","family":"American Petroleum Institute","given":"","non-dropping-particle":"","parse-names":false,"suffix":""}],"container-title":"American Petroleum Institute","id":"ITEM-1","issue":"ANSI/API RECOMMENDED PRACTICE 100-1","issued":{"date-parts":[["2015"]]},"title":"Hydraulic Fracturing—Well Integrity and Fracture Containment","type":"article-journal"},"uris":["http://www.mendeley.com/documents/?uuid=a0ef4b5d-9293-4060-b3f4-b66122c8ee34"]}],"mendeley":{"formattedCitation":"(American Petroleum Institute, 2015)","plainTextFormattedCitation":"(American Petroleum Institute, 2015)","previouslyFormattedCitation":"(American Petroleum Institute, 2015)"},"properties":{"noteIndex":0},"schema":"https://github.com/citation-style-language/schema/raw/master/csl-citation.json"}</w:instrText>
            </w:r>
            <w:r>
              <w:fldChar w:fldCharType="separate"/>
            </w:r>
            <w:r w:rsidRPr="009B0F24">
              <w:rPr>
                <w:noProof/>
              </w:rPr>
              <w:t>(American Petroleum Institute, 2015)</w:t>
            </w:r>
            <w:r>
              <w:fldChar w:fldCharType="end"/>
            </w:r>
            <w:r>
              <w:t>.” p6-43</w:t>
            </w:r>
          </w:p>
          <w:p w14:paraId="11889864" w14:textId="77777777" w:rsidR="002F7982" w:rsidRDefault="002F7982" w:rsidP="0045301B">
            <w:pPr>
              <w:pStyle w:val="BodyText"/>
              <w:keepLines/>
            </w:pPr>
          </w:p>
          <w:p w14:paraId="1EA8ABA3" w14:textId="36817A99" w:rsidR="002F7982" w:rsidRDefault="002F7982" w:rsidP="0045301B">
            <w:pPr>
              <w:pStyle w:val="BodyText"/>
              <w:keepLines/>
            </w:pPr>
            <w:r>
              <w:t>“</w:t>
            </w:r>
            <w:r w:rsidRPr="005136C0">
              <w:t xml:space="preserve">A statistical analysis of microseismic data by </w:t>
            </w:r>
            <w:r>
              <w:fldChar w:fldCharType="begin" w:fldLock="1"/>
            </w:r>
            <w:r>
              <w:instrText>ADDIN CSL_CITATION {"citationItems":[{"id":"ITEM-1","itemData":{"DOI":"10.1190/geo2010-0349.1","ISBN":"0016-8033","ISSN":"0016-8033","abstract":"Sometimes rock stimulations by fluid injections into geothermal boreholes are able to trigger perceptible or even potentially damaging earthquakes. This does not seem to be the case for hydraulic fracturing of hydrocarbon reservoirs. Reasons for such a difference and factors defining magnitudes of induced earthquakes (triggered tectonicly as well as induced artificially) remain unclear. We analyzed microseismic data obtained by fluid stimulations at different geothermal and hydrocarbon sites. This analysis indicates that a rupture corresponding to a fluid-induced earthquake seems to be only probable along a surface located mainly inside a stimulated rock volume. We approximated the stimulated volume by an ellipsoid, and compared the statistics of induced events with the statistics of randomly distributed thin flat disks modeling rupture surfaces. We found that one of the main factors limiting the probability to induce a large-magnitude event is the minimum principal axis of a fluid-stimulated rock volume. This geometrical scale can be very different in geothermal and hydrocarbon reservoirs. It may control the order of a largest possible magnitude. We quantified an impact of the geometry of a stimulated volume on the Gutenberg-Richter-type frequency-magnitude distribution of induced earthquakes. Our results show that monitoring the spatial growth of seismicity in real time can help to constrain a risk of inducing damaging earthquakes.","author":[{"dropping-particle":"","family":"Shapiro","given":"Serge A.","non-dropping-particle":"","parse-names":false,"suffix":""},{"dropping-particle":"","family":"Krüger","given":"Oliver S.","non-dropping-particle":"","parse-names":false,"suffix":""},{"dropping-particle":"","family":"Dinske","given":"Carsten","non-dropping-particle":"","parse-names":false,"suffix":""},{"dropping-particle":"","family":"Langenbruch","given":"Cornelius","non-dropping-particle":"","parse-names":false,"suffix":""}],"container-title":"GEOPHYSICS","id":"ITEM-1","issue":"6","issued":{"date-parts":[["2011","11"]]},"page":"WC55-WC63","title":"Magnitudes of induced earthquakes and geometric scales of fluid-stimulated rock volumes","type":"article-journal","volume":"76"},"uris":["http://www.mendeley.com/documents/?uuid=4b11cbd2-5d81-4952-9a65-06d614bb232d"]}],"mendeley":{"formattedCitation":"(Shapiro &lt;i&gt;et al.&lt;/i&gt;, 2011)","plainTextFormattedCitation":"(Shapiro et al., 2011)","previouslyFormattedCitation":"(Shapiro &lt;i&gt;et al.&lt;/i&gt;, 2011)"},"properties":{"noteIndex":0},"schema":"https://github.com/citation-style-language/schema/raw/master/csl-citation.json"}</w:instrText>
            </w:r>
            <w:r>
              <w:fldChar w:fldCharType="separate"/>
            </w:r>
            <w:r w:rsidRPr="00683F5E">
              <w:rPr>
                <w:noProof/>
              </w:rPr>
              <w:t xml:space="preserve">(Shapiro </w:t>
            </w:r>
            <w:r w:rsidRPr="005A442F">
              <w:rPr>
                <w:noProof/>
              </w:rPr>
              <w:t>et al.</w:t>
            </w:r>
            <w:r w:rsidRPr="00683F5E">
              <w:rPr>
                <w:noProof/>
              </w:rPr>
              <w:t>, 2011)</w:t>
            </w:r>
            <w:r>
              <w:fldChar w:fldCharType="end"/>
            </w:r>
            <w:r w:rsidRPr="005136C0">
              <w:t xml:space="preserve"> found that fault rupture (movement along a fault) from hydraulic fracturing is limited by the extent of the stimulated rock volume and is unlikely to extend beyond the fracture network.</w:t>
            </w:r>
            <w:r>
              <w:t>” p6-67</w:t>
            </w:r>
          </w:p>
          <w:p w14:paraId="2F79C022" w14:textId="77777777" w:rsidR="002F7982" w:rsidRDefault="002F7982" w:rsidP="0045301B">
            <w:pPr>
              <w:pStyle w:val="BodyText"/>
              <w:keepLines/>
            </w:pPr>
          </w:p>
          <w:p w14:paraId="6CCC95CA" w14:textId="43A28F26" w:rsidR="002F7982" w:rsidRDefault="002F7982" w:rsidP="0045301B">
            <w:pPr>
              <w:pStyle w:val="BodyText"/>
              <w:keepLines/>
            </w:pPr>
            <w:r>
              <w:t>“</w:t>
            </w:r>
            <w:r w:rsidRPr="00C41C74">
              <w:t xml:space="preserve">In the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683F5E">
              <w:rPr>
                <w:noProof/>
              </w:rPr>
              <w:t xml:space="preserve">Fisher and Warpinski, </w:t>
            </w:r>
            <w:r>
              <w:rPr>
                <w:noProof/>
              </w:rPr>
              <w:t>(</w:t>
            </w:r>
            <w:r w:rsidRPr="00683F5E">
              <w:rPr>
                <w:noProof/>
              </w:rPr>
              <w:t>2012)</w:t>
            </w:r>
            <w:r>
              <w:fldChar w:fldCharType="end"/>
            </w:r>
            <w:r w:rsidRPr="00C41C74">
              <w:t xml:space="preserve"> data set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41C74">
              <w:t>Section 6.3.2.2), the greatest fracture heights occurred when the hydraulic fractures intersected pre-existing faults.</w:t>
            </w:r>
            <w:r>
              <w:t>” p6-67</w:t>
            </w:r>
          </w:p>
          <w:p w14:paraId="7F9B647C" w14:textId="77777777" w:rsidR="002F7982" w:rsidRDefault="002F7982" w:rsidP="0045301B">
            <w:pPr>
              <w:pStyle w:val="BodyText"/>
              <w:keepLines/>
            </w:pPr>
          </w:p>
          <w:p w14:paraId="076ADDDD" w14:textId="6EC84F5E" w:rsidR="002F7982" w:rsidRDefault="002F7982" w:rsidP="0045301B">
            <w:pPr>
              <w:pStyle w:val="BodyText"/>
              <w:keepLines/>
            </w:pPr>
            <w:r>
              <w:t>“</w:t>
            </w:r>
            <w:r>
              <w:fldChar w:fldCharType="begin" w:fldLock="1"/>
            </w:r>
            <w:r>
              <w:instrText>ADDIN CSL_CITATION {"citationItems":[{"id":"ITEM-1","itemData":{"DOI":"NETL-TRS-3-2014","abstract":"This field study monitored the induced fracturing of six horizontal Marcellus Shale gas wells in Greene County, Pennsylvania. The study had two research objectives: 1) to determine the maximum height of fractures created by hydraulic fracturing at this location;and 2) to determine if natural gas or fluids from the hydraulically fractured Marcellus Shale had migrated 3,800 ft upward to an overlying Upper Devonian/Lower Mississippian gas field during or after hydraulic fracturing.\\n\\nThe Tully Limestone occurs about 280 ft above the Marcellus Shale at this location and is considered to be a barrier to upward fracture growth when intact. Microseismic monitoring using vertical geophone arrays located 10,288 microseismic events during hydraulic fracturing; about 40% of the events were above the Tully Limestone, but all events were at least 2,000 ft below producing zones in the overlying Upper Devonian/Lower Mississippian gas field, and more than 5,000 ft below drinking water aquifers.\\n\\nMonitoring for evidence of fluid and gas migration was performed during and after the hydraulic fracturing of six horizontal Marcellus Shale gas wells. This monitoring program included: 1) gas pressure and production histories of three Upper Devonian/LowerMississippian wells; 2) chemical and isotopic analysis of the gas produced from seven Upper Devonian/Lower Mississippian wells; 3) chemical and isotopic analysis of water produced from five Upper Devonian/Lower Mississippian wells; and 4) monitoring for perfluorocarbon tracers in gas produced from two Upper Devonian/Lower Mississippian wells. Gas production and pressure histories from three Upper Devonian/Lower Mississippian gas wells that directly overlie stimulated, horizontal Marcellus Shale gas wells recorded no production or pressure increase in the 12-month period after hydraulic fracturing. Anincrease would imply communication with the over-pressured Marcellus Formation below. Sampling to detect possible migration of fluid and gas from the underlying hydraulically fractured Marcellus Shale gas wells commenced 2 months prior to hydraulic fracturing to establish background conditions. Analyses have been completed for gas samples collected up to 8 months after hydraulic fracturing and for produced water samples collected up to 5 months after hydraulic fracturing. Samples of gas and produced water continue to be collected monthly (produced water) and bimonthly (gas) from seven Upper Devonian/Lower Mississippian gas wells…","author":[{"dropping-particle":"","family":"Hammack","given":"R","non-dropping-particle":"","parse-names":false,"suffix":""},{"dropping-particle":"","family":"Harbert","given":"W","non-dropping-particle":"","parse-names":false,"suffix":""},{"dropping-particle":"","family":"Sharma","given":"S","non-dropping-particle":"","parse-names":false,"suffix":""},{"dropping-particle":"","family":"Stewart","given":"B","non-dropping-particle":"","parse-names":false,"suffix":""},{"dropping-particle":"","family":"Capo","given":"R","non-dropping-particle":"","parse-names":false,"suffix":""},{"dropping-particle":"","family":"Wall","given":"A","non-dropping-particle":"","parse-names":false,"suffix":""},{"dropping-particle":"","family":"Wells","given":"A","non-dropping-particle":"","parse-names":false,"suffix":""},{"dropping-particle":"","family":"Diehl","given":"R","non-dropping-particle":"","parse-names":false,"suffix":""},{"dropping-particle":"","family":"Blaushild","given":"D","non-dropping-particle":"","parse-names":false,"suffix":""},{"dropping-particle":"","family":"Sams","given":"J","non-dropping-particle":"","parse-names":false,"suffix":""},{"dropping-particle":"","family":"Veloski","given":"G","non-dropping-particle":"","parse-names":false,"suffix":""}],"container-title":"Netl-Trs-3-2014","id":"ITEM-1","issue":"September","issued":{"date-parts":[["2014"]]},"page":"1-80","title":"An Evaluation of Fracture Growth and Gas/Fluid Migration as Horizontal Marcellus Shale Gas Wells are Hydraulically Fractured in Greene County, Pennsylvania","type":"article-journal"},"uris":["http://www.mendeley.com/documents/?uuid=b05ba2c4-a12c-4fe1-9f29-758d3ed2ecc3"]}],"mendeley":{"formattedCitation":"(Hammack &lt;i&gt;et al.&lt;/i&gt;, 2014)","plainTextFormattedCitation":"(Hammack et al., 2014)","previouslyFormattedCitation":"(Hammack &lt;i&gt;et al.&lt;/i&gt;, 2014)"},"properties":{"noteIndex":0},"schema":"https://github.com/citation-style-language/schema/raw/master/csl-citation.json"}</w:instrText>
            </w:r>
            <w:r>
              <w:fldChar w:fldCharType="separate"/>
            </w:r>
            <w:r w:rsidRPr="00683F5E">
              <w:rPr>
                <w:noProof/>
              </w:rPr>
              <w:t xml:space="preserve">(Hammack </w:t>
            </w:r>
            <w:r w:rsidRPr="005A442F">
              <w:rPr>
                <w:noProof/>
              </w:rPr>
              <w:t>et al.</w:t>
            </w:r>
            <w:r w:rsidRPr="00683F5E">
              <w:rPr>
                <w:noProof/>
              </w:rPr>
              <w:t>, 2014)</w:t>
            </w:r>
            <w:r>
              <w:fldChar w:fldCharType="end"/>
            </w:r>
            <w:r w:rsidRPr="00C41C74">
              <w:t xml:space="preserve"> reported that fracture growth seen above the Marcellus Shale is consistent with the inferred extent of pre-existing faults at the Greene County, Pennsylvania, research site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41C74">
              <w:t>Section 6.3.2.2 and Text Box 6-6).</w:t>
            </w:r>
            <w:r>
              <w:t>” p6-67</w:t>
            </w:r>
          </w:p>
          <w:p w14:paraId="29CE21A8" w14:textId="77777777" w:rsidR="002F7982" w:rsidRDefault="002F7982" w:rsidP="0045301B">
            <w:pPr>
              <w:pStyle w:val="BodyText"/>
              <w:keepLines/>
            </w:pPr>
          </w:p>
          <w:p w14:paraId="19906C1D" w14:textId="0BF8E265" w:rsidR="002F7982" w:rsidRDefault="002F7982" w:rsidP="0045301B">
            <w:pPr>
              <w:pStyle w:val="BodyText"/>
              <w:keepLines/>
            </w:pPr>
            <w:r>
              <w:t>“</w:t>
            </w:r>
            <w:r w:rsidRPr="00344CB3">
              <w:t>At a site in Ohio,</w:t>
            </w:r>
            <w:r>
              <w:t xml:space="preserve"> </w:t>
            </w:r>
            <w:r>
              <w:fldChar w:fldCharType="begin" w:fldLock="1"/>
            </w:r>
            <w:r>
              <w:instrText xml:space="preserve">ADDIN CSL_CITATION {"citationItems":[{"id":"ITEM-1","itemData":{"DOI":"10.1785/0120140168","ISBN":"0120150131","ISSN":"19433573","abstract":"Felt seismicity induced by hydraulic fracturing is very rare, with only a handful of reported cases worldwide. Using an optimized multistation cross‐correlation template‐matching routine, 77 earthquakes were identified in Poland Township, Mahoning County, Ohio, that were closely related spatially and temporally to active hydraulic fracturing operations. We identified earthquakes as small as local magnitudes (ML) </w:instrText>
            </w:r>
            <w:r>
              <w:rPr>
                <w:rFonts w:ascii="Cambria Math" w:hAnsi="Cambria Math" w:cs="Cambria Math"/>
              </w:rPr>
              <w:instrText>∼</w:instrText>
            </w:r>
            <w:r>
              <w:instrText xml:space="preserve">1 up to 3, potentially one of the largest earthquakes induced by hydraulic fracturing in the United States. These events all occurred from 4 to 12 March 2014, and the rate decayed once the Ohio Department of Natural Resources issued a shutdown of hydraulic fracturing at a nearby well on 10 March. Using a locally derived velocity model and double‐difference relocation, the earthquakes occurred during six stimulation stages along two horizontal well legs that were located </w:instrText>
            </w:r>
            <w:r>
              <w:rPr>
                <w:rFonts w:ascii="Cambria Math" w:hAnsi="Cambria Math" w:cs="Cambria Math"/>
              </w:rPr>
              <w:instrText>∼</w:instrText>
            </w:r>
            <w:r>
              <w:instrText xml:space="preserve">0.8 km away. Nearly 100 stimulation stages in nearby wells at greater distances from the earthquake source region did not coincide with detected seismicity. During the sequence, hypocenters migrated </w:instrText>
            </w:r>
            <w:r>
              <w:rPr>
                <w:rFonts w:ascii="Cambria Math" w:hAnsi="Cambria Math" w:cs="Cambria Math"/>
              </w:rPr>
              <w:instrText>∼</w:instrText>
            </w:r>
            <w:r>
              <w:instrText>600 m along an azimuth of 083</w:instrText>
            </w:r>
            <w:r>
              <w:rPr>
                <w:rFonts w:cs="Calibri"/>
              </w:rPr>
              <w:instrText>°</w:instrText>
            </w:r>
            <w:r>
              <w:instrText>, defining a vertically oriented plane of seismicity close to the top of the Precambrian basement. The focal mechanism determined for the ML 3 event had a vertically oriented left</w:instrText>
            </w:r>
            <w:r>
              <w:rPr>
                <w:rFonts w:cs="Calibri"/>
              </w:rPr>
              <w:instrText>‐</w:instrText>
            </w:r>
            <w:r>
              <w:instrText>lateral fault plane consistent with the earthquake distribution and the regional stress field. The focal mechanism, orientation, and depth of hypocenters were similar to those of the 2011 Youngstown earthquake sequence that occurred 18 km to the northwest and was correlated with wastewater injection instead of hydraulic fracturing. Considering the relatively large magnitude of the Poland Township events and the b‐value of 0.89, it appears the hydraulic fracturing induced slip along a pre‐existing fault/fracture zone optimally oriented in the regional stress field.","author":[{"dropping-particle":"","family":"Skoumal","given":"Robert J.","non-dropping-particle":"","parse-names":false,"suffix":""},{"dropping-particle":"","family":"Brudzinski","given":"Michael R.","non-dropping-particle":"","parse-names":false,"suffix":""},{"dropping-particle":"","family":"Currie","given":"Brian S.","non-dropping-particle":"","parse-names":false,"suffix":""}],"container-title":"Bulletin of the Seismological Society of America","id":"ITEM-1","issue":"1","issued":{"date-parts":[["2015"]]},"page":"189-197","title":"Earthquakes induced by hydraulic fracturing in Poland township, Ohio","type":"article-journal","volume":"105"},"uris":["http://www.mendeley.com/documents/?uuid=e3d9c821-da17-4687-b4b4-69c0293e57cc"]}],"mendeley":{"formattedCitation":"(Skoumal, Brudzinski and Currie, 2015)","plainTextFormattedCitation":"(Skoumal, Brudzinski and Currie, 2015)","previouslyFormattedCitation":"(Skoumal, Brudzinski and Currie, 2015)"},"properties":{"noteIndex":0},"schema":"https://github.com/citation-style-language/schema/raw/master/csl-citation.json"}</w:instrText>
            </w:r>
            <w:r>
              <w:fldChar w:fldCharType="separate"/>
            </w:r>
            <w:r w:rsidRPr="00683F5E">
              <w:rPr>
                <w:noProof/>
              </w:rPr>
              <w:t>(Skoumal, Brudzinski and Currie, 2015)</w:t>
            </w:r>
            <w:r>
              <w:fldChar w:fldCharType="end"/>
            </w:r>
            <w:r w:rsidRPr="00C41C74">
              <w:t xml:space="preserve"> </w:t>
            </w:r>
            <w:r>
              <w:t xml:space="preserve"> </w:t>
            </w:r>
            <w:r w:rsidRPr="00344CB3">
              <w:t>found that hydraulic fracturing induced a rupture along a pre-existing fault approximately 0.6 mi (1 km) from the hydraulic fracturing</w:t>
            </w:r>
            <w:r>
              <w:t xml:space="preserve">  </w:t>
            </w:r>
            <w:r w:rsidRPr="00481DD8">
              <w:t>operation.</w:t>
            </w:r>
            <w:r>
              <w:t>” p6-67</w:t>
            </w:r>
          </w:p>
          <w:p w14:paraId="3A3494EC" w14:textId="215261F5" w:rsidR="002F7982" w:rsidRDefault="002F7982" w:rsidP="0045301B">
            <w:pPr>
              <w:pStyle w:val="BodyText"/>
              <w:keepLines/>
            </w:pPr>
          </w:p>
          <w:p w14:paraId="7084AE25" w14:textId="5434974E" w:rsidR="002F7982" w:rsidRDefault="002F7982" w:rsidP="0045301B">
            <w:pPr>
              <w:pStyle w:val="BodyText"/>
              <w:keepLines/>
            </w:pPr>
            <w:r>
              <w:t>“</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Lacazette","given":"Alfred","non-dropping-particle":"","parse-names":false,"suffix":""},{"dropping-particle":"","family":"Geiser","given":"Peter","non-dropping-particle":"","parse-names":false,"suffix":""}],"container-title":"Marine and Petroleum Geology","id":"ITEM-1","issued":{"date-parts":[["2013"]]},"page":"519-521","publisher":"Elsevier Ltd","title":"Comment on Davies et al., 2012 e Hydraulic fractures: How far can the go?","type":"article-journal","volume":"43"},"uris":["http://www.mendeley.com/documents/?uuid=f1b98de6-c57c-48fa-ad71-f7d7356d64f8"]}],"mendeley":{"formattedCitation":"(Lacazette and Geiser, 2013)","manualFormatting":"Lacazette and Geiser, (2013)","plainTextFormattedCitation":"(Lacazette and Geiser, 2013)","previouslyFormattedCitation":"(Lacazette and Geiser, 2013)"},"properties":{"noteIndex":0},"schema":"https://github.com/citation-style-language/schema/raw/master/csl-citation.json"}</w:instrText>
            </w:r>
            <w:r>
              <w:fldChar w:fldCharType="separate"/>
            </w:r>
            <w:r w:rsidRPr="00481DD8">
              <w:rPr>
                <w:noProof/>
              </w:rPr>
              <w:t xml:space="preserve">Lacazette and Geiser, </w:t>
            </w:r>
            <w:r>
              <w:rPr>
                <w:noProof/>
              </w:rPr>
              <w:t>(</w:t>
            </w:r>
            <w:r w:rsidRPr="00481DD8">
              <w:rPr>
                <w:noProof/>
              </w:rPr>
              <w:t>2013)</w:t>
            </w:r>
            <w:r>
              <w:fldChar w:fldCharType="end"/>
            </w:r>
            <w:r w:rsidRPr="00481DD8">
              <w:t xml:space="preserve"> also found vertical hydraulic fracturing fluid movement from a production well into a natural fracture network for distances of up to 0.6 mi (1.0 km). However, </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place.","author":[{"dropping-particle":"","family":"Davies","given":"Richard J.","non-dropping-particle":"","parse-names":false,"suffix":""},{"dropping-particle":"","family":"Foulger","given":"Gillian R.","non-dropping-particle":"","parse-names":false,"suffix":""},{"dropping-particle":"","family":"Mathias","given":"Simon","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Geology","id":"ITEM-1","issued":{"date-parts":[["2013"]]},"page":"519-521","publisher":"Elsevier Ltd","title":"Reply: Davies et al. (2012), Hydraulic fractures: How far can they go?","type":"article-journal","volume":"43"},"uris":["http://www.mendeley.com/documents/?uuid=ff10fa21-cf0b-4b0c-9e11-ad65a8f8701d"]}],"mendeley":{"formattedCitation":"(Davies &lt;i&gt;et al.&lt;/i&gt;, 2013)","manualFormatting":"Davies et al. (2013)","plainTextFormattedCitation":"(Davies et al., 2013)","previouslyFormattedCitation":"(Davies &lt;i&gt;et al.&lt;/i&gt;, 2013)"},"properties":{"noteIndex":0},"schema":"https://github.com/citation-style-language/schema/raw/master/csl-citation.json"}</w:instrText>
            </w:r>
            <w:r>
              <w:fldChar w:fldCharType="separate"/>
            </w:r>
            <w:r w:rsidRPr="00481DD8">
              <w:rPr>
                <w:noProof/>
              </w:rPr>
              <w:t xml:space="preserve">Davies </w:t>
            </w:r>
            <w:r w:rsidRPr="005A442F">
              <w:rPr>
                <w:noProof/>
              </w:rPr>
              <w:t>et al.</w:t>
            </w:r>
            <w:r w:rsidRPr="00481DD8">
              <w:rPr>
                <w:noProof/>
              </w:rPr>
              <w:t xml:space="preserve"> </w:t>
            </w:r>
            <w:r>
              <w:rPr>
                <w:noProof/>
              </w:rPr>
              <w:t>(</w:t>
            </w:r>
            <w:r w:rsidRPr="00481DD8">
              <w:rPr>
                <w:noProof/>
              </w:rPr>
              <w:t>2013)</w:t>
            </w:r>
            <w:r>
              <w:fldChar w:fldCharType="end"/>
            </w:r>
            <w:r w:rsidRPr="00481DD8">
              <w:t xml:space="preserve"> questioned whether this technique actually measures hydraulic fracturing fluid movement.</w:t>
            </w:r>
            <w:r>
              <w:t>” p6-68</w:t>
            </w:r>
          </w:p>
          <w:p w14:paraId="2BBA4F24" w14:textId="77777777" w:rsidR="002F7982" w:rsidRDefault="002F7982" w:rsidP="0045301B">
            <w:pPr>
              <w:pStyle w:val="BodyText"/>
              <w:keepLines/>
            </w:pPr>
          </w:p>
          <w:p w14:paraId="21C87229" w14:textId="62757439" w:rsidR="002F7982" w:rsidRDefault="002F7982" w:rsidP="0045301B">
            <w:pPr>
              <w:pStyle w:val="BodyText"/>
              <w:keepLines/>
            </w:pPr>
            <w:r>
              <w:t>“…</w:t>
            </w:r>
            <w:r w:rsidRPr="00481DD8">
              <w:t xml:space="preserve">as demonstrated by </w:t>
            </w:r>
            <w:r w:rsidRPr="00957F57">
              <w:t xml:space="preserve">microseismic data presented by </w:t>
            </w:r>
            <w:r>
              <w:fldChar w:fldCharType="begin" w:fldLock="1"/>
            </w:r>
            <w:r w:rsidR="0057362C">
              <w:instrText>ADDIN CSL_CITATION {"citationItems":[{"id":"ITEM-1","itemData":{"DOI":"10.2523/110029-MS","ISBN":"9781604239263","author":[{"dropping-particle":"","family":"Vulgamore","given":"Travis","non-dropping-particle":"","parse-names":false,"suffix":""},{"dropping-particle":"","family":"Clawson","given":"Tim","non-dropping-particle":"","parse-names":false,"suffix":""},{"dropping-particle":"","family":"Pope","given":"Charles","non-dropping-particle":"","parse-names":false,"suffix":""},{"dropping-particle":"","family":"Wolhart","given":"Steve","non-dropping-particle":"","parse-names":false,"suffix":""},{"dropping-particle":"","family":"Mayerhofer","given":"Mike","non-dropping-particle":"","parse-names":false,"suffix":""},{"dropping-particle":"","family":"Machovoe","given":"Sean","non-dropping-particle":"","parse-names":false,"suffix":""},{"dropping-particle":"","family":"Waltman","given":"Charlie","non-dropping-particle":"","parse-names":false,"suffix":""}],"container-title":"SPE Annual Technical Conference and Exhibition","id":"ITEM-1","issued":{"date-parts":[["2007"]]},"page":"110029","publisher":"Society of Petroleum Engineers","publisher-place":"Anaheim, California","title":"Applying Hydraulic Fracture Diagnostics to Optimize Stimulations in the Woodford Shale","type":"paper-conference"},"uris":["http://www.mendeley.com/documents/?uuid=2bd707ef-f7af-4d9f-a393-e77de6d5c62f"]}],"mendeley":{"formattedCitation":"(Vulgamore &lt;i&gt;et al.&lt;/i&gt;, 2007)","plainTextFormattedCitation":"(Vulgamore et al., 2007)","previouslyFormattedCitation":"(Vulgamore &lt;i&gt;et al.&lt;/i&gt;, 2007)"},"properties":{"noteIndex":0},"schema":"https://github.com/citation-style-language/schema/raw/master/csl-citation.json"}</w:instrText>
            </w:r>
            <w:r>
              <w:fldChar w:fldCharType="separate"/>
            </w:r>
            <w:r w:rsidRPr="00F45573">
              <w:rPr>
                <w:noProof/>
              </w:rPr>
              <w:t xml:space="preserve">(Vulgamore </w:t>
            </w:r>
            <w:r w:rsidRPr="005A442F">
              <w:rPr>
                <w:noProof/>
              </w:rPr>
              <w:t>et al.</w:t>
            </w:r>
            <w:r w:rsidRPr="00F45573">
              <w:rPr>
                <w:noProof/>
              </w:rPr>
              <w:t>, 2007)</w:t>
            </w:r>
            <w:r>
              <w:fldChar w:fldCharType="end"/>
            </w:r>
            <w:r w:rsidRPr="00957F57">
              <w:t>, in some settings</w:t>
            </w:r>
            <w:r>
              <w:t xml:space="preserve"> [Woodford shale]</w:t>
            </w:r>
            <w:r w:rsidRPr="00957F57">
              <w:t>, the</w:t>
            </w:r>
            <w:r>
              <w:t xml:space="preserve"> </w:t>
            </w:r>
            <w:r w:rsidRPr="00481DD8">
              <w:t>fracture network—and, in this case, the possibility of fault rupture—</w:t>
            </w:r>
            <w:r>
              <w:t xml:space="preserve"> [hydraulic / stimulated natural </w:t>
            </w:r>
            <w:r w:rsidRPr="00957F57">
              <w:t>fracture network</w:t>
            </w:r>
            <w:r>
              <w:t xml:space="preserve">] </w:t>
            </w:r>
            <w:r w:rsidRPr="00481DD8">
              <w:t>could extend laterally for thousands of feet</w:t>
            </w:r>
            <w:r w:rsidRPr="00957F57">
              <w:t xml:space="preserve"> </w:t>
            </w:r>
            <w:r>
              <w:t>[ ~1 km]</w:t>
            </w:r>
            <w:r w:rsidRPr="00957F57">
              <w:t>.</w:t>
            </w:r>
            <w:r>
              <w:t>” p6-67</w:t>
            </w:r>
          </w:p>
          <w:p w14:paraId="17E59503" w14:textId="77777777" w:rsidR="002F7982" w:rsidRDefault="002F7982" w:rsidP="0045301B">
            <w:pPr>
              <w:pStyle w:val="BodyText"/>
              <w:keepLines/>
            </w:pPr>
          </w:p>
          <w:p w14:paraId="0E41EC11" w14:textId="18F8ECFB" w:rsidR="002F7982" w:rsidRDefault="002F7982" w:rsidP="0045301B">
            <w:pPr>
              <w:pStyle w:val="BodyText"/>
              <w:keepLines/>
            </w:pPr>
            <w:r>
              <w:t>[Related excerpt from</w:t>
            </w:r>
            <w:r w:rsidRPr="00957F57">
              <w:t xml:space="preserve"> </w:t>
            </w:r>
            <w:r>
              <w:fldChar w:fldCharType="begin" w:fldLock="1"/>
            </w:r>
            <w:r w:rsidR="0057362C">
              <w:instrText>ADDIN CSL_CITATION {"citationItems":[{"id":"ITEM-1","itemData":{"DOI":"10.2523/110029-MS","ISBN":"9781604239263","author":[{"dropping-particle":"","family":"Vulgamore","given":"Travis","non-dropping-particle":"","parse-names":false,"suffix":""},{"dropping-particle":"","family":"Clawson","given":"Tim","non-dropping-particle":"","parse-names":false,"suffix":""},{"dropping-particle":"","family":"Pope","given":"Charles","non-dropping-particle":"","parse-names":false,"suffix":""},{"dropping-particle":"","family":"Wolhart","given":"Steve","non-dropping-particle":"","parse-names":false,"suffix":""},{"dropping-particle":"","family":"Mayerhofer","given":"Mike","non-dropping-particle":"","parse-names":false,"suffix":""},{"dropping-particle":"","family":"Machovoe","given":"Sean","non-dropping-particle":"","parse-names":false,"suffix":""},{"dropping-particle":"","family":"Waltman","given":"Charlie","non-dropping-particle":"","parse-names":false,"suffix":""}],"container-title":"SPE Annual Technical Conference and Exhibition","id":"ITEM-1","issued":{"date-parts":[["2007"]]},"page":"110029","publisher":"Society of Petroleum Engineers","publisher-place":"Anaheim, California","title":"Applying Hydraulic Fracture Diagnostics to Optimize Stimulations in the Woodford Shale","type":"paper-conference"},"uris":["http://www.mendeley.com/documents/?uuid=2bd707ef-f7af-4d9f-a393-e77de6d5c62f"]}],"mendeley":{"formattedCitation":"(Vulgamore &lt;i&gt;et al.&lt;/i&gt;, 2007)","plainTextFormattedCitation":"(Vulgamore et al., 2007)","previouslyFormattedCitation":"(Vulgamore &lt;i&gt;et al.&lt;/i&gt;, 2007)"},"properties":{"noteIndex":0},"schema":"https://github.com/citation-style-language/schema/raw/master/csl-citation.json"}</w:instrText>
            </w:r>
            <w:r>
              <w:fldChar w:fldCharType="separate"/>
            </w:r>
            <w:r w:rsidRPr="00F45573">
              <w:rPr>
                <w:noProof/>
              </w:rPr>
              <w:t xml:space="preserve">(Vulgamore </w:t>
            </w:r>
            <w:r w:rsidRPr="005A442F">
              <w:rPr>
                <w:noProof/>
              </w:rPr>
              <w:t>et al.</w:t>
            </w:r>
            <w:r w:rsidRPr="00F45573">
              <w:rPr>
                <w:noProof/>
              </w:rPr>
              <w:t>, 2007)</w:t>
            </w:r>
            <w:r>
              <w:fldChar w:fldCharType="end"/>
            </w:r>
            <w:r>
              <w:t>] “</w:t>
            </w:r>
            <w:r w:rsidRPr="005A442F">
              <w:t>The interaction with local structural features (faults, fracture swarms) had a significant effect on fracture treatment geometry. They can completely dominate fracture growth as subsequent stages may continue to grow into the previously intersected fault. This can prevent the full length of the lateral from being stimulated and may cause the well to underperform.</w:t>
            </w:r>
            <w:r>
              <w:t>” [Appears to be ~500 m Hydraulic Fracture and ~500 m in natural fracture]</w:t>
            </w:r>
          </w:p>
          <w:p w14:paraId="120A02D9" w14:textId="77777777" w:rsidR="002F7982" w:rsidRDefault="002F7982" w:rsidP="0045301B">
            <w:pPr>
              <w:pStyle w:val="BodyText"/>
              <w:keepLines/>
            </w:pPr>
          </w:p>
          <w:p w14:paraId="251BFAED" w14:textId="58E479B5" w:rsidR="002F7982" w:rsidRDefault="002F7982" w:rsidP="0045301B">
            <w:pPr>
              <w:pStyle w:val="BodyText"/>
              <w:keepLines/>
            </w:pPr>
            <w:r>
              <w:t>“</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Lacazette","given":"Alfred","non-dropping-particle":"","parse-names":false,"suffix":""},{"dropping-particle":"","family":"Geiser","given":"Peter","non-dropping-particle":"","parse-names":false,"suffix":""}],"container-title":"Marine and Petroleum Geology","id":"ITEM-1","issued":{"date-parts":[["2013"]]},"page":"519-521","publisher":"Elsevier Ltd","title":"Comment on Davies et al., 2012 e Hydraulic fractures: How far can the go?","type":"article-journal","volume":"43"},"uris":["http://www.mendeley.com/documents/?uuid=f1b98de6-c57c-48fa-ad71-f7d7356d64f8"]}],"mendeley":{"formattedCitation":"(Lacazette and Geiser, 2013)","manualFormatting":"Lacazette and Geiser (2013)","plainTextFormattedCitation":"(Lacazette and Geiser, 2013)","previouslyFormattedCitation":"(Lacazette and Geiser, 2013)"},"properties":{"noteIndex":0},"schema":"https://github.com/citation-style-language/schema/raw/master/csl-citation.json"}</w:instrText>
            </w:r>
            <w:r>
              <w:fldChar w:fldCharType="separate"/>
            </w:r>
            <w:r w:rsidRPr="00171364">
              <w:rPr>
                <w:noProof/>
              </w:rPr>
              <w:t xml:space="preserve">Lacazette and Geiser </w:t>
            </w:r>
            <w:r>
              <w:rPr>
                <w:noProof/>
              </w:rPr>
              <w:t>(</w:t>
            </w:r>
            <w:r w:rsidRPr="00171364">
              <w:rPr>
                <w:noProof/>
              </w:rPr>
              <w:t>2013)</w:t>
            </w:r>
            <w:r>
              <w:fldChar w:fldCharType="end"/>
            </w:r>
            <w:r w:rsidRPr="00C41C74">
              <w:t xml:space="preserve"> also found vertical hydraulic fracturing fluid movement from a production well into a natural fracture network for distances of up to 0.6 mi (1.0 km). However, </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place.","author":[{"dropping-particle":"","family":"Davies","given":"Richard J.","non-dropping-particle":"","parse-names":false,"suffix":""},{"dropping-particle":"","family":"Foulger","given":"Gillian R.","non-dropping-particle":"","parse-names":false,"suffix":""},{"dropping-particle":"","family":"Mathias","given":"Simon","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Geology","id":"ITEM-1","issued":{"date-parts":[["2013"]]},"page":"519-521","publisher":"Elsevier Ltd","title":"Reply: Davies et al. (2012), Hydraulic fractures: How far can they go?","type":"article-journal","volume":"43"},"uris":["http://www.mendeley.com/documents/?uuid=ff10fa21-cf0b-4b0c-9e11-ad65a8f8701d"]}],"mendeley":{"formattedCitation":"(Davies &lt;i&gt;et al.&lt;/i&gt;, 2013)","manualFormatting":"Davies et al., (2013)","plainTextFormattedCitation":"(Davies et al., 2013)","previouslyFormattedCitation":"(Davies &lt;i&gt;et al.&lt;/i&gt;, 2013)"},"properties":{"noteIndex":0},"schema":"https://github.com/citation-style-language/schema/raw/master/csl-citation.json"}</w:instrText>
            </w:r>
            <w:r>
              <w:fldChar w:fldCharType="separate"/>
            </w:r>
            <w:r w:rsidRPr="00171364">
              <w:rPr>
                <w:noProof/>
              </w:rPr>
              <w:t xml:space="preserve">Davies </w:t>
            </w:r>
            <w:r w:rsidRPr="005A442F">
              <w:rPr>
                <w:noProof/>
              </w:rPr>
              <w:t>et al.</w:t>
            </w:r>
            <w:r w:rsidRPr="00171364">
              <w:rPr>
                <w:noProof/>
              </w:rPr>
              <w:t xml:space="preserve">, </w:t>
            </w:r>
            <w:r>
              <w:rPr>
                <w:noProof/>
              </w:rPr>
              <w:t>(</w:t>
            </w:r>
            <w:r w:rsidRPr="00171364">
              <w:rPr>
                <w:noProof/>
              </w:rPr>
              <w:t>2013)</w:t>
            </w:r>
            <w:r>
              <w:fldChar w:fldCharType="end"/>
            </w:r>
            <w:r w:rsidRPr="00C41C74">
              <w:t xml:space="preserve"> questioned whether this technique actually measures hydraulic fracturing fluid movement</w:t>
            </w:r>
            <w:r>
              <w:t>.” p6-68</w:t>
            </w:r>
          </w:p>
          <w:p w14:paraId="3D762380" w14:textId="77777777" w:rsidR="002F7982" w:rsidRDefault="002F7982" w:rsidP="0045301B">
            <w:pPr>
              <w:pStyle w:val="BodyText"/>
              <w:keepLines/>
            </w:pPr>
          </w:p>
          <w:p w14:paraId="783CB153" w14:textId="7948F4E1" w:rsidR="002F7982" w:rsidRDefault="002F7982" w:rsidP="0045301B">
            <w:pPr>
              <w:pStyle w:val="BodyText"/>
              <w:keepLines/>
            </w:pPr>
            <w:r>
              <w:t>“</w:t>
            </w:r>
            <w:r>
              <w:fldChar w:fldCharType="begin" w:fldLock="1"/>
            </w:r>
            <w:r>
              <w:instrText>ADDIN CSL_CITATION {"citationItems":[{"id":"ITEM-1","itemData":{"DOI":"10.1190/1.1567214","ISBN":"0016-8033","ISSN":"0016-8033","abstract":"We produced a high-resolution microseismic image of a hydraulic fracture stimulation in the Carthage Cotton Valley gas field of east Texas. We improved the precision of microseismic event locations four-fold over initial locations by manually repicking the traveltimes in a spatial sequence, allowing us to visually correlate waveforms of adjacent sources. The new locations show vertical containment within individual, targeted sands, suggesting little or no hydraulic communication between the discrete perforation intervals simultaneously treated within an 80-m section. Treatment (i.e., fracture-zone) lengths inferred from event locations are about 200 m greater at the shallow perforation intervals than at the deeper intervals. The highest quality locations indicate fracture-zone widths as narrow as 6 m. Similarity of adjacent-source waveforms, along with systematic changes of phase amplitude ratios and polarities, indicate fairly uniform source mechanisms (fracture plane orientation and sense of slip) over the treatment length. Composite focal mechanisms indicate both left- and right-lateral strike-slip faulting along near-vertical fractures that strike subparallel to maximum horizontal stress. The focal mechanisms and event locations are consistent with activation of the reservoir's prevalent natural fractures, fractures that are isolated within individual sands and trend subparallel to the expected hydraulic fracture orientation (maximum horizontal stress direction). Shear activation of these fractures indicates a stronger correlation of induced seismicity with low-impedance flow paths than is normally found or assumed during injection stimulation.","author":[{"dropping-particle":"","family":"Rutledge","given":"James T.","non-dropping-particle":"","parse-names":false,"suffix":""},{"dropping-particle":"","family":"Phillips","given":"W. Scott","non-dropping-particle":"","parse-names":false,"suffix":""}],"container-title":"Geophysics","id":"ITEM-1","issue":"2","issued":{"date-parts":[["2003"]]},"page":"441-452","title":"Hydraulic stimulation of natural fractures as revealed by induced microearthquakes, Carthage Cotton Valley gas field, east Texas","type":"article-journal","volume":"68"},"uris":["http://www.mendeley.com/documents/?uuid=3e114513-1af5-4b9d-b2c2-78125bb99e27"]}],"mendeley":{"formattedCitation":"(Rutledge and Phillips, 2003)","plainTextFormattedCitation":"(Rutledge and Phillips, 2003)","previouslyFormattedCitation":"(Rutledge and Phillips, 2003)"},"properties":{"noteIndex":0},"schema":"https://github.com/citation-style-language/schema/raw/master/csl-citation.json"}</w:instrText>
            </w:r>
            <w:r>
              <w:fldChar w:fldCharType="separate"/>
            </w:r>
            <w:r w:rsidRPr="008C2CB7">
              <w:rPr>
                <w:noProof/>
              </w:rPr>
              <w:t>(Rutledge and Phillips, 2003)</w:t>
            </w:r>
            <w:r>
              <w:fldChar w:fldCharType="end"/>
            </w:r>
            <w:r>
              <w:t xml:space="preserve"> </w:t>
            </w:r>
            <w:r w:rsidRPr="008C2CB7">
              <w:t>suggested that, in East Texas, pressurizing existing fractures (rather than creating new hydraulic fractures) was the primary process that controlled enhanced permeability and fracture network conductivity at the site</w:t>
            </w:r>
          </w:p>
          <w:p w14:paraId="4B6BB676" w14:textId="58E00D0F" w:rsidR="002F7982" w:rsidRDefault="002F7982" w:rsidP="0045301B">
            <w:pPr>
              <w:pStyle w:val="BodyText"/>
              <w:keepLines/>
            </w:pPr>
            <w:r>
              <w:fldChar w:fldCharType="begin" w:fldLock="1"/>
            </w:r>
            <w:r>
              <w:instrText>ADDIN CSL_CITATION {"citationItems":[{"id":"ITEM-1","itemData":{"DOI":"/10.2118/164524-MS","ISBN":"1972952943","author":[{"dropping-particle":"","family":"Ciezobka","given":"Jordan","non-dropping-particle":"","parse-names":false,"suffix":""},{"dropping-particle":"","family":"Salehi","given":"Iraj","non-dropping-particle":"","parse-names":false,"suffix":""}],"container-title":"SPE Unconventional Reservoirs Conference","id":"ITEM-1","issue":"10-12 April","issued":{"date-parts":[["2013"]]},"page":"1-20","publisher":"Society of Petroleum Engineers","publisher-place":"The Woodlands, Texas","title":"Controlled Hydraulic Fracturing of Naturally Fractured Shales - A Case Study in the Marcellus Shale Examining How to Identify and Exploit Natural Fractures","type":"paper-conference"},"uris":["http://www.mendeley.com/documents/?uuid=56fd06d4-ab76-4a16-a2a0-30768571f851"]}],"mendeley":{"formattedCitation":"(Ciezobka and Salehi, 2013)","plainTextFormattedCitation":"(Ciezobka and Salehi, 2013)","previouslyFormattedCitation":"(Ciezobka and Salehi, 2013)"},"properties":{"noteIndex":0},"schema":"https://github.com/citation-style-language/schema/raw/master/csl-citation.json"}</w:instrText>
            </w:r>
            <w:r>
              <w:fldChar w:fldCharType="separate"/>
            </w:r>
            <w:r w:rsidRPr="004A4FAC">
              <w:rPr>
                <w:noProof/>
              </w:rPr>
              <w:t>(Ciezobka and Salehi, 2013)</w:t>
            </w:r>
            <w:r>
              <w:fldChar w:fldCharType="end"/>
            </w:r>
            <w:r w:rsidRPr="00E40710">
              <w:t xml:space="preserve"> concluded in the Marcellus Shale that fracture treatments are more efficient in areas with clusters or “swarms” of small natural fractures,</w:t>
            </w:r>
            <w:r>
              <w:t>…” p6-67</w:t>
            </w:r>
          </w:p>
          <w:p w14:paraId="7E43A9B3" w14:textId="77777777" w:rsidR="002F7982" w:rsidRDefault="002F7982" w:rsidP="0045301B">
            <w:pPr>
              <w:pStyle w:val="BodyText"/>
              <w:keepLines/>
            </w:pPr>
          </w:p>
          <w:p w14:paraId="0EF473D8" w14:textId="5C4CDF83" w:rsidR="002F7982" w:rsidRPr="0097718A" w:rsidRDefault="002F7982" w:rsidP="0045301B">
            <w:pPr>
              <w:pStyle w:val="BodyText"/>
              <w:keepLines/>
            </w:pPr>
            <w:r>
              <w:t>“…</w:t>
            </w:r>
            <w:r w:rsidRPr="00D9699C">
              <w:t>other conditions in addition to the physical presence of a permeable fault or fracture would need to exist for fluid migration to a drinking water resource to occur</w:t>
            </w:r>
            <w:r>
              <w:t xml:space="preserve">.  </w:t>
            </w:r>
            <w:r w:rsidRPr="00D9699C">
              <w:t>if such a permeable feature exists, the transport of gas and fluid flow would strongly depend upon the production regime and, to a lesser degree, the features’ permeability and the separation between the reservoir and the aquifer. In addition, the pressure distribution within the reservoir (e.g., over-pressurized vs. hydrostatic conditions) will affect the fluid flow through fractures/faults. As a result, the presence of multiple geologic and well-related factors can increase the potential for fluid migration into drinking water resources</w:t>
            </w:r>
            <w:r>
              <w:t>.” p6-67</w:t>
            </w:r>
          </w:p>
        </w:tc>
      </w:tr>
      <w:tr w:rsidR="0024219A" w:rsidRPr="00A8172F" w14:paraId="58D64C2D" w14:textId="77777777" w:rsidTr="0078111C">
        <w:trPr>
          <w:cnfStyle w:val="000000100000" w:firstRow="0" w:lastRow="0" w:firstColumn="0" w:lastColumn="0" w:oddVBand="0" w:evenVBand="0" w:oddHBand="1" w:evenHBand="0" w:firstRowFirstColumn="0" w:firstRowLastColumn="0" w:lastRowFirstColumn="0" w:lastRowLastColumn="0"/>
        </w:trPr>
        <w:tc>
          <w:tcPr>
            <w:tcW w:w="9700" w:type="dxa"/>
            <w:gridSpan w:val="4"/>
          </w:tcPr>
          <w:p w14:paraId="47B833E5" w14:textId="29B1EEDB" w:rsidR="0024219A" w:rsidRDefault="0024219A" w:rsidP="0045301B">
            <w:pPr>
              <w:pStyle w:val="TableTextCentred"/>
              <w:keepLines/>
              <w:spacing w:before="0" w:after="0" w:line="240" w:lineRule="auto"/>
              <w:jc w:val="left"/>
            </w:pPr>
            <w:r w:rsidRPr="00820D2D">
              <w:rPr>
                <w:b/>
                <w:bCs/>
              </w:rPr>
              <w:t>Compromised well integrity</w:t>
            </w:r>
          </w:p>
        </w:tc>
      </w:tr>
      <w:tr w:rsidR="002F7982" w:rsidRPr="00A8172F" w14:paraId="2460A511"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30354413" w14:textId="77777777" w:rsidR="002F7982" w:rsidRPr="00EA63C0" w:rsidRDefault="002F7982" w:rsidP="0045301B">
            <w:pPr>
              <w:pStyle w:val="TableText"/>
              <w:keepLines/>
              <w:spacing w:before="0" w:after="0" w:line="240" w:lineRule="auto"/>
            </w:pPr>
            <w:r>
              <w:t>W.1</w:t>
            </w:r>
          </w:p>
        </w:tc>
        <w:tc>
          <w:tcPr>
            <w:tcW w:w="0" w:type="auto"/>
          </w:tcPr>
          <w:p w14:paraId="06815729" w14:textId="77777777" w:rsidR="002F7982" w:rsidRPr="00A8172F" w:rsidRDefault="002F7982" w:rsidP="0045301B">
            <w:pPr>
              <w:pStyle w:val="TableTextCentred"/>
              <w:keepLines/>
              <w:spacing w:before="0" w:after="0" w:line="240" w:lineRule="auto"/>
              <w:jc w:val="left"/>
            </w:pPr>
            <w:r>
              <w:t xml:space="preserve">Well rupture or failure across barriers </w:t>
            </w:r>
          </w:p>
        </w:tc>
        <w:tc>
          <w:tcPr>
            <w:tcW w:w="973" w:type="dxa"/>
          </w:tcPr>
          <w:p w14:paraId="2AF97399" w14:textId="247DCFEF" w:rsidR="002F7982" w:rsidRDefault="002F7982" w:rsidP="0045301B">
            <w:pPr>
              <w:pStyle w:val="TableTextCentred"/>
              <w:keepLines/>
              <w:spacing w:before="0" w:after="0" w:line="240" w:lineRule="auto"/>
              <w:jc w:val="left"/>
            </w:pPr>
            <w:r>
              <w:t>Rare</w:t>
            </w:r>
          </w:p>
        </w:tc>
        <w:tc>
          <w:tcPr>
            <w:tcW w:w="6350" w:type="dxa"/>
          </w:tcPr>
          <w:p w14:paraId="5DA906AC" w14:textId="48E2BDBF" w:rsidR="002F7982" w:rsidRDefault="002F7982" w:rsidP="0045301B">
            <w:pPr>
              <w:pStyle w:val="TableTextCentred"/>
              <w:keepLines/>
              <w:spacing w:before="0" w:after="0" w:line="240" w:lineRule="auto"/>
              <w:jc w:val="left"/>
            </w:pPr>
            <w:r>
              <w:t>“</w:t>
            </w:r>
            <w:r w:rsidRPr="00B10DC8">
              <w:t>The following combinations of activities and factors are more likely than others to result in more frequent or more severe impacts:</w:t>
            </w:r>
            <w:r>
              <w:t xml:space="preserve"> …</w:t>
            </w:r>
            <w:r w:rsidRPr="00B10DC8">
              <w:t>Injection of hydraulic fracturing fluids into wells with inadequate mechanical integrity, allowing gases or liquids to move to groundwater resources;</w:t>
            </w:r>
            <w:r>
              <w:t>…” p</w:t>
            </w:r>
            <w:r w:rsidRPr="005D14A8">
              <w:t>ES-3</w:t>
            </w:r>
            <w:r>
              <w:t>,</w:t>
            </w:r>
            <w:r w:rsidRPr="005D14A8">
              <w:t xml:space="preserve"> </w:t>
            </w:r>
            <w:r>
              <w:t>p</w:t>
            </w:r>
            <w:r w:rsidRPr="005D14A8">
              <w:t>10-3 &amp;</w:t>
            </w:r>
            <w:r>
              <w:t xml:space="preserve"> p</w:t>
            </w:r>
            <w:r w:rsidRPr="005D14A8">
              <w:t>10-23</w:t>
            </w:r>
          </w:p>
          <w:p w14:paraId="081FB087" w14:textId="77777777" w:rsidR="002F7982" w:rsidRPr="007343E5" w:rsidRDefault="002F7982" w:rsidP="007343E5">
            <w:pPr>
              <w:pStyle w:val="BodyText"/>
            </w:pPr>
          </w:p>
          <w:p w14:paraId="5738D9E0" w14:textId="7DCE0841" w:rsidR="002F7982" w:rsidRDefault="002F7982" w:rsidP="005D14A8">
            <w:pPr>
              <w:pStyle w:val="BodyText"/>
              <w:keepLines/>
            </w:pPr>
            <w:r>
              <w:t>“</w:t>
            </w:r>
            <w:r w:rsidRPr="005713B7">
              <w:t>Because the well can be a pathway for fluid movement, the mechanical integrity of the well is an important factor that affects the frequency and severity of impacts from</w:t>
            </w:r>
            <w:r>
              <w:t xml:space="preserve"> </w:t>
            </w:r>
            <w:r w:rsidRPr="005713B7">
              <w:t>the well injection stage of the hydraulic fracturing water cycle</w:t>
            </w:r>
            <w:r>
              <w:t>.” pES-28</w:t>
            </w:r>
          </w:p>
          <w:p w14:paraId="4FA53AFD" w14:textId="77777777" w:rsidR="002F7982" w:rsidRDefault="002F7982" w:rsidP="0045301B">
            <w:pPr>
              <w:pStyle w:val="BodyText"/>
              <w:keepLines/>
            </w:pPr>
          </w:p>
          <w:p w14:paraId="32C5F0FB" w14:textId="4412634E" w:rsidR="002F7982" w:rsidRDefault="002F7982" w:rsidP="0045301B">
            <w:pPr>
              <w:pStyle w:val="BodyText"/>
              <w:keepLines/>
            </w:pPr>
            <w:r>
              <w:t>“…</w:t>
            </w:r>
            <w:r w:rsidRPr="00C71CA1">
              <w:t>an inner string of casing burst during hydraulic fracturing of an oil well near Killdeer, North Dakota, resulting in a release of hydraulic fracturing fluids and formation fluids that impacted a groundwater resource</w:t>
            </w:r>
            <w:r>
              <w:t>.” pES-30 &amp; p10-27</w:t>
            </w:r>
          </w:p>
          <w:p w14:paraId="6C95EA60" w14:textId="77777777" w:rsidR="002F7982" w:rsidRPr="00C71CA1" w:rsidRDefault="002F7982" w:rsidP="0045301B">
            <w:pPr>
              <w:pStyle w:val="BodyText"/>
              <w:keepLines/>
            </w:pPr>
          </w:p>
          <w:p w14:paraId="285771AC" w14:textId="41EBFA59" w:rsidR="002F7982" w:rsidRDefault="002F7982" w:rsidP="0045301B">
            <w:pPr>
              <w:pStyle w:val="BodyText"/>
              <w:keepLines/>
            </w:pPr>
            <w:r>
              <w:t>“…</w:t>
            </w:r>
            <w:r w:rsidRPr="00995AD8">
              <w:t>mechanical integrity failures have allowed gases or liquids to move to underground drinking water resources</w:t>
            </w:r>
            <w:r>
              <w:t>.” pES-32</w:t>
            </w:r>
          </w:p>
          <w:p w14:paraId="403712AF" w14:textId="77777777" w:rsidR="002F7982" w:rsidRDefault="002F7982" w:rsidP="0045301B">
            <w:pPr>
              <w:pStyle w:val="BodyText"/>
              <w:keepLines/>
            </w:pPr>
          </w:p>
          <w:p w14:paraId="5A58564B" w14:textId="38BEA061" w:rsidR="002F7982" w:rsidRDefault="002F7982" w:rsidP="0045301B">
            <w:pPr>
              <w:pStyle w:val="BodyText"/>
              <w:keepLines/>
            </w:pPr>
            <w:r>
              <w:t>“…</w:t>
            </w:r>
            <w:r w:rsidRPr="00995AD8">
              <w:t xml:space="preserve">the mechanical integrity of the well </w:t>
            </w:r>
            <w:r>
              <w:t>is an important factor</w:t>
            </w:r>
            <w:r w:rsidRPr="00995AD8">
              <w:t xml:space="preserve"> that affect</w:t>
            </w:r>
            <w:r>
              <w:t>s</w:t>
            </w:r>
            <w:r w:rsidRPr="00995AD8">
              <w:t xml:space="preserve"> the frequency and severity of impacts </w:t>
            </w:r>
            <w:r>
              <w:t xml:space="preserve">from </w:t>
            </w:r>
            <w:r w:rsidRPr="00D33611">
              <w:t>the well injection stage of the hydraulic fracturing water cycle</w:t>
            </w:r>
            <w:r>
              <w:t>.” pES-28</w:t>
            </w:r>
          </w:p>
          <w:p w14:paraId="03231F83" w14:textId="77777777" w:rsidR="002F7982" w:rsidRDefault="002F7982" w:rsidP="0045301B">
            <w:pPr>
              <w:pStyle w:val="BodyText"/>
              <w:keepLines/>
            </w:pPr>
          </w:p>
          <w:p w14:paraId="54CD66B0" w14:textId="3F6DD0CD" w:rsidR="002F7982" w:rsidRDefault="002F7982" w:rsidP="0045301B">
            <w:pPr>
              <w:pStyle w:val="BodyText"/>
              <w:keepLines/>
            </w:pPr>
            <w:r>
              <w:t>“…</w:t>
            </w:r>
            <w:r w:rsidRPr="00995AD8">
              <w:t>multiple layers of cemented casing</w:t>
            </w:r>
            <w:r>
              <w:t xml:space="preserve"> …</w:t>
            </w:r>
            <w:r w:rsidRPr="00995AD8">
              <w:t>can reduce the frequency of impacts on drinking water resources during the well injection stage of the hydraulic fracturing water cycle</w:t>
            </w:r>
            <w:r>
              <w:t>.” pES-32</w:t>
            </w:r>
          </w:p>
          <w:p w14:paraId="7CF41C77" w14:textId="77777777" w:rsidR="002F7982" w:rsidRDefault="002F7982" w:rsidP="0045301B">
            <w:pPr>
              <w:pStyle w:val="BodyText"/>
              <w:keepLines/>
            </w:pPr>
          </w:p>
          <w:p w14:paraId="1BF1B471" w14:textId="4C1BE156" w:rsidR="002F7982" w:rsidRDefault="002F7982" w:rsidP="0045301B">
            <w:pPr>
              <w:pStyle w:val="BodyText"/>
              <w:keepLines/>
            </w:pPr>
            <w:r>
              <w:t>“</w:t>
            </w:r>
            <w:r w:rsidRPr="009100D0">
              <w:t>One way to ensure that the strength of the casing is sufficient to withstand the stresses imposed by hydraulic fracturing operations is to pressure test the casing. The casing can be pressurized to the pressure anticipated during hydraulic fracturing operations and shut-in periods; if the well can hold the pressure, it is considered to be leak-free and therefore should be able to withstand the pressures of hydraulic fracturing.</w:t>
            </w:r>
            <w:r>
              <w:t xml:space="preserve">” </w:t>
            </w:r>
            <w:r w:rsidR="005136B6">
              <w:t>p</w:t>
            </w:r>
            <w:r>
              <w:t>6-9</w:t>
            </w:r>
          </w:p>
          <w:p w14:paraId="2F0E75C2" w14:textId="77777777" w:rsidR="002F7982" w:rsidRDefault="002F7982" w:rsidP="0045301B">
            <w:pPr>
              <w:pStyle w:val="BodyText"/>
              <w:keepLines/>
            </w:pPr>
          </w:p>
          <w:p w14:paraId="3ED474CC" w14:textId="63E5B19A" w:rsidR="002F7982" w:rsidRPr="005713B7" w:rsidRDefault="002F7982" w:rsidP="0045301B">
            <w:pPr>
              <w:pStyle w:val="BodyText"/>
              <w:keepLines/>
            </w:pPr>
            <w:r>
              <w:t>“</w:t>
            </w:r>
            <w:r w:rsidRPr="00106657">
              <w:t>Corrosion in uncemented zones is the most common cause of casing failure.</w:t>
            </w:r>
            <w:r>
              <w:t>” p6-19</w:t>
            </w:r>
          </w:p>
        </w:tc>
      </w:tr>
      <w:tr w:rsidR="002F7982" w14:paraId="1DBABA66"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2AA93E71" w14:textId="77777777" w:rsidR="002F7982" w:rsidRDefault="002F7982" w:rsidP="0045301B">
            <w:pPr>
              <w:pStyle w:val="TableText"/>
              <w:keepLines/>
              <w:spacing w:before="0" w:after="0" w:line="240" w:lineRule="auto"/>
            </w:pPr>
            <w:r>
              <w:t>W.2</w:t>
            </w:r>
          </w:p>
        </w:tc>
        <w:tc>
          <w:tcPr>
            <w:tcW w:w="0" w:type="auto"/>
          </w:tcPr>
          <w:p w14:paraId="39CD308B" w14:textId="77777777" w:rsidR="002F7982" w:rsidRDefault="002F7982" w:rsidP="0045301B">
            <w:pPr>
              <w:pStyle w:val="TableTextCentred"/>
              <w:keepLines/>
              <w:spacing w:before="0" w:after="0" w:line="240" w:lineRule="auto"/>
              <w:jc w:val="left"/>
            </w:pPr>
            <w:r>
              <w:t>Migration along casing from reservoir</w:t>
            </w:r>
          </w:p>
        </w:tc>
        <w:tc>
          <w:tcPr>
            <w:tcW w:w="973" w:type="dxa"/>
          </w:tcPr>
          <w:p w14:paraId="0FCC26E1" w14:textId="0755FB8C" w:rsidR="002F7982" w:rsidRDefault="002F7982" w:rsidP="0045301B">
            <w:pPr>
              <w:pStyle w:val="TableTextCentred"/>
              <w:keepLines/>
              <w:spacing w:before="0" w:after="0" w:line="240" w:lineRule="auto"/>
              <w:jc w:val="left"/>
            </w:pPr>
            <w:r>
              <w:t>Unlikely</w:t>
            </w:r>
          </w:p>
        </w:tc>
        <w:tc>
          <w:tcPr>
            <w:tcW w:w="6350" w:type="dxa"/>
          </w:tcPr>
          <w:p w14:paraId="564545C9" w14:textId="0AE2B8AC" w:rsidR="002F7982" w:rsidRDefault="002F7982" w:rsidP="0045301B">
            <w:pPr>
              <w:pStyle w:val="TableTextCentred"/>
              <w:keepLines/>
              <w:spacing w:before="0" w:after="0" w:line="240" w:lineRule="auto"/>
              <w:jc w:val="left"/>
            </w:pPr>
            <w:r>
              <w:t>“</w:t>
            </w:r>
            <w:r w:rsidRPr="005713B7">
              <w:t>A well with insufficient mechanical integrity can allow unintended fluid movement, either from the ins</w:t>
            </w:r>
            <w:r>
              <w:t>ide to the outside of the well</w:t>
            </w:r>
            <w:r w:rsidRPr="005713B7">
              <w:t xml:space="preserve"> or vertically</w:t>
            </w:r>
            <w:r>
              <w:t xml:space="preserve"> along the outside of the well</w:t>
            </w:r>
            <w:r w:rsidRPr="005713B7">
              <w:t>.</w:t>
            </w:r>
            <w:r>
              <w:t xml:space="preserve"> </w:t>
            </w:r>
            <w:r w:rsidRPr="005713B7">
              <w:t xml:space="preserve">The existence of one or more of these pathways </w:t>
            </w:r>
            <w:r>
              <w:t xml:space="preserve">[impact modes] </w:t>
            </w:r>
            <w:r w:rsidRPr="005713B7">
              <w:t>can result in impacts on drinking water resources if hydraulic fracturing fluids reach groundwater resources.</w:t>
            </w:r>
            <w:r>
              <w:t>” pES-29</w:t>
            </w:r>
          </w:p>
          <w:p w14:paraId="17E022EE" w14:textId="77777777" w:rsidR="002F7982" w:rsidRPr="00642DD4" w:rsidRDefault="002F7982" w:rsidP="00642DD4">
            <w:pPr>
              <w:pStyle w:val="BodyText"/>
            </w:pPr>
          </w:p>
          <w:p w14:paraId="09725906" w14:textId="5CDED458" w:rsidR="002F7982" w:rsidRDefault="002F7982" w:rsidP="0045301B">
            <w:pPr>
              <w:pStyle w:val="BodyText"/>
              <w:keepLines/>
            </w:pPr>
            <w:r>
              <w:t>“…</w:t>
            </w:r>
            <w:r w:rsidRPr="005713B7">
              <w:t>hydraulic fracturing of an inadequately cemented gas well in Bainbridge Township, Ohio, contributed to the movement of methane into local drinking water resources</w:t>
            </w:r>
            <w:r>
              <w:t>.” pES-30</w:t>
            </w:r>
          </w:p>
          <w:p w14:paraId="6F741D93" w14:textId="77777777" w:rsidR="002F7982" w:rsidRDefault="002F7982" w:rsidP="0045301B">
            <w:pPr>
              <w:pStyle w:val="BodyText"/>
              <w:keepLines/>
            </w:pPr>
          </w:p>
          <w:p w14:paraId="195247D3" w14:textId="567C77A5" w:rsidR="002F7982" w:rsidRDefault="002F7982" w:rsidP="0045301B">
            <w:pPr>
              <w:pStyle w:val="BodyText"/>
              <w:keepLines/>
            </w:pPr>
            <w:r>
              <w:t>“</w:t>
            </w:r>
            <w:r w:rsidRPr="009538EC">
              <w:t>The primary factors that can affect the frequency or severity of impacts to drinking water associated with injection for hydraulic fracturing are: (1) the condition of the well’s casing and cement and their placement relative to drinking water resources</w:t>
            </w:r>
            <w:r>
              <w:t>….” p6-1</w:t>
            </w:r>
          </w:p>
          <w:p w14:paraId="7471CADA" w14:textId="77777777" w:rsidR="002F7982" w:rsidRDefault="002F7982" w:rsidP="0045301B">
            <w:pPr>
              <w:pStyle w:val="BodyText"/>
              <w:keepLines/>
            </w:pPr>
          </w:p>
          <w:p w14:paraId="4A978E9F" w14:textId="7D981CA0" w:rsidR="002F7982" w:rsidRDefault="002F7982" w:rsidP="0045301B">
            <w:pPr>
              <w:pStyle w:val="BodyText"/>
              <w:keepLines/>
            </w:pPr>
            <w:r>
              <w:t>“…</w:t>
            </w:r>
            <w:r w:rsidRPr="00BA2B88">
              <w:t>temperature-related stresses</w:t>
            </w:r>
            <w:r>
              <w:t xml:space="preserve"> [cooling to ~20 degrees] </w:t>
            </w:r>
            <w:r w:rsidRPr="00BA2B88">
              <w:t xml:space="preserve">associated with hydraulic fracturing </w:t>
            </w:r>
            <w:r>
              <w:t xml:space="preserve">[fluid] </w:t>
            </w:r>
            <w:r w:rsidRPr="007E54F0">
              <w:t xml:space="preserve">remain as factors </w:t>
            </w:r>
            <w:r>
              <w:t xml:space="preserve">that </w:t>
            </w:r>
            <w:r w:rsidRPr="00BA2B88">
              <w:t>can affect the integrity of the well casing.</w:t>
            </w:r>
            <w:r>
              <w:t>” p6-22</w:t>
            </w:r>
          </w:p>
          <w:p w14:paraId="7ED4642B" w14:textId="77777777" w:rsidR="002F7982" w:rsidRDefault="002F7982" w:rsidP="0045301B">
            <w:pPr>
              <w:pStyle w:val="BodyText"/>
              <w:keepLines/>
            </w:pPr>
          </w:p>
          <w:p w14:paraId="579A9313" w14:textId="2340C511" w:rsidR="002F7982" w:rsidRDefault="002F7982" w:rsidP="0045301B">
            <w:pPr>
              <w:pStyle w:val="BodyText"/>
              <w:keepLines/>
            </w:pPr>
            <w:r>
              <w:t>“</w:t>
            </w:r>
            <w:r w:rsidRPr="00C71CA1">
              <w:t>Improper placement of cement can lead to defects in external mechanical integrity. For example, an improper cement job can be the result of loss of cement during placement into a formation with</w:t>
            </w:r>
            <w:r>
              <w:t xml:space="preserve"> </w:t>
            </w:r>
            <w:r w:rsidRPr="00C71CA1">
              <w:t>high porosity or fractures, causing a lack of adequate cement across a water- or brine-bearing zone.</w:t>
            </w:r>
            <w:r>
              <w:t>” p6-27</w:t>
            </w:r>
          </w:p>
          <w:p w14:paraId="0E351860" w14:textId="77777777" w:rsidR="002F7982" w:rsidRDefault="002F7982" w:rsidP="0045301B">
            <w:pPr>
              <w:pStyle w:val="BodyText"/>
              <w:keepLines/>
            </w:pPr>
          </w:p>
          <w:p w14:paraId="6FAB18FF" w14:textId="69A29EB1" w:rsidR="002F7982" w:rsidRDefault="002F7982" w:rsidP="0045301B">
            <w:pPr>
              <w:pStyle w:val="BodyText"/>
              <w:keepLines/>
            </w:pPr>
            <w:r>
              <w:t>“</w:t>
            </w:r>
            <w:r w:rsidRPr="004F6E7D">
              <w:t>Cementing in horizontal wells, which are commonly hydraulically fractured, presents challenges that can contribute to higher rates of mechanical integrity issues</w:t>
            </w:r>
            <w:r>
              <w:t>.” p6-32</w:t>
            </w:r>
          </w:p>
          <w:p w14:paraId="214A3FEB" w14:textId="77777777" w:rsidR="002F7982" w:rsidRDefault="002F7982" w:rsidP="0045301B">
            <w:pPr>
              <w:pStyle w:val="BodyText"/>
              <w:keepLines/>
            </w:pPr>
          </w:p>
          <w:p w14:paraId="50E3E157" w14:textId="2370958F" w:rsidR="002F7982" w:rsidRDefault="002F7982" w:rsidP="0045301B">
            <w:pPr>
              <w:pStyle w:val="BodyText"/>
              <w:keepLines/>
            </w:pPr>
            <w:r>
              <w:t>“</w:t>
            </w:r>
            <w:r w:rsidRPr="003B4B79">
              <w:t>Risk evaluation studies of a limited number of injection wells show that, if the surface casing is not set deeper than the bottom of the drinking water resource, the risk of aquifer contamination increases a thousand-fold.</w:t>
            </w:r>
            <w:r>
              <w:t>” p6-73</w:t>
            </w:r>
          </w:p>
          <w:p w14:paraId="4400F66D" w14:textId="77777777" w:rsidR="002F7982" w:rsidRDefault="002F7982" w:rsidP="0045301B">
            <w:pPr>
              <w:pStyle w:val="BodyText"/>
              <w:keepLines/>
            </w:pPr>
          </w:p>
          <w:p w14:paraId="270DF965" w14:textId="2600A3FB" w:rsidR="002F7982" w:rsidRDefault="002F7982" w:rsidP="0045301B">
            <w:pPr>
              <w:pStyle w:val="BodyText"/>
              <w:keepLines/>
            </w:pPr>
            <w:r>
              <w:t>“</w:t>
            </w:r>
            <w:r w:rsidRPr="009808BE">
              <w:t xml:space="preserve">Cement integrity problems can arise as a result of challenges in centring the casing and placing the cement in </w:t>
            </w:r>
            <w:r>
              <w:t>[</w:t>
            </w:r>
            <w:r w:rsidRPr="009808BE">
              <w:t>Deviated and horizontal</w:t>
            </w:r>
            <w:r>
              <w:t xml:space="preserve">] </w:t>
            </w:r>
            <w:r w:rsidRPr="009808BE">
              <w:t>wells</w:t>
            </w:r>
            <w:r>
              <w:t xml:space="preserve">. </w:t>
            </w:r>
            <w:r w:rsidRPr="009808BE">
              <w:t>Absent efforts to ensure the emplacement of sufficient cement that is of adequate integrity, the increased use of these wells in hydraulic fracturing operations has the potential to increase the frequency at which associated cementing problems occur. This, in turn, has the potential to increase the frequency of impacts to the quality of drinking water resources.</w:t>
            </w:r>
            <w:r>
              <w:t>” p6-73</w:t>
            </w:r>
          </w:p>
          <w:p w14:paraId="54523D11" w14:textId="77777777" w:rsidR="002F7982" w:rsidRDefault="002F7982" w:rsidP="0045301B">
            <w:pPr>
              <w:pStyle w:val="BodyText"/>
              <w:keepLines/>
            </w:pPr>
          </w:p>
          <w:p w14:paraId="25FC4C2C" w14:textId="7212A453" w:rsidR="002F7982" w:rsidRPr="005713B7" w:rsidRDefault="002F7982" w:rsidP="0045301B">
            <w:pPr>
              <w:pStyle w:val="BodyText"/>
              <w:keepLines/>
            </w:pPr>
            <w:r>
              <w:t>“</w:t>
            </w:r>
            <w:r w:rsidRPr="009808BE">
              <w:t>In areas where there is little or no vertical separation between the production zone and drinking water resources, there is a greater potential to increase the frequency or severity of impacts to drinking water quality.</w:t>
            </w:r>
            <w:r>
              <w:t>” p6-74</w:t>
            </w:r>
          </w:p>
        </w:tc>
      </w:tr>
      <w:tr w:rsidR="002F7982" w14:paraId="42DF42DE"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1F8D94FA" w14:textId="77777777" w:rsidR="002F7982" w:rsidRDefault="002F7982" w:rsidP="0045301B">
            <w:pPr>
              <w:pStyle w:val="TableText"/>
              <w:keepLines/>
              <w:spacing w:before="0" w:after="0" w:line="240" w:lineRule="auto"/>
            </w:pPr>
            <w:r>
              <w:t>W.3</w:t>
            </w:r>
          </w:p>
        </w:tc>
        <w:tc>
          <w:tcPr>
            <w:tcW w:w="0" w:type="auto"/>
          </w:tcPr>
          <w:p w14:paraId="1598FDF5" w14:textId="77777777" w:rsidR="002F7982" w:rsidRDefault="002F7982" w:rsidP="0045301B">
            <w:pPr>
              <w:pStyle w:val="TableTextCentred"/>
              <w:keepLines/>
              <w:spacing w:before="0" w:after="0" w:line="240" w:lineRule="auto"/>
              <w:jc w:val="left"/>
            </w:pPr>
            <w:r>
              <w:t>Migration along casing between rock layers</w:t>
            </w:r>
          </w:p>
        </w:tc>
        <w:tc>
          <w:tcPr>
            <w:tcW w:w="973" w:type="dxa"/>
          </w:tcPr>
          <w:p w14:paraId="29537041" w14:textId="69A34BDA" w:rsidR="002F7982" w:rsidRDefault="002F7982" w:rsidP="0045301B">
            <w:pPr>
              <w:pStyle w:val="TableTextCentred"/>
              <w:keepLines/>
              <w:spacing w:before="0" w:after="0" w:line="240" w:lineRule="auto"/>
              <w:jc w:val="left"/>
            </w:pPr>
            <w:r>
              <w:t>Unlikely</w:t>
            </w:r>
          </w:p>
        </w:tc>
        <w:tc>
          <w:tcPr>
            <w:tcW w:w="6350" w:type="dxa"/>
          </w:tcPr>
          <w:p w14:paraId="2A9C26BA" w14:textId="6DDF78D3" w:rsidR="002F7982" w:rsidRDefault="002F7982" w:rsidP="0045301B">
            <w:pPr>
              <w:pStyle w:val="TableTextCentred"/>
              <w:keepLines/>
              <w:spacing w:before="0" w:after="0" w:line="240" w:lineRule="auto"/>
              <w:jc w:val="left"/>
            </w:pPr>
            <w:r>
              <w:t>“</w:t>
            </w:r>
            <w:r w:rsidRPr="005713B7">
              <w:t>A well with insufficient mechanical integrity can allow unintended fluid movement, either from the ins</w:t>
            </w:r>
            <w:r>
              <w:t>ide to the outside of the well</w:t>
            </w:r>
            <w:r w:rsidRPr="005713B7">
              <w:t xml:space="preserve"> or vertically</w:t>
            </w:r>
            <w:r>
              <w:t xml:space="preserve"> along the outside of the well</w:t>
            </w:r>
            <w:r w:rsidRPr="005713B7">
              <w:t>.</w:t>
            </w:r>
            <w:r>
              <w:t xml:space="preserve">  </w:t>
            </w:r>
            <w:r w:rsidRPr="005713B7">
              <w:t>The existence of one or more of these pathways can result in impacts on drinking water resources if hydraulic fracturing fluids reach groundwater resources.</w:t>
            </w:r>
            <w:r>
              <w:t>” pES-29</w:t>
            </w:r>
          </w:p>
          <w:p w14:paraId="034439AD" w14:textId="77777777" w:rsidR="002F7982" w:rsidRPr="007E54F0" w:rsidRDefault="002F7982" w:rsidP="007E54F0">
            <w:pPr>
              <w:pStyle w:val="BodyText"/>
            </w:pPr>
          </w:p>
          <w:p w14:paraId="53A0964A" w14:textId="4AF9A856" w:rsidR="002F7982" w:rsidRDefault="002F7982" w:rsidP="0045301B">
            <w:pPr>
              <w:pStyle w:val="BodyText"/>
              <w:keepLines/>
            </w:pPr>
            <w:r>
              <w:t>“</w:t>
            </w:r>
            <w:r w:rsidRPr="009538EC">
              <w:t>The primary factors that can affect the frequency or severity of impacts to drinking water associated with injection for hydraulic fracturing are: (1) the condition of the well’s casing and cement and their placement relative to drinking water resources</w:t>
            </w:r>
            <w:r>
              <w:t>.” p6-1</w:t>
            </w:r>
          </w:p>
          <w:p w14:paraId="1F0A0D22" w14:textId="1C14D919" w:rsidR="002F7982" w:rsidRDefault="002F7982" w:rsidP="0045301B">
            <w:pPr>
              <w:pStyle w:val="BodyText"/>
              <w:keepLines/>
            </w:pPr>
          </w:p>
          <w:p w14:paraId="66D95126" w14:textId="322E8DCA" w:rsidR="002F7982" w:rsidRDefault="002F7982" w:rsidP="0045301B">
            <w:pPr>
              <w:pStyle w:val="BodyText"/>
              <w:keepLines/>
            </w:pPr>
            <w:r>
              <w:t>“…</w:t>
            </w:r>
            <w:r w:rsidRPr="007E54F0">
              <w:t>the pressure- and temperature-related</w:t>
            </w:r>
            <w:r>
              <w:t xml:space="preserve"> [cooling to ~20] degrees</w:t>
            </w:r>
            <w:r w:rsidRPr="007E54F0">
              <w:t xml:space="preserve"> stresses associated with hydraulic fracturing remain as factors that can affect the integrity of the well casing.</w:t>
            </w:r>
            <w:r>
              <w:t>” p6-22</w:t>
            </w:r>
          </w:p>
          <w:p w14:paraId="5EBB8100" w14:textId="77777777" w:rsidR="002F7982" w:rsidRDefault="002F7982" w:rsidP="0045301B">
            <w:pPr>
              <w:pStyle w:val="BodyText"/>
              <w:keepLines/>
            </w:pPr>
          </w:p>
          <w:p w14:paraId="45BB33D7" w14:textId="4864FAA6" w:rsidR="002F7982" w:rsidRDefault="002F7982" w:rsidP="0045301B">
            <w:pPr>
              <w:pStyle w:val="BodyText"/>
              <w:keepLines/>
            </w:pPr>
            <w:r>
              <w:t>“I</w:t>
            </w:r>
            <w:r w:rsidRPr="00C71CA1">
              <w:t>n the study by</w:t>
            </w:r>
            <w:r>
              <w:t xml:space="preserve"> </w:t>
            </w:r>
            <w:r>
              <w:fldChar w:fldCharType="begin" w:fldLock="1"/>
            </w:r>
            <w:r>
              <w:instrText>ADDIN CSL_CITATION {"citationItems":[{"id":"ITEM-1","itemData":{"DOI":"10.1073/pnas.1322107111","ISBN":"1091-6490 (Electronic)\\r0027-8424 (Linking)","ISSN":"0027-8424","PMID":"25225410","abstract":"Horizontal drilling and hydraulic fracturing have enhanced energy production but raised concerns about drinking-water contamination and other environmental impacts. Identifying the sources and mechanisms of contamination can help improve the environmental and economic sustainability of shale-gas extraction. We analyzed 113 and 20 samples from drinking-water wells overlying the Marcellus and Barnett Shales, respectively, examining hydrocarbon abundance and isotopic compositions (e.g., C2H6/CH4, delta(13)C-CH4) and providing, to our knowledge, the first comprehensive analyses of noble gases and their isotopes (e.g., (4)He, (20)Ne, (36)Ar) in groundwater near shale-gas wells. We addressed two questions. (i) Are elevated levels of hydrocarbon gases in drinking-water aquifers near gas wells natural or anthropogenic? (ii) If fugitive gas contamination exists, what mechanisms cause it? Against a backdrop of naturally occurring salt- and gas-rich groundwater, we identified eight discrete clusters of fugitive gas contamination, seven in Pennsylvania and one in Texas that showed increased contamination through time. Where fugitive gas contamination occurred, the relative proportions of thermogenic hydrocarbon gas (e.g., CH4, (4)He) were significantly higher (P &lt; 0.01) and the proportions of atmospheric gases (air-saturated water; e.g., N2, (36)Ar) were significantly lower (P &lt; 0.01) relative to background groundwater. Noble gas isotope and hydrocarbon data link four contamination clusters to gas leakage from intermediate-depth strata through failures of annulus cement, three to target production gases that seem to implicate faulty production casings, and one to an underground gas well failure. Noble gas data appear to rule out gas contamination by upward migration from depth through overlying geological strata triggered by horizontal drilling or hydraulic fracturing.","author":[{"dropping-particle":"","family":"Darrah","given":"Thomas H.","non-dropping-particle":"","parse-names":false,"suffix":""},{"dropping-particle":"","family":"Vengosh","given":"Avner","non-dropping-particle":"","parse-names":false,"suffix":""},{"dropping-particle":"","family":"Jackson","given":"Robert B.","non-dropping-particle":"","parse-names":false,"suffix":""},{"dropping-particle":"","family":"Warner","given":"Nathaniel R.","non-dropping-particle":"","parse-names":false,"suffix":""},{"dropping-particle":"","family":"Poreda","given":"Robert J.","non-dropping-particle":"","parse-names":false,"suffix":""}],"container-title":"Proceedings of the National Academy of Sciences","id":"ITEM-1","issue":"39","issued":{"date-parts":[["2014"]]},"page":"14076-14081","title":"Noble gases identify the mechanisms of fugitive gas contamination in drinking-water wells overlying the Marcellus and Barnett Shales","type":"article-journal","volume":"111"},"uris":["http://www.mendeley.com/documents/?uuid=a0e7e52c-20dc-470e-aa61-075c0b5c0483"]}],"mendeley":{"formattedCitation":"(Darrah &lt;i&gt;et al.&lt;/i&gt;, 2014)","manualFormatting":"Darrah et al. (2014)","plainTextFormattedCitation":"(Darrah et al., 2014)","previouslyFormattedCitation":"(Darrah &lt;i&gt;et al.&lt;/i&gt;, 2014)"},"properties":{"noteIndex":0},"schema":"https://github.com/citation-style-language/schema/raw/master/csl-citation.json"}</w:instrText>
            </w:r>
            <w:r>
              <w:fldChar w:fldCharType="separate"/>
            </w:r>
            <w:r w:rsidRPr="00171364">
              <w:rPr>
                <w:noProof/>
              </w:rPr>
              <w:t xml:space="preserve">Darrah </w:t>
            </w:r>
            <w:r w:rsidRPr="005A442F">
              <w:rPr>
                <w:noProof/>
              </w:rPr>
              <w:t>et al.</w:t>
            </w:r>
            <w:r w:rsidRPr="00171364">
              <w:rPr>
                <w:noProof/>
              </w:rPr>
              <w:t xml:space="preserve"> </w:t>
            </w:r>
            <w:r>
              <w:rPr>
                <w:noProof/>
              </w:rPr>
              <w:t>(</w:t>
            </w:r>
            <w:r w:rsidRPr="00171364">
              <w:rPr>
                <w:noProof/>
              </w:rPr>
              <w:t>2014)</w:t>
            </w:r>
            <w:r>
              <w:fldChar w:fldCharType="end"/>
            </w:r>
            <w:r w:rsidRPr="00C71CA1">
              <w:t xml:space="preserve">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71CA1">
              <w:t>Section 6.2.2.1), using isotopic data, four clusters of gas contamination were linked to poor cementing. In three clusters in the Marcellus and one in the Barnett, gas found in drinking water wells had isotopic signatures consistent with intermediate formations overlying the producing zone. This suggests that gas migrated from the intermediate units along the well annulus, along uncemented portions of the wellbore, or through channels or microannuli.</w:t>
            </w:r>
            <w:r>
              <w:t>” p6-27</w:t>
            </w:r>
          </w:p>
          <w:p w14:paraId="0CBB6B17" w14:textId="77777777" w:rsidR="002F7982" w:rsidRDefault="002F7982" w:rsidP="0045301B">
            <w:pPr>
              <w:pStyle w:val="BodyText"/>
              <w:keepLines/>
            </w:pPr>
          </w:p>
          <w:p w14:paraId="327508F4" w14:textId="3BBE54C5" w:rsidR="002F7982" w:rsidRDefault="002F7982" w:rsidP="0045301B">
            <w:pPr>
              <w:pStyle w:val="BodyText"/>
              <w:keepLines/>
            </w:pPr>
            <w:r>
              <w:t>“</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Wellbores","type":"article-journal"},"uris":["http://www.mendeley.com/documents/?uuid=98c69bdb-11e0-4d0d-8924-884781590c4f"]}],"mendeley":{"formattedCitation":"(Watson and Bachu, 2009)","plainTextFormattedCitation":"(Watson and Bachu, 2009)","previouslyFormattedCitation":"(Watson and Bachu, 2009)"},"properties":{"noteIndex":0},"schema":"https://github.com/citation-style-language/schema/raw/master/csl-citation.json"}</w:instrText>
            </w:r>
            <w:r>
              <w:fldChar w:fldCharType="separate"/>
            </w:r>
            <w:r w:rsidRPr="00D5513C">
              <w:rPr>
                <w:noProof/>
              </w:rPr>
              <w:t>(Watson and Bachu, 2009)</w:t>
            </w:r>
            <w:r>
              <w:fldChar w:fldCharType="end"/>
            </w:r>
            <w:r w:rsidRPr="00D5513C">
              <w:t xml:space="preserve"> found that regulations requiring monitoring and repair of sustained casing vent flow or sustained casing pressure had a positive effect on lowering leak rates.</w:t>
            </w:r>
            <w:r>
              <w:t xml:space="preserve"> </w:t>
            </w:r>
            <w:r w:rsidRPr="00D5513C">
              <w:t>The authors also found injection wells initially designed for the higher pressures associated with injection (vs. production) experienced sustained casing pressure less often than those that were retrofitted</w:t>
            </w:r>
            <w:r>
              <w:t xml:space="preserve"> </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Wellbores","type":"article-journal"},"uris":["http://www.mendeley.com/documents/?uuid=98c69bdb-11e0-4d0d-8924-884781590c4f"]}],"mendeley":{"formattedCitation":"(Watson and Bachu, 2009)","plainTextFormattedCitation":"(Watson and Bachu, 2009)","previouslyFormattedCitation":"(Watson and Bachu, 2009)"},"properties":{"noteIndex":0},"schema":"https://github.com/citation-style-language/schema/raw/master/csl-citation.json"}</w:instrText>
            </w:r>
            <w:r>
              <w:fldChar w:fldCharType="separate"/>
            </w:r>
            <w:r w:rsidRPr="00171364">
              <w:rPr>
                <w:noProof/>
              </w:rPr>
              <w:t>(Watson and Bachu, 2009)</w:t>
            </w:r>
            <w:r>
              <w:fldChar w:fldCharType="end"/>
            </w:r>
            <w:r>
              <w:t>.” p6-37</w:t>
            </w:r>
          </w:p>
          <w:p w14:paraId="199323FE" w14:textId="77777777" w:rsidR="002F7982" w:rsidRDefault="002F7982" w:rsidP="0045301B">
            <w:pPr>
              <w:pStyle w:val="BodyText"/>
              <w:keepLines/>
            </w:pPr>
          </w:p>
          <w:p w14:paraId="010635B3" w14:textId="1E182535" w:rsidR="002F7982" w:rsidRPr="005713B7" w:rsidRDefault="002F7982" w:rsidP="0045301B">
            <w:pPr>
              <w:pStyle w:val="BodyText"/>
              <w:keepLines/>
            </w:pPr>
            <w:r>
              <w:t>“…</w:t>
            </w:r>
            <w:r>
              <w:fldChar w:fldCharType="begin" w:fldLock="1"/>
            </w:r>
            <w:r w:rsidR="0057362C">
              <w:instrText>ADDIN CSL_CITATION {"citationItems":[{"id":"ITEM-1","itemData":{"ISBN":"9781613994061","abstract":"integrity; annulus; review; modelling","author":[{"dropping-particle":"","family":"Fleckenstein","given":"W W","non-dropping-particle":"","parse-names":false,"suffix":""},{"dropping-particle":"","family":"Eustes","given":"A W","non-dropping-particle":"","parse-names":false,"suffix":""},{"dropping-particle":"","family":"Stone","given":"C H","non-dropping-particle":"","parse-names":false,"suffix":""},{"dropping-particle":"","family":"Howell","given":"P K","non-dropping-particle":"","parse-names":false,"suffix":""}],"id":"ITEM-1","issued":{"date-parts":[["2015"]]},"title":"An Assessment of Risk of Migration of Hydrocarbons or Fracturing Fluids to Fresh Water Aquifers : Wattenberg Field, CO","type":"article-journal"},"uris":["http://www.mendeley.com/documents/?uuid=0b70ca60-e45f-4bf5-bd72-9905babee391"]}],"mendeley":{"formattedCitation":"(Fleckenstein &lt;i&gt;et al.&lt;/i&gt;, 2015)","manualFormatting":"Fleckenstein et al. (2015)","plainTextFormattedCitation":"(Fleckenstein et al., 2015)","previouslyFormattedCitation":"(Fleckenstein &lt;i&gt;et al.&lt;/i&gt;, 2015)"},"properties":{"noteIndex":0},"schema":"https://github.com/citation-style-language/schema/raw/master/csl-citation.json"}</w:instrText>
            </w:r>
            <w:r>
              <w:fldChar w:fldCharType="separate"/>
            </w:r>
            <w:r w:rsidRPr="00D5513C">
              <w:rPr>
                <w:noProof/>
              </w:rPr>
              <w:t xml:space="preserve">Fleckenstein </w:t>
            </w:r>
            <w:r w:rsidRPr="005A442F">
              <w:rPr>
                <w:noProof/>
              </w:rPr>
              <w:t>et al.</w:t>
            </w:r>
            <w:r w:rsidRPr="00D5513C">
              <w:rPr>
                <w:noProof/>
              </w:rPr>
              <w:t xml:space="preserve"> </w:t>
            </w:r>
            <w:r>
              <w:rPr>
                <w:noProof/>
              </w:rPr>
              <w:t>(</w:t>
            </w:r>
            <w:r w:rsidRPr="00D5513C">
              <w:rPr>
                <w:noProof/>
              </w:rPr>
              <w:t>2015)</w:t>
            </w:r>
            <w:r>
              <w:fldChar w:fldCharType="end"/>
            </w:r>
            <w:r w:rsidRPr="00D5513C">
              <w:t xml:space="preserve"> found that placing the surface casing below all potential sources of drinking water and cementing intermediate gas zones significantly reduced sustained casing pressure.</w:t>
            </w:r>
            <w:r>
              <w:t>” p6-37</w:t>
            </w:r>
          </w:p>
        </w:tc>
      </w:tr>
      <w:tr w:rsidR="002F7982" w14:paraId="79B8D2F9"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0A150C47" w14:textId="77777777" w:rsidR="002F7982" w:rsidRDefault="002F7982" w:rsidP="0045301B">
            <w:pPr>
              <w:pStyle w:val="TableText"/>
              <w:keepLines/>
              <w:spacing w:before="0" w:after="0" w:line="240" w:lineRule="auto"/>
            </w:pPr>
            <w:r>
              <w:t>W.4</w:t>
            </w:r>
          </w:p>
        </w:tc>
        <w:tc>
          <w:tcPr>
            <w:tcW w:w="0" w:type="auto"/>
          </w:tcPr>
          <w:p w14:paraId="6484BA29" w14:textId="77777777" w:rsidR="002F7982" w:rsidRDefault="002F7982" w:rsidP="0045301B">
            <w:pPr>
              <w:pStyle w:val="TableTextCentred"/>
              <w:keepLines/>
              <w:spacing w:before="0" w:after="0" w:line="240" w:lineRule="auto"/>
              <w:jc w:val="left"/>
            </w:pPr>
            <w:r>
              <w:t>Migration along decommissioned / abandoned wells</w:t>
            </w:r>
          </w:p>
        </w:tc>
        <w:tc>
          <w:tcPr>
            <w:tcW w:w="973" w:type="dxa"/>
          </w:tcPr>
          <w:p w14:paraId="52E6A3D7" w14:textId="1CF77E33" w:rsidR="002F7982" w:rsidRDefault="002F7982" w:rsidP="0045301B">
            <w:pPr>
              <w:pStyle w:val="TableTextCentred"/>
              <w:keepLines/>
              <w:spacing w:before="0" w:after="0" w:line="240" w:lineRule="auto"/>
              <w:jc w:val="left"/>
            </w:pPr>
            <w:r>
              <w:t>Unlikely</w:t>
            </w:r>
          </w:p>
        </w:tc>
        <w:tc>
          <w:tcPr>
            <w:tcW w:w="6350" w:type="dxa"/>
          </w:tcPr>
          <w:p w14:paraId="75284CFD" w14:textId="2A87F2A2" w:rsidR="002F7982" w:rsidRDefault="002F7982" w:rsidP="0045301B">
            <w:pPr>
              <w:pStyle w:val="TableTextCentred"/>
              <w:keepLines/>
              <w:spacing w:before="0" w:after="0" w:line="240" w:lineRule="auto"/>
              <w:jc w:val="left"/>
            </w:pPr>
            <w:r>
              <w:t>“…</w:t>
            </w:r>
            <w:r w:rsidRPr="00D9699C">
              <w:t xml:space="preserve">in </w:t>
            </w:r>
            <w:r>
              <w:t>So</w:t>
            </w:r>
            <w:r w:rsidRPr="00D9699C">
              <w:t>uth-</w:t>
            </w:r>
            <w:r>
              <w:t>E</w:t>
            </w:r>
            <w:r w:rsidRPr="00D9699C">
              <w:t xml:space="preserve">astern Bradford County, Pennsylvania (discussed in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D9699C">
              <w:t xml:space="preserve">Section 6.2), where natural fractures intersected an uncemented casing annulus and allowed gas to flow from the annulus into nearby domestic wells and a stream </w:t>
            </w:r>
            <w:r>
              <w:fldChar w:fldCharType="begin" w:fldLock="1"/>
            </w:r>
            <w:r>
              <w:instrText xml:space="preserve">ADDIN CSL_CITATION {"citationItems":[{"id":"ITEM-1","itemData":{"DOI":"10.1073/pnas.1420279112","ISBN":"0027-8424","ISSN":"0027-8424","PMID":"25941400","abstract":"High-volume hydraulic fracturing (HVHF) has revolutionized the oil and gas industry worldwide but has been accompanied by highly controversial incidents of reported water contamination. For example, groundwater contamination by stray natural gas and spillage of brine and other gas drilling-related fluids is known to occur. However, contamination of shallow potable aquifers by HVHF at depth has never been fully documented. We investigated a case where Marcellus Shale gas wells in Pennsylvania caused inundation of natural gas and foam in initially potable groundwater used by several households. With comprehensive 2D gas chromatography coupled to time-of-flight mass spectrometry (GCxGC-TOFMS), an unresolved complex mixture of organic compounds was identified in the aquifer. Similar signatures were also observed in flowback from Marcellus Shale gas wells. A compound identified in flowback, 2-n-Butoxyethanol, was also positively identified in one of the foaming drinking water wells at nanogram-per-liter concentrations. The most likely explanation of the incident is that stray natural gas and drilling or HF compounds were driven </w:instrText>
            </w:r>
            <w:r>
              <w:rPr>
                <w:rFonts w:ascii="Cambria Math" w:hAnsi="Cambria Math" w:cs="Cambria Math"/>
              </w:rPr>
              <w:instrText>∼</w:instrText>
            </w:r>
            <w:r>
              <w:instrText>1</w:instrText>
            </w:r>
            <w:r>
              <w:rPr>
                <w:rFonts w:ascii="Calibri" w:hAnsi="Calibri" w:cs="Calibri"/>
              </w:rPr>
              <w:instrText>–</w:instrText>
            </w:r>
            <w:r>
              <w:instrText>3 km along shallow to intermediate depth fractures to the aquifer used as a potable water source. Part of the problem may have been wastewaters from a pit leak reported at the nearest gas well pad</w:instrText>
            </w:r>
            <w:r>
              <w:rPr>
                <w:rFonts w:ascii="Calibri" w:hAnsi="Calibri" w:cs="Calibri"/>
              </w:rPr>
              <w:instrText>—</w:instrText>
            </w:r>
            <w:r>
              <w:instrText>the only nearby pad where wells were hydraulically fractured before the contamination incident. If samples of drilling, pit, and HVHF fluids had been available, GCxGC-TOFMS might have fingerprinted the contamination source. Such evaluations would contribute significantly to better management practices as the shale gas industry expands worldwide. ","author":[{"dropping-particle":"","family":"Llewellyn","given":"Garth T.","non-dropping-particle":"","parse-names":false,"suffix":""},{"dropping-particle":"","family":"Dorman","given":"Frank","non-dropping-particle":"","parse-names":false,"suffix":""},{"dropping-particle":"","family":"Westland","given":"J. L.","non-dropping-particle":"","parse-names":false,"suffix":""},{"dropping-particle":"","family":"Yoxtheimer","given":"D.","non-dropping-particle":"","parse-names":false,"suffix":""},{"dropping-particle":"","family":"Grieve","given":"Paul","non-dropping-particle":"","parse-names":false,"suffix":""},{"dropping-particle":"","family":"Sowers","given":"Todd","non-dropping-particle":"","parse-names":false,"suffix":""},{"dropping-particle":"","family":"Humston-Fulmer","given":"E.","non-dropping-particle":"","parse-names":false,"suffix":""},{"dropping-particle":"","family":"Brantley","given":"Susan L.","non-dropping-particle":"","parse-names":false,"suffix":""}],"container-title":"Proceedings of the National Academy of Sciences","id":"ITEM-1","issue":"20","issued":{"date-parts":[["2015"]]},"page":"6325-6330","title":"Evaluating a groundwater supply contamination incident attributed to Marcellus Shale gas development","type":"article-journal","volume":"112"},"uris":["http://www.mendeley.com/documents/?uuid=a0fd09cc-bccf-44f4-99f5-5ce39a67d687"]}],"mendeley":{"formattedCitation":"(Llewellyn &lt;i&gt;et al.&lt;/i&gt;, 2015)","plainTextFormattedCitation":"(Llewellyn et al., 2015)","previouslyFormattedCitation":"(Llewellyn &lt;i&gt;et al.&lt;/i&gt;, 2015)"},"properties":{"noteIndex":0},"schema":"https://github.com/citation-style-language/schema/raw/master/csl-citation.json"}</w:instrText>
            </w:r>
            <w:r>
              <w:fldChar w:fldCharType="separate"/>
            </w:r>
            <w:r w:rsidRPr="00171364">
              <w:rPr>
                <w:noProof/>
              </w:rPr>
              <w:t xml:space="preserve">(Llewellyn </w:t>
            </w:r>
            <w:r w:rsidRPr="005A442F">
              <w:rPr>
                <w:noProof/>
              </w:rPr>
              <w:t>et al.</w:t>
            </w:r>
            <w:r w:rsidRPr="00171364">
              <w:rPr>
                <w:noProof/>
              </w:rPr>
              <w:t>, 2015)</w:t>
            </w:r>
            <w:r>
              <w:fldChar w:fldCharType="end"/>
            </w:r>
            <w:r>
              <w:t>.” p6-68</w:t>
            </w:r>
          </w:p>
        </w:tc>
      </w:tr>
      <w:tr w:rsidR="002F7982" w14:paraId="74E8FC70"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4282A347" w14:textId="77777777" w:rsidR="002F7982" w:rsidRDefault="002F7982" w:rsidP="0045301B">
            <w:pPr>
              <w:pStyle w:val="TableText"/>
              <w:keepLines/>
              <w:spacing w:before="0" w:after="0" w:line="240" w:lineRule="auto"/>
            </w:pPr>
            <w:r>
              <w:t>W.5</w:t>
            </w:r>
          </w:p>
        </w:tc>
        <w:tc>
          <w:tcPr>
            <w:tcW w:w="0" w:type="auto"/>
          </w:tcPr>
          <w:p w14:paraId="28BEA858" w14:textId="77777777" w:rsidR="002F7982" w:rsidRDefault="002F7982" w:rsidP="0045301B">
            <w:pPr>
              <w:pStyle w:val="TableTextCentred"/>
              <w:keepLines/>
              <w:spacing w:before="0" w:after="0" w:line="240" w:lineRule="auto"/>
              <w:jc w:val="left"/>
            </w:pPr>
            <w:r>
              <w:t>Loss of well control</w:t>
            </w:r>
          </w:p>
        </w:tc>
        <w:tc>
          <w:tcPr>
            <w:tcW w:w="973" w:type="dxa"/>
          </w:tcPr>
          <w:p w14:paraId="354D11BC" w14:textId="7BA68D2A" w:rsidR="002F7982" w:rsidRDefault="002F7982" w:rsidP="0045301B">
            <w:pPr>
              <w:pStyle w:val="TableTextCentred"/>
              <w:keepLines/>
              <w:spacing w:before="0" w:after="0" w:line="240" w:lineRule="auto"/>
              <w:jc w:val="left"/>
            </w:pPr>
            <w:r>
              <w:t>Not assessed</w:t>
            </w:r>
          </w:p>
        </w:tc>
        <w:tc>
          <w:tcPr>
            <w:tcW w:w="6350" w:type="dxa"/>
          </w:tcPr>
          <w:p w14:paraId="68AE2400" w14:textId="77777777" w:rsidR="002F7982" w:rsidRDefault="002F7982" w:rsidP="0045301B">
            <w:pPr>
              <w:pStyle w:val="TableTextCentred"/>
              <w:keepLines/>
              <w:spacing w:before="0" w:after="0" w:line="240" w:lineRule="auto"/>
              <w:jc w:val="left"/>
            </w:pPr>
          </w:p>
        </w:tc>
      </w:tr>
      <w:bookmarkEnd w:id="57"/>
    </w:tbl>
    <w:p w14:paraId="5EDA3897" w14:textId="77777777" w:rsidR="002F7982" w:rsidRDefault="002F7982" w:rsidP="00985B69">
      <w:pPr>
        <w:pStyle w:val="BodyText"/>
      </w:pPr>
      <w:r>
        <w:br w:type="page"/>
      </w:r>
    </w:p>
    <w:p w14:paraId="7F676AEA" w14:textId="3D7ADC0D" w:rsidR="002F7982" w:rsidRDefault="002F7982" w:rsidP="002F7982">
      <w:pPr>
        <w:pStyle w:val="Heading5notnumbered"/>
      </w:pPr>
      <w:r>
        <w:t>References contained within</w:t>
      </w:r>
      <w:r w:rsidRPr="002F7982">
        <w:t xml:space="preserve"> </w:t>
      </w:r>
      <w:r w:rsidRPr="005A442F">
        <w:fldChar w:fldCharType="begin"/>
      </w:r>
      <w:r w:rsidRPr="005A442F">
        <w:instrText xml:space="preserve"> REF _Ref14697147 \h  \* MERGEFORMAT </w:instrText>
      </w:r>
      <w:r w:rsidRPr="005A442F">
        <w:fldChar w:fldCharType="separate"/>
      </w:r>
      <w:r w:rsidR="00073927">
        <w:t xml:space="preserve">Table </w:t>
      </w:r>
      <w:r w:rsidR="00073927">
        <w:rPr>
          <w:noProof/>
        </w:rPr>
        <w:t>6</w:t>
      </w:r>
      <w:r w:rsidR="00073927">
        <w:t xml:space="preserve"> </w:t>
      </w:r>
      <w:r w:rsidR="00073927" w:rsidRPr="003109A0">
        <w:t xml:space="preserve">Excerpts from US Environmental Protection Agency, </w:t>
      </w:r>
      <w:r w:rsidR="00073927">
        <w:t>(</w:t>
      </w:r>
      <w:r w:rsidR="00073927" w:rsidRPr="003109A0">
        <w:t>2016) related to each impact mode</w:t>
      </w:r>
      <w:r w:rsidRPr="005A442F">
        <w:fldChar w:fldCharType="end"/>
      </w:r>
    </w:p>
    <w:p w14:paraId="392D06C2" w14:textId="673F6976" w:rsidR="0073177A" w:rsidRDefault="0073177A" w:rsidP="003714C9">
      <w:pPr>
        <w:pStyle w:val="References"/>
      </w:pPr>
      <w:r>
        <w:t xml:space="preserve">Ajani, A. A., &amp; Kelkar, M. G. (2012). Interference Study in Shale Plays. In SPE Hydraulic Fracturing Technology Conference (pp. 6–8). The Woodlands, Texas. </w:t>
      </w:r>
    </w:p>
    <w:p w14:paraId="0F68FFDF" w14:textId="6E1DDBD7" w:rsidR="0073177A" w:rsidRDefault="0073177A" w:rsidP="003714C9">
      <w:pPr>
        <w:pStyle w:val="References"/>
      </w:pPr>
      <w:r>
        <w:t xml:space="preserve">American Petroleum Institute. (2015). Hydraulic Fracturing—Well Integrity and Fracture Containment. American Petroleum Institute, (ANSI/API RECOMMENDED PRACTICE 100-1). </w:t>
      </w:r>
    </w:p>
    <w:p w14:paraId="4A2CB4C0" w14:textId="7C7AE2A9" w:rsidR="0073177A" w:rsidRDefault="0073177A" w:rsidP="003714C9">
      <w:pPr>
        <w:pStyle w:val="References"/>
      </w:pPr>
      <w:r>
        <w:t xml:space="preserve">Ciezobka, J., &amp; Salehi, I. (2013). Controlled Hydraulic Fracturing of Naturally Fractured Shales - A Case Study in the Marcellus Shale Examining How to Identify and Exploit Natural Fractures. In SPE Unconventional Reservoirs Conference (pp. 1–20). The Woodlands, Texas: Society of Petroleum Engineers. </w:t>
      </w:r>
    </w:p>
    <w:p w14:paraId="301F0012" w14:textId="0B538306" w:rsidR="0073177A" w:rsidRDefault="0073177A" w:rsidP="003714C9">
      <w:pPr>
        <w:pStyle w:val="References"/>
      </w:pPr>
      <w:r>
        <w:t xml:space="preserve">Darrah, T. H., Vengosh, A., Jackson, R. B., Warner, N. R., &amp; Poreda, R. J. (2014). Noble gases identify the mechanisms of fugitive gas contamination in drinking-water wells overlying the Marcellus and Barnett Shales. Proceedings of the National Academy of Sciences, 111(39), 14076–14081. </w:t>
      </w:r>
    </w:p>
    <w:p w14:paraId="30526F9B" w14:textId="3801F1BF" w:rsidR="0073177A" w:rsidRDefault="0073177A" w:rsidP="003714C9">
      <w:pPr>
        <w:pStyle w:val="References"/>
      </w:pPr>
      <w:r>
        <w:t xml:space="preserve">Davies, R. J., Foulger, G. R., Mathias, S., Moss, J., Hustoft, S., &amp; Newport, L. (2013). Reply: Davies et al. (2012), Hydraulic fractures: How far can they go? Marine and Petroleum Geology, 43, 519–521. </w:t>
      </w:r>
    </w:p>
    <w:p w14:paraId="65906892" w14:textId="56DF0362" w:rsidR="0073177A" w:rsidRDefault="0073177A" w:rsidP="003714C9">
      <w:pPr>
        <w:pStyle w:val="References"/>
      </w:pPr>
      <w:r>
        <w:t xml:space="preserve">Davies, R. J., Mathias, S. a., Moss, J., Hustoft, S., &amp; Newport, L. (2012). Hydraulic fractures: How far can they go? Marine and Petroleum Geology, 37(1), 1–6. </w:t>
      </w:r>
    </w:p>
    <w:p w14:paraId="70088C04" w14:textId="77777777" w:rsidR="0073177A" w:rsidRDefault="0073177A" w:rsidP="003714C9">
      <w:pPr>
        <w:pStyle w:val="References"/>
      </w:pPr>
      <w:r>
        <w:t>Fisher, K., &amp; Warpinski, N. (2012). Hydraulic-Fracture-Height Growth : Real Data. SPE Production &amp; Operations, (February).</w:t>
      </w:r>
    </w:p>
    <w:p w14:paraId="12F073A3" w14:textId="3997F26A" w:rsidR="0073177A" w:rsidRDefault="0073177A" w:rsidP="003714C9">
      <w:pPr>
        <w:pStyle w:val="References"/>
      </w:pPr>
      <w:r>
        <w:t>Fleckenstein, W. W., Eustes, A. W., Stone, C. H., &amp; Howell, P. K. (2015). An Assessment of Risk of Migration of Hydrocarbons or Fracturing Fluids to Fresh Water Aquifers : Wattenberg Field, CO.</w:t>
      </w:r>
    </w:p>
    <w:p w14:paraId="2D90E332" w14:textId="330A5652" w:rsidR="0073177A" w:rsidRDefault="0073177A" w:rsidP="003714C9">
      <w:pPr>
        <w:pStyle w:val="References"/>
      </w:pPr>
      <w:r>
        <w:t xml:space="preserve">Hammack, R., Harbert, W., Sharma, S., Stewart, B., Capo, R., Wall, A., </w:t>
      </w:r>
      <w:r w:rsidR="00B85F9C">
        <w:t xml:space="preserve">Wells, A., Diehl, R., Blaushild, D., Sams, J., </w:t>
      </w:r>
      <w:r>
        <w:t xml:space="preserve">Veloski, G. (2014). An Evaluation of Fracture Growth and Gas/Fluid Migration as Horizontal Marcellus Shale Gas Wells are Hydraulically Fractured in Greene County, Pennsylvania. Netl-Trs-3-2014, (September), 1–80. </w:t>
      </w:r>
    </w:p>
    <w:p w14:paraId="2A68CABC" w14:textId="31FDD7E3" w:rsidR="0073177A" w:rsidRDefault="0073177A" w:rsidP="003714C9">
      <w:pPr>
        <w:pStyle w:val="References"/>
      </w:pPr>
      <w:r>
        <w:t xml:space="preserve">Lacazette, A., &amp; Geiser, P. (2013). Comment on Davies et al., 2012 e Hydraulic fractures: How far can the go? Marine and Petroleum Geology, 43, 519–521. </w:t>
      </w:r>
    </w:p>
    <w:p w14:paraId="11365269" w14:textId="61E86D26" w:rsidR="0073177A" w:rsidRDefault="0073177A" w:rsidP="003714C9">
      <w:pPr>
        <w:pStyle w:val="References"/>
      </w:pPr>
      <w:r>
        <w:t xml:space="preserve">Llewellyn, G. T., Dorman, F., Westland, J. L., Yoxtheimer, D., Grieve, P., Sowers, T., </w:t>
      </w:r>
      <w:r w:rsidR="00B85F9C" w:rsidRPr="00B85F9C">
        <w:t>Humston-Fulmer, E.</w:t>
      </w:r>
      <w:r w:rsidR="00753E5B">
        <w:t xml:space="preserve">, </w:t>
      </w:r>
      <w:r>
        <w:t xml:space="preserve">Brantley, S. L. (2015). Evaluating a groundwater supply contamination incident attributed to Marcellus Shale gas development. Proceedings of the National Academy of Sciences, 112(20), 6325–6330. </w:t>
      </w:r>
    </w:p>
    <w:p w14:paraId="6C043DE4" w14:textId="2B3CE282" w:rsidR="0073177A" w:rsidRDefault="0073177A" w:rsidP="003714C9">
      <w:pPr>
        <w:pStyle w:val="References"/>
      </w:pPr>
      <w:r>
        <w:t xml:space="preserve">Myshakin, E., Siriwardane, H., Hulcher, C., Lindner, E., Sams, N., King, S., &amp; McKoy, M. (2015). Numerical simulations of vertical growth of hydraulic fractures and brine migration in geological formations above the Marcellus shale. Journal of Natural Gas Science and Engineering, 27, 531–544. </w:t>
      </w:r>
    </w:p>
    <w:p w14:paraId="79C7330F" w14:textId="297279FE" w:rsidR="0073177A" w:rsidRDefault="0073177A" w:rsidP="003714C9">
      <w:pPr>
        <w:pStyle w:val="References"/>
      </w:pPr>
      <w:r>
        <w:t xml:space="preserve">Rutledge, J. T., &amp; Phillips, W. S. (2003). Hydraulic stimulation of natural fractures as revealed by induced microearthquakes, Carthage Cotton Valley gas field, east Texas. Geophysics, 68(2), 441–452. </w:t>
      </w:r>
    </w:p>
    <w:p w14:paraId="69FEC18E" w14:textId="7F21EA83" w:rsidR="0073177A" w:rsidRDefault="0073177A" w:rsidP="003714C9">
      <w:pPr>
        <w:pStyle w:val="References"/>
      </w:pPr>
      <w:r>
        <w:t xml:space="preserve">Shapiro, S. A., Krüger, O. S., Dinske, C., &amp; Langenbruch, C. (2011). Magnitudes of induced earthquakes and geometric scales of fluid-stimulated rock volumes. </w:t>
      </w:r>
      <w:r w:rsidR="00EC52D6">
        <w:t>Geophysics</w:t>
      </w:r>
      <w:r>
        <w:t xml:space="preserve">, 76(6), WC55–WC63. </w:t>
      </w:r>
    </w:p>
    <w:p w14:paraId="6D544F35" w14:textId="580EF1FE" w:rsidR="0073177A" w:rsidRDefault="0073177A" w:rsidP="003714C9">
      <w:pPr>
        <w:pStyle w:val="References"/>
      </w:pPr>
      <w:r>
        <w:t xml:space="preserve">Skoumal, R. J., Brudzinski, M. R., &amp; Currie, B. S. (2015). Earthquakes induced by hydraulic fracturing in Poland township, Ohio. Bulletin of the Seismological Society of America, 105(1), 189–197. </w:t>
      </w:r>
    </w:p>
    <w:p w14:paraId="566F904D" w14:textId="2D58B0C5" w:rsidR="0073177A" w:rsidRDefault="0073177A" w:rsidP="003714C9">
      <w:pPr>
        <w:pStyle w:val="References"/>
      </w:pPr>
      <w:r>
        <w:t xml:space="preserve">USEPA. (2016). Hydraulic fracturing for oil and gas: Impacts from the hydraulic fracturing water cycle on drinking water resources in the United States. </w:t>
      </w:r>
      <w:r w:rsidR="00EC52D6">
        <w:t xml:space="preserve">Viewed 25 May 2018, </w:t>
      </w:r>
      <w:hyperlink r:id="rId39" w:history="1">
        <w:r w:rsidR="003714C9" w:rsidRPr="00EF72E0">
          <w:rPr>
            <w:rStyle w:val="Hyperlink"/>
          </w:rPr>
          <w:t>https://www.epa.gov/hfstudy</w:t>
        </w:r>
      </w:hyperlink>
      <w:r w:rsidR="003714C9">
        <w:t xml:space="preserve"> </w:t>
      </w:r>
      <w:r w:rsidR="00EC52D6">
        <w:t xml:space="preserve"> </w:t>
      </w:r>
    </w:p>
    <w:p w14:paraId="10FFB11E" w14:textId="2051B1D8" w:rsidR="0073177A" w:rsidRDefault="0073177A" w:rsidP="003714C9">
      <w:pPr>
        <w:pStyle w:val="References"/>
      </w:pPr>
      <w:r>
        <w:t xml:space="preserve">Vulgamore, T., Clawson, T., Pope, C., Wolhart, S., Mayerhofer, M., Machovoe, S., &amp; Waltman, C. (2007). Applying Hydraulic Fracture Diagnostics to Optimize Stimulations in the Woodford Shale. In SPE Annual Technical Conference and Exhibition (p. 110029). Anaheim, </w:t>
      </w:r>
      <w:r w:rsidR="008E2FEA">
        <w:t>California</w:t>
      </w:r>
      <w:r>
        <w:t xml:space="preserve">: Society of Petroleum Engineers. </w:t>
      </w:r>
    </w:p>
    <w:p w14:paraId="30F1B50F" w14:textId="449526CA" w:rsidR="002F7982" w:rsidRDefault="0073177A" w:rsidP="003714C9">
      <w:pPr>
        <w:pStyle w:val="References"/>
      </w:pPr>
      <w:r>
        <w:t xml:space="preserve">Watson, T., &amp; Bachu, S. (2009). Evaluation of the Potential for Gas and CO2 Leakage along Wellbores. SPE Drilling &amp; Completion, (March), 115–126. </w:t>
      </w:r>
    </w:p>
    <w:p w14:paraId="3261D6D2" w14:textId="42883BB5" w:rsidR="003C4ABF" w:rsidRDefault="003C4ABF" w:rsidP="00985B69">
      <w:pPr>
        <w:pStyle w:val="BodyText"/>
      </w:pPr>
      <w:r>
        <w:br w:type="page"/>
      </w:r>
    </w:p>
    <w:p w14:paraId="1E079B18" w14:textId="32A0C854" w:rsidR="00A95F71" w:rsidRPr="00E70BF2" w:rsidRDefault="00273D75" w:rsidP="00E70BF2">
      <w:pPr>
        <w:pStyle w:val="Heading3"/>
        <w:rPr>
          <w:bCs/>
          <w:i w:val="0"/>
        </w:rPr>
      </w:pPr>
      <w:bookmarkStart w:id="58" w:name="_Ref528836930"/>
      <w:bookmarkStart w:id="59" w:name="_Toc5272813"/>
      <w:bookmarkStart w:id="60" w:name="_Toc36042858"/>
      <w:r w:rsidRPr="00E70BF2">
        <w:rPr>
          <w:bCs/>
          <w:i w:val="0"/>
        </w:rPr>
        <w:t xml:space="preserve">Qualitative review of the findings </w:t>
      </w:r>
      <w:r w:rsidR="00122C47" w:rsidRPr="00E70BF2">
        <w:rPr>
          <w:bCs/>
          <w:i w:val="0"/>
        </w:rPr>
        <w:t xml:space="preserve">from: </w:t>
      </w:r>
      <w:r w:rsidR="00122C47" w:rsidRPr="00220117">
        <w:rPr>
          <w:bCs/>
        </w:rPr>
        <w:t>Report of the independent inquiry into hydraulic fracturing in the Northern Territory</w:t>
      </w:r>
      <w:r w:rsidR="00122C47" w:rsidRPr="00E70BF2">
        <w:rPr>
          <w:bCs/>
          <w:i w:val="0"/>
        </w:rPr>
        <w:t xml:space="preserve"> </w:t>
      </w:r>
      <w:bookmarkStart w:id="61" w:name="_Hlk14267822"/>
      <w:r w:rsidR="00533A6B" w:rsidRPr="00E70BF2">
        <w:rPr>
          <w:bCs/>
          <w:i w:val="0"/>
        </w:rPr>
        <w:t>(Hawke, 2014)</w:t>
      </w:r>
      <w:bookmarkEnd w:id="58"/>
      <w:bookmarkEnd w:id="59"/>
      <w:bookmarkEnd w:id="60"/>
      <w:bookmarkEnd w:id="61"/>
    </w:p>
    <w:p w14:paraId="43BD6CAF" w14:textId="5A9661F0" w:rsidR="00F33E5E" w:rsidRDefault="00F33E5E" w:rsidP="00B65D6D">
      <w:pPr>
        <w:pStyle w:val="Heading4notnumbered"/>
      </w:pPr>
      <w:r>
        <w:t>Background and scope</w:t>
      </w:r>
    </w:p>
    <w:p w14:paraId="546EB1E5" w14:textId="38B39695" w:rsidR="00F33E5E" w:rsidRDefault="00F33E5E" w:rsidP="00F33E5E">
      <w:pPr>
        <w:pStyle w:val="BodyText"/>
      </w:pPr>
      <w:r>
        <w:t xml:space="preserve">The Northern Territory Government (NTG) established </w:t>
      </w:r>
      <w:r w:rsidR="0065586C">
        <w:t>an</w:t>
      </w:r>
      <w:r>
        <w:t xml:space="preserve"> Inquiry on 14 April 2014 to undertake a thorough investigation into hydraulic fracturing for hydrocarbon deposits in the </w:t>
      </w:r>
      <w:r w:rsidR="0065586C">
        <w:t>Northern Territory (</w:t>
      </w:r>
      <w:r>
        <w:t>NT</w:t>
      </w:r>
      <w:r w:rsidR="0065586C">
        <w:t>)</w:t>
      </w:r>
      <w:r>
        <w:t xml:space="preserve"> and the potential effects on the environment.</w:t>
      </w:r>
    </w:p>
    <w:p w14:paraId="30C0E0B1" w14:textId="77777777" w:rsidR="00F33E5E" w:rsidRDefault="00F33E5E" w:rsidP="00F33E5E">
      <w:pPr>
        <w:pStyle w:val="BodyText"/>
      </w:pPr>
      <w:r>
        <w:t xml:space="preserve">Among other things, the Chief Minister asked the Inquiry: </w:t>
      </w:r>
    </w:p>
    <w:p w14:paraId="35AB8046" w14:textId="17C42E35" w:rsidR="00F33E5E" w:rsidRDefault="00F33E5E" w:rsidP="00E70BF2">
      <w:pPr>
        <w:pStyle w:val="ListBullet"/>
      </w:pPr>
      <w:r>
        <w:t>… to separate the proven evidence about environmental risk from the myths and to give an accurate picture based on science; and</w:t>
      </w:r>
    </w:p>
    <w:p w14:paraId="56380B41" w14:textId="3095E22E" w:rsidR="00F33E5E" w:rsidRDefault="00F33E5E" w:rsidP="00E70BF2">
      <w:pPr>
        <w:pStyle w:val="ListBullet"/>
      </w:pPr>
      <w:r>
        <w:t>… to provide recommendations on whether steps should be taken to mitigate any potential impacts from fracking</w:t>
      </w:r>
      <w:r w:rsidR="00DC74BE">
        <w:t>.</w:t>
      </w:r>
    </w:p>
    <w:p w14:paraId="65FC875E" w14:textId="7732722A" w:rsidR="0065586C" w:rsidRPr="00F33E5E" w:rsidRDefault="0065586C" w:rsidP="0065586C">
      <w:pPr>
        <w:pStyle w:val="BodyText"/>
      </w:pPr>
      <w:r w:rsidRPr="0065586C">
        <w:t xml:space="preserve">263 submissions </w:t>
      </w:r>
      <w:r>
        <w:t xml:space="preserve">to the inquiry were </w:t>
      </w:r>
      <w:r w:rsidRPr="0065586C">
        <w:t xml:space="preserve">received </w:t>
      </w:r>
      <w:r>
        <w:t>and</w:t>
      </w:r>
      <w:r w:rsidRPr="0065586C">
        <w:t xml:space="preserve"> posted on the Inquiry website to inform interested parties and facilitate information exchange. Community meetings and consultations in Alice Springs, Darwin and Katherine attracted a combined attendance of around 150 people. </w:t>
      </w:r>
    </w:p>
    <w:p w14:paraId="7B4D145D" w14:textId="475EDB50" w:rsidR="00F33E5E" w:rsidRDefault="00F33E5E" w:rsidP="00B65D6D">
      <w:pPr>
        <w:pStyle w:val="Heading4notnumbered"/>
      </w:pPr>
      <w:r>
        <w:t>Study area</w:t>
      </w:r>
    </w:p>
    <w:p w14:paraId="1D1057F8" w14:textId="07D99945" w:rsidR="00F33E5E" w:rsidRPr="00F33E5E" w:rsidRDefault="00F33E5E" w:rsidP="00F33E5E">
      <w:pPr>
        <w:pStyle w:val="BodyText"/>
      </w:pPr>
      <w:r>
        <w:t>N</w:t>
      </w:r>
      <w:r w:rsidR="00220117">
        <w:t>T</w:t>
      </w:r>
      <w:r>
        <w:t>, Australia</w:t>
      </w:r>
    </w:p>
    <w:p w14:paraId="544494EF" w14:textId="7E6389C6" w:rsidR="00F33E5E" w:rsidRDefault="00F33E5E" w:rsidP="00B65D6D">
      <w:pPr>
        <w:pStyle w:val="Heading4notnumbered"/>
      </w:pPr>
      <w:r>
        <w:t>Authors</w:t>
      </w:r>
    </w:p>
    <w:p w14:paraId="4BA97CBF" w14:textId="21333CC4" w:rsidR="0065586C" w:rsidRPr="0065586C" w:rsidRDefault="0065586C" w:rsidP="0065586C">
      <w:pPr>
        <w:pStyle w:val="BodyText"/>
      </w:pPr>
      <w:r w:rsidRPr="0065586C">
        <w:t>Dr Allan Hawke</w:t>
      </w:r>
    </w:p>
    <w:p w14:paraId="6C2D80B6" w14:textId="7F0C7AF5" w:rsidR="00F33E5E" w:rsidRDefault="00F33E5E" w:rsidP="00B65D6D">
      <w:pPr>
        <w:pStyle w:val="Heading4notnumbered"/>
      </w:pPr>
      <w:r>
        <w:t>Focus</w:t>
      </w:r>
    </w:p>
    <w:p w14:paraId="65A7E4C4" w14:textId="77777777" w:rsidR="00293B19" w:rsidRDefault="0065586C" w:rsidP="00985B69">
      <w:pPr>
        <w:pStyle w:val="BodyText"/>
      </w:pPr>
      <w:r>
        <w:t xml:space="preserve">The Inquiry set out to: </w:t>
      </w:r>
    </w:p>
    <w:p w14:paraId="387C555D" w14:textId="3A5B73CC" w:rsidR="0065586C" w:rsidRDefault="0065586C" w:rsidP="00E70BF2">
      <w:pPr>
        <w:pStyle w:val="ListBullet"/>
      </w:pPr>
      <w:r>
        <w:t>respond to the Terms of Reference using evidence-based, factual research to explore the topics and to provide a solid foundation for the recommendations and findings;</w:t>
      </w:r>
    </w:p>
    <w:p w14:paraId="14E3B02C" w14:textId="61762A68" w:rsidR="0065586C" w:rsidRDefault="0065586C" w:rsidP="00E70BF2">
      <w:pPr>
        <w:pStyle w:val="ListBullet"/>
      </w:pPr>
      <w:r>
        <w:t>provide opportunities for the community, industry, peak groups and any interested party to submit information and thoughts for consideration;</w:t>
      </w:r>
    </w:p>
    <w:p w14:paraId="7DEA4439" w14:textId="0D45B4B2" w:rsidR="0065586C" w:rsidRDefault="0065586C" w:rsidP="00E70BF2">
      <w:pPr>
        <w:pStyle w:val="ListBullet"/>
      </w:pPr>
      <w:r>
        <w:t>draw on existing research and case studies in addition to information gained through submissions and meetings; and</w:t>
      </w:r>
    </w:p>
    <w:p w14:paraId="1F484069" w14:textId="4631CD22" w:rsidR="0065586C" w:rsidRDefault="0065586C" w:rsidP="00E70BF2">
      <w:pPr>
        <w:pStyle w:val="ListBullet"/>
      </w:pPr>
      <w:r>
        <w:t>ensure information sources were identified and examined.</w:t>
      </w:r>
    </w:p>
    <w:p w14:paraId="1EFA6DC1" w14:textId="77777777" w:rsidR="00236399" w:rsidRDefault="00236399" w:rsidP="00985B69">
      <w:pPr>
        <w:pStyle w:val="Heading4notnumbered"/>
      </w:pPr>
      <w:r w:rsidRPr="00236399">
        <w:t xml:space="preserve">Key findings </w:t>
      </w:r>
    </w:p>
    <w:p w14:paraId="3959B34C" w14:textId="2B0F9210" w:rsidR="000820D5" w:rsidRPr="005A442F" w:rsidRDefault="00922403" w:rsidP="00951F14">
      <w:pPr>
        <w:pStyle w:val="BodyText"/>
      </w:pPr>
      <w:r w:rsidRPr="005A442F">
        <w:t xml:space="preserve">This Inquiry’s major recommendation, consistent with other Australian and </w:t>
      </w:r>
      <w:r w:rsidR="00220117">
        <w:t>i</w:t>
      </w:r>
      <w:r w:rsidRPr="005A442F">
        <w:t>nternational reviews, is that the environmental risks associated with hydraulic fracturing can be managed effectively subject to the creation of a robust regulatory regime.</w:t>
      </w:r>
      <w:r w:rsidR="00951F14" w:rsidRPr="005A442F">
        <w:t xml:space="preserve"> </w:t>
      </w:r>
    </w:p>
    <w:p w14:paraId="60A67669" w14:textId="7C6E9511" w:rsidR="00922403" w:rsidRPr="005A442F" w:rsidRDefault="00951F14" w:rsidP="00951F14">
      <w:pPr>
        <w:pStyle w:val="BodyText"/>
      </w:pPr>
      <w:r w:rsidRPr="005A442F">
        <w:t>The most likely mechanisms for contamination are poor well integrity, leaks from abandoned wells or surface spills - issues common to the oil and gas industry, whether conventional or unconventional.</w:t>
      </w:r>
    </w:p>
    <w:p w14:paraId="3E0EAAAE" w14:textId="52351BEA" w:rsidR="00C13E6A" w:rsidRDefault="00D25160" w:rsidP="00C13E6A">
      <w:pPr>
        <w:pStyle w:val="Heading4notnumbered"/>
      </w:pPr>
      <w:r>
        <w:t>Q</w:t>
      </w:r>
      <w:r w:rsidRPr="00D25160">
        <w:t xml:space="preserve">ualitative review of the </w:t>
      </w:r>
      <w:r>
        <w:t xml:space="preserve">report </w:t>
      </w:r>
      <w:r w:rsidRPr="00D25160">
        <w:t xml:space="preserve">findings </w:t>
      </w:r>
      <w:r>
        <w:t xml:space="preserve">for </w:t>
      </w:r>
      <w:r w:rsidR="00C13E6A">
        <w:t>each impact mode</w:t>
      </w:r>
    </w:p>
    <w:p w14:paraId="391D67D2" w14:textId="0B9180BB" w:rsidR="00273D75" w:rsidRPr="00273D75" w:rsidRDefault="00273D75" w:rsidP="00675B34">
      <w:pPr>
        <w:pStyle w:val="BodyText"/>
      </w:pPr>
      <w:r>
        <w:t xml:space="preserve">A qualitative review of the findings from </w:t>
      </w:r>
      <w:r w:rsidRPr="003109A0">
        <w:t xml:space="preserve">Hawke </w:t>
      </w:r>
      <w:r>
        <w:t>(</w:t>
      </w:r>
      <w:r w:rsidRPr="003109A0">
        <w:t>2014)</w:t>
      </w:r>
      <w:r>
        <w:t xml:space="preserve"> has been undertaken though analysis of key </w:t>
      </w:r>
      <w:r w:rsidRPr="005A442F">
        <w:t>exce</w:t>
      </w:r>
      <w:r w:rsidR="00DB0F28"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xml:space="preserve">) provides a likelihood score for each impact mode. The likelihood score for each impact mode with related supporting </w:t>
      </w:r>
      <w:r w:rsidRPr="005A442F">
        <w:t>exce</w:t>
      </w:r>
      <w:r w:rsidR="00DB0F28" w:rsidRPr="005A442F">
        <w:t>r</w:t>
      </w:r>
      <w:r w:rsidRPr="005A442F">
        <w:t>pts</w:t>
      </w:r>
      <w:r>
        <w:t xml:space="preserve"> are shown below in </w:t>
      </w:r>
      <w:r w:rsidRPr="005A442F">
        <w:fldChar w:fldCharType="begin"/>
      </w:r>
      <w:r w:rsidRPr="005A442F">
        <w:instrText xml:space="preserve"> REF _Ref14707839 \h </w:instrText>
      </w:r>
      <w:r w:rsidR="005A442F" w:rsidRPr="005A442F">
        <w:instrText xml:space="preserve"> \* MERGEFORMAT </w:instrText>
      </w:r>
      <w:r w:rsidRPr="005A442F">
        <w:fldChar w:fldCharType="separate"/>
      </w:r>
      <w:r w:rsidR="00073927">
        <w:t>Table 7</w:t>
      </w:r>
      <w:r w:rsidRPr="005A442F">
        <w:fldChar w:fldCharType="end"/>
      </w:r>
      <w:r>
        <w:t xml:space="preserve">. </w:t>
      </w:r>
    </w:p>
    <w:p w14:paraId="3CAB3B1E" w14:textId="1F4CC12A" w:rsidR="003109A0" w:rsidRDefault="003109A0" w:rsidP="003109A0">
      <w:pPr>
        <w:pStyle w:val="Caption"/>
      </w:pPr>
      <w:bookmarkStart w:id="62" w:name="_Ref14707839"/>
      <w:bookmarkStart w:id="63" w:name="_Ref14697833"/>
      <w:bookmarkStart w:id="64" w:name="_Toc36042890"/>
      <w:r>
        <w:t xml:space="preserve">Table </w:t>
      </w:r>
      <w:r>
        <w:fldChar w:fldCharType="begin"/>
      </w:r>
      <w:r>
        <w:instrText>SEQ Table \* ARABIC</w:instrText>
      </w:r>
      <w:r>
        <w:fldChar w:fldCharType="separate"/>
      </w:r>
      <w:r w:rsidR="00073927">
        <w:rPr>
          <w:noProof/>
        </w:rPr>
        <w:t>7</w:t>
      </w:r>
      <w:r>
        <w:fldChar w:fldCharType="end"/>
      </w:r>
      <w:bookmarkEnd w:id="62"/>
      <w:r>
        <w:t xml:space="preserve"> </w:t>
      </w:r>
      <w:r w:rsidRPr="00030460">
        <w:t xml:space="preserve">Excerpts from </w:t>
      </w:r>
      <w:r w:rsidRPr="003109A0">
        <w:t xml:space="preserve">Hawke </w:t>
      </w:r>
      <w:r>
        <w:t>(</w:t>
      </w:r>
      <w:r w:rsidRPr="003109A0">
        <w:t>2014)</w:t>
      </w:r>
      <w:r>
        <w:t xml:space="preserve"> </w:t>
      </w:r>
      <w:r w:rsidRPr="00030460">
        <w:t>related to each impact mode</w:t>
      </w:r>
      <w:bookmarkEnd w:id="63"/>
      <w:bookmarkEnd w:id="64"/>
    </w:p>
    <w:tbl>
      <w:tblPr>
        <w:tblStyle w:val="TableBAHeaderRow"/>
        <w:tblpPr w:leftFromText="180" w:rightFromText="180" w:vertAnchor="text" w:tblpY="1"/>
        <w:tblOverlap w:val="never"/>
        <w:tblW w:w="9737" w:type="dxa"/>
        <w:tblInd w:w="0" w:type="dxa"/>
        <w:tblLook w:val="04A0" w:firstRow="1" w:lastRow="0" w:firstColumn="1" w:lastColumn="0" w:noHBand="0" w:noVBand="1"/>
      </w:tblPr>
      <w:tblGrid>
        <w:gridCol w:w="444"/>
        <w:gridCol w:w="1914"/>
        <w:gridCol w:w="973"/>
        <w:gridCol w:w="6406"/>
      </w:tblGrid>
      <w:tr w:rsidR="002F7982" w14:paraId="09443E0D" w14:textId="41A9F673" w:rsidTr="00651639">
        <w:trPr>
          <w:cnfStyle w:val="100000000000" w:firstRow="1" w:lastRow="0" w:firstColumn="0" w:lastColumn="0" w:oddVBand="0" w:evenVBand="0" w:oddHBand="0" w:evenHBand="0" w:firstRowFirstColumn="0" w:firstRowLastColumn="0" w:lastRowFirstColumn="0" w:lastRowLastColumn="0"/>
          <w:tblHeader/>
        </w:trPr>
        <w:tc>
          <w:tcPr>
            <w:tcW w:w="0" w:type="auto"/>
          </w:tcPr>
          <w:p w14:paraId="7D4D32F0" w14:textId="77777777" w:rsidR="002F7982" w:rsidRPr="00DD07F6" w:rsidRDefault="002F7982" w:rsidP="001600C7">
            <w:pPr>
              <w:pStyle w:val="TableHeading"/>
            </w:pPr>
            <w:bookmarkStart w:id="65" w:name="_Hlk14697740"/>
          </w:p>
        </w:tc>
        <w:tc>
          <w:tcPr>
            <w:tcW w:w="0" w:type="auto"/>
          </w:tcPr>
          <w:p w14:paraId="15A81195" w14:textId="6F7B2997" w:rsidR="002F7982" w:rsidRDefault="002F7982" w:rsidP="00E70BF2">
            <w:pPr>
              <w:pStyle w:val="TableText"/>
            </w:pPr>
            <w:r>
              <w:t>Impact Mode</w:t>
            </w:r>
          </w:p>
        </w:tc>
        <w:tc>
          <w:tcPr>
            <w:tcW w:w="973" w:type="dxa"/>
          </w:tcPr>
          <w:p w14:paraId="6BB74649" w14:textId="4D63DB97" w:rsidR="002F7982" w:rsidRDefault="002F7982" w:rsidP="00E70BF2">
            <w:pPr>
              <w:pStyle w:val="TableText"/>
            </w:pPr>
            <w:r>
              <w:t>Likelihood score</w:t>
            </w:r>
          </w:p>
        </w:tc>
        <w:tc>
          <w:tcPr>
            <w:tcW w:w="6406" w:type="dxa"/>
          </w:tcPr>
          <w:p w14:paraId="1A11E7EC" w14:textId="024C83BF" w:rsidR="002F7982" w:rsidRDefault="002F7982" w:rsidP="00E70BF2">
            <w:pPr>
              <w:pStyle w:val="TableText"/>
            </w:pPr>
            <w:r w:rsidRPr="00122C47">
              <w:t xml:space="preserve">Key excerpts from: </w:t>
            </w:r>
            <w:r w:rsidRPr="00220117">
              <w:rPr>
                <w:i/>
              </w:rPr>
              <w:t>Report of the independent inquiry into hydraulic fracturing in the Northern Territory</w:t>
            </w:r>
            <w:r w:rsidRPr="00122C47">
              <w:t xml:space="preserve"> (Hawke, 2014)</w:t>
            </w:r>
          </w:p>
        </w:tc>
      </w:tr>
      <w:tr w:rsidR="0024219A" w:rsidRPr="00A8172F" w14:paraId="0BE0785C" w14:textId="6F33FEBC" w:rsidTr="0078111C">
        <w:trPr>
          <w:cnfStyle w:val="000000100000" w:firstRow="0" w:lastRow="0" w:firstColumn="0" w:lastColumn="0" w:oddVBand="0" w:evenVBand="0" w:oddHBand="1" w:evenHBand="0" w:firstRowFirstColumn="0" w:firstRowLastColumn="0" w:lastRowFirstColumn="0" w:lastRowLastColumn="0"/>
        </w:trPr>
        <w:tc>
          <w:tcPr>
            <w:tcW w:w="9737" w:type="dxa"/>
            <w:gridSpan w:val="4"/>
          </w:tcPr>
          <w:p w14:paraId="167F782A" w14:textId="3AA02A7D" w:rsidR="0024219A" w:rsidRDefault="0024219A" w:rsidP="00A95F71">
            <w:pPr>
              <w:pStyle w:val="TableTextCentred"/>
              <w:spacing w:before="0" w:after="0" w:line="240" w:lineRule="auto"/>
              <w:jc w:val="left"/>
            </w:pPr>
            <w:r w:rsidRPr="7DE8E393">
              <w:rPr>
                <w:b/>
                <w:bCs/>
              </w:rPr>
              <w:t>Hydraulic fracture growth</w:t>
            </w:r>
          </w:p>
        </w:tc>
      </w:tr>
      <w:tr w:rsidR="002F7982" w:rsidRPr="00A8172F" w14:paraId="3BD28775" w14:textId="6EE7D1E6"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3D762B4D" w14:textId="77777777" w:rsidR="002F7982" w:rsidRPr="00EA63C0" w:rsidRDefault="002F7982" w:rsidP="00A95F71">
            <w:pPr>
              <w:pStyle w:val="TableText"/>
              <w:spacing w:before="0" w:after="0" w:line="240" w:lineRule="auto"/>
            </w:pPr>
            <w:r>
              <w:t>F.1</w:t>
            </w:r>
          </w:p>
        </w:tc>
        <w:tc>
          <w:tcPr>
            <w:tcW w:w="0" w:type="auto"/>
          </w:tcPr>
          <w:p w14:paraId="7968068E" w14:textId="77777777" w:rsidR="002F7982" w:rsidRPr="00A8172F" w:rsidRDefault="002F7982" w:rsidP="00A95F71">
            <w:pPr>
              <w:pStyle w:val="TableTextCentred"/>
              <w:spacing w:before="0" w:after="0" w:line="240" w:lineRule="auto"/>
              <w:jc w:val="left"/>
            </w:pPr>
            <w:r>
              <w:t>Hydraulic fracture growth into aquifer</w:t>
            </w:r>
          </w:p>
        </w:tc>
        <w:tc>
          <w:tcPr>
            <w:tcW w:w="973" w:type="dxa"/>
          </w:tcPr>
          <w:p w14:paraId="26D070C5" w14:textId="31B5FACE" w:rsidR="002F7982" w:rsidRDefault="002F7982" w:rsidP="00A95F71">
            <w:pPr>
              <w:pStyle w:val="TableTextCentred"/>
              <w:spacing w:before="0" w:after="0" w:line="240" w:lineRule="auto"/>
              <w:jc w:val="left"/>
            </w:pPr>
            <w:r>
              <w:t>Rare</w:t>
            </w:r>
          </w:p>
        </w:tc>
        <w:tc>
          <w:tcPr>
            <w:tcW w:w="6406" w:type="dxa"/>
          </w:tcPr>
          <w:p w14:paraId="5D87D7C5" w14:textId="0E62DA0E" w:rsidR="002F7982" w:rsidRDefault="002F7982" w:rsidP="00951F14">
            <w:pPr>
              <w:pStyle w:val="BodyText"/>
            </w:pPr>
            <w:r>
              <w:t>“Fractures in the rock radiate out from the casing, with the greatest amount of fracturing aligned with the direction of maximum principal stress in the rock strata. At depths greater than 600 m, the vertical stress or overburden is generally the largest single stress, so the principal fracture orientation is likely to be vertical.” p97</w:t>
            </w:r>
          </w:p>
          <w:p w14:paraId="50727AF3" w14:textId="77777777" w:rsidR="002F7982" w:rsidRDefault="002F7982" w:rsidP="00951F14">
            <w:pPr>
              <w:pStyle w:val="BodyText"/>
            </w:pPr>
          </w:p>
          <w:p w14:paraId="4D86BEC0" w14:textId="300871B9" w:rsidR="002F7982" w:rsidRDefault="002F7982" w:rsidP="00951F14">
            <w:pPr>
              <w:pStyle w:val="BodyText"/>
            </w:pPr>
            <w:r>
              <w:t>“</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Pr>
                <w:noProof/>
              </w:rPr>
              <w:t>[</w:t>
            </w:r>
            <w:r w:rsidRPr="00951F14">
              <w:rPr>
                <w:noProof/>
              </w:rPr>
              <w:t>Fisher and Warpinski, 2012</w:t>
            </w:r>
            <w:r>
              <w:rPr>
                <w:noProof/>
              </w:rPr>
              <w:t>]</w:t>
            </w:r>
            <w:r>
              <w:fldChar w:fldCharType="end"/>
            </w:r>
            <w:r>
              <w:t>… showed that fracture height growth is generally greatest in the deepest wells; that most fracture growth is contained within 100-200 m; and that occasionally there are spikes of longer fractures, to a maximum of approximately 500 m.” p97</w:t>
            </w:r>
          </w:p>
          <w:p w14:paraId="5FDAD469" w14:textId="77777777" w:rsidR="002F7982" w:rsidRDefault="002F7982" w:rsidP="00951F14">
            <w:pPr>
              <w:pStyle w:val="BodyText"/>
            </w:pPr>
          </w:p>
          <w:p w14:paraId="311F8308" w14:textId="6EFB2681" w:rsidR="002F7982" w:rsidRDefault="002F7982" w:rsidP="00951F14">
            <w:pPr>
              <w:pStyle w:val="BodyText"/>
            </w:pPr>
            <w:r>
              <w:t>“The pressure required to propagate fractures across thousands of metres of rock can neither be achieved nor sustained.” p97</w:t>
            </w:r>
          </w:p>
          <w:p w14:paraId="3F49A106" w14:textId="77777777" w:rsidR="002F7982" w:rsidRDefault="002F7982" w:rsidP="00951F14">
            <w:pPr>
              <w:pStyle w:val="BodyText"/>
            </w:pPr>
          </w:p>
          <w:p w14:paraId="5DE1708D" w14:textId="2E24F631" w:rsidR="002F7982" w:rsidRDefault="002F7982" w:rsidP="00DD3C40">
            <w:pPr>
              <w:pStyle w:val="BodyText"/>
            </w:pPr>
            <w:r>
              <w:t>“Even if a pathway is created during fracturing between deep and shallow formations, this does not mean that fracturing fluid, gas or brine would necessarily flow into shallow aquifers. This would require suitable pressure and permeability conditions, as well as sustained hydraulic pressure once fracturing is completed.  Analyses suggest upward flow of fluids via fractures to the shallow fresh water zone is highly unlikely.” p98</w:t>
            </w:r>
          </w:p>
          <w:p w14:paraId="498407B4" w14:textId="77777777" w:rsidR="002F7982" w:rsidRDefault="002F7982" w:rsidP="00DD3C40">
            <w:pPr>
              <w:pStyle w:val="BodyText"/>
            </w:pPr>
          </w:p>
          <w:p w14:paraId="5BD9077E" w14:textId="5138E34D" w:rsidR="002F7982" w:rsidRDefault="002F7982" w:rsidP="000F7F01">
            <w:pPr>
              <w:pStyle w:val="BodyText"/>
            </w:pPr>
            <w:r>
              <w:t xml:space="preserve">“Several studies and reviews have concluded that there is no unequivocal evidence of ground water contamination directly attributable to fracture propagation from hydraulic fracturing at “normal depths” (below 1200 m), and no evidence of chemicals from fracturing fluids in contaminated water wells </w:t>
            </w:r>
            <w:r>
              <w:fldChar w:fldCharType="begin" w:fldLock="1"/>
            </w:r>
            <w:r>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fracturing","type":"report"},"uris":["http://www.mendeley.com/documents/?uuid=98f27b6f-4d54-4a26-a72d-abb1bc3752fe"]},{"id":"ITEM-2","itemData":{"author":[{"dropping-particle":"","family":"Groat","given":"Charles G.","non-dropping-particle":"","parse-names":false,"suffix":""},{"dropping-particle":"","family":"Grimshaw","given":"Thomas W.","non-dropping-particle":"","parse-names":false,"suffix":""}],"id":"ITEM-2","issued":{"date-parts":[["2012"]]},"number-of-pages":"59","title":"Fact-Based Regulation for Environmental Protection in Shale Gas Development Fact-Based Regulation for Environmental Protection in Shale Gas Development. Summary of Findings","type":"report"},"uris":["http://www.mendeley.com/documents/?uuid=01dd28a0-89d2-4a27-9b7b-08e8213d9f4d"]}],"mendeley":{"formattedCitation":"(Groat and Grimshaw, 2012; The Royal Society and The Royal Academy of Engineering, 2012)","plainTextFormattedCitation":"(Groat and Grimshaw, 2012; The Royal Society and The Royal Academy of Engineering, 2012)","previouslyFormattedCitation":"(Groat and Grimshaw, 2012; The Royal Society and The Royal Academy of Engineering, 2012)"},"properties":{"noteIndex":0},"schema":"https://github.com/citation-style-language/schema/raw/master/csl-citation.json"}</w:instrText>
            </w:r>
            <w:r>
              <w:fldChar w:fldCharType="separate"/>
            </w:r>
            <w:r w:rsidRPr="000F7F01">
              <w:rPr>
                <w:noProof/>
              </w:rPr>
              <w:t>(Groat and Grimshaw, 2012; The Royal Society and The Royal Academy of Engineering, 2012)</w:t>
            </w:r>
            <w:r>
              <w:fldChar w:fldCharType="end"/>
            </w:r>
            <w:r>
              <w:t>.” P100</w:t>
            </w:r>
          </w:p>
          <w:p w14:paraId="5ECEEF81" w14:textId="77777777" w:rsidR="002F7982" w:rsidRDefault="002F7982" w:rsidP="000F7F01">
            <w:pPr>
              <w:pStyle w:val="BodyText"/>
            </w:pPr>
          </w:p>
          <w:p w14:paraId="3646306E" w14:textId="15E5D847" w:rsidR="002F7982" w:rsidRDefault="002F7982" w:rsidP="000F7F01">
            <w:pPr>
              <w:pStyle w:val="BodyText"/>
            </w:pPr>
            <w:r>
              <w:t>“One exception may be ground water contamination at Pavillion, Wyoming. The suspected source of contamination were two conventional gas wells in the Wind River Basin which had been fractured to increase production - in this case, fracturing occurred within 372 meters of the surface, with water bores extending to as deep as 244m.” p100</w:t>
            </w:r>
          </w:p>
          <w:p w14:paraId="7C97E446" w14:textId="77777777" w:rsidR="002F7982" w:rsidRDefault="002F7982" w:rsidP="000F7F01">
            <w:pPr>
              <w:pStyle w:val="BodyText"/>
            </w:pPr>
          </w:p>
          <w:p w14:paraId="3BA4EF6D" w14:textId="54C85E1E" w:rsidR="002F7982" w:rsidRDefault="002F7982" w:rsidP="00CF6B9B">
            <w:pPr>
              <w:pStyle w:val="BodyText"/>
            </w:pPr>
            <w:r>
              <w:t xml:space="preserve">“Detailed monitoring during a fracture treatment provides additional data about the performance of the fracture which feeds back to iteratively improve the fracture growth models for future stages, or other wells in the same target formation. Microseismic and tiltmeter monitoring (see above) provide the most information about fracture extent and geometry, but are relatively expensive to implement, particularly microseismic monitoring that requires an offset well of similar depth to the fracture operation. Therefore, these technologies are mostly applied during exploratory drilling and early development phases until fracture dynamics within that area are relatively well understood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p29)","plainTextFormattedCitation":"(King, 2012)","previouslyFormattedCitation":"(King, 2012)"},"properties":{"noteIndex":0},"schema":"https://github.com/citation-style-language/schema/raw/master/csl-citation.json"}</w:instrText>
            </w:r>
            <w:r>
              <w:fldChar w:fldCharType="separate"/>
            </w:r>
            <w:r w:rsidRPr="00CF5AA9">
              <w:rPr>
                <w:noProof/>
              </w:rPr>
              <w:t>(King, 2012</w:t>
            </w:r>
            <w:r>
              <w:rPr>
                <w:noProof/>
              </w:rPr>
              <w:t xml:space="preserve"> p29</w:t>
            </w:r>
            <w:r w:rsidRPr="00CF5AA9">
              <w:rPr>
                <w:noProof/>
              </w:rPr>
              <w:t>)</w:t>
            </w:r>
            <w:r>
              <w:fldChar w:fldCharType="end"/>
            </w:r>
            <w:r>
              <w:t>.” p101</w:t>
            </w:r>
          </w:p>
          <w:p w14:paraId="4A058BDA" w14:textId="77777777" w:rsidR="002F7982" w:rsidRDefault="002F7982" w:rsidP="00CF6B9B">
            <w:pPr>
              <w:pStyle w:val="BodyText"/>
            </w:pPr>
          </w:p>
          <w:p w14:paraId="2F25FBA7" w14:textId="3758F36C" w:rsidR="002F7982" w:rsidRDefault="002F7982" w:rsidP="00CF6B9B">
            <w:pPr>
              <w:pStyle w:val="BodyText"/>
            </w:pPr>
            <w:r>
              <w:t>“Pressure sensors in the cemented annular region between casing strings can also detect any breakdown in well integrity during fracturing. Other monitoring methods during and after the fracture operation may be informative about fracture performance, including proppant tagging, chemical tracers, temperature measurement and fibre-optic se</w:t>
            </w:r>
            <w:r w:rsidRPr="005C683C">
              <w:t xml:space="preserve">nsors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id":"ITEM-2","itemData":{"author":[{"dropping-particle":"","family":"King","given":"G","non-dropping-particle":"","parse-names":false,"suffix":""}],"container-title":"SPE Hydraulic Fracturing Technology Conference","id":"ITEM-2","issued":{"date-parts":[["2012"]]},"page":"1-80","title":"Hydraulic Fracturing 101: What Every Representative, Environmentalist, Regulator, Reporter, Investor, University Researcher, Neighbor and Engineer Should Know","type":"article-journal"},"uris":["http://www.mendeley.com/documents/?uuid=b888ba71-89d4-428d-ba3b-8e8f456d0ac3"]},{"id":"ITEM-3","itemData":{"author":[{"dropping-particle":"","family":"All Consulting","given":"","non-dropping-particle":"","parse-names":false,"suffix":""}],"id":"ITEM-3","issue":"November","issued":{"date-parts":[["2012"]]},"title":"The Modern Practices of Hydraulic Fracturing: A Focus on Canadian Resources","type":"report"},"uris":["http://www.mendeley.com/documents/?uuid=4d532b0d-3ea7-4c29-8c3b-a55e6a015e2e"]}],"mendeley":{"formattedCitation":"(All Consulting, 2012; King, 2012; Cook &lt;i&gt;et al.&lt;/i&gt;, 2013)","manualFormatting":"(All Consulting, 2012 pp63-66; King, 2012 Table 4; Cook et al., 2013 p62)","plainTextFormattedCitation":"(All Consulting, 2012; King, 2012; Cook et al., 2013)","previouslyFormattedCitation":"(All Consulting, 2012; King, 2012; Cook &lt;i&gt;et al.&lt;/i&gt;, 2013)"},"properties":{"noteIndex":0},"schema":"https://github.com/citation-style-language/schema/raw/master/csl-citation.json"}</w:instrText>
            </w:r>
            <w:r>
              <w:fldChar w:fldCharType="separate"/>
            </w:r>
            <w:r w:rsidRPr="00AE15A1">
              <w:rPr>
                <w:noProof/>
              </w:rPr>
              <w:t>(All Consulting, 2012</w:t>
            </w:r>
            <w:r>
              <w:rPr>
                <w:noProof/>
              </w:rPr>
              <w:t xml:space="preserve"> pp63-66</w:t>
            </w:r>
            <w:r w:rsidRPr="00AE15A1">
              <w:rPr>
                <w:noProof/>
              </w:rPr>
              <w:t>; King, 2012</w:t>
            </w:r>
            <w:r>
              <w:rPr>
                <w:noProof/>
              </w:rPr>
              <w:t xml:space="preserve"> Table 4</w:t>
            </w:r>
            <w:r w:rsidRPr="00AE15A1">
              <w:rPr>
                <w:noProof/>
              </w:rPr>
              <w:t xml:space="preserve">; Cook </w:t>
            </w:r>
            <w:r w:rsidRPr="005A442F">
              <w:rPr>
                <w:noProof/>
              </w:rPr>
              <w:t>et al.</w:t>
            </w:r>
            <w:r w:rsidRPr="00AE15A1">
              <w:rPr>
                <w:noProof/>
              </w:rPr>
              <w:t>, 2013</w:t>
            </w:r>
            <w:r>
              <w:rPr>
                <w:noProof/>
              </w:rPr>
              <w:t xml:space="preserve"> p62</w:t>
            </w:r>
            <w:r w:rsidRPr="00AE15A1">
              <w:rPr>
                <w:noProof/>
              </w:rPr>
              <w:t>)</w:t>
            </w:r>
            <w:r>
              <w:fldChar w:fldCharType="end"/>
            </w:r>
            <w:r w:rsidRPr="005C683C">
              <w:t>.</w:t>
            </w:r>
            <w:r>
              <w:t xml:space="preserve"> The use of fibre optic sensors is a potential alternative to electronic gauges in high temperature conditions and increasingly detailed real-time fracturing diagnostics is an area of rapid technological development within the industry.” p101</w:t>
            </w:r>
          </w:p>
          <w:p w14:paraId="12103285" w14:textId="29434AC4" w:rsidR="002F7982" w:rsidRDefault="002F7982" w:rsidP="00CF6B9B">
            <w:pPr>
              <w:pStyle w:val="BodyText"/>
            </w:pPr>
          </w:p>
          <w:p w14:paraId="15981C2B" w14:textId="621D5207" w:rsidR="002F7982" w:rsidRDefault="002F7982" w:rsidP="00807705">
            <w:pPr>
              <w:pStyle w:val="BodyText"/>
            </w:pPr>
            <w:r>
              <w:t xml:space="preserve">“It should be noted that fracture modelling depends on estimating a large number of variables which “make the first estimates of computer modelling less than ideal”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p30)","plainTextFormattedCitation":"(King, 2012)","previouslyFormattedCitation":"(King, 2012)"},"properties":{"noteIndex":0},"schema":"https://github.com/citation-style-language/schema/raw/master/csl-citation.json"}</w:instrText>
            </w:r>
            <w:r>
              <w:fldChar w:fldCharType="separate"/>
            </w:r>
            <w:r w:rsidRPr="00AE15A1">
              <w:rPr>
                <w:noProof/>
              </w:rPr>
              <w:t>(King, 2012</w:t>
            </w:r>
            <w:r>
              <w:rPr>
                <w:noProof/>
              </w:rPr>
              <w:t xml:space="preserve"> p30</w:t>
            </w:r>
            <w:r w:rsidRPr="00AE15A1">
              <w:rPr>
                <w:noProof/>
              </w:rPr>
              <w:t>)</w:t>
            </w:r>
            <w:r>
              <w:fldChar w:fldCharType="end"/>
            </w:r>
            <w:r>
              <w:t>, so that the maximum fracture heights from modelling within relatively poorly known NT basins must be treated cautiously, at least in the early stages of exploration and development.” p102</w:t>
            </w:r>
          </w:p>
          <w:p w14:paraId="0B787C48" w14:textId="77777777" w:rsidR="002F7982" w:rsidRDefault="002F7982" w:rsidP="00CF6B9B">
            <w:pPr>
              <w:pStyle w:val="BodyText"/>
            </w:pPr>
          </w:p>
          <w:p w14:paraId="2DBF73CD" w14:textId="1608E368" w:rsidR="002F7982" w:rsidRDefault="002F7982" w:rsidP="00807705">
            <w:pPr>
              <w:pStyle w:val="BodyText"/>
            </w:pPr>
            <w:r>
              <w:t>“The Inquiry finds with respect to Fracture Propagation, that the risk of fracture propagation in deep gas shale formations causing hydraulic fracturing fluid, methane or brine to contaminate overlying aquifers is very low, and may be minimised by requiring leading practice in fracture operations, including fracture modelling and real-time and post-fracture monitoring;…” p103</w:t>
            </w:r>
          </w:p>
        </w:tc>
      </w:tr>
      <w:tr w:rsidR="002F7982" w14:paraId="66656436" w14:textId="73B34D74"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16A35BF6" w14:textId="77777777" w:rsidR="002F7982" w:rsidRDefault="002F7982" w:rsidP="00A95F71">
            <w:pPr>
              <w:pStyle w:val="TableText"/>
              <w:spacing w:before="0" w:after="0" w:line="240" w:lineRule="auto"/>
            </w:pPr>
            <w:r>
              <w:t>F.2</w:t>
            </w:r>
          </w:p>
        </w:tc>
        <w:tc>
          <w:tcPr>
            <w:tcW w:w="0" w:type="auto"/>
          </w:tcPr>
          <w:p w14:paraId="140BB8A6" w14:textId="77777777" w:rsidR="002F7982" w:rsidRDefault="002F7982" w:rsidP="00A95F71">
            <w:pPr>
              <w:pStyle w:val="TableTextCentred"/>
              <w:spacing w:before="0" w:after="0" w:line="240" w:lineRule="auto"/>
              <w:jc w:val="left"/>
            </w:pPr>
            <w:r>
              <w:t>Hydraulic fracture growth into well</w:t>
            </w:r>
          </w:p>
        </w:tc>
        <w:tc>
          <w:tcPr>
            <w:tcW w:w="973" w:type="dxa"/>
          </w:tcPr>
          <w:p w14:paraId="20B76856" w14:textId="69E69095" w:rsidR="002F7982" w:rsidRDefault="002F7982" w:rsidP="00A95F71">
            <w:pPr>
              <w:pStyle w:val="TableTextCentred"/>
              <w:spacing w:before="0" w:after="0" w:line="240" w:lineRule="auto"/>
              <w:jc w:val="left"/>
            </w:pPr>
            <w:r>
              <w:t>Not assessed</w:t>
            </w:r>
          </w:p>
        </w:tc>
        <w:tc>
          <w:tcPr>
            <w:tcW w:w="6406" w:type="dxa"/>
          </w:tcPr>
          <w:p w14:paraId="71FBCDEF" w14:textId="05B067D7" w:rsidR="002F7982" w:rsidRDefault="002F7982" w:rsidP="00CF6B9B">
            <w:pPr>
              <w:pStyle w:val="BodyText"/>
            </w:pPr>
          </w:p>
        </w:tc>
      </w:tr>
      <w:tr w:rsidR="002F7982" w14:paraId="3C11A8C0" w14:textId="3BFBC03F"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5AC25F01" w14:textId="77777777" w:rsidR="002F7982" w:rsidRDefault="002F7982" w:rsidP="00DD3C40">
            <w:pPr>
              <w:pStyle w:val="TableText"/>
              <w:spacing w:before="0" w:after="0" w:line="240" w:lineRule="auto"/>
            </w:pPr>
            <w:r>
              <w:t>F.3</w:t>
            </w:r>
          </w:p>
        </w:tc>
        <w:tc>
          <w:tcPr>
            <w:tcW w:w="0" w:type="auto"/>
          </w:tcPr>
          <w:p w14:paraId="6DC39F13" w14:textId="77777777" w:rsidR="002F7982" w:rsidRDefault="002F7982" w:rsidP="00DD3C40">
            <w:pPr>
              <w:pStyle w:val="TableTextCentred"/>
              <w:spacing w:before="0" w:after="0" w:line="240" w:lineRule="auto"/>
              <w:jc w:val="left"/>
            </w:pPr>
            <w:r>
              <w:t>Hydraulic fracture growth into fault</w:t>
            </w:r>
          </w:p>
        </w:tc>
        <w:tc>
          <w:tcPr>
            <w:tcW w:w="973" w:type="dxa"/>
          </w:tcPr>
          <w:p w14:paraId="04BA8375" w14:textId="037B5828" w:rsidR="002F7982" w:rsidRDefault="002F7982" w:rsidP="00DD3C40">
            <w:pPr>
              <w:pStyle w:val="TableTextCentred"/>
              <w:spacing w:before="0" w:after="0" w:line="240" w:lineRule="auto"/>
              <w:jc w:val="left"/>
            </w:pPr>
            <w:r>
              <w:t>Unlikely</w:t>
            </w:r>
          </w:p>
        </w:tc>
        <w:tc>
          <w:tcPr>
            <w:tcW w:w="6406" w:type="dxa"/>
          </w:tcPr>
          <w:p w14:paraId="504031ED" w14:textId="60A4E326" w:rsidR="002F7982" w:rsidRDefault="002F7982" w:rsidP="00DD3C40">
            <w:pPr>
              <w:pStyle w:val="BodyText"/>
            </w:pPr>
            <w:r>
              <w:t xml:space="preserve">“…tracking bottom hole pressure shows a characteristic signature associated with fracture initiation, breakdown and propagation (e.g.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Diagram 2, p70)","plainTextFormattedCitation":"(Cook et al., 2013)","previouslyFormattedCitation":"(Cook &lt;i&gt;et al.&lt;/i&gt;, 2013)"},"properties":{"noteIndex":0},"schema":"https://github.com/citation-style-language/schema/raw/master/csl-citation.json"}</w:instrText>
            </w:r>
            <w:r>
              <w:fldChar w:fldCharType="separate"/>
            </w:r>
            <w:r w:rsidRPr="00CF6B9B">
              <w:rPr>
                <w:noProof/>
              </w:rPr>
              <w:t xml:space="preserve">Cook </w:t>
            </w:r>
            <w:r w:rsidRPr="005A442F">
              <w:rPr>
                <w:noProof/>
              </w:rPr>
              <w:t>et al.</w:t>
            </w:r>
            <w:r w:rsidRPr="00CF6B9B">
              <w:rPr>
                <w:noProof/>
              </w:rPr>
              <w:t>, 2013</w:t>
            </w:r>
            <w:r>
              <w:rPr>
                <w:noProof/>
              </w:rPr>
              <w:t xml:space="preserve"> Diagram 2, p70</w:t>
            </w:r>
            <w:r w:rsidRPr="00CF6B9B">
              <w:rPr>
                <w:noProof/>
              </w:rPr>
              <w:t>)</w:t>
            </w:r>
            <w:r>
              <w:fldChar w:fldCharType="end"/>
            </w:r>
            <w:r>
              <w:t xml:space="preserve"> and deviation from this may indicate intersection with a fault and prompt remedial action.” p101</w:t>
            </w:r>
          </w:p>
          <w:p w14:paraId="5E300FB0" w14:textId="77777777" w:rsidR="002F7982" w:rsidRDefault="002F7982" w:rsidP="00DD3C40">
            <w:pPr>
              <w:pStyle w:val="BodyText"/>
            </w:pPr>
          </w:p>
          <w:p w14:paraId="6D3A771C" w14:textId="7497E46D" w:rsidR="002F7982" w:rsidRDefault="002F7982" w:rsidP="00DD3C40">
            <w:pPr>
              <w:pStyle w:val="BodyText"/>
            </w:pPr>
            <w:r>
              <w:t xml:space="preserve">“The larger spikes in fracture growth in the data of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951F14">
              <w:rPr>
                <w:noProof/>
              </w:rPr>
              <w:t>(Fisher and Warpinski, 2012)</w:t>
            </w:r>
            <w:r>
              <w:fldChar w:fldCharType="end"/>
            </w:r>
            <w:r>
              <w:t xml:space="preserve"> are interpreted as a result of hydraulic fractures intercepting faults, and this appears to be the greatest area of risk with fracture propagation.” p98</w:t>
            </w:r>
          </w:p>
          <w:p w14:paraId="2C4903A4" w14:textId="77777777" w:rsidR="002F7982" w:rsidRDefault="002F7982" w:rsidP="00DD3C40">
            <w:pPr>
              <w:pStyle w:val="BodyText"/>
            </w:pPr>
          </w:p>
          <w:p w14:paraId="58601660" w14:textId="5F4F3299" w:rsidR="002F7982" w:rsidRDefault="002F7982" w:rsidP="00DD3C40">
            <w:pPr>
              <w:pStyle w:val="BodyText"/>
            </w:pPr>
            <w:r>
              <w:t>“</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2012)","plainTextFormattedCitation":"(Davies et al., 2012)","previouslyFormattedCitation":"(Davies &lt;i&gt;et al.&lt;/i&gt;, 2012)"},"properties":{"noteIndex":0},"schema":"https://github.com/citation-style-language/schema/raw/master/csl-citation.json"}</w:instrText>
            </w:r>
            <w:r>
              <w:fldChar w:fldCharType="separate"/>
            </w:r>
            <w:r w:rsidRPr="00951F14">
              <w:rPr>
                <w:noProof/>
              </w:rPr>
              <w:t xml:space="preserve">(Davies </w:t>
            </w:r>
            <w:r w:rsidRPr="005A442F">
              <w:rPr>
                <w:noProof/>
              </w:rPr>
              <w:t>et al.</w:t>
            </w:r>
            <w:r w:rsidRPr="00951F14">
              <w:rPr>
                <w:noProof/>
              </w:rPr>
              <w:t>, 2012)</w:t>
            </w:r>
            <w:r>
              <w:fldChar w:fldCharType="end"/>
            </w:r>
            <w:r>
              <w:t xml:space="preserve"> cited a maximum observed fracture height of 588m for a hydraulic fracture that extended into a pre-existing fault.” p98</w:t>
            </w:r>
          </w:p>
          <w:p w14:paraId="7A52CC8B" w14:textId="77777777" w:rsidR="002F7982" w:rsidRDefault="002F7982" w:rsidP="00DD3C40">
            <w:pPr>
              <w:pStyle w:val="BodyText"/>
            </w:pPr>
          </w:p>
          <w:p w14:paraId="1845B6CA" w14:textId="7C23AABF" w:rsidR="002F7982" w:rsidRDefault="002F7982" w:rsidP="00DD3C40">
            <w:pPr>
              <w:pStyle w:val="BodyText"/>
            </w:pPr>
            <w:r>
              <w:t>“…real-time monitoring during the fracturing process can alert the operator to any anomalous events - such as fracturing intercepting a fault - and remedial action taken…” p98</w:t>
            </w:r>
          </w:p>
        </w:tc>
      </w:tr>
      <w:tr w:rsidR="0024219A" w:rsidRPr="00A8172F" w14:paraId="7ADC19C6" w14:textId="0272F464" w:rsidTr="0078111C">
        <w:trPr>
          <w:cnfStyle w:val="000000100000" w:firstRow="0" w:lastRow="0" w:firstColumn="0" w:lastColumn="0" w:oddVBand="0" w:evenVBand="0" w:oddHBand="1" w:evenHBand="0" w:firstRowFirstColumn="0" w:firstRowLastColumn="0" w:lastRowFirstColumn="0" w:lastRowLastColumn="0"/>
        </w:trPr>
        <w:tc>
          <w:tcPr>
            <w:tcW w:w="9737" w:type="dxa"/>
            <w:gridSpan w:val="4"/>
          </w:tcPr>
          <w:p w14:paraId="5202D641" w14:textId="090A6D35" w:rsidR="0024219A" w:rsidRDefault="0024219A" w:rsidP="00DD3C40">
            <w:pPr>
              <w:pStyle w:val="BodyText"/>
            </w:pPr>
            <w:r w:rsidRPr="00D646E6">
              <w:rPr>
                <w:b/>
                <w:bCs/>
              </w:rPr>
              <w:t>Compromised well integrity</w:t>
            </w:r>
          </w:p>
        </w:tc>
      </w:tr>
      <w:tr w:rsidR="002F7982" w:rsidRPr="00A8172F" w14:paraId="53951AF9" w14:textId="246653E6"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68D5BBA9" w14:textId="77777777" w:rsidR="002F7982" w:rsidRPr="00EA63C0" w:rsidRDefault="002F7982" w:rsidP="00DD3C40">
            <w:pPr>
              <w:pStyle w:val="TableText"/>
              <w:spacing w:before="0" w:after="0" w:line="240" w:lineRule="auto"/>
            </w:pPr>
            <w:r>
              <w:t>W.1</w:t>
            </w:r>
          </w:p>
        </w:tc>
        <w:tc>
          <w:tcPr>
            <w:tcW w:w="0" w:type="auto"/>
          </w:tcPr>
          <w:p w14:paraId="6A8D309D" w14:textId="77777777" w:rsidR="002F7982" w:rsidRPr="00A8172F" w:rsidRDefault="002F7982" w:rsidP="00DD3C40">
            <w:pPr>
              <w:pStyle w:val="TableTextCentred"/>
              <w:spacing w:before="0" w:after="0" w:line="240" w:lineRule="auto"/>
              <w:jc w:val="left"/>
            </w:pPr>
            <w:r>
              <w:t xml:space="preserve">Well rupture or failure across barriers </w:t>
            </w:r>
          </w:p>
        </w:tc>
        <w:tc>
          <w:tcPr>
            <w:tcW w:w="973" w:type="dxa"/>
          </w:tcPr>
          <w:p w14:paraId="458ED84B" w14:textId="3E195E8C" w:rsidR="002F7982" w:rsidRDefault="002F7982" w:rsidP="00DD3C40">
            <w:pPr>
              <w:pStyle w:val="TableTextCentred"/>
              <w:spacing w:before="0" w:after="0" w:line="240" w:lineRule="auto"/>
              <w:jc w:val="left"/>
            </w:pPr>
            <w:r>
              <w:t>Rare</w:t>
            </w:r>
          </w:p>
        </w:tc>
        <w:tc>
          <w:tcPr>
            <w:tcW w:w="6406" w:type="dxa"/>
          </w:tcPr>
          <w:p w14:paraId="1A6637B1" w14:textId="052B9B73" w:rsidR="002F7982" w:rsidRDefault="002F7982" w:rsidP="00DD3C40">
            <w:pPr>
              <w:pStyle w:val="BodyText"/>
            </w:pPr>
            <w:r>
              <w:t>“Ensuring well integrity is a key aspect of reducing the risk of environmental contamination from unconventional gas extraction. Application of leading practice in well construction combined with rigorous integrity testing and effective regulatory oversight should result in a very low probability of well failure, but a ground water monitoring regime that can detect contamination attributable to unconventional gas activities is also desirable.” pES-xiv, p95 &amp; p188</w:t>
            </w:r>
          </w:p>
          <w:p w14:paraId="4B3ED6ED" w14:textId="77777777" w:rsidR="002F7982" w:rsidRDefault="002F7982" w:rsidP="00DD3C40">
            <w:pPr>
              <w:pStyle w:val="BodyText"/>
            </w:pPr>
          </w:p>
          <w:p w14:paraId="4F9DFA59" w14:textId="013CE2A8" w:rsidR="002F7982" w:rsidRDefault="002F7982" w:rsidP="00DD3C40">
            <w:pPr>
              <w:pStyle w:val="BodyText"/>
            </w:pPr>
            <w:r>
              <w:t>“Many reported incidents that underlie public concern about ground water contamination may be linked to poor well construction techniques in the earlier stages of the unconventional gas and oil industry, and the risks are likely to be much lower for a developing industry in the NT using modern (and future) technology and subject to good regulatory practice. Nevertheless, the risks cannot be reduced to zero and some areas of uncertainty remain, particularly the very long</w:t>
            </w:r>
            <w:r w:rsidR="00B4177B">
              <w:t xml:space="preserve"> </w:t>
            </w:r>
            <w:r>
              <w:t>term integrity of wells.” p85</w:t>
            </w:r>
          </w:p>
          <w:p w14:paraId="7ADB72AA" w14:textId="77777777" w:rsidR="002F7982" w:rsidRDefault="002F7982" w:rsidP="00DD3C40">
            <w:pPr>
              <w:pStyle w:val="BodyText"/>
            </w:pPr>
          </w:p>
          <w:p w14:paraId="4C058647" w14:textId="7CBA1891" w:rsidR="002F7982" w:rsidRDefault="002F7982" w:rsidP="00DD3C40">
            <w:pPr>
              <w:pStyle w:val="BodyText"/>
            </w:pPr>
            <w:r>
              <w:t>“After each stage of casing and cementing is completed, well integrity can be tested by:</w:t>
            </w:r>
          </w:p>
          <w:p w14:paraId="03DF76D6" w14:textId="5ADA1948" w:rsidR="002F7982" w:rsidRDefault="002F7982" w:rsidP="006E7F04">
            <w:pPr>
              <w:pStyle w:val="BodyText"/>
              <w:numPr>
                <w:ilvl w:val="0"/>
                <w:numId w:val="19"/>
              </w:numPr>
            </w:pPr>
            <w:r>
              <w:t>“cased-hole logging”, which includes a cement bond log (CBL) or similar evaluation logs from an acoustic device run inside the casing, that transmits and receives a sound signal to test the completeness and quality of the cement bond between the casing and formation wall; and</w:t>
            </w:r>
          </w:p>
          <w:p w14:paraId="6D56DF32" w14:textId="584E2A93" w:rsidR="002F7982" w:rsidRDefault="002F7982" w:rsidP="006E7F04">
            <w:pPr>
              <w:pStyle w:val="BodyText"/>
              <w:numPr>
                <w:ilvl w:val="0"/>
                <w:numId w:val="19"/>
              </w:numPr>
            </w:pPr>
            <w:r>
              <w:t xml:space="preserve">pressure testing, to ensure that a seal has been achieved and that casings have the required mechanical integrity and strength. Pressurising the well bore with water up to ~ 700 atmospheres (70 megapascals) for hold times of ten minutes is typical, but may be higher to exceed maximum expected hydraulic fracturing pressure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p56)","plainTextFormattedCitation":"(Cook et al., 2013)","previouslyFormattedCitation":"(Cook &lt;i&gt;et al.&lt;/i&gt;, 2013)"},"properties":{"noteIndex":0},"schema":"https://github.com/citation-style-language/schema/raw/master/csl-citation.json"}</w:instrText>
            </w:r>
            <w:r>
              <w:fldChar w:fldCharType="separate"/>
            </w:r>
            <w:r w:rsidRPr="00AE15A1">
              <w:rPr>
                <w:noProof/>
              </w:rPr>
              <w:t xml:space="preserve">(Cook </w:t>
            </w:r>
            <w:r w:rsidRPr="005A442F">
              <w:rPr>
                <w:noProof/>
              </w:rPr>
              <w:t>et al.</w:t>
            </w:r>
            <w:r w:rsidRPr="00AE15A1">
              <w:rPr>
                <w:noProof/>
              </w:rPr>
              <w:t>, 2013</w:t>
            </w:r>
            <w:r>
              <w:rPr>
                <w:noProof/>
              </w:rPr>
              <w:t>, p56</w:t>
            </w:r>
            <w:r w:rsidRPr="00AE15A1">
              <w:rPr>
                <w:noProof/>
              </w:rPr>
              <w:t>)</w:t>
            </w:r>
            <w:r>
              <w:fldChar w:fldCharType="end"/>
            </w:r>
            <w:r>
              <w:t>.” p88</w:t>
            </w:r>
          </w:p>
          <w:p w14:paraId="0D5ED3E2" w14:textId="77777777" w:rsidR="002F7982" w:rsidRDefault="002F7982" w:rsidP="00DD3C40">
            <w:pPr>
              <w:pStyle w:val="BodyText"/>
            </w:pPr>
          </w:p>
          <w:p w14:paraId="62371FF1" w14:textId="14224C6A" w:rsidR="002F7982" w:rsidRDefault="002F7982" w:rsidP="00DD3C40">
            <w:pPr>
              <w:pStyle w:val="BodyText"/>
            </w:pPr>
            <w:r>
              <w:t>“In the production phase, it is common for a thinner steel pipe (production tubing) to be inserted within the production casing and all fluids being produced will flow through this tubing. The annulus between the production tubing and the production casing can be monitored during the production lifespan of the well for any pressure change that might indicate a loss of pressure integrity.” p89</w:t>
            </w:r>
          </w:p>
          <w:p w14:paraId="497296AB" w14:textId="77777777" w:rsidR="002F7982" w:rsidRDefault="002F7982" w:rsidP="00DD3C40">
            <w:pPr>
              <w:pStyle w:val="BodyText"/>
            </w:pPr>
          </w:p>
          <w:p w14:paraId="212A49A9" w14:textId="69F7E881" w:rsidR="002F7982" w:rsidRDefault="002F7982" w:rsidP="00DD3C40">
            <w:pPr>
              <w:pStyle w:val="BodyText"/>
            </w:pPr>
            <w:r>
              <w:t>“…the length of time over which sealed well integrity will be maintained cannot yet be fully known, as modern well cementation practices are globally only 60 years old, and that this is a complex question that requires further investigation.” p89</w:t>
            </w:r>
          </w:p>
          <w:p w14:paraId="0D74BE80" w14:textId="77777777" w:rsidR="002F7982" w:rsidRDefault="002F7982" w:rsidP="00DD3C40">
            <w:pPr>
              <w:pStyle w:val="BodyText"/>
            </w:pPr>
          </w:p>
          <w:p w14:paraId="7B68B3CF" w14:textId="0F03CF3F" w:rsidR="002F7982" w:rsidRDefault="002F7982" w:rsidP="00DD3C40">
            <w:pPr>
              <w:pStyle w:val="BodyText"/>
            </w:pPr>
            <w:r>
              <w:t>“Aside from emphasising the primary importance of well integrity, a key learning for the developing Australian shale gas industry from these debates is that resolving the source of methane (or other chemical) contamination of ground water in these contested areas was greatly hampered by a lack of comprehensive pre-drilling baseline water quality samples and studies.” p90</w:t>
            </w:r>
          </w:p>
          <w:p w14:paraId="3EB9D2E1" w14:textId="77777777" w:rsidR="002F7982" w:rsidRDefault="002F7982" w:rsidP="00DD3C40">
            <w:pPr>
              <w:pStyle w:val="BodyText"/>
            </w:pPr>
          </w:p>
          <w:p w14:paraId="4E7E3899" w14:textId="1A794DEE" w:rsidR="002F7982" w:rsidRDefault="002F7982" w:rsidP="00DD3C40">
            <w:pPr>
              <w:pStyle w:val="BodyText"/>
            </w:pPr>
            <w:r>
              <w:t>“Moreover, if good practice and strong regulation are enforced, then monitoring should ensure that leaks are quickly detected and remedial action taken.” p92</w:t>
            </w:r>
          </w:p>
          <w:p w14:paraId="248DEBEC" w14:textId="77777777" w:rsidR="002F7982" w:rsidRDefault="002F7982" w:rsidP="00DD3C40">
            <w:pPr>
              <w:pStyle w:val="BodyText"/>
            </w:pPr>
          </w:p>
          <w:p w14:paraId="3F86DFED" w14:textId="6F4A6975" w:rsidR="002F7982" w:rsidRDefault="002F7982" w:rsidP="00DD3C40">
            <w:pPr>
              <w:pStyle w:val="BodyText"/>
            </w:pPr>
            <w:r>
              <w:t>“</w:t>
            </w:r>
            <w:r w:rsidRPr="00F37F1D">
              <w:t xml:space="preserve">The Inquiry finds </w:t>
            </w:r>
            <w:r>
              <w:t>…ensuring well integrity is a key aspect of reducing the risk of environmental contamination from unconventional gas extraction. Application of leading practice in well construction combined with rigorous integrity testing and effective regulatory oversight should result in a very low probability of well failure, but a ground water monitoring regime that can detect contamination attributable to unconventional gas activities is also desirable;…” pES-xiv, p95 &amp; p188</w:t>
            </w:r>
          </w:p>
        </w:tc>
      </w:tr>
      <w:tr w:rsidR="002F7982" w14:paraId="34F6C1F0" w14:textId="762F16A8"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1A38AF55" w14:textId="77777777" w:rsidR="002F7982" w:rsidRDefault="002F7982" w:rsidP="00DD3C40">
            <w:pPr>
              <w:pStyle w:val="TableText"/>
              <w:spacing w:before="0" w:after="0" w:line="240" w:lineRule="auto"/>
            </w:pPr>
            <w:r>
              <w:t>W.2</w:t>
            </w:r>
          </w:p>
        </w:tc>
        <w:tc>
          <w:tcPr>
            <w:tcW w:w="0" w:type="auto"/>
          </w:tcPr>
          <w:p w14:paraId="0BAB0070" w14:textId="77777777" w:rsidR="002F7982" w:rsidRDefault="002F7982" w:rsidP="00DD3C40">
            <w:pPr>
              <w:pStyle w:val="TableTextCentred"/>
              <w:spacing w:before="0" w:after="0" w:line="240" w:lineRule="auto"/>
              <w:jc w:val="left"/>
            </w:pPr>
            <w:r>
              <w:t>Migration along casing from reservoir</w:t>
            </w:r>
          </w:p>
        </w:tc>
        <w:tc>
          <w:tcPr>
            <w:tcW w:w="973" w:type="dxa"/>
          </w:tcPr>
          <w:p w14:paraId="3A3C70C6" w14:textId="3EBDBA2A" w:rsidR="002F7982" w:rsidRDefault="002F7982" w:rsidP="00DD3C40">
            <w:pPr>
              <w:pStyle w:val="TableTextCentred"/>
              <w:spacing w:before="0" w:after="0" w:line="240" w:lineRule="auto"/>
              <w:jc w:val="left"/>
            </w:pPr>
            <w:r>
              <w:t>Rare</w:t>
            </w:r>
          </w:p>
        </w:tc>
        <w:tc>
          <w:tcPr>
            <w:tcW w:w="6406" w:type="dxa"/>
          </w:tcPr>
          <w:p w14:paraId="32842C79" w14:textId="55AE4AEE" w:rsidR="002F7982" w:rsidRDefault="002F7982" w:rsidP="00DD3C40">
            <w:pPr>
              <w:pStyle w:val="BodyText"/>
            </w:pPr>
            <w:r>
              <w:t>“During fracturing operations, pressure sensors in the annular regions between casing strings and inside the production casing are used to track pressure changes and detect any breakdown in well integrity.” p88</w:t>
            </w:r>
          </w:p>
        </w:tc>
      </w:tr>
      <w:tr w:rsidR="002F7982" w14:paraId="188D756A" w14:textId="5E73B829"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797AE781" w14:textId="77777777" w:rsidR="002F7982" w:rsidRDefault="002F7982" w:rsidP="00DD3C40">
            <w:pPr>
              <w:pStyle w:val="TableText"/>
              <w:spacing w:before="0" w:after="0" w:line="240" w:lineRule="auto"/>
            </w:pPr>
            <w:r>
              <w:t>W.3</w:t>
            </w:r>
          </w:p>
        </w:tc>
        <w:tc>
          <w:tcPr>
            <w:tcW w:w="0" w:type="auto"/>
          </w:tcPr>
          <w:p w14:paraId="7B103F76" w14:textId="77777777" w:rsidR="002F7982" w:rsidRDefault="002F7982" w:rsidP="00DD3C40">
            <w:pPr>
              <w:pStyle w:val="TableTextCentred"/>
              <w:spacing w:before="0" w:after="0" w:line="240" w:lineRule="auto"/>
              <w:jc w:val="left"/>
            </w:pPr>
            <w:r>
              <w:t>Migration along casing between rock layers</w:t>
            </w:r>
          </w:p>
        </w:tc>
        <w:tc>
          <w:tcPr>
            <w:tcW w:w="973" w:type="dxa"/>
          </w:tcPr>
          <w:p w14:paraId="395F9EF5" w14:textId="7E5F0F3F" w:rsidR="002F7982" w:rsidRDefault="002F7982" w:rsidP="00DD3C40">
            <w:pPr>
              <w:pStyle w:val="TableTextCentred"/>
              <w:spacing w:before="0" w:after="0" w:line="240" w:lineRule="auto"/>
              <w:jc w:val="left"/>
            </w:pPr>
            <w:r>
              <w:t>Very Rare</w:t>
            </w:r>
          </w:p>
        </w:tc>
        <w:tc>
          <w:tcPr>
            <w:tcW w:w="6406" w:type="dxa"/>
          </w:tcPr>
          <w:p w14:paraId="76309C53" w14:textId="24AA673A" w:rsidR="002F7982" w:rsidRDefault="002F7982" w:rsidP="00DD3C40">
            <w:pPr>
              <w:pStyle w:val="BodyText"/>
            </w:pPr>
            <w:r>
              <w:t>“The key to well integrity is constructing the well to ensure that it is reliably isolated from subsurface formations, other than those targeted for gas extraction, and there is “zonal isolation” between significant segments of the well profile. This is done by constructing the well with a series of concentric steel casings of decreasing diameter and increasing depth, with a cement seal between the outer casing and rock, and between casings.” p85</w:t>
            </w:r>
          </w:p>
          <w:p w14:paraId="0317A419" w14:textId="77777777" w:rsidR="002F7982" w:rsidRDefault="002F7982" w:rsidP="00DD3C40">
            <w:pPr>
              <w:pStyle w:val="BodyText"/>
            </w:pPr>
          </w:p>
          <w:p w14:paraId="54E8D899" w14:textId="79C8B6DA" w:rsidR="002F7982" w:rsidRDefault="002F7982" w:rsidP="00DD3C40">
            <w:pPr>
              <w:pStyle w:val="BodyText"/>
            </w:pPr>
            <w:r>
              <w:t>“Well integrity is influenced by the number of casings and the extent of cementing. Leading practice is for a minimum of three casings, and for all casings to be cemented to the surface. Integrity also depends on the quality of casing and cementing materials and the standard to which casing is joined, installed and cemented. Casings are joined carefully at a specified torque, ensuring that threads are in good condition. “Centralizers” are typically attached to the steel casing as it is assembled and lowered into the borehole, in order to keep the casing central in the hole.” p87</w:t>
            </w:r>
          </w:p>
          <w:p w14:paraId="76473D3C" w14:textId="77777777" w:rsidR="002F7982" w:rsidRDefault="002F7982" w:rsidP="00DD3C40">
            <w:pPr>
              <w:pStyle w:val="BodyText"/>
            </w:pPr>
          </w:p>
          <w:p w14:paraId="3C05D804" w14:textId="66261709" w:rsidR="002F7982" w:rsidRDefault="002F7982" w:rsidP="00DD3C40">
            <w:pPr>
              <w:pStyle w:val="BodyText"/>
            </w:pPr>
            <w:r>
              <w:t>“The well cement slurry used is specifically engineered for this purpose taking into account local geological and hydrogeological conditions. Good cementation is harder to achieve in horizontal wells.” p88</w:t>
            </w:r>
          </w:p>
          <w:p w14:paraId="7779D9BA" w14:textId="77777777" w:rsidR="002F7982" w:rsidRDefault="002F7982" w:rsidP="00DD3C40">
            <w:pPr>
              <w:pStyle w:val="BodyText"/>
            </w:pPr>
          </w:p>
          <w:p w14:paraId="363C109E" w14:textId="0DEF09D2" w:rsidR="002F7982" w:rsidRDefault="002F7982" w:rsidP="00DD3C40">
            <w:pPr>
              <w:pStyle w:val="BodyText"/>
            </w:pPr>
            <w:r>
              <w:t>“The high alkalinity of the cement protects steel casing from potential deterioration due to contact with acidic rock or water with high levels of CO</w:t>
            </w:r>
            <w:r w:rsidRPr="003E7D0F">
              <w:rPr>
                <w:vertAlign w:val="subscript"/>
              </w:rPr>
              <w:t>2</w:t>
            </w:r>
            <w:r>
              <w:t xml:space="preserve"> or H</w:t>
            </w:r>
            <w:r w:rsidRPr="003E7D0F">
              <w:rPr>
                <w:vertAlign w:val="subscript"/>
              </w:rPr>
              <w:t>2</w:t>
            </w:r>
            <w:r>
              <w:t>S.” p88</w:t>
            </w:r>
          </w:p>
          <w:p w14:paraId="5AB5672E" w14:textId="77777777" w:rsidR="002F7982" w:rsidRDefault="002F7982" w:rsidP="00DD3C40">
            <w:pPr>
              <w:pStyle w:val="BodyText"/>
            </w:pPr>
          </w:p>
          <w:p w14:paraId="6B8159B9" w14:textId="42BE9629" w:rsidR="002F7982" w:rsidRDefault="002F7982" w:rsidP="00DD3C40">
            <w:pPr>
              <w:pStyle w:val="BodyText"/>
            </w:pPr>
            <w:r>
              <w:t>“…the products of steel corrosion and cement degradation are solid material, so deterioration over long periods would not simply result in wide open channels to the surface; and that liquid seepage was far less probable through narrow pathways resulting from long term deterioration than gas.” p89</w:t>
            </w:r>
          </w:p>
          <w:p w14:paraId="0359D704" w14:textId="77777777" w:rsidR="002F7982" w:rsidRDefault="002F7982" w:rsidP="00DD3C40">
            <w:pPr>
              <w:pStyle w:val="BodyText"/>
            </w:pPr>
          </w:p>
          <w:p w14:paraId="5D758C12" w14:textId="28592624" w:rsidR="002F7982" w:rsidRDefault="002F7982" w:rsidP="00DD3C40">
            <w:pPr>
              <w:pStyle w:val="BodyText"/>
            </w:pPr>
            <w:r>
              <w:t>“These data have been used to infer a probability of casing failure leading to aquifer contamination of 0.03%.” p91</w:t>
            </w:r>
          </w:p>
        </w:tc>
      </w:tr>
      <w:tr w:rsidR="002F7982" w14:paraId="0D1038D9" w14:textId="218CC468"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05DE2706" w14:textId="77777777" w:rsidR="002F7982" w:rsidRDefault="002F7982" w:rsidP="00DD3C40">
            <w:pPr>
              <w:pStyle w:val="TableText"/>
              <w:spacing w:before="0" w:after="0" w:line="240" w:lineRule="auto"/>
            </w:pPr>
            <w:r>
              <w:t>W.4</w:t>
            </w:r>
          </w:p>
        </w:tc>
        <w:tc>
          <w:tcPr>
            <w:tcW w:w="0" w:type="auto"/>
          </w:tcPr>
          <w:p w14:paraId="368BB78B" w14:textId="77777777" w:rsidR="002F7982" w:rsidRDefault="002F7982" w:rsidP="00DD3C40">
            <w:pPr>
              <w:pStyle w:val="TableTextCentred"/>
              <w:spacing w:before="0" w:after="0" w:line="240" w:lineRule="auto"/>
              <w:jc w:val="left"/>
            </w:pPr>
            <w:r>
              <w:t>Migration along decommissioned / abandoned wells</w:t>
            </w:r>
          </w:p>
        </w:tc>
        <w:tc>
          <w:tcPr>
            <w:tcW w:w="973" w:type="dxa"/>
          </w:tcPr>
          <w:p w14:paraId="290D2956" w14:textId="6D6D1504" w:rsidR="002F7982" w:rsidRDefault="002F7982" w:rsidP="00DD3C40">
            <w:pPr>
              <w:pStyle w:val="TableTextCentred"/>
              <w:spacing w:before="0" w:after="0" w:line="240" w:lineRule="auto"/>
              <w:jc w:val="left"/>
            </w:pPr>
            <w:r>
              <w:t>Unlikely</w:t>
            </w:r>
          </w:p>
        </w:tc>
        <w:tc>
          <w:tcPr>
            <w:tcW w:w="6406" w:type="dxa"/>
          </w:tcPr>
          <w:p w14:paraId="3EE00765" w14:textId="5AF596C7" w:rsidR="002F7982" w:rsidRDefault="002F7982" w:rsidP="00807705">
            <w:pPr>
              <w:pStyle w:val="BodyText"/>
            </w:pPr>
            <w:r>
              <w:t>“It is not necessarily appropriate to extrapolate estimated leakage rates in older wells to predicted outcomes for wells constructed using modern casing and cementing materials and practices.” p131</w:t>
            </w:r>
          </w:p>
          <w:p w14:paraId="3EE34E0B" w14:textId="77777777" w:rsidR="002F7982" w:rsidRDefault="002F7982" w:rsidP="00807705">
            <w:pPr>
              <w:pStyle w:val="BodyText"/>
            </w:pPr>
          </w:p>
          <w:p w14:paraId="57DD1AD9" w14:textId="4AE5484C" w:rsidR="002F7982" w:rsidRDefault="002F7982" w:rsidP="00DF541B">
            <w:pPr>
              <w:pStyle w:val="BodyText"/>
            </w:pPr>
            <w:r>
              <w:t xml:space="preserve">“Cemented wells can maintain good integrity after 40 years, despite large variation in reservoir pressure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p21)","plainTextFormattedCitation":"(King, 2012)","previouslyFormattedCitation":"(King, 2012)"},"properties":{"noteIndex":0},"schema":"https://github.com/citation-style-language/schema/raw/master/csl-citation.json"}</w:instrText>
            </w:r>
            <w:r>
              <w:fldChar w:fldCharType="separate"/>
            </w:r>
            <w:r w:rsidRPr="00F37F1D">
              <w:rPr>
                <w:noProof/>
              </w:rPr>
              <w:t>(King, 2012</w:t>
            </w:r>
            <w:r>
              <w:rPr>
                <w:noProof/>
              </w:rPr>
              <w:t>,  p21</w:t>
            </w:r>
            <w:r w:rsidRPr="00F37F1D">
              <w:rPr>
                <w:noProof/>
              </w:rPr>
              <w:t>)</w:t>
            </w:r>
            <w:r>
              <w:fldChar w:fldCharType="end"/>
            </w:r>
            <w:r>
              <w:t xml:space="preserve">, and industry proponents maintain that if properly constructed and decommissioned “the well essentially becomes part of the rock and will afford protection in perpetuity” (Santos submission, p 25). There is, however, some evidence of surface casing vent flow from recent wells (citations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37F1D">
              <w:rPr>
                <w:noProof/>
              </w:rPr>
              <w:t>Council of Canadian Academies, 2014</w:t>
            </w:r>
            <w:r>
              <w:fldChar w:fldCharType="end"/>
            </w:r>
            <w:r>
              <w:t>, p58), and the CCA Report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37F1D">
              <w:rPr>
                <w:noProof/>
              </w:rPr>
              <w:t>Council of Canadian Academies, 2014</w:t>
            </w:r>
            <w:r>
              <w:fldChar w:fldCharType="end"/>
            </w:r>
            <w:r>
              <w:t xml:space="preserve">] concluded that the degree of improvement claimed (in cementing and other practices to ensure well integrity) has not been independently tested or verified.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pp128-129)","plainTextFormattedCitation":"(Cook et al., 2013)","previouslyFormattedCitation":"(Cook &lt;i&gt;et al.&lt;/i&gt;, 2013)"},"properties":{"noteIndex":0},"schema":"https://github.com/citation-style-language/schema/raw/master/csl-citation.json"}</w:instrText>
            </w:r>
            <w:r>
              <w:fldChar w:fldCharType="separate"/>
            </w:r>
            <w:r w:rsidRPr="00F37F1D">
              <w:rPr>
                <w:noProof/>
              </w:rPr>
              <w:t xml:space="preserve">Cook </w:t>
            </w:r>
            <w:r w:rsidRPr="005A442F">
              <w:rPr>
                <w:noProof/>
              </w:rPr>
              <w:t>et al.</w:t>
            </w:r>
            <w:r w:rsidRPr="00F37F1D">
              <w:rPr>
                <w:noProof/>
              </w:rPr>
              <w:t xml:space="preserve"> </w:t>
            </w:r>
            <w:r>
              <w:rPr>
                <w:noProof/>
              </w:rPr>
              <w:t>(</w:t>
            </w:r>
            <w:r w:rsidRPr="00F37F1D">
              <w:rPr>
                <w:noProof/>
              </w:rPr>
              <w:t>2013</w:t>
            </w:r>
            <w:r>
              <w:rPr>
                <w:noProof/>
              </w:rPr>
              <w:t xml:space="preserve">, </w:t>
            </w:r>
            <w:r w:rsidRPr="00F37F1D">
              <w:rPr>
                <w:noProof/>
              </w:rPr>
              <w:t>pp128-129)</w:t>
            </w:r>
            <w:r>
              <w:fldChar w:fldCharType="end"/>
            </w:r>
            <w:r>
              <w:t xml:space="preserve"> stated that the longevity of integrity of decommissioned wells remains poorly understood and noted this as a topic where more information is essential, and where careful attention in terms of regulation and governance is required.” p131</w:t>
            </w:r>
          </w:p>
          <w:p w14:paraId="52967693" w14:textId="77777777" w:rsidR="002F7982" w:rsidRDefault="002F7982" w:rsidP="00DF541B">
            <w:pPr>
              <w:pStyle w:val="BodyText"/>
            </w:pPr>
          </w:p>
          <w:p w14:paraId="2B56DB0B" w14:textId="0932F08B" w:rsidR="002F7982" w:rsidRDefault="002F7982" w:rsidP="00AD5D44">
            <w:pPr>
              <w:pStyle w:val="BodyText"/>
            </w:pPr>
            <w:r>
              <w:t xml:space="preserve">“The </w:t>
            </w:r>
            <w:r>
              <w:fldChar w:fldCharType="begin" w:fldLock="1"/>
            </w:r>
            <w:r>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fracturing","type":"report"},"uris":["http://www.mendeley.com/documents/?uuid=98f27b6f-4d54-4a26-a72d-abb1bc3752fe"]}],"mendeley":{"formattedCitation":"(The Royal Society and The Royal Academy of Engineering, 2012)","manualFormatting":"(The Royal Society and The Royal Academy of Engineering, 2012","plainTextFormattedCitation":"(The Royal Society and The Royal Academy of Engineering, 2012)","previouslyFormattedCitation":"(The Royal Society and The Royal Academy of Engineering, 2012)"},"properties":{"noteIndex":0},"schema":"https://github.com/citation-style-language/schema/raw/master/csl-citation.json"}</w:instrText>
            </w:r>
            <w:r>
              <w:fldChar w:fldCharType="separate"/>
            </w:r>
            <w:r w:rsidRPr="00AD5D44">
              <w:rPr>
                <w:noProof/>
              </w:rPr>
              <w:t>(The Royal Society and The Royal Academy of Engineering, 2012</w:t>
            </w:r>
            <w:r>
              <w:fldChar w:fldCharType="end"/>
            </w:r>
            <w:r>
              <w:t xml:space="preserve"> p30) noted that if well abandonment in the UK is completed without unusual or adverse developments, no subsequent monitoring is currently required, and recommended that monitoring arrangements should be developed to detect possible well failure post abandonment.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AD5D44">
              <w:rPr>
                <w:noProof/>
              </w:rPr>
              <w:t xml:space="preserve">(Atherton </w:t>
            </w:r>
            <w:r w:rsidRPr="005A442F">
              <w:rPr>
                <w:noProof/>
              </w:rPr>
              <w:t>et al.</w:t>
            </w:r>
            <w:r w:rsidRPr="00AD5D44">
              <w:rPr>
                <w:noProof/>
              </w:rPr>
              <w:t>, 2014</w:t>
            </w:r>
            <w:r>
              <w:fldChar w:fldCharType="end"/>
            </w:r>
            <w:r>
              <w:t>, pp212-213) also noted the development of slow gas leakage can take place years after well decommissioning and that this may be difficult to detect, particular if there is subsurface leakage into shallow strata.” p132</w:t>
            </w:r>
          </w:p>
          <w:p w14:paraId="0C6476AF" w14:textId="77777777" w:rsidR="002F7982" w:rsidRDefault="002F7982" w:rsidP="00AD5D44">
            <w:pPr>
              <w:pStyle w:val="BodyText"/>
            </w:pPr>
          </w:p>
          <w:p w14:paraId="4DD87F66" w14:textId="6B8F97D1" w:rsidR="002F7982" w:rsidRDefault="002F7982" w:rsidP="00AD5D44">
            <w:pPr>
              <w:pStyle w:val="BodyText"/>
            </w:pPr>
            <w:r>
              <w:t>“The Inquiry found with respect to Well Closure and Site Rehabilitation, that… application of leading practice for construction and closure can minimise environmental risks associated with decommissioned wells, but the longevity of long-term integrity of decommissioned wells remains poorly understood;” pES-xvi, p134 &amp; p193</w:t>
            </w:r>
          </w:p>
        </w:tc>
      </w:tr>
      <w:tr w:rsidR="002F7982" w14:paraId="6BEF3A7A" w14:textId="01F32CFE"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4261A271" w14:textId="77777777" w:rsidR="002F7982" w:rsidRDefault="002F7982" w:rsidP="00DD3C40">
            <w:pPr>
              <w:pStyle w:val="TableText"/>
              <w:spacing w:before="0" w:after="0" w:line="240" w:lineRule="auto"/>
            </w:pPr>
            <w:r>
              <w:t>W.5</w:t>
            </w:r>
          </w:p>
        </w:tc>
        <w:tc>
          <w:tcPr>
            <w:tcW w:w="0" w:type="auto"/>
          </w:tcPr>
          <w:p w14:paraId="36A19913" w14:textId="77777777" w:rsidR="002F7982" w:rsidRDefault="002F7982" w:rsidP="00DD3C40">
            <w:pPr>
              <w:pStyle w:val="TableTextCentred"/>
              <w:spacing w:before="0" w:after="0" w:line="240" w:lineRule="auto"/>
              <w:jc w:val="left"/>
            </w:pPr>
            <w:r>
              <w:t>Loss of well control</w:t>
            </w:r>
          </w:p>
        </w:tc>
        <w:tc>
          <w:tcPr>
            <w:tcW w:w="973" w:type="dxa"/>
          </w:tcPr>
          <w:p w14:paraId="707A4770" w14:textId="2BD2101F" w:rsidR="002F7982" w:rsidRDefault="002F7982" w:rsidP="00DD3C40">
            <w:pPr>
              <w:pStyle w:val="TableTextCentred"/>
              <w:spacing w:before="0" w:after="0" w:line="240" w:lineRule="auto"/>
              <w:jc w:val="left"/>
            </w:pPr>
            <w:r>
              <w:t>Not assessed</w:t>
            </w:r>
          </w:p>
        </w:tc>
        <w:tc>
          <w:tcPr>
            <w:tcW w:w="6406" w:type="dxa"/>
          </w:tcPr>
          <w:p w14:paraId="70767FA3" w14:textId="77777777" w:rsidR="002F7982" w:rsidRDefault="002F7982" w:rsidP="00DD3C40">
            <w:pPr>
              <w:pStyle w:val="TableTextCentred"/>
              <w:spacing w:before="0" w:after="0" w:line="240" w:lineRule="auto"/>
              <w:jc w:val="left"/>
            </w:pPr>
          </w:p>
        </w:tc>
      </w:tr>
      <w:bookmarkEnd w:id="65"/>
    </w:tbl>
    <w:p w14:paraId="1A4A124C" w14:textId="77777777" w:rsidR="0073177A" w:rsidRDefault="0073177A" w:rsidP="00985B69">
      <w:pPr>
        <w:pStyle w:val="BodyText"/>
      </w:pPr>
      <w:r>
        <w:br w:type="page"/>
      </w:r>
    </w:p>
    <w:p w14:paraId="1E250FF6" w14:textId="16AD8910" w:rsidR="0073177A" w:rsidRDefault="0073177A" w:rsidP="0073177A">
      <w:pPr>
        <w:pStyle w:val="Heading5notnumbered"/>
      </w:pPr>
      <w:r>
        <w:t>References contained within</w:t>
      </w:r>
      <w:r w:rsidRPr="002F7982">
        <w:t xml:space="preserve"> </w:t>
      </w:r>
      <w:r>
        <w:fldChar w:fldCharType="begin"/>
      </w:r>
      <w:r>
        <w:instrText xml:space="preserve"> REF _Ref14697833 \h  \* MERGEFORMAT </w:instrText>
      </w:r>
      <w:r>
        <w:fldChar w:fldCharType="separate"/>
      </w:r>
      <w:r w:rsidR="00073927">
        <w:t xml:space="preserve">Table </w:t>
      </w:r>
      <w:r w:rsidR="00073927">
        <w:rPr>
          <w:noProof/>
        </w:rPr>
        <w:t>7</w:t>
      </w:r>
      <w:r w:rsidR="00073927">
        <w:t xml:space="preserve"> </w:t>
      </w:r>
      <w:r w:rsidR="00073927" w:rsidRPr="00030460">
        <w:t xml:space="preserve">Excerpts from </w:t>
      </w:r>
      <w:r w:rsidR="00073927" w:rsidRPr="003109A0">
        <w:t xml:space="preserve">Hawke </w:t>
      </w:r>
      <w:r w:rsidR="00073927">
        <w:t>(</w:t>
      </w:r>
      <w:r w:rsidR="00073927" w:rsidRPr="003109A0">
        <w:t>2014)</w:t>
      </w:r>
      <w:r w:rsidR="00073927">
        <w:t xml:space="preserve"> </w:t>
      </w:r>
      <w:r w:rsidR="00073927" w:rsidRPr="00030460">
        <w:t>related to each impact mode</w:t>
      </w:r>
      <w:r>
        <w:fldChar w:fldCharType="end"/>
      </w:r>
    </w:p>
    <w:p w14:paraId="557A9F60" w14:textId="1A6FE825" w:rsidR="002F7982" w:rsidRPr="002F7982" w:rsidRDefault="002F7982" w:rsidP="003714C9">
      <w:pPr>
        <w:pStyle w:val="References"/>
      </w:pPr>
      <w:r w:rsidRPr="002F7982">
        <w:t xml:space="preserve">All Consulting. (2012). </w:t>
      </w:r>
      <w:r w:rsidRPr="005A442F">
        <w:t>The Modern Practices of Hydraulic Fracturing: A Focus on Canadian Resources</w:t>
      </w:r>
      <w:r w:rsidRPr="002F7982">
        <w:t xml:space="preserve">. </w:t>
      </w:r>
      <w:r w:rsidR="007A779F">
        <w:t>Viewed 18 July 2019</w:t>
      </w:r>
      <w:r w:rsidRPr="002F7982">
        <w:t xml:space="preserve"> </w:t>
      </w:r>
      <w:hyperlink r:id="rId40" w:history="1">
        <w:r w:rsidR="003714C9" w:rsidRPr="00EF72E0">
          <w:rPr>
            <w:rStyle w:val="Hyperlink"/>
          </w:rPr>
          <w:t>http://www.atlanticaenergy.org/pdfs/natural_gas/Safety/The Modern Practices of HydroFrackturingFocusOnCanadaPTAC.pdf</w:t>
        </w:r>
      </w:hyperlink>
      <w:r w:rsidR="003714C9">
        <w:t xml:space="preserve"> </w:t>
      </w:r>
      <w:r w:rsidR="007A779F">
        <w:t xml:space="preserve"> </w:t>
      </w:r>
    </w:p>
    <w:p w14:paraId="5C41131E" w14:textId="52298D8C" w:rsidR="002F7982" w:rsidRPr="002F7982" w:rsidRDefault="007A779F" w:rsidP="003714C9">
      <w:pPr>
        <w:pStyle w:val="References"/>
      </w:pPr>
      <w:r w:rsidRPr="007A779F">
        <w:t xml:space="preserve">Atherton, F., Bradfield, M., Christmas, K., Dalton, S., Dusseault, M., Gagnon, G., Hayes, B., MacIntosh, C., Mauro, I., Ritcey, R. and Wheeler, D. (2014) Report of the Nova Scotia Independent Review Panel on Hydraulic Fracturing. Viewed 20 August 2018, </w:t>
      </w:r>
      <w:hyperlink r:id="rId41" w:history="1">
        <w:r w:rsidRPr="003714C9">
          <w:rPr>
            <w:rStyle w:val="Hyperlink"/>
          </w:rPr>
          <w:t>http://verschurencentre.ca/report-of-the-nova-scotia-independent-panel-on-hydraulic-fracturing/</w:t>
        </w:r>
      </w:hyperlink>
      <w:r>
        <w:t xml:space="preserve"> </w:t>
      </w:r>
    </w:p>
    <w:p w14:paraId="207B7CEB" w14:textId="1F281B9A" w:rsidR="007A779F" w:rsidRDefault="007A779F" w:rsidP="003714C9">
      <w:pPr>
        <w:pStyle w:val="References"/>
      </w:pPr>
      <w:bookmarkStart w:id="66" w:name="_Hlk19114786"/>
      <w:r w:rsidRPr="007A779F">
        <w:t xml:space="preserve">Cook, P., Beck, V., Brereton, D., Clark, R., Fisher, B., Kentish, S., Toomey, J. and Williams, J. (2013) ‘Engineering Energy: Unconventional Gas Production’, Report for the Australian Council of Learned Academies, p. 252. Viewed 28 June 2018, </w:t>
      </w:r>
      <w:hyperlink r:id="rId42" w:history="1">
        <w:r w:rsidRPr="003714C9">
          <w:rPr>
            <w:rStyle w:val="Hyperlink"/>
          </w:rPr>
          <w:t>https://acola.org/wp-content/uploads/2018/08/saf06-engineering-gas-report.pdf</w:t>
        </w:r>
      </w:hyperlink>
    </w:p>
    <w:bookmarkEnd w:id="66"/>
    <w:p w14:paraId="2F6D903E" w14:textId="60B795BF" w:rsidR="002F7982" w:rsidRPr="002F7982" w:rsidRDefault="002F7982" w:rsidP="003714C9">
      <w:pPr>
        <w:pStyle w:val="References"/>
      </w:pPr>
      <w:r w:rsidRPr="002F7982">
        <w:t xml:space="preserve">Council of Canadian Academies. (2014). </w:t>
      </w:r>
      <w:r w:rsidRPr="005A442F">
        <w:t>Environmental Impacts of Shale Gas Extraction in Canada</w:t>
      </w:r>
      <w:r w:rsidRPr="002F7982">
        <w:t>. Ottawa (ON): Council of Canadian Academies.</w:t>
      </w:r>
      <w:r w:rsidR="007A779F">
        <w:t xml:space="preserve"> ISBN: </w:t>
      </w:r>
      <w:r w:rsidR="007A779F" w:rsidRPr="007A779F">
        <w:t xml:space="preserve">9781926558776 </w:t>
      </w:r>
      <w:r w:rsidR="007A779F">
        <w:t>Viewed 26 July 2018</w:t>
      </w:r>
      <w:r w:rsidR="00EC52D6">
        <w:t>,</w:t>
      </w:r>
      <w:r w:rsidR="007A779F">
        <w:t xml:space="preserve"> </w:t>
      </w:r>
      <w:hyperlink r:id="rId43" w:history="1">
        <w:r w:rsidR="00EC52D6" w:rsidRPr="003714C9">
          <w:rPr>
            <w:rStyle w:val="Hyperlink"/>
          </w:rPr>
          <w:t>https://www.researchgate.net/publication/264233141_Environmental_Impacts_of_Shale_Gas_Extraction_in_Canada_The_Expert_Panel_on_Harnessing_Science_and_Technology_to_Understand_the_Environmental_Impacts_of_Shale_Gas_Extraction</w:t>
        </w:r>
      </w:hyperlink>
      <w:r w:rsidR="007A779F">
        <w:t xml:space="preserve"> </w:t>
      </w:r>
    </w:p>
    <w:p w14:paraId="194356B2" w14:textId="718348B1" w:rsidR="002F7982" w:rsidRPr="002F7982" w:rsidRDefault="002F7982" w:rsidP="003714C9">
      <w:pPr>
        <w:pStyle w:val="References"/>
      </w:pPr>
      <w:r w:rsidRPr="002F7982">
        <w:t xml:space="preserve">Davies, R. J., Mathias, S. a., Moss, J., Hustoft, S., &amp; Newport, L. (2012). Hydraulic fractures: How far can they go? </w:t>
      </w:r>
      <w:r w:rsidRPr="005A442F">
        <w:t>Marine and Petroleum Geology</w:t>
      </w:r>
      <w:r w:rsidRPr="002F7982">
        <w:t xml:space="preserve">, </w:t>
      </w:r>
      <w:r w:rsidRPr="005A442F">
        <w:t>37</w:t>
      </w:r>
      <w:r w:rsidRPr="002F7982">
        <w:t xml:space="preserve">(1), 1–6. </w:t>
      </w:r>
    </w:p>
    <w:p w14:paraId="476198AB" w14:textId="77777777" w:rsidR="002F7982" w:rsidRPr="002F7982" w:rsidRDefault="002F7982" w:rsidP="003714C9">
      <w:pPr>
        <w:pStyle w:val="References"/>
      </w:pPr>
      <w:r w:rsidRPr="002F7982">
        <w:t xml:space="preserve">Fisher, K., &amp; Warpinski, N. (2012). Hydraulic-Fracture-Height Growth : Real Data. </w:t>
      </w:r>
      <w:r w:rsidRPr="005A442F">
        <w:t>SPE Production &amp; Operations</w:t>
      </w:r>
      <w:r w:rsidRPr="002F7982">
        <w:t>, (February).</w:t>
      </w:r>
    </w:p>
    <w:p w14:paraId="062AC632" w14:textId="7DF8A011" w:rsidR="002F7982" w:rsidRPr="002F7982" w:rsidRDefault="002F7982" w:rsidP="003714C9">
      <w:pPr>
        <w:pStyle w:val="References"/>
      </w:pPr>
      <w:r w:rsidRPr="002F7982">
        <w:t xml:space="preserve">Groat, C. G., &amp; Grimshaw, T. W. (2012). </w:t>
      </w:r>
      <w:r w:rsidRPr="005A442F">
        <w:t>Fact-Based Regulation for Environmental Protection in Shale Gas Development Fact-Based Regulation for Environmental Protection in Shale Gas Development. Summary of Findings</w:t>
      </w:r>
      <w:r w:rsidRPr="002F7982">
        <w:t xml:space="preserve">. </w:t>
      </w:r>
      <w:r w:rsidR="007A779F">
        <w:t>Viewed 16 August 2018</w:t>
      </w:r>
      <w:r w:rsidR="00EC52D6">
        <w:t>,</w:t>
      </w:r>
      <w:r w:rsidR="007A779F">
        <w:t xml:space="preserve"> </w:t>
      </w:r>
      <w:hyperlink r:id="rId44" w:history="1">
        <w:r w:rsidR="007A779F" w:rsidRPr="003714C9">
          <w:rPr>
            <w:rStyle w:val="Hyperlink"/>
          </w:rPr>
          <w:t>http://energy.utexas.edu/</w:t>
        </w:r>
      </w:hyperlink>
      <w:r w:rsidR="007A779F">
        <w:t xml:space="preserve"> </w:t>
      </w:r>
    </w:p>
    <w:p w14:paraId="3202191F" w14:textId="7D2369FD" w:rsidR="002F7982" w:rsidRPr="002F7982" w:rsidRDefault="002F7982" w:rsidP="003714C9">
      <w:pPr>
        <w:pStyle w:val="References"/>
      </w:pPr>
      <w:r w:rsidRPr="002F7982">
        <w:t xml:space="preserve">King, G. (2012). Hydraulic Fracturing 101: What Every Representative, Environmentalist, Regulator, Reporter, Investor, University Researcher, Neighbor and Engineer Should Know. </w:t>
      </w:r>
      <w:r w:rsidRPr="005A442F">
        <w:t>SPE Hydraulic Fracturing Technology Conference</w:t>
      </w:r>
      <w:r w:rsidRPr="002F7982">
        <w:t xml:space="preserve">, 1–80. </w:t>
      </w:r>
    </w:p>
    <w:p w14:paraId="287C725B" w14:textId="4621AAA8" w:rsidR="002F7982" w:rsidRDefault="002F7982" w:rsidP="003714C9">
      <w:pPr>
        <w:pStyle w:val="References"/>
      </w:pPr>
      <w:r w:rsidRPr="002F7982">
        <w:t xml:space="preserve">The Royal Society and The Royal Academy of Engineering. (2012). </w:t>
      </w:r>
      <w:r w:rsidRPr="005A442F">
        <w:t>Shale gas extraction in the UK : a review of hydraulic fracturing</w:t>
      </w:r>
      <w:r w:rsidRPr="002F7982">
        <w:t xml:space="preserve">. </w:t>
      </w:r>
      <w:r w:rsidRPr="005A442F">
        <w:t>Royal Academy of Engineering</w:t>
      </w:r>
      <w:r w:rsidRPr="002F7982">
        <w:t xml:space="preserve">. London. </w:t>
      </w:r>
      <w:r w:rsidR="007A779F">
        <w:t>Viewed 7 June 2018</w:t>
      </w:r>
      <w:r w:rsidR="00EC52D6">
        <w:t>,</w:t>
      </w:r>
      <w:r w:rsidRPr="002F7982">
        <w:t xml:space="preserve"> </w:t>
      </w:r>
      <w:hyperlink r:id="rId45" w:history="1">
        <w:r w:rsidR="00EC52D6" w:rsidRPr="003714C9">
          <w:rPr>
            <w:rStyle w:val="Hyperlink"/>
          </w:rPr>
          <w:t>http://royalsociety.org/policy/projects/shale-gas-extraction</w:t>
        </w:r>
      </w:hyperlink>
    </w:p>
    <w:p w14:paraId="3E325442" w14:textId="77777777" w:rsidR="00FB62FE" w:rsidRDefault="00FB62FE" w:rsidP="00985B69">
      <w:pPr>
        <w:pStyle w:val="BodyText"/>
      </w:pPr>
      <w:r>
        <w:br w:type="page"/>
      </w:r>
    </w:p>
    <w:p w14:paraId="471185D1" w14:textId="79556251" w:rsidR="00122C47" w:rsidRPr="005A442F" w:rsidRDefault="00273D75" w:rsidP="00E10706">
      <w:pPr>
        <w:pStyle w:val="Heading3"/>
        <w:rPr>
          <w:i w:val="0"/>
        </w:rPr>
      </w:pPr>
      <w:bookmarkStart w:id="67" w:name="_Ref528836936"/>
      <w:bookmarkStart w:id="68" w:name="_Toc5272814"/>
      <w:bookmarkStart w:id="69" w:name="_Toc36042859"/>
      <w:r w:rsidRPr="005A442F">
        <w:rPr>
          <w:i w:val="0"/>
        </w:rPr>
        <w:t xml:space="preserve">Qualitative review of the findings </w:t>
      </w:r>
      <w:r w:rsidR="00122C47" w:rsidRPr="005A442F">
        <w:rPr>
          <w:i w:val="0"/>
        </w:rPr>
        <w:t>from: Engineering Energy: Unconventional Gas Production. Report for the Australian Council of Learned Academics (Cook et al., 2013)</w:t>
      </w:r>
      <w:bookmarkEnd w:id="67"/>
      <w:bookmarkEnd w:id="68"/>
      <w:bookmarkEnd w:id="69"/>
    </w:p>
    <w:p w14:paraId="277F1813" w14:textId="390B7D97" w:rsidR="00197D69" w:rsidRDefault="00197D69" w:rsidP="00B65D6D">
      <w:pPr>
        <w:pStyle w:val="Heading4notnumbered"/>
      </w:pPr>
      <w:r>
        <w:t>Background and scope</w:t>
      </w:r>
    </w:p>
    <w:p w14:paraId="66427AD5" w14:textId="52B08AD0" w:rsidR="00986CB4" w:rsidRDefault="00986CB4" w:rsidP="00E443E3">
      <w:pPr>
        <w:pStyle w:val="BodyText"/>
      </w:pPr>
      <w:r w:rsidRPr="00986CB4">
        <w:t>A three-year research</w:t>
      </w:r>
      <w:r>
        <w:t xml:space="preserve"> </w:t>
      </w:r>
      <w:r w:rsidRPr="00986CB4">
        <w:t>program funded by the</w:t>
      </w:r>
      <w:r>
        <w:t xml:space="preserve"> </w:t>
      </w:r>
      <w:r w:rsidRPr="00986CB4">
        <w:t>Australian Research</w:t>
      </w:r>
      <w:r>
        <w:t xml:space="preserve"> </w:t>
      </w:r>
      <w:r w:rsidRPr="00986CB4">
        <w:t>Council and conducted</w:t>
      </w:r>
      <w:r>
        <w:t xml:space="preserve"> </w:t>
      </w:r>
      <w:r w:rsidRPr="00986CB4">
        <w:t>by the four Learned</w:t>
      </w:r>
      <w:r>
        <w:t xml:space="preserve"> </w:t>
      </w:r>
      <w:r w:rsidRPr="00986CB4">
        <w:t>Academies through</w:t>
      </w:r>
      <w:r>
        <w:t xml:space="preserve"> </w:t>
      </w:r>
      <w:r w:rsidRPr="00986CB4">
        <w:t>the Australian Council</w:t>
      </w:r>
      <w:r>
        <w:t xml:space="preserve"> </w:t>
      </w:r>
      <w:r w:rsidRPr="00986CB4">
        <w:t>of Learned Academies</w:t>
      </w:r>
      <w:r>
        <w:t xml:space="preserve"> </w:t>
      </w:r>
      <w:r w:rsidRPr="00986CB4">
        <w:t>for PMSEIC, through</w:t>
      </w:r>
      <w:r>
        <w:t xml:space="preserve"> </w:t>
      </w:r>
      <w:r w:rsidRPr="00986CB4">
        <w:t>the Office of the Chief</w:t>
      </w:r>
      <w:r>
        <w:t xml:space="preserve"> </w:t>
      </w:r>
      <w:r w:rsidRPr="00986CB4">
        <w:t>Scientist. Securing</w:t>
      </w:r>
      <w:r>
        <w:t xml:space="preserve"> </w:t>
      </w:r>
      <w:r w:rsidRPr="00986CB4">
        <w:t>Australia’s Future delivers</w:t>
      </w:r>
      <w:r>
        <w:t xml:space="preserve"> </w:t>
      </w:r>
      <w:r w:rsidRPr="00986CB4">
        <w:t>research-based evidence</w:t>
      </w:r>
      <w:r>
        <w:t xml:space="preserve"> </w:t>
      </w:r>
      <w:r w:rsidRPr="00986CB4">
        <w:t>and findings to support</w:t>
      </w:r>
      <w:r>
        <w:t xml:space="preserve"> </w:t>
      </w:r>
      <w:r w:rsidRPr="00986CB4">
        <w:t>policy development in</w:t>
      </w:r>
      <w:r>
        <w:t xml:space="preserve"> </w:t>
      </w:r>
      <w:r w:rsidRPr="00986CB4">
        <w:t>areas of importance to</w:t>
      </w:r>
      <w:r>
        <w:t xml:space="preserve"> </w:t>
      </w:r>
      <w:r w:rsidRPr="00986CB4">
        <w:t>Australia’s future.</w:t>
      </w:r>
    </w:p>
    <w:p w14:paraId="324A164C" w14:textId="112C298B" w:rsidR="00986CB4" w:rsidRDefault="00986CB4" w:rsidP="00E443E3">
      <w:pPr>
        <w:pStyle w:val="BodyText"/>
      </w:pPr>
      <w:r>
        <w:t>A</w:t>
      </w:r>
      <w:r w:rsidRPr="00197D69">
        <w:t xml:space="preserve"> study of shale gas in Australia which looks at: resources, technology, monitoring, infrastructure, human and environmental impacts, issues communication, regulatory systems, economic impacts, lessons learned from the coal seam gas industry, and impacts on greenhouse gas reduction targets</w:t>
      </w:r>
    </w:p>
    <w:p w14:paraId="37AE68E0" w14:textId="19291619" w:rsidR="00197D69" w:rsidRDefault="00197D69" w:rsidP="00B65D6D">
      <w:pPr>
        <w:pStyle w:val="Heading4notnumbered"/>
      </w:pPr>
      <w:r>
        <w:t>Study area</w:t>
      </w:r>
    </w:p>
    <w:p w14:paraId="58416F95" w14:textId="7A2E4EFD" w:rsidR="00986CB4" w:rsidRPr="00986CB4" w:rsidRDefault="00986CB4" w:rsidP="00986CB4">
      <w:pPr>
        <w:pStyle w:val="BodyText"/>
      </w:pPr>
      <w:r>
        <w:t>Australia</w:t>
      </w:r>
    </w:p>
    <w:p w14:paraId="6FEC3960" w14:textId="64ECF363" w:rsidR="00197D69" w:rsidRDefault="00197D69" w:rsidP="00B65D6D">
      <w:pPr>
        <w:pStyle w:val="Heading4notnumbered"/>
      </w:pPr>
      <w:r>
        <w:t>Authors</w:t>
      </w:r>
    </w:p>
    <w:p w14:paraId="7141F6F3" w14:textId="035C86D7" w:rsidR="00986CB4" w:rsidRPr="00986CB4" w:rsidRDefault="00986CB4" w:rsidP="00986CB4">
      <w:pPr>
        <w:pStyle w:val="BodyText"/>
      </w:pPr>
      <w:r>
        <w:t xml:space="preserve">Peter Cook (Chair), Vaughan Beck, David Brereton, Robert Clark, Brian Fisher, Sandra Kentish, John Toomey, John Williams </w:t>
      </w:r>
    </w:p>
    <w:p w14:paraId="4FF82365" w14:textId="1B95829D" w:rsidR="00197D69" w:rsidRDefault="00197D69" w:rsidP="00B65D6D">
      <w:pPr>
        <w:pStyle w:val="Heading4notnumbered"/>
      </w:pPr>
      <w:r>
        <w:t>Focus</w:t>
      </w:r>
    </w:p>
    <w:p w14:paraId="51C08658" w14:textId="2907FD15" w:rsidR="00986CB4" w:rsidRPr="00986CB4" w:rsidRDefault="00986CB4" w:rsidP="00986CB4">
      <w:pPr>
        <w:pStyle w:val="BodyText"/>
      </w:pPr>
      <w:r>
        <w:t>R</w:t>
      </w:r>
      <w:r w:rsidRPr="00986CB4">
        <w:t>eview focused on shale gas which could potentially fill knowledge gaps, identify and consider community concerns; and address both the opportunities and the challenges that might arise from shale gas.</w:t>
      </w:r>
    </w:p>
    <w:p w14:paraId="0C4A0978" w14:textId="77777777" w:rsidR="00236399" w:rsidRPr="00822417" w:rsidRDefault="00236399" w:rsidP="00236399">
      <w:pPr>
        <w:pStyle w:val="Heading4notnumbered"/>
      </w:pPr>
      <w:r>
        <w:t xml:space="preserve">Key findings </w:t>
      </w:r>
    </w:p>
    <w:p w14:paraId="28D2AE3C" w14:textId="2A32CFEC" w:rsidR="00FB62FE" w:rsidRPr="005A442F" w:rsidRDefault="00D807F9" w:rsidP="00122C47">
      <w:pPr>
        <w:pStyle w:val="BodyText"/>
      </w:pPr>
      <w:r w:rsidRPr="005A442F">
        <w:t xml:space="preserve">Because of the </w:t>
      </w:r>
      <w:r w:rsidR="00E443E3" w:rsidRPr="005A442F">
        <w:t>way</w:t>
      </w:r>
      <w:r w:rsidRPr="005A442F">
        <w:t xml:space="preserve"> shale gas is produced it has the potential to impact on the landscape, on ecosystems, on surface and groundwater, on the atmosphere, on communities, and rarely may result in minor induced seismicity. </w:t>
      </w:r>
      <w:r w:rsidR="00E443E3" w:rsidRPr="005A442F">
        <w:t>Many</w:t>
      </w:r>
      <w:r w:rsidRPr="005A442F">
        <w:t xml:space="preserve"> impacts are possible, but the likelihood of many of them occurring is low and where they do occur, other than in the case of some biodiversity impacts, there are generally remedial steps that can be taken</w:t>
      </w:r>
      <w:r w:rsidR="00EC655F" w:rsidRPr="005A442F">
        <w:t xml:space="preserve">. </w:t>
      </w:r>
      <w:r w:rsidRPr="005A442F">
        <w:t xml:space="preserve">However, most can be minimised where an effective regulatory system and best monitoring practice are in place and can be remediated where they do occur. </w:t>
      </w:r>
      <w:r w:rsidR="004251E2" w:rsidRPr="005A442F">
        <w:t xml:space="preserve">If preferential pathways (e.g. faults) are stimulated from the hydraulic fracturing process, travel time for contaminants to reach the surface can be reduced by 1-2 orders of magnitude </w:t>
      </w:r>
      <w:r w:rsidR="004251E2" w:rsidRPr="005A442F">
        <w:fldChar w:fldCharType="begin" w:fldLock="1"/>
      </w:r>
      <w:r w:rsidR="00A71174" w:rsidRPr="005A442F">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id":"ITEM-2","itemData":{"author":[{"dropping-particle":"","family":"Frogtech","given":"","non-dropping-particle":"","parse-names":false,"suffix":""}],"id":"ITEM-2","issue":"January","issued":{"date-parts":[["2013"]]},"number-of-pages":"50","title":"Potential Geological Risks Associated with Shale Gas Production in Australia. Prepared for the Australian Council of Learned Academies.","type":"report"},"uris":["http://www.mendeley.com/documents/?uuid=f784077c-250b-4c2d-96a8-c84dec771403"]}],"mendeley":{"formattedCitation":"(Myers, 2012; Frogtech, 2013)","plainTextFormattedCitation":"(Myers, 2012; Frogtech, 2013)","previouslyFormattedCitation":"(Myers, 2012; Frogtech, 2013)"},"properties":{"noteIndex":0},"schema":"https://github.com/citation-style-language/schema/raw/master/csl-citation.json"}</w:instrText>
      </w:r>
      <w:r w:rsidR="004251E2" w:rsidRPr="005A442F">
        <w:fldChar w:fldCharType="separate"/>
      </w:r>
      <w:r w:rsidR="004251E2" w:rsidRPr="005A442F">
        <w:rPr>
          <w:noProof/>
        </w:rPr>
        <w:t>(Myers, 2012; Frogtech, 2013)</w:t>
      </w:r>
      <w:r w:rsidR="004251E2" w:rsidRPr="005A442F">
        <w:fldChar w:fldCharType="end"/>
      </w:r>
      <w:r w:rsidR="004251E2" w:rsidRPr="005A442F">
        <w:t>.</w:t>
      </w:r>
    </w:p>
    <w:p w14:paraId="7B0D5CF7" w14:textId="065719BB" w:rsidR="00CF6956" w:rsidRPr="005A442F" w:rsidRDefault="00374905" w:rsidP="00D807F9">
      <w:pPr>
        <w:pStyle w:val="BodyText"/>
      </w:pPr>
      <w:r w:rsidRPr="005A442F">
        <w:t>Under normal conditions, risks of consequences from shale gas production to groundwater ecology and groundwater dependent ecosystems are low to moderate, although uncertainty about groundwater impacts is high largely because of lack of detailed information on deep stratigraphy, faults, discontinuities, stress distribution and lack of understanding of deep hydrogeological processes. Most gas wells can be expected to pass through aquifers ranging from freshwater to saline and at depths ranging from very near surface (tens of metres) to deep (hundreds to thousands of metres), and are subject to well integrity regulation.</w:t>
      </w:r>
    </w:p>
    <w:p w14:paraId="6551277F" w14:textId="61094524" w:rsidR="00EC655F" w:rsidRPr="005A442F" w:rsidRDefault="00374905" w:rsidP="00D807F9">
      <w:pPr>
        <w:pStyle w:val="BodyText"/>
      </w:pPr>
      <w:r w:rsidRPr="005A442F">
        <w:t>Australian basins such as the Cooper-Eromanga Basin, in addition to surface aquifers, shale gas wells (like conventional gas wells) pass through deep aquifers of the Great Artesian Basin. To minimise the risk to this vital groundwater resource, best practice should be adopted in both well integrity and the use of sensing technology to monitor the hydraulic fracturing process, particularly when there is any potential for extended vertical growth of fractures.</w:t>
      </w:r>
    </w:p>
    <w:p w14:paraId="6FBD488D"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794F3F70" w14:textId="5D5BD519" w:rsidR="00273D75" w:rsidRPr="00273D75" w:rsidRDefault="00273D75" w:rsidP="00675B34">
      <w:pPr>
        <w:pStyle w:val="BodyText"/>
      </w:pPr>
      <w:r>
        <w:t xml:space="preserve">A qualitative review of the findings from </w:t>
      </w:r>
      <w:r w:rsidRPr="000820D5">
        <w:t>Cook et al. (2013)</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_Ref14707877 \h </w:instrText>
      </w:r>
      <w:r w:rsidR="005A442F" w:rsidRPr="005A442F">
        <w:instrText xml:space="preserve"> \* MERGEFORMAT </w:instrText>
      </w:r>
      <w:r w:rsidRPr="005A442F">
        <w:fldChar w:fldCharType="separate"/>
      </w:r>
      <w:r w:rsidR="00073927">
        <w:t>Table 8</w:t>
      </w:r>
      <w:r w:rsidRPr="005A442F">
        <w:fldChar w:fldCharType="end"/>
      </w:r>
      <w:r>
        <w:t xml:space="preserve">. </w:t>
      </w:r>
    </w:p>
    <w:p w14:paraId="5C9D94DD" w14:textId="10BDB4AF" w:rsidR="003109A0" w:rsidRDefault="003109A0" w:rsidP="003109A0">
      <w:pPr>
        <w:pStyle w:val="Caption"/>
      </w:pPr>
      <w:bookmarkStart w:id="70" w:name="_Ref14707877"/>
      <w:bookmarkStart w:id="71" w:name="_Ref14698630"/>
      <w:bookmarkStart w:id="72" w:name="_Toc36042891"/>
      <w:r>
        <w:t xml:space="preserve">Table </w:t>
      </w:r>
      <w:r>
        <w:fldChar w:fldCharType="begin"/>
      </w:r>
      <w:r>
        <w:instrText>SEQ Table \* ARABIC</w:instrText>
      </w:r>
      <w:r>
        <w:fldChar w:fldCharType="separate"/>
      </w:r>
      <w:r w:rsidR="00073927">
        <w:rPr>
          <w:noProof/>
        </w:rPr>
        <w:t>8</w:t>
      </w:r>
      <w:r>
        <w:fldChar w:fldCharType="end"/>
      </w:r>
      <w:bookmarkEnd w:id="70"/>
      <w:r>
        <w:t xml:space="preserve"> </w:t>
      </w:r>
      <w:r w:rsidRPr="003109A0">
        <w:t xml:space="preserve">Excerpts from Cook et al. </w:t>
      </w:r>
      <w:r>
        <w:t>(</w:t>
      </w:r>
      <w:r w:rsidRPr="003109A0">
        <w:t>2013)</w:t>
      </w:r>
      <w:r>
        <w:t xml:space="preserve"> </w:t>
      </w:r>
      <w:r w:rsidRPr="003109A0">
        <w:t>related to each impact mode</w:t>
      </w:r>
      <w:bookmarkEnd w:id="71"/>
      <w:bookmarkEnd w:id="72"/>
    </w:p>
    <w:tbl>
      <w:tblPr>
        <w:tblStyle w:val="TableBAHeaderRow"/>
        <w:tblpPr w:leftFromText="180" w:rightFromText="180" w:vertAnchor="text" w:tblpY="1"/>
        <w:tblOverlap w:val="never"/>
        <w:tblW w:w="9776" w:type="dxa"/>
        <w:tblInd w:w="0" w:type="dxa"/>
        <w:tblLook w:val="04A0" w:firstRow="1" w:lastRow="0" w:firstColumn="1" w:lastColumn="0" w:noHBand="0" w:noVBand="1"/>
      </w:tblPr>
      <w:tblGrid>
        <w:gridCol w:w="444"/>
        <w:gridCol w:w="1953"/>
        <w:gridCol w:w="973"/>
        <w:gridCol w:w="6406"/>
      </w:tblGrid>
      <w:tr w:rsidR="0073177A" w14:paraId="3D1F54C4" w14:textId="77777777" w:rsidTr="0073177A">
        <w:trPr>
          <w:cnfStyle w:val="100000000000" w:firstRow="1" w:lastRow="0" w:firstColumn="0" w:lastColumn="0" w:oddVBand="0" w:evenVBand="0" w:oddHBand="0" w:evenHBand="0" w:firstRowFirstColumn="0" w:firstRowLastColumn="0" w:lastRowFirstColumn="0" w:lastRowLastColumn="0"/>
        </w:trPr>
        <w:tc>
          <w:tcPr>
            <w:tcW w:w="0" w:type="auto"/>
          </w:tcPr>
          <w:p w14:paraId="35730758" w14:textId="77777777" w:rsidR="0073177A" w:rsidRPr="00DD07F6" w:rsidRDefault="0073177A" w:rsidP="001600C7">
            <w:pPr>
              <w:pStyle w:val="TableHeading"/>
            </w:pPr>
            <w:bookmarkStart w:id="73" w:name="_Hlk14698851"/>
          </w:p>
        </w:tc>
        <w:tc>
          <w:tcPr>
            <w:tcW w:w="0" w:type="auto"/>
          </w:tcPr>
          <w:p w14:paraId="18ED82C1" w14:textId="705B6975" w:rsidR="0073177A" w:rsidRDefault="0073177A" w:rsidP="00E70BF2">
            <w:pPr>
              <w:pStyle w:val="TableText"/>
            </w:pPr>
            <w:r>
              <w:t>Impact Mode</w:t>
            </w:r>
          </w:p>
        </w:tc>
        <w:tc>
          <w:tcPr>
            <w:tcW w:w="973" w:type="dxa"/>
          </w:tcPr>
          <w:p w14:paraId="6ABDDA09" w14:textId="35BEE2E5" w:rsidR="0073177A" w:rsidRDefault="0073177A" w:rsidP="00E70BF2">
            <w:pPr>
              <w:pStyle w:val="TableText"/>
            </w:pPr>
            <w:r>
              <w:t>Likelihood score</w:t>
            </w:r>
          </w:p>
        </w:tc>
        <w:tc>
          <w:tcPr>
            <w:tcW w:w="6406" w:type="dxa"/>
          </w:tcPr>
          <w:p w14:paraId="106286C1" w14:textId="6DD6BFB3" w:rsidR="0073177A" w:rsidRDefault="0073177A" w:rsidP="00E70BF2">
            <w:pPr>
              <w:pStyle w:val="TableText"/>
            </w:pPr>
            <w:r w:rsidRPr="00122C47">
              <w:t>Key excerpts from: Engineering Energy: Unconventional Gas Production. Report for the Australian Council of Learned Academics (Cook et al., 2013)</w:t>
            </w:r>
          </w:p>
        </w:tc>
      </w:tr>
      <w:tr w:rsidR="0024219A" w:rsidRPr="00A8172F" w14:paraId="06E70656" w14:textId="77777777" w:rsidTr="0078111C">
        <w:trPr>
          <w:cnfStyle w:val="000000100000" w:firstRow="0" w:lastRow="0" w:firstColumn="0" w:lastColumn="0" w:oddVBand="0" w:evenVBand="0" w:oddHBand="1" w:evenHBand="0" w:firstRowFirstColumn="0" w:firstRowLastColumn="0" w:lastRowFirstColumn="0" w:lastRowLastColumn="0"/>
        </w:trPr>
        <w:tc>
          <w:tcPr>
            <w:tcW w:w="9776" w:type="dxa"/>
            <w:gridSpan w:val="4"/>
          </w:tcPr>
          <w:p w14:paraId="6E86AD54" w14:textId="16441AF8" w:rsidR="0024219A" w:rsidRDefault="0024219A" w:rsidP="0045301B">
            <w:pPr>
              <w:pStyle w:val="TableTextCentred"/>
              <w:keepLines/>
              <w:spacing w:before="0" w:after="0" w:line="240" w:lineRule="auto"/>
              <w:jc w:val="left"/>
            </w:pPr>
            <w:r w:rsidRPr="7DE8E393">
              <w:rPr>
                <w:b/>
                <w:bCs/>
              </w:rPr>
              <w:t>Hydraulic fracture growth</w:t>
            </w:r>
          </w:p>
        </w:tc>
      </w:tr>
      <w:tr w:rsidR="0073177A" w:rsidRPr="00A8172F" w14:paraId="45F079D0"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67EAD4AD" w14:textId="77777777" w:rsidR="0073177A" w:rsidRPr="00EA63C0" w:rsidRDefault="0073177A" w:rsidP="0045301B">
            <w:pPr>
              <w:pStyle w:val="TableText"/>
              <w:keepLines/>
              <w:spacing w:before="0" w:after="0" w:line="240" w:lineRule="auto"/>
            </w:pPr>
            <w:r>
              <w:t>F.1</w:t>
            </w:r>
          </w:p>
        </w:tc>
        <w:tc>
          <w:tcPr>
            <w:tcW w:w="0" w:type="auto"/>
          </w:tcPr>
          <w:p w14:paraId="36EDDCF8" w14:textId="77777777" w:rsidR="0073177A" w:rsidRPr="00A8172F" w:rsidRDefault="0073177A" w:rsidP="0045301B">
            <w:pPr>
              <w:pStyle w:val="TableTextCentred"/>
              <w:keepLines/>
              <w:spacing w:before="0" w:after="0" w:line="240" w:lineRule="auto"/>
              <w:jc w:val="left"/>
            </w:pPr>
            <w:r>
              <w:t>Hydraulic fracture growth into aquifer</w:t>
            </w:r>
          </w:p>
        </w:tc>
        <w:tc>
          <w:tcPr>
            <w:tcW w:w="973" w:type="dxa"/>
          </w:tcPr>
          <w:p w14:paraId="5E42F40D" w14:textId="7149C58F" w:rsidR="0073177A" w:rsidRDefault="0073177A" w:rsidP="0045301B">
            <w:pPr>
              <w:pStyle w:val="TableTextCentred"/>
              <w:keepLines/>
              <w:spacing w:before="0" w:after="0" w:line="240" w:lineRule="auto"/>
              <w:jc w:val="left"/>
            </w:pPr>
            <w:r>
              <w:t>Unlikely</w:t>
            </w:r>
          </w:p>
        </w:tc>
        <w:tc>
          <w:tcPr>
            <w:tcW w:w="6406" w:type="dxa"/>
          </w:tcPr>
          <w:p w14:paraId="52B210F2" w14:textId="36506386" w:rsidR="0073177A" w:rsidRDefault="0073177A" w:rsidP="0045301B">
            <w:pPr>
              <w:pStyle w:val="BodyText"/>
              <w:keepLines/>
            </w:pPr>
            <w:r>
              <w:t>“In important Australian basins such as the Cooper-Eromanga Basin, in addition to surface aquifers, shale gas wells (like conventional gas wells) pass through deep aquifers of the Great Artesian Basin. To minimise the risk to this vital groundwater resource, best practice should be adopted in both well integrity and the use of</w:t>
            </w:r>
            <w:r w:rsidR="00DE18CD">
              <w:t xml:space="preserve"> </w:t>
            </w:r>
            <w:bookmarkStart w:id="74" w:name="_Hlk16672442"/>
            <w:r w:rsidR="00DE18CD">
              <w:t>[remote]</w:t>
            </w:r>
            <w:bookmarkEnd w:id="74"/>
            <w:r>
              <w:t xml:space="preserve"> sensing technology to accurately and closely monitor the hydraulic fracturing process, particularly the potential for extended vertical growth of fractures.” p25</w:t>
            </w:r>
          </w:p>
          <w:p w14:paraId="327EBC8D" w14:textId="77777777" w:rsidR="0073177A" w:rsidRDefault="0073177A" w:rsidP="0045301B">
            <w:pPr>
              <w:pStyle w:val="BodyText"/>
              <w:keepLines/>
            </w:pPr>
          </w:p>
          <w:p w14:paraId="6C934192" w14:textId="03A210C2" w:rsidR="0073177A" w:rsidRDefault="0073177A" w:rsidP="0045301B">
            <w:pPr>
              <w:pStyle w:val="BodyText"/>
              <w:keepLines/>
            </w:pPr>
            <w:r>
              <w:t>“…it is difficult to propagate a fracture further than a few tens of metres, other than where a transmissive fault is intersected.” p125</w:t>
            </w:r>
          </w:p>
          <w:p w14:paraId="7CA417E8" w14:textId="77777777" w:rsidR="0073177A" w:rsidRDefault="0073177A" w:rsidP="0045301B">
            <w:pPr>
              <w:pStyle w:val="BodyText"/>
              <w:keepLines/>
            </w:pPr>
          </w:p>
          <w:p w14:paraId="2543B10E" w14:textId="36603840" w:rsidR="0073177A" w:rsidRDefault="0073177A" w:rsidP="0045301B">
            <w:pPr>
              <w:pStyle w:val="BodyText"/>
              <w:keepLines/>
            </w:pPr>
            <w:r>
              <w:t>“Microseismic monitoring of shale gas operations will not provide the location or transmissibility of all fractures.” p135</w:t>
            </w:r>
          </w:p>
        </w:tc>
      </w:tr>
      <w:tr w:rsidR="0073177A" w14:paraId="4D1EE7A1"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357DF562" w14:textId="77777777" w:rsidR="0073177A" w:rsidRDefault="0073177A" w:rsidP="0045301B">
            <w:pPr>
              <w:pStyle w:val="TableText"/>
              <w:keepLines/>
              <w:spacing w:before="0" w:after="0" w:line="240" w:lineRule="auto"/>
            </w:pPr>
            <w:r>
              <w:t>F.2</w:t>
            </w:r>
          </w:p>
        </w:tc>
        <w:tc>
          <w:tcPr>
            <w:tcW w:w="0" w:type="auto"/>
          </w:tcPr>
          <w:p w14:paraId="3C3B7BC1" w14:textId="77777777" w:rsidR="0073177A" w:rsidRDefault="0073177A" w:rsidP="0045301B">
            <w:pPr>
              <w:pStyle w:val="TableTextCentred"/>
              <w:keepLines/>
              <w:spacing w:before="0" w:after="0" w:line="240" w:lineRule="auto"/>
              <w:jc w:val="left"/>
            </w:pPr>
            <w:r>
              <w:t>Hydraulic fracture growth into well</w:t>
            </w:r>
          </w:p>
        </w:tc>
        <w:tc>
          <w:tcPr>
            <w:tcW w:w="973" w:type="dxa"/>
          </w:tcPr>
          <w:p w14:paraId="51077C12" w14:textId="1A904089" w:rsidR="0073177A" w:rsidRDefault="0073177A" w:rsidP="0045301B">
            <w:pPr>
              <w:pStyle w:val="TableTextCentred"/>
              <w:keepLines/>
              <w:spacing w:before="0" w:after="0" w:line="240" w:lineRule="auto"/>
              <w:jc w:val="left"/>
            </w:pPr>
            <w:r>
              <w:t>Not assessed</w:t>
            </w:r>
          </w:p>
        </w:tc>
        <w:tc>
          <w:tcPr>
            <w:tcW w:w="6406" w:type="dxa"/>
          </w:tcPr>
          <w:p w14:paraId="272F9A07" w14:textId="4BBD4CB2" w:rsidR="0073177A" w:rsidRDefault="0073177A" w:rsidP="0045301B">
            <w:pPr>
              <w:pStyle w:val="BodyText"/>
              <w:keepLines/>
            </w:pPr>
          </w:p>
        </w:tc>
      </w:tr>
      <w:tr w:rsidR="0073177A" w14:paraId="6D058D80"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35A8E1F5" w14:textId="77777777" w:rsidR="0073177A" w:rsidRDefault="0073177A" w:rsidP="0045301B">
            <w:pPr>
              <w:pStyle w:val="TableText"/>
              <w:keepLines/>
              <w:spacing w:before="0" w:after="0" w:line="240" w:lineRule="auto"/>
            </w:pPr>
            <w:r>
              <w:t>F.3</w:t>
            </w:r>
          </w:p>
        </w:tc>
        <w:tc>
          <w:tcPr>
            <w:tcW w:w="0" w:type="auto"/>
          </w:tcPr>
          <w:p w14:paraId="2AF13F02" w14:textId="77777777" w:rsidR="0073177A" w:rsidRDefault="0073177A" w:rsidP="0045301B">
            <w:pPr>
              <w:pStyle w:val="TableTextCentred"/>
              <w:keepLines/>
              <w:spacing w:before="0" w:after="0" w:line="240" w:lineRule="auto"/>
              <w:jc w:val="left"/>
            </w:pPr>
            <w:r>
              <w:t>Hydraulic fracture growth into fault</w:t>
            </w:r>
          </w:p>
        </w:tc>
        <w:tc>
          <w:tcPr>
            <w:tcW w:w="973" w:type="dxa"/>
          </w:tcPr>
          <w:p w14:paraId="040B02C0" w14:textId="025C7215" w:rsidR="0073177A" w:rsidRDefault="0073177A" w:rsidP="0045301B">
            <w:pPr>
              <w:pStyle w:val="TableTextCentred"/>
              <w:keepLines/>
              <w:spacing w:before="0" w:after="0" w:line="240" w:lineRule="auto"/>
              <w:jc w:val="left"/>
            </w:pPr>
            <w:r>
              <w:t>Unlikely</w:t>
            </w:r>
          </w:p>
        </w:tc>
        <w:tc>
          <w:tcPr>
            <w:tcW w:w="6406" w:type="dxa"/>
          </w:tcPr>
          <w:p w14:paraId="6A077F88" w14:textId="6E5F224B" w:rsidR="0073177A" w:rsidRDefault="0073177A" w:rsidP="0045301B">
            <w:pPr>
              <w:pStyle w:val="BodyText"/>
              <w:keepLines/>
            </w:pPr>
            <w:r>
              <w:t>“These few events have been linked to the intersection of active fault structures by hydraulic fractures. Best practice mitigation involves the identification and characterisation of local fault structures, avoidance of fracture stimulation in the vicinity of active faults, real-time monitoring and control of fracture growth through available sensing technologies and the establishment of ‘cease-operation’ triggers based on prescribed measured seismicity levels. Such best practice approaches will need to be utilised in Australia.” p25</w:t>
            </w:r>
          </w:p>
          <w:p w14:paraId="5982EB2A" w14:textId="77777777" w:rsidR="0073177A" w:rsidRDefault="0073177A" w:rsidP="0045301B">
            <w:pPr>
              <w:pStyle w:val="BodyText"/>
              <w:keepLines/>
            </w:pPr>
          </w:p>
          <w:p w14:paraId="58B55A1F" w14:textId="65236F43" w:rsidR="0073177A" w:rsidRDefault="0073177A" w:rsidP="0045301B">
            <w:pPr>
              <w:pStyle w:val="BodyText"/>
              <w:keepLines/>
            </w:pPr>
            <w:r>
              <w:t>“Faults can connect deep shale reservoirs to aquifers and the intersection of faults by high pressure fluid from either hydraulic fracturing, or the disposal of large volumes of produced water from shale gas plays via deep injection in wastewater wells requires caution with regard to aquifer contamination and induced seismicity, respectively.” p61</w:t>
            </w:r>
          </w:p>
          <w:p w14:paraId="02FA1A96" w14:textId="77777777" w:rsidR="0073177A" w:rsidRDefault="0073177A" w:rsidP="0045301B">
            <w:pPr>
              <w:pStyle w:val="BodyText"/>
              <w:keepLines/>
            </w:pPr>
          </w:p>
          <w:p w14:paraId="4BD163A1" w14:textId="6239EEE6" w:rsidR="0073177A" w:rsidRDefault="0073177A" w:rsidP="0045301B">
            <w:pPr>
              <w:pStyle w:val="BodyText"/>
              <w:keepLines/>
            </w:pPr>
            <w:r>
              <w:t>“There may also be a risk of propagating fractures towards the aquifers of the GAB along pre-existing faults (Report to this Review Cooke, 2013) though it is difficult to propagate a fracture further than a few tens of metres, other than where a transmissive fault is intersected.” p125</w:t>
            </w:r>
          </w:p>
        </w:tc>
      </w:tr>
      <w:tr w:rsidR="0024219A" w:rsidRPr="00A8172F" w14:paraId="478DBF1F" w14:textId="77777777" w:rsidTr="0078111C">
        <w:trPr>
          <w:cnfStyle w:val="000000100000" w:firstRow="0" w:lastRow="0" w:firstColumn="0" w:lastColumn="0" w:oddVBand="0" w:evenVBand="0" w:oddHBand="1" w:evenHBand="0" w:firstRowFirstColumn="0" w:firstRowLastColumn="0" w:lastRowFirstColumn="0" w:lastRowLastColumn="0"/>
        </w:trPr>
        <w:tc>
          <w:tcPr>
            <w:tcW w:w="9776" w:type="dxa"/>
            <w:gridSpan w:val="4"/>
          </w:tcPr>
          <w:p w14:paraId="59955740" w14:textId="108345FB" w:rsidR="0024219A" w:rsidRDefault="0024219A" w:rsidP="0045301B">
            <w:pPr>
              <w:pStyle w:val="BodyText"/>
              <w:keepLines/>
            </w:pPr>
            <w:r w:rsidRPr="00D646E6">
              <w:rPr>
                <w:b/>
                <w:bCs/>
              </w:rPr>
              <w:t>Compromised well integrity</w:t>
            </w:r>
          </w:p>
        </w:tc>
      </w:tr>
      <w:tr w:rsidR="0073177A" w:rsidRPr="00A8172F" w14:paraId="48CE7394"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23E9EB2B" w14:textId="77777777" w:rsidR="0073177A" w:rsidRPr="00EA63C0" w:rsidRDefault="0073177A" w:rsidP="0045301B">
            <w:pPr>
              <w:pStyle w:val="TableText"/>
              <w:keepLines/>
              <w:spacing w:before="0" w:after="0" w:line="240" w:lineRule="auto"/>
            </w:pPr>
            <w:r>
              <w:t>W.1</w:t>
            </w:r>
          </w:p>
        </w:tc>
        <w:tc>
          <w:tcPr>
            <w:tcW w:w="0" w:type="auto"/>
          </w:tcPr>
          <w:p w14:paraId="5FEFA178" w14:textId="77777777" w:rsidR="0073177A" w:rsidRPr="00A8172F" w:rsidRDefault="0073177A" w:rsidP="0045301B">
            <w:pPr>
              <w:pStyle w:val="TableTextCentred"/>
              <w:keepLines/>
              <w:spacing w:before="0" w:after="0" w:line="240" w:lineRule="auto"/>
              <w:jc w:val="left"/>
            </w:pPr>
            <w:r>
              <w:t xml:space="preserve">Well rupture or failure across barriers </w:t>
            </w:r>
          </w:p>
        </w:tc>
        <w:tc>
          <w:tcPr>
            <w:tcW w:w="973" w:type="dxa"/>
          </w:tcPr>
          <w:p w14:paraId="07125210" w14:textId="4FC00A52" w:rsidR="0073177A" w:rsidRDefault="0073177A" w:rsidP="0045301B">
            <w:pPr>
              <w:pStyle w:val="TableTextCentred"/>
              <w:keepLines/>
              <w:spacing w:before="0" w:after="0" w:line="240" w:lineRule="auto"/>
              <w:jc w:val="left"/>
            </w:pPr>
            <w:r>
              <w:t>Rare</w:t>
            </w:r>
          </w:p>
        </w:tc>
        <w:tc>
          <w:tcPr>
            <w:tcW w:w="6406" w:type="dxa"/>
          </w:tcPr>
          <w:p w14:paraId="245C36F9" w14:textId="777A8DA8" w:rsidR="0073177A" w:rsidRDefault="0073177A" w:rsidP="0045301B">
            <w:pPr>
              <w:pStyle w:val="BodyText"/>
              <w:keepLines/>
            </w:pPr>
            <w:r>
              <w:t>“Contamination can also potentially occur via leakage from a borehole into a freshwater aquifer, due to borehole failure, particularly from abandoned bores, or (though less likely) from an incorrect hydraulic fracturing operation.” p16</w:t>
            </w:r>
          </w:p>
          <w:p w14:paraId="310656AF" w14:textId="77777777" w:rsidR="0073177A" w:rsidRDefault="0073177A" w:rsidP="0045301B">
            <w:pPr>
              <w:pStyle w:val="BodyText"/>
              <w:keepLines/>
            </w:pPr>
          </w:p>
          <w:p w14:paraId="57C3BF23" w14:textId="3522D4EB" w:rsidR="0073177A" w:rsidRDefault="0073177A" w:rsidP="0045301B">
            <w:pPr>
              <w:pStyle w:val="BodyText"/>
              <w:keepLines/>
            </w:pPr>
            <w:r>
              <w:t>“These are unlikely to occur if best practice is followed, but regulations need to be in place and enforced, to help to ensure this.” p16</w:t>
            </w:r>
          </w:p>
          <w:p w14:paraId="11548F79" w14:textId="77777777" w:rsidR="0073177A" w:rsidRDefault="0073177A" w:rsidP="0045301B">
            <w:pPr>
              <w:pStyle w:val="BodyText"/>
              <w:keepLines/>
            </w:pPr>
          </w:p>
          <w:p w14:paraId="7DD542A9" w14:textId="5BBA9AEE" w:rsidR="0073177A" w:rsidRDefault="0073177A" w:rsidP="0045301B">
            <w:pPr>
              <w:pStyle w:val="BodyText"/>
              <w:keepLines/>
            </w:pPr>
            <w:r>
              <w:t>“Contamination of freshwater aquifers can occur due to accidental leakage of brines or chemically-modified fluids during shale gas drilling or production; through well failure; via leakage along faults; or by diffusion through over-pressured seals.” p24</w:t>
            </w:r>
          </w:p>
          <w:p w14:paraId="041AE504" w14:textId="160288A4" w:rsidR="0073177A" w:rsidRDefault="0073177A" w:rsidP="0045301B">
            <w:pPr>
              <w:pStyle w:val="BodyText"/>
              <w:keepLines/>
            </w:pPr>
          </w:p>
          <w:p w14:paraId="7A40BC76" w14:textId="64DF4F2A" w:rsidR="0073177A" w:rsidRDefault="0073177A" w:rsidP="0045301B">
            <w:pPr>
              <w:pStyle w:val="BodyText"/>
              <w:keepLines/>
            </w:pPr>
            <w:r>
              <w:t>“At the moment there appears to be a lack of comprehensive data and analysis on the matter upon which a judgement can be formulated or even an agreed definition of what constitutes a “failed” well.” p128</w:t>
            </w:r>
          </w:p>
          <w:p w14:paraId="68DAECF0" w14:textId="79567030" w:rsidR="0073177A" w:rsidRDefault="0073177A" w:rsidP="0045301B">
            <w:pPr>
              <w:pStyle w:val="BodyText"/>
              <w:keepLines/>
            </w:pPr>
          </w:p>
        </w:tc>
      </w:tr>
      <w:tr w:rsidR="0073177A" w14:paraId="55C72EC3"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3334C730" w14:textId="77777777" w:rsidR="0073177A" w:rsidRDefault="0073177A" w:rsidP="0045301B">
            <w:pPr>
              <w:pStyle w:val="TableText"/>
              <w:keepLines/>
              <w:spacing w:before="0" w:after="0" w:line="240" w:lineRule="auto"/>
            </w:pPr>
            <w:r>
              <w:t>W.2</w:t>
            </w:r>
          </w:p>
        </w:tc>
        <w:tc>
          <w:tcPr>
            <w:tcW w:w="0" w:type="auto"/>
          </w:tcPr>
          <w:p w14:paraId="0ACA4ECA" w14:textId="77777777" w:rsidR="0073177A" w:rsidRDefault="0073177A" w:rsidP="0045301B">
            <w:pPr>
              <w:pStyle w:val="TableTextCentred"/>
              <w:keepLines/>
              <w:spacing w:before="0" w:after="0" w:line="240" w:lineRule="auto"/>
              <w:jc w:val="left"/>
            </w:pPr>
            <w:r>
              <w:t>Migration along casing from reservoir</w:t>
            </w:r>
          </w:p>
        </w:tc>
        <w:tc>
          <w:tcPr>
            <w:tcW w:w="973" w:type="dxa"/>
          </w:tcPr>
          <w:p w14:paraId="0E3D4067" w14:textId="4263859D" w:rsidR="0073177A" w:rsidRDefault="0073177A" w:rsidP="0045301B">
            <w:pPr>
              <w:pStyle w:val="TableTextCentred"/>
              <w:keepLines/>
              <w:spacing w:before="0" w:after="0" w:line="240" w:lineRule="auto"/>
              <w:jc w:val="left"/>
            </w:pPr>
            <w:r>
              <w:t>Not assessed</w:t>
            </w:r>
          </w:p>
        </w:tc>
        <w:tc>
          <w:tcPr>
            <w:tcW w:w="6406" w:type="dxa"/>
          </w:tcPr>
          <w:p w14:paraId="49E35B7C" w14:textId="2BFA1BCF" w:rsidR="0073177A" w:rsidRDefault="0073177A" w:rsidP="0045301B">
            <w:pPr>
              <w:pStyle w:val="BodyText"/>
              <w:keepLines/>
            </w:pPr>
            <w:r>
              <w:t>“As a summary, the key risks relate to on-site spills and well integrity issues induced by the hydraulic fracturing process, with the highest frequency risk being emissions of methane.” p61</w:t>
            </w:r>
          </w:p>
          <w:p w14:paraId="3B65D3FE" w14:textId="77777777" w:rsidR="0073177A" w:rsidRDefault="0073177A" w:rsidP="0045301B">
            <w:pPr>
              <w:pStyle w:val="BodyText"/>
              <w:keepLines/>
            </w:pPr>
          </w:p>
          <w:p w14:paraId="5EDC588D" w14:textId="75F267AE" w:rsidR="0073177A" w:rsidRDefault="0073177A" w:rsidP="0045301B">
            <w:pPr>
              <w:pStyle w:val="BodyText"/>
              <w:keepLines/>
            </w:pPr>
            <w:r>
              <w:t>“There is also a need to research the applicability of emerging techniques such as fibre optics to long term downhole monitoring of well integrity.” p181</w:t>
            </w:r>
          </w:p>
        </w:tc>
      </w:tr>
      <w:tr w:rsidR="0073177A" w14:paraId="62AF6BA5"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5559D617" w14:textId="77777777" w:rsidR="0073177A" w:rsidRDefault="0073177A" w:rsidP="0045301B">
            <w:pPr>
              <w:pStyle w:val="TableText"/>
              <w:keepLines/>
              <w:spacing w:before="0" w:after="0" w:line="240" w:lineRule="auto"/>
            </w:pPr>
            <w:r>
              <w:t>W.3</w:t>
            </w:r>
          </w:p>
        </w:tc>
        <w:tc>
          <w:tcPr>
            <w:tcW w:w="0" w:type="auto"/>
          </w:tcPr>
          <w:p w14:paraId="727715BB" w14:textId="77777777" w:rsidR="0073177A" w:rsidRDefault="0073177A" w:rsidP="0045301B">
            <w:pPr>
              <w:pStyle w:val="TableTextCentred"/>
              <w:keepLines/>
              <w:spacing w:before="0" w:after="0" w:line="240" w:lineRule="auto"/>
              <w:jc w:val="left"/>
            </w:pPr>
            <w:r>
              <w:t>Migration along casing between rock layers</w:t>
            </w:r>
          </w:p>
        </w:tc>
        <w:tc>
          <w:tcPr>
            <w:tcW w:w="973" w:type="dxa"/>
          </w:tcPr>
          <w:p w14:paraId="5D899DEB" w14:textId="48B980B2" w:rsidR="0073177A" w:rsidRDefault="0073177A" w:rsidP="0045301B">
            <w:pPr>
              <w:pStyle w:val="TableTextCentred"/>
              <w:keepLines/>
              <w:spacing w:before="0" w:after="0" w:line="240" w:lineRule="auto"/>
              <w:jc w:val="left"/>
            </w:pPr>
            <w:r>
              <w:t>Unlikely</w:t>
            </w:r>
          </w:p>
        </w:tc>
        <w:tc>
          <w:tcPr>
            <w:tcW w:w="6406" w:type="dxa"/>
          </w:tcPr>
          <w:p w14:paraId="567C24CE" w14:textId="7D4B0180" w:rsidR="0073177A" w:rsidRDefault="0073177A" w:rsidP="0045301B">
            <w:pPr>
              <w:pStyle w:val="BodyText"/>
              <w:keepLines/>
            </w:pPr>
          </w:p>
        </w:tc>
      </w:tr>
      <w:tr w:rsidR="0073177A" w14:paraId="3F5D6114"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7EC18B34" w14:textId="77777777" w:rsidR="0073177A" w:rsidRDefault="0073177A" w:rsidP="0045301B">
            <w:pPr>
              <w:pStyle w:val="TableText"/>
              <w:keepLines/>
              <w:spacing w:before="0" w:after="0" w:line="240" w:lineRule="auto"/>
            </w:pPr>
            <w:r>
              <w:t>W.4</w:t>
            </w:r>
          </w:p>
        </w:tc>
        <w:tc>
          <w:tcPr>
            <w:tcW w:w="0" w:type="auto"/>
          </w:tcPr>
          <w:p w14:paraId="62064A2B" w14:textId="77777777" w:rsidR="0073177A" w:rsidRDefault="0073177A" w:rsidP="0045301B">
            <w:pPr>
              <w:pStyle w:val="TableTextCentred"/>
              <w:keepLines/>
              <w:spacing w:before="0" w:after="0" w:line="240" w:lineRule="auto"/>
              <w:jc w:val="left"/>
            </w:pPr>
            <w:r>
              <w:t>Migration along decommissioned / abandoned wells</w:t>
            </w:r>
          </w:p>
        </w:tc>
        <w:tc>
          <w:tcPr>
            <w:tcW w:w="973" w:type="dxa"/>
          </w:tcPr>
          <w:p w14:paraId="26582C43" w14:textId="4402328D" w:rsidR="0073177A" w:rsidRDefault="0073177A" w:rsidP="0045301B">
            <w:pPr>
              <w:pStyle w:val="TableTextCentred"/>
              <w:keepLines/>
              <w:spacing w:before="0" w:after="0" w:line="240" w:lineRule="auto"/>
              <w:jc w:val="left"/>
            </w:pPr>
            <w:r>
              <w:t>Unlikely</w:t>
            </w:r>
          </w:p>
        </w:tc>
        <w:tc>
          <w:tcPr>
            <w:tcW w:w="6406" w:type="dxa"/>
          </w:tcPr>
          <w:p w14:paraId="1070CBF3" w14:textId="77A57938" w:rsidR="0073177A" w:rsidRDefault="0073177A" w:rsidP="0045301B">
            <w:pPr>
              <w:pStyle w:val="BodyText"/>
              <w:keepLines/>
            </w:pPr>
            <w:r>
              <w:t>“There are effective regulations in place covering abandonment for conventional gas wells, but shale gas regulations will need to take account of the fact that there could be hundreds of abandoned wells, many of them penetrating major aquifers; long term monitoring will be needed.” p28</w:t>
            </w:r>
          </w:p>
          <w:p w14:paraId="2D1471B8" w14:textId="77777777" w:rsidR="0073177A" w:rsidRDefault="0073177A" w:rsidP="0045301B">
            <w:pPr>
              <w:pStyle w:val="BodyText"/>
              <w:keepLines/>
            </w:pPr>
          </w:p>
          <w:p w14:paraId="409BE388" w14:textId="5BBA0275" w:rsidR="0073177A" w:rsidRDefault="0073177A" w:rsidP="0045301B">
            <w:pPr>
              <w:pStyle w:val="BodyText"/>
              <w:keepLines/>
            </w:pPr>
            <w:r>
              <w:t>“Well abandonment is not just a regulatory issue but is also an issue that requires more research and development in areas such as the very long-term behaviour of cements and extended monitoring under hostile subsurface conditions.” p29</w:t>
            </w:r>
          </w:p>
          <w:p w14:paraId="3727B7CF" w14:textId="77777777" w:rsidR="0073177A" w:rsidRDefault="0073177A" w:rsidP="0045301B">
            <w:pPr>
              <w:pStyle w:val="BodyText"/>
              <w:keepLines/>
            </w:pPr>
          </w:p>
          <w:p w14:paraId="18C9FE55" w14:textId="7FE952EB" w:rsidR="0073177A" w:rsidRDefault="0073177A" w:rsidP="0045301B">
            <w:pPr>
              <w:pStyle w:val="BodyText"/>
              <w:keepLines/>
            </w:pPr>
            <w:r>
              <w:t>“The very long-term integrity of a cemented and plugged abandoned well (beyond 50 years) is a topic where more information will be essential. Cement and steel do not have the very long-term integrity of geological materials. If shale gas fields develop to the size and extent in Australia as in the United States, there will be a legacy of abandoned gas wells, which will need to retain integrity if we seek to avoid connections across stratigraphy over many thousands of metres, including confined aquifers and strata of water-bearing material with very different chemistry.” p128</w:t>
            </w:r>
          </w:p>
          <w:p w14:paraId="7F12BBF9" w14:textId="77777777" w:rsidR="0073177A" w:rsidRDefault="0073177A" w:rsidP="0045301B">
            <w:pPr>
              <w:pStyle w:val="BodyText"/>
              <w:keepLines/>
            </w:pPr>
          </w:p>
          <w:p w14:paraId="0292C3CA" w14:textId="31CF454E" w:rsidR="0073177A" w:rsidRDefault="0073177A" w:rsidP="0045301B">
            <w:pPr>
              <w:pStyle w:val="BodyText"/>
              <w:keepLines/>
            </w:pPr>
            <w:r>
              <w:t>“The Expert Working Group found it difficult to obtain information on long term well integrity and on the rate of well failure. It concluded that there is a need to study well integrity in Australia, in conjunction with industry, in order to confirm whether or not this is a major issue for the shale gas industry in the longer term.” p181</w:t>
            </w:r>
          </w:p>
          <w:p w14:paraId="015D1880" w14:textId="77777777" w:rsidR="0073177A" w:rsidRDefault="0073177A" w:rsidP="0045301B">
            <w:pPr>
              <w:pStyle w:val="BodyText"/>
              <w:keepLines/>
            </w:pPr>
          </w:p>
          <w:p w14:paraId="60A24285" w14:textId="509991F8" w:rsidR="0073177A" w:rsidRDefault="0073177A" w:rsidP="0045301B">
            <w:pPr>
              <w:pStyle w:val="BodyText"/>
              <w:keepLines/>
            </w:pPr>
            <w:r>
              <w:t xml:space="preserve">“Associated with this issue is that of abandoned wells, including both the issue of well remediation to avoid contamination of aquifers and of orphan wells. This issue is not yet a major problem in Australia, but in time it is </w:t>
            </w:r>
            <w:r w:rsidRPr="00DC73EF">
              <w:rPr>
                <w:b/>
              </w:rPr>
              <w:t>likely to become one</w:t>
            </w:r>
            <w:r>
              <w:t>. There is a need for Australian and international industry, governments and researchers, to jointly study the issue in order to establish a way forward.” p181</w:t>
            </w:r>
          </w:p>
        </w:tc>
      </w:tr>
      <w:tr w:rsidR="0073177A" w14:paraId="1131E0A5"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7C620F82" w14:textId="77777777" w:rsidR="0073177A" w:rsidRDefault="0073177A" w:rsidP="0045301B">
            <w:pPr>
              <w:pStyle w:val="TableText"/>
              <w:keepLines/>
              <w:spacing w:before="0" w:after="0" w:line="240" w:lineRule="auto"/>
            </w:pPr>
            <w:r>
              <w:t>W.5</w:t>
            </w:r>
          </w:p>
        </w:tc>
        <w:tc>
          <w:tcPr>
            <w:tcW w:w="0" w:type="auto"/>
          </w:tcPr>
          <w:p w14:paraId="58F9E6DC" w14:textId="77777777" w:rsidR="0073177A" w:rsidRDefault="0073177A" w:rsidP="0045301B">
            <w:pPr>
              <w:pStyle w:val="TableTextCentred"/>
              <w:keepLines/>
              <w:spacing w:before="0" w:after="0" w:line="240" w:lineRule="auto"/>
              <w:jc w:val="left"/>
            </w:pPr>
            <w:r>
              <w:t>Loss of well control</w:t>
            </w:r>
          </w:p>
        </w:tc>
        <w:tc>
          <w:tcPr>
            <w:tcW w:w="973" w:type="dxa"/>
          </w:tcPr>
          <w:p w14:paraId="061A70D9" w14:textId="67220BA6" w:rsidR="0073177A" w:rsidRDefault="0073177A" w:rsidP="0045301B">
            <w:pPr>
              <w:pStyle w:val="TableTextCentred"/>
              <w:keepLines/>
              <w:spacing w:before="0" w:after="0" w:line="240" w:lineRule="auto"/>
              <w:jc w:val="left"/>
            </w:pPr>
            <w:r>
              <w:t>Not assessed</w:t>
            </w:r>
          </w:p>
        </w:tc>
        <w:tc>
          <w:tcPr>
            <w:tcW w:w="6406" w:type="dxa"/>
          </w:tcPr>
          <w:p w14:paraId="3F67F007" w14:textId="77777777" w:rsidR="0073177A" w:rsidRDefault="0073177A" w:rsidP="0045301B">
            <w:pPr>
              <w:pStyle w:val="BodyText"/>
              <w:keepLines/>
            </w:pPr>
          </w:p>
        </w:tc>
      </w:tr>
      <w:bookmarkEnd w:id="73"/>
    </w:tbl>
    <w:p w14:paraId="39F0A769" w14:textId="77777777" w:rsidR="0073177A" w:rsidRDefault="0073177A" w:rsidP="00985B69">
      <w:pPr>
        <w:pStyle w:val="BodyText"/>
      </w:pPr>
      <w:r>
        <w:br w:type="page"/>
      </w:r>
    </w:p>
    <w:p w14:paraId="12C03D82" w14:textId="003E724E" w:rsidR="007A268A" w:rsidRPr="005A442F" w:rsidRDefault="00273D75" w:rsidP="006E7F04">
      <w:pPr>
        <w:pStyle w:val="Heading3"/>
        <w:numPr>
          <w:ilvl w:val="1"/>
          <w:numId w:val="24"/>
        </w:numPr>
        <w:rPr>
          <w:i w:val="0"/>
        </w:rPr>
      </w:pPr>
      <w:bookmarkStart w:id="75" w:name="_Ref528836950"/>
      <w:bookmarkStart w:id="76" w:name="_Toc5272815"/>
      <w:bookmarkStart w:id="77" w:name="_Toc36042860"/>
      <w:r w:rsidRPr="005A442F">
        <w:rPr>
          <w:i w:val="0"/>
        </w:rPr>
        <w:t xml:space="preserve">Qualitative review of the findings </w:t>
      </w:r>
      <w:r w:rsidR="00122C47" w:rsidRPr="005A442F">
        <w:rPr>
          <w:i w:val="0"/>
        </w:rPr>
        <w:t xml:space="preserve">from: </w:t>
      </w:r>
      <w:r w:rsidR="003426C9" w:rsidRPr="00400022">
        <w:t>Shale gas extraction in the UK: a review of hydraulic fracturing</w:t>
      </w:r>
      <w:r w:rsidR="003426C9" w:rsidRPr="005A442F">
        <w:rPr>
          <w:i w:val="0"/>
        </w:rPr>
        <w:t xml:space="preserve"> </w:t>
      </w:r>
      <w:r w:rsidR="007A268A" w:rsidRPr="005A442F">
        <w:rPr>
          <w:i w:val="0"/>
        </w:rPr>
        <w:t>(The Royal Society and The Royal Academy of Engineering, 2012)</w:t>
      </w:r>
      <w:bookmarkEnd w:id="75"/>
      <w:bookmarkEnd w:id="76"/>
      <w:bookmarkEnd w:id="77"/>
      <w:r w:rsidR="00544A73" w:rsidRPr="005A442F">
        <w:rPr>
          <w:i w:val="0"/>
        </w:rPr>
        <w:t xml:space="preserve"> </w:t>
      </w:r>
    </w:p>
    <w:p w14:paraId="101D3689" w14:textId="048D5F56" w:rsidR="00986CB4" w:rsidRDefault="00986CB4" w:rsidP="00B65D6D">
      <w:pPr>
        <w:pStyle w:val="Heading4notnumbered"/>
      </w:pPr>
      <w:r>
        <w:t>Background and scope</w:t>
      </w:r>
    </w:p>
    <w:p w14:paraId="78E1E786" w14:textId="1DF38AE2" w:rsidR="006927D7" w:rsidRDefault="006927D7" w:rsidP="006927D7">
      <w:pPr>
        <w:pStyle w:val="BodyText"/>
      </w:pPr>
      <w:r>
        <w:t>The UK Government's Chief Scientific Adviser asked the Royal Society and the Royal Academy of Engineering to carry out an independent review of the scientific and engineering evidence relating to the technical aspects of the risks associated with hydraulic fracturing to inform government policymaking about shale gas extraction in the UK.</w:t>
      </w:r>
    </w:p>
    <w:p w14:paraId="0D7BF82B" w14:textId="7860152C" w:rsidR="006927D7" w:rsidRDefault="006927D7" w:rsidP="006927D7">
      <w:pPr>
        <w:pStyle w:val="BodyText"/>
      </w:pPr>
      <w:r>
        <w:t xml:space="preserve">The </w:t>
      </w:r>
      <w:r w:rsidR="00400022">
        <w:t>T</w:t>
      </w:r>
      <w:r>
        <w:t xml:space="preserve">erms of </w:t>
      </w:r>
      <w:r w:rsidR="00400022">
        <w:t>R</w:t>
      </w:r>
      <w:r>
        <w:t xml:space="preserve">eference of this review were: </w:t>
      </w:r>
    </w:p>
    <w:p w14:paraId="084F51ED" w14:textId="38830A4E" w:rsidR="006927D7" w:rsidRDefault="006927D7" w:rsidP="00D92F83">
      <w:pPr>
        <w:pStyle w:val="ListBullet"/>
      </w:pPr>
      <w:r>
        <w:t>What are the major risks associated with hydraulic fracturing as a means to extract shale gas in the UK, including geological risks, such as seismicity, and environmental risks, such as groundwater contamination?</w:t>
      </w:r>
    </w:p>
    <w:p w14:paraId="2C10A612" w14:textId="684B3B33" w:rsidR="006927D7" w:rsidRDefault="006927D7" w:rsidP="00D92F83">
      <w:pPr>
        <w:pStyle w:val="ListBullet"/>
      </w:pPr>
      <w:r>
        <w:t>Can these risks be effectively managed? If so, how?</w:t>
      </w:r>
    </w:p>
    <w:p w14:paraId="3E8F0ABC" w14:textId="766F35DB" w:rsidR="001119A4" w:rsidRPr="001119A4" w:rsidRDefault="006927D7" w:rsidP="006927D7">
      <w:pPr>
        <w:pStyle w:val="BodyText"/>
      </w:pPr>
      <w:r>
        <w:t>This report has analysed environmental and health and safety risks. Climate risks have not been analysed. The risks addressed in this report are restricted to those associated with the onshore extraction of shale gas. The subsequent use of shale gas has not been addressed.</w:t>
      </w:r>
    </w:p>
    <w:p w14:paraId="4BC1EE4D" w14:textId="0E2EC4EE" w:rsidR="00986CB4" w:rsidRDefault="00986CB4" w:rsidP="00B65D6D">
      <w:pPr>
        <w:pStyle w:val="Heading4notnumbered"/>
      </w:pPr>
      <w:r>
        <w:t>Study area</w:t>
      </w:r>
    </w:p>
    <w:p w14:paraId="334584C0" w14:textId="670E63B1" w:rsidR="00986CB4" w:rsidRPr="00986CB4" w:rsidRDefault="00986CB4" w:rsidP="00986CB4">
      <w:pPr>
        <w:pStyle w:val="BodyText"/>
      </w:pPr>
      <w:r>
        <w:t>Shale gas in the United Kingdom</w:t>
      </w:r>
    </w:p>
    <w:p w14:paraId="69DFD337" w14:textId="5FE1A010" w:rsidR="00986CB4" w:rsidRDefault="00986CB4" w:rsidP="00B65D6D">
      <w:pPr>
        <w:pStyle w:val="Heading4notnumbered"/>
      </w:pPr>
      <w:r>
        <w:t>Authors</w:t>
      </w:r>
    </w:p>
    <w:p w14:paraId="6DC67B86" w14:textId="03198773" w:rsidR="00986CB4" w:rsidRPr="00986CB4" w:rsidRDefault="00986CB4" w:rsidP="00986CB4">
      <w:pPr>
        <w:pStyle w:val="BodyText"/>
      </w:pPr>
      <w:r w:rsidRPr="00986CB4">
        <w:t>The Royal Society</w:t>
      </w:r>
      <w:r>
        <w:t xml:space="preserve"> and </w:t>
      </w:r>
      <w:r w:rsidRPr="00986CB4">
        <w:t>The Royal Academy of Engineering</w:t>
      </w:r>
    </w:p>
    <w:p w14:paraId="7070010E" w14:textId="77777777" w:rsidR="00236399" w:rsidRPr="00822417" w:rsidRDefault="00236399" w:rsidP="00236399">
      <w:pPr>
        <w:pStyle w:val="Heading4notnumbered"/>
      </w:pPr>
      <w:r>
        <w:t xml:space="preserve">Key findings </w:t>
      </w:r>
    </w:p>
    <w:p w14:paraId="3E0E820A" w14:textId="5BE8E1F5" w:rsidR="00544A73" w:rsidRPr="005A442F" w:rsidRDefault="00544A73" w:rsidP="00544A73">
      <w:pPr>
        <w:pStyle w:val="BodyText"/>
      </w:pPr>
      <w:r w:rsidRPr="005A442F">
        <w:t xml:space="preserve">Risks associated with hydraulic fracturing for shale gas can be managed effectively in the UK if operational best practices are implemented and enforced through regulation. </w:t>
      </w:r>
    </w:p>
    <w:p w14:paraId="1489EFFC" w14:textId="77777777" w:rsidR="00544A73" w:rsidRPr="005A442F" w:rsidRDefault="00544A73" w:rsidP="00544A73">
      <w:pPr>
        <w:pStyle w:val="BodyText"/>
      </w:pPr>
      <w:r w:rsidRPr="005A442F">
        <w:t>The available evidence indicates that the risk of fractures propagating from shale formations to reach overlying aquifers is very low provided that shale gas extraction takes place at depths of many hundreds of metres or several kilometres.</w:t>
      </w:r>
    </w:p>
    <w:p w14:paraId="170569C8" w14:textId="3C954A3C" w:rsidR="00544A73" w:rsidRPr="005A442F" w:rsidRDefault="00544A73" w:rsidP="00544A73">
      <w:pPr>
        <w:pStyle w:val="BodyText"/>
      </w:pPr>
      <w:r w:rsidRPr="005A442F">
        <w:t xml:space="preserve">Ensuring well integrity must remain the highest priority to prevent contamination. </w:t>
      </w:r>
    </w:p>
    <w:p w14:paraId="37229616" w14:textId="19113C2D" w:rsidR="00544A73" w:rsidRPr="005A442F" w:rsidRDefault="00544A73" w:rsidP="00544A73">
      <w:pPr>
        <w:pStyle w:val="BodyText"/>
      </w:pPr>
      <w:r w:rsidRPr="005A442F">
        <w:t>Monitoring should be carried out before, during and after shale gas operations to inform risk assessments. Methane and other contaminants in groundwater should be monitored, as well as potential leakages of methane and other gases into the atmosphere. The geology of sites should be characterised and faults identified. Monitoring data should be submitted to the UK’s regulators to manage potential hazards, inform local planning processes and address wider concerns. Monitoring of any potential leaks of methane would provide data to assess the carbon footprint of shale gas extraction.</w:t>
      </w:r>
    </w:p>
    <w:p w14:paraId="79159AB2"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7736F64C" w14:textId="79CBF84D" w:rsidR="00273D75" w:rsidRPr="00273D75" w:rsidRDefault="00273D75" w:rsidP="00675B34">
      <w:pPr>
        <w:pStyle w:val="BodyText"/>
      </w:pPr>
      <w:r>
        <w:t xml:space="preserve">A qualitative review of the findings from </w:t>
      </w:r>
      <w:r w:rsidRPr="003109A0">
        <w:t xml:space="preserve">The Royal Society and The Royal Academy of Engineering </w:t>
      </w:r>
      <w:r>
        <w:t>(</w:t>
      </w:r>
      <w:r w:rsidRPr="003109A0">
        <w:t xml:space="preserve">2012)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_Ref14707927 \h </w:instrText>
      </w:r>
      <w:r w:rsidR="005A442F" w:rsidRPr="005A442F">
        <w:instrText xml:space="preserve"> \* MERGEFORMAT </w:instrText>
      </w:r>
      <w:r w:rsidRPr="005A442F">
        <w:fldChar w:fldCharType="separate"/>
      </w:r>
      <w:r w:rsidR="00073927">
        <w:t>Table 9</w:t>
      </w:r>
      <w:r w:rsidRPr="005A442F">
        <w:fldChar w:fldCharType="end"/>
      </w:r>
      <w:r>
        <w:t xml:space="preserve">. </w:t>
      </w:r>
    </w:p>
    <w:p w14:paraId="1B128301" w14:textId="31B5A86A" w:rsidR="003109A0" w:rsidRDefault="003109A0" w:rsidP="003109A0">
      <w:pPr>
        <w:pStyle w:val="Caption"/>
      </w:pPr>
      <w:bookmarkStart w:id="78" w:name="_Ref14707927"/>
      <w:bookmarkStart w:id="79" w:name="_Toc36042892"/>
      <w:r>
        <w:t xml:space="preserve">Table </w:t>
      </w:r>
      <w:r>
        <w:fldChar w:fldCharType="begin"/>
      </w:r>
      <w:r>
        <w:instrText>SEQ Table \* ARABIC</w:instrText>
      </w:r>
      <w:r>
        <w:fldChar w:fldCharType="separate"/>
      </w:r>
      <w:r w:rsidR="00073927">
        <w:rPr>
          <w:noProof/>
        </w:rPr>
        <w:t>9</w:t>
      </w:r>
      <w:r>
        <w:fldChar w:fldCharType="end"/>
      </w:r>
      <w:bookmarkEnd w:id="78"/>
      <w:r>
        <w:t xml:space="preserve"> </w:t>
      </w:r>
      <w:r w:rsidRPr="00866731">
        <w:t xml:space="preserve">Excerpts from </w:t>
      </w:r>
      <w:r w:rsidRPr="003109A0">
        <w:t xml:space="preserve">The Royal Society and The Royal Academy of Engineering </w:t>
      </w:r>
      <w:r>
        <w:t>(</w:t>
      </w:r>
      <w:r w:rsidRPr="003109A0">
        <w:t xml:space="preserve">2012) </w:t>
      </w:r>
      <w:r w:rsidRPr="00866731">
        <w:t>related to each impact mode</w:t>
      </w:r>
      <w:bookmarkEnd w:id="79"/>
    </w:p>
    <w:tbl>
      <w:tblPr>
        <w:tblStyle w:val="TableBAHeaderRow"/>
        <w:tblpPr w:leftFromText="180" w:rightFromText="180" w:vertAnchor="text" w:tblpY="1"/>
        <w:tblOverlap w:val="never"/>
        <w:tblW w:w="9773" w:type="dxa"/>
        <w:tblInd w:w="0" w:type="dxa"/>
        <w:tblLook w:val="04A0" w:firstRow="1" w:lastRow="0" w:firstColumn="1" w:lastColumn="0" w:noHBand="0" w:noVBand="1"/>
      </w:tblPr>
      <w:tblGrid>
        <w:gridCol w:w="444"/>
        <w:gridCol w:w="2063"/>
        <w:gridCol w:w="973"/>
        <w:gridCol w:w="6293"/>
      </w:tblGrid>
      <w:tr w:rsidR="001E497A" w14:paraId="1E9C46C3" w14:textId="77777777" w:rsidTr="001E497A">
        <w:trPr>
          <w:cnfStyle w:val="100000000000" w:firstRow="1" w:lastRow="0" w:firstColumn="0" w:lastColumn="0" w:oddVBand="0" w:evenVBand="0" w:oddHBand="0" w:evenHBand="0" w:firstRowFirstColumn="0" w:firstRowLastColumn="0" w:lastRowFirstColumn="0" w:lastRowLastColumn="0"/>
          <w:tblHeader/>
        </w:trPr>
        <w:tc>
          <w:tcPr>
            <w:tcW w:w="0" w:type="auto"/>
          </w:tcPr>
          <w:p w14:paraId="74045A2C" w14:textId="77777777" w:rsidR="001E497A" w:rsidRPr="00130D5C" w:rsidRDefault="001E497A" w:rsidP="001600C7">
            <w:pPr>
              <w:pStyle w:val="TableHeading"/>
              <w:rPr>
                <w:b/>
              </w:rPr>
            </w:pPr>
          </w:p>
        </w:tc>
        <w:tc>
          <w:tcPr>
            <w:tcW w:w="0" w:type="auto"/>
          </w:tcPr>
          <w:p w14:paraId="660441CB" w14:textId="23EA1118" w:rsidR="001E497A" w:rsidRPr="00130D5C" w:rsidRDefault="001E497A" w:rsidP="00D92F83">
            <w:pPr>
              <w:pStyle w:val="TableText"/>
            </w:pPr>
            <w:r w:rsidRPr="00130D5C">
              <w:t>Impact Mode</w:t>
            </w:r>
          </w:p>
        </w:tc>
        <w:tc>
          <w:tcPr>
            <w:tcW w:w="973" w:type="dxa"/>
          </w:tcPr>
          <w:p w14:paraId="4C5CF3AB" w14:textId="2482114C" w:rsidR="001E497A" w:rsidRPr="00130D5C" w:rsidRDefault="001E497A" w:rsidP="00D92F83">
            <w:pPr>
              <w:pStyle w:val="TableText"/>
            </w:pPr>
            <w:r w:rsidRPr="00130D5C">
              <w:t>Likelihood score</w:t>
            </w:r>
          </w:p>
        </w:tc>
        <w:tc>
          <w:tcPr>
            <w:tcW w:w="6293" w:type="dxa"/>
          </w:tcPr>
          <w:p w14:paraId="24FCC8AE" w14:textId="3556BC0C" w:rsidR="001E497A" w:rsidRPr="00130D5C" w:rsidRDefault="001E497A" w:rsidP="00D92F83">
            <w:pPr>
              <w:pStyle w:val="TableText"/>
            </w:pPr>
            <w:r w:rsidRPr="00130D5C">
              <w:t xml:space="preserve">Key excerpts from: </w:t>
            </w:r>
            <w:r w:rsidRPr="00400022">
              <w:rPr>
                <w:i/>
              </w:rPr>
              <w:t>Shale gas extraction hydraulic a review of in the UK: fracturing</w:t>
            </w:r>
            <w:r w:rsidRPr="00130D5C">
              <w:t xml:space="preserve"> (The Royal Society and The Royal Academy of Engineering, 2012)</w:t>
            </w:r>
          </w:p>
        </w:tc>
      </w:tr>
      <w:tr w:rsidR="0024219A" w:rsidRPr="00A8172F" w14:paraId="27548489" w14:textId="77777777" w:rsidTr="0078111C">
        <w:trPr>
          <w:cnfStyle w:val="000000100000" w:firstRow="0" w:lastRow="0" w:firstColumn="0" w:lastColumn="0" w:oddVBand="0" w:evenVBand="0" w:oddHBand="1" w:evenHBand="0" w:firstRowFirstColumn="0" w:firstRowLastColumn="0" w:lastRowFirstColumn="0" w:lastRowLastColumn="0"/>
        </w:trPr>
        <w:tc>
          <w:tcPr>
            <w:tcW w:w="9773" w:type="dxa"/>
            <w:gridSpan w:val="4"/>
          </w:tcPr>
          <w:p w14:paraId="7276CFEB" w14:textId="7F6C009E" w:rsidR="0024219A" w:rsidRDefault="0024219A" w:rsidP="007A268A">
            <w:pPr>
              <w:pStyle w:val="TableTextCentred"/>
              <w:spacing w:before="0" w:after="0" w:line="240" w:lineRule="auto"/>
              <w:jc w:val="left"/>
            </w:pPr>
            <w:r w:rsidRPr="7DE8E393">
              <w:rPr>
                <w:b/>
                <w:bCs/>
              </w:rPr>
              <w:t>Hydraulic fracture growth</w:t>
            </w:r>
          </w:p>
        </w:tc>
      </w:tr>
      <w:tr w:rsidR="001E497A" w:rsidRPr="00A8172F" w14:paraId="44BA065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06D4426" w14:textId="77777777" w:rsidR="001E497A" w:rsidRPr="00EA63C0" w:rsidRDefault="001E497A" w:rsidP="007A268A">
            <w:pPr>
              <w:pStyle w:val="TableText"/>
              <w:spacing w:before="0" w:after="0" w:line="240" w:lineRule="auto"/>
            </w:pPr>
            <w:r>
              <w:t>F.1</w:t>
            </w:r>
          </w:p>
        </w:tc>
        <w:tc>
          <w:tcPr>
            <w:tcW w:w="0" w:type="auto"/>
          </w:tcPr>
          <w:p w14:paraId="2ADC517A" w14:textId="77777777" w:rsidR="001E497A" w:rsidRPr="00A8172F" w:rsidRDefault="001E497A" w:rsidP="007A268A">
            <w:pPr>
              <w:pStyle w:val="TableTextCentred"/>
              <w:spacing w:before="0" w:after="0" w:line="240" w:lineRule="auto"/>
              <w:jc w:val="left"/>
            </w:pPr>
            <w:r>
              <w:t>Hydraulic fracture growth into aquifer</w:t>
            </w:r>
          </w:p>
        </w:tc>
        <w:tc>
          <w:tcPr>
            <w:tcW w:w="973" w:type="dxa"/>
          </w:tcPr>
          <w:p w14:paraId="612E8FE8" w14:textId="23E34EBE" w:rsidR="001E497A" w:rsidRDefault="001E497A" w:rsidP="007A268A">
            <w:pPr>
              <w:pStyle w:val="TableTextCentred"/>
              <w:spacing w:before="0" w:after="0" w:line="240" w:lineRule="auto"/>
              <w:jc w:val="left"/>
            </w:pPr>
            <w:r>
              <w:t>Rare</w:t>
            </w:r>
          </w:p>
        </w:tc>
        <w:tc>
          <w:tcPr>
            <w:tcW w:w="6293" w:type="dxa"/>
          </w:tcPr>
          <w:p w14:paraId="19B5CB12" w14:textId="578B9D63" w:rsidR="001E497A" w:rsidRDefault="001E497A" w:rsidP="00544A73">
            <w:pPr>
              <w:pStyle w:val="BodyText"/>
            </w:pPr>
            <w:r>
              <w:t>“The available evidence indicates that the risk of fractures propagating from shale formations to reach overlying aquifers is very low provided that shale gas extraction takes place at depths of many hundreds of metres or several kilometres.” p4</w:t>
            </w:r>
          </w:p>
          <w:p w14:paraId="4CFFC753" w14:textId="77777777" w:rsidR="001E497A" w:rsidRDefault="001E497A" w:rsidP="00544A73">
            <w:pPr>
              <w:pStyle w:val="BodyText"/>
            </w:pPr>
          </w:p>
          <w:p w14:paraId="43F674CF" w14:textId="5494AB9F" w:rsidR="001E497A" w:rsidRDefault="001E497A" w:rsidP="00544A73">
            <w:pPr>
              <w:pStyle w:val="BodyText"/>
            </w:pPr>
            <w:r>
              <w:t>“Geological mechanisms constrain the distances that fractures may propagate vertically.” p4</w:t>
            </w:r>
          </w:p>
          <w:p w14:paraId="7AC4E9E7" w14:textId="77777777" w:rsidR="001E497A" w:rsidRDefault="001E497A" w:rsidP="00544A73">
            <w:pPr>
              <w:pStyle w:val="BodyText"/>
            </w:pPr>
          </w:p>
          <w:p w14:paraId="16F28D66" w14:textId="2E540198" w:rsidR="001E497A" w:rsidRDefault="001E497A" w:rsidP="00544A73">
            <w:pPr>
              <w:pStyle w:val="BodyText"/>
            </w:pPr>
            <w:r>
              <w:t>“Even if communication with overlying aquifers were possible, suitable pressure conditions would still be necessary for contaminants to flow though fractures.” p4</w:t>
            </w:r>
          </w:p>
          <w:p w14:paraId="117AF6C5" w14:textId="7CCC1E3D" w:rsidR="001E497A" w:rsidRDefault="001E497A" w:rsidP="00544A73">
            <w:pPr>
              <w:pStyle w:val="BodyText"/>
            </w:pPr>
          </w:p>
        </w:tc>
      </w:tr>
      <w:tr w:rsidR="001E497A" w14:paraId="412ACC1C"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2F911709" w14:textId="77777777" w:rsidR="001E497A" w:rsidRDefault="001E497A" w:rsidP="007A268A">
            <w:pPr>
              <w:pStyle w:val="TableText"/>
              <w:spacing w:before="0" w:after="0" w:line="240" w:lineRule="auto"/>
            </w:pPr>
            <w:r>
              <w:t>F.2</w:t>
            </w:r>
          </w:p>
        </w:tc>
        <w:tc>
          <w:tcPr>
            <w:tcW w:w="0" w:type="auto"/>
          </w:tcPr>
          <w:p w14:paraId="6C2D844A" w14:textId="77777777" w:rsidR="001E497A" w:rsidRDefault="001E497A" w:rsidP="007A268A">
            <w:pPr>
              <w:pStyle w:val="TableTextCentred"/>
              <w:spacing w:before="0" w:after="0" w:line="240" w:lineRule="auto"/>
              <w:jc w:val="left"/>
            </w:pPr>
            <w:r>
              <w:t>Hydraulic fracture growth into well</w:t>
            </w:r>
          </w:p>
        </w:tc>
        <w:tc>
          <w:tcPr>
            <w:tcW w:w="973" w:type="dxa"/>
          </w:tcPr>
          <w:p w14:paraId="29390ACA" w14:textId="320DE184" w:rsidR="001E497A" w:rsidRDefault="001E497A" w:rsidP="007A268A">
            <w:pPr>
              <w:pStyle w:val="TableTextCentred"/>
              <w:spacing w:before="0" w:after="0" w:line="240" w:lineRule="auto"/>
              <w:jc w:val="left"/>
            </w:pPr>
            <w:r>
              <w:t>Not assessed</w:t>
            </w:r>
          </w:p>
        </w:tc>
        <w:tc>
          <w:tcPr>
            <w:tcW w:w="6293" w:type="dxa"/>
          </w:tcPr>
          <w:p w14:paraId="0C5F9D42" w14:textId="77777777" w:rsidR="001E497A" w:rsidRDefault="001E497A" w:rsidP="007A268A">
            <w:pPr>
              <w:pStyle w:val="BodyText"/>
            </w:pPr>
          </w:p>
        </w:tc>
      </w:tr>
      <w:tr w:rsidR="001E497A" w14:paraId="5DA710E5"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21E52863" w14:textId="77777777" w:rsidR="001E497A" w:rsidRDefault="001E497A" w:rsidP="007A268A">
            <w:pPr>
              <w:pStyle w:val="TableText"/>
              <w:spacing w:before="0" w:after="0" w:line="240" w:lineRule="auto"/>
            </w:pPr>
            <w:r>
              <w:t>F.3</w:t>
            </w:r>
          </w:p>
        </w:tc>
        <w:tc>
          <w:tcPr>
            <w:tcW w:w="0" w:type="auto"/>
          </w:tcPr>
          <w:p w14:paraId="6F4B2C1D" w14:textId="77777777" w:rsidR="001E497A" w:rsidRDefault="001E497A" w:rsidP="007A268A">
            <w:pPr>
              <w:pStyle w:val="TableTextCentred"/>
              <w:spacing w:before="0" w:after="0" w:line="240" w:lineRule="auto"/>
              <w:jc w:val="left"/>
            </w:pPr>
            <w:r>
              <w:t>Hydraulic fracture growth into fault</w:t>
            </w:r>
          </w:p>
        </w:tc>
        <w:tc>
          <w:tcPr>
            <w:tcW w:w="973" w:type="dxa"/>
          </w:tcPr>
          <w:p w14:paraId="31E83FAF" w14:textId="05AA3784" w:rsidR="001E497A" w:rsidRDefault="001E497A" w:rsidP="007A268A">
            <w:pPr>
              <w:pStyle w:val="TableTextCentred"/>
              <w:spacing w:before="0" w:after="0" w:line="240" w:lineRule="auto"/>
              <w:jc w:val="left"/>
            </w:pPr>
            <w:r>
              <w:t>Unlikely</w:t>
            </w:r>
          </w:p>
        </w:tc>
        <w:tc>
          <w:tcPr>
            <w:tcW w:w="6293" w:type="dxa"/>
          </w:tcPr>
          <w:p w14:paraId="5A257201" w14:textId="59D5C31F" w:rsidR="001E497A" w:rsidRDefault="001E497A" w:rsidP="00EF69E8">
            <w:pPr>
              <w:pStyle w:val="BodyText"/>
            </w:pPr>
            <w:r>
              <w:t>“Recommendation 3: To mitigate induced seismicity: BGS or other appropriate bodies should carry out national surveys to characterise stresses and identify faults in UK shales. Operators should carry out site-specific surveys to characterise and identify local stresses and faults.” p6</w:t>
            </w:r>
          </w:p>
        </w:tc>
      </w:tr>
      <w:tr w:rsidR="0024219A" w:rsidRPr="00A8172F" w14:paraId="7E1FE3DD" w14:textId="77777777" w:rsidTr="0078111C">
        <w:trPr>
          <w:cnfStyle w:val="000000100000" w:firstRow="0" w:lastRow="0" w:firstColumn="0" w:lastColumn="0" w:oddVBand="0" w:evenVBand="0" w:oddHBand="1" w:evenHBand="0" w:firstRowFirstColumn="0" w:firstRowLastColumn="0" w:lastRowFirstColumn="0" w:lastRowLastColumn="0"/>
        </w:trPr>
        <w:tc>
          <w:tcPr>
            <w:tcW w:w="9773" w:type="dxa"/>
            <w:gridSpan w:val="4"/>
          </w:tcPr>
          <w:p w14:paraId="0C8B5771" w14:textId="4B7E976B" w:rsidR="0024219A" w:rsidRDefault="0024219A" w:rsidP="007A268A">
            <w:pPr>
              <w:pStyle w:val="BodyText"/>
            </w:pPr>
            <w:r w:rsidRPr="00D646E6">
              <w:rPr>
                <w:b/>
                <w:bCs/>
              </w:rPr>
              <w:t>Compromised well integrity</w:t>
            </w:r>
          </w:p>
        </w:tc>
      </w:tr>
      <w:tr w:rsidR="001E497A" w:rsidRPr="00A8172F" w14:paraId="1E801D81"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28759BC9" w14:textId="77777777" w:rsidR="001E497A" w:rsidRPr="00EA63C0" w:rsidRDefault="001E497A" w:rsidP="007A268A">
            <w:pPr>
              <w:pStyle w:val="TableText"/>
              <w:spacing w:before="0" w:after="0" w:line="240" w:lineRule="auto"/>
            </w:pPr>
            <w:r>
              <w:t>W.1</w:t>
            </w:r>
          </w:p>
        </w:tc>
        <w:tc>
          <w:tcPr>
            <w:tcW w:w="0" w:type="auto"/>
          </w:tcPr>
          <w:p w14:paraId="42E6234B" w14:textId="77777777" w:rsidR="001E497A" w:rsidRPr="00A8172F" w:rsidRDefault="001E497A" w:rsidP="007A268A">
            <w:pPr>
              <w:pStyle w:val="TableTextCentred"/>
              <w:spacing w:before="0" w:after="0" w:line="240" w:lineRule="auto"/>
              <w:jc w:val="left"/>
            </w:pPr>
            <w:r>
              <w:t xml:space="preserve">Well rupture or failure across barriers </w:t>
            </w:r>
          </w:p>
        </w:tc>
        <w:tc>
          <w:tcPr>
            <w:tcW w:w="973" w:type="dxa"/>
          </w:tcPr>
          <w:p w14:paraId="11E4D3B5" w14:textId="6C9DCC1B" w:rsidR="001E497A" w:rsidRDefault="001E497A" w:rsidP="007A268A">
            <w:pPr>
              <w:pStyle w:val="TableTextCentred"/>
              <w:spacing w:before="0" w:after="0" w:line="240" w:lineRule="auto"/>
              <w:jc w:val="left"/>
            </w:pPr>
            <w:r>
              <w:t>Not assessed</w:t>
            </w:r>
          </w:p>
        </w:tc>
        <w:tc>
          <w:tcPr>
            <w:tcW w:w="6293" w:type="dxa"/>
          </w:tcPr>
          <w:p w14:paraId="2FB0432C" w14:textId="14B6F538" w:rsidR="001E497A" w:rsidRDefault="001E497A" w:rsidP="005904D0">
            <w:pPr>
              <w:pStyle w:val="BodyText"/>
            </w:pPr>
          </w:p>
        </w:tc>
      </w:tr>
      <w:tr w:rsidR="001E497A" w14:paraId="1C54868A"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33F89769" w14:textId="77777777" w:rsidR="001E497A" w:rsidRDefault="001E497A" w:rsidP="005904D0">
            <w:pPr>
              <w:pStyle w:val="TableText"/>
              <w:spacing w:before="0" w:after="0" w:line="240" w:lineRule="auto"/>
            </w:pPr>
            <w:r>
              <w:t>W.2</w:t>
            </w:r>
          </w:p>
        </w:tc>
        <w:tc>
          <w:tcPr>
            <w:tcW w:w="0" w:type="auto"/>
          </w:tcPr>
          <w:p w14:paraId="62D55DCD" w14:textId="77777777" w:rsidR="001E497A" w:rsidRDefault="001E497A" w:rsidP="005904D0">
            <w:pPr>
              <w:pStyle w:val="TableTextCentred"/>
              <w:spacing w:before="0" w:after="0" w:line="240" w:lineRule="auto"/>
              <w:jc w:val="left"/>
            </w:pPr>
            <w:r>
              <w:t>Migration along casing from reservoir</w:t>
            </w:r>
          </w:p>
        </w:tc>
        <w:tc>
          <w:tcPr>
            <w:tcW w:w="973" w:type="dxa"/>
          </w:tcPr>
          <w:p w14:paraId="2E7C6654" w14:textId="1E33E465" w:rsidR="001E497A" w:rsidRDefault="001E497A" w:rsidP="005904D0">
            <w:pPr>
              <w:pStyle w:val="TableTextCentred"/>
              <w:spacing w:before="0" w:after="0" w:line="240" w:lineRule="auto"/>
              <w:jc w:val="left"/>
            </w:pPr>
            <w:r>
              <w:t>Rare</w:t>
            </w:r>
          </w:p>
        </w:tc>
        <w:tc>
          <w:tcPr>
            <w:tcW w:w="6293" w:type="dxa"/>
          </w:tcPr>
          <w:p w14:paraId="1C50173A" w14:textId="198476C8" w:rsidR="001E497A" w:rsidRDefault="001E497A" w:rsidP="005904D0">
            <w:pPr>
              <w:pStyle w:val="BodyText"/>
            </w:pPr>
            <w:r>
              <w:t>“More likely (than fracture growth into aquifer) causes of possible environmental contamination include faulty wells.” p4</w:t>
            </w:r>
          </w:p>
          <w:p w14:paraId="4797D7AC" w14:textId="77777777" w:rsidR="001E497A" w:rsidRDefault="001E497A" w:rsidP="005904D0">
            <w:pPr>
              <w:pStyle w:val="BodyText"/>
            </w:pPr>
          </w:p>
          <w:p w14:paraId="2739C5E4" w14:textId="58747E49" w:rsidR="001E497A" w:rsidRDefault="001E497A" w:rsidP="005904D0">
            <w:pPr>
              <w:pStyle w:val="BodyText"/>
            </w:pPr>
            <w:r>
              <w:t>“Ensuring well integrity must remain the highest priority to prevent contamination.” p4</w:t>
            </w:r>
          </w:p>
          <w:p w14:paraId="6E697E96" w14:textId="77777777" w:rsidR="001E497A" w:rsidRDefault="001E497A" w:rsidP="005904D0">
            <w:pPr>
              <w:pStyle w:val="BodyText"/>
            </w:pPr>
          </w:p>
          <w:p w14:paraId="602A3AA0" w14:textId="4BC918E4" w:rsidR="001E497A" w:rsidRDefault="001E497A" w:rsidP="005904D0">
            <w:pPr>
              <w:pStyle w:val="BodyText"/>
            </w:pPr>
            <w:r>
              <w:t>“The probability of well failure is low for a single well if it is designed, constructed and abandoned according to best practice.” p4</w:t>
            </w:r>
          </w:p>
          <w:p w14:paraId="4F17E8F6" w14:textId="77777777" w:rsidR="001E497A" w:rsidRDefault="001E497A" w:rsidP="005904D0">
            <w:pPr>
              <w:pStyle w:val="BodyText"/>
            </w:pPr>
          </w:p>
          <w:p w14:paraId="6351013A" w14:textId="5FF47F08" w:rsidR="001E497A" w:rsidRDefault="001E497A" w:rsidP="005904D0">
            <w:pPr>
              <w:pStyle w:val="BodyText"/>
            </w:pPr>
            <w:r>
              <w:t>“Recommendation 2 To ensure well integrity:</w:t>
            </w:r>
          </w:p>
          <w:p w14:paraId="35A9026F" w14:textId="77777777" w:rsidR="001E497A" w:rsidRDefault="001E497A" w:rsidP="006E7F04">
            <w:pPr>
              <w:pStyle w:val="BodyText"/>
              <w:numPr>
                <w:ilvl w:val="0"/>
                <w:numId w:val="14"/>
              </w:numPr>
            </w:pPr>
            <w:r>
              <w:t>Guidelines should be clarified to ensure the independence of the well examiner from the operator.</w:t>
            </w:r>
          </w:p>
          <w:p w14:paraId="2FCF3989" w14:textId="03954605" w:rsidR="001E497A" w:rsidRDefault="001E497A" w:rsidP="006E7F04">
            <w:pPr>
              <w:pStyle w:val="BodyText"/>
              <w:numPr>
                <w:ilvl w:val="0"/>
                <w:numId w:val="14"/>
              </w:numPr>
            </w:pPr>
            <w:r>
              <w:t>Well designs should be reviewed by the well examiner from both a health and safety perspective and an environmental perspective.</w:t>
            </w:r>
          </w:p>
          <w:p w14:paraId="3BDF151C" w14:textId="77777777" w:rsidR="001E497A" w:rsidRDefault="001E497A" w:rsidP="006E7F04">
            <w:pPr>
              <w:pStyle w:val="BodyText"/>
              <w:numPr>
                <w:ilvl w:val="0"/>
                <w:numId w:val="14"/>
              </w:numPr>
            </w:pPr>
            <w:r>
              <w:t>The well examiner should carry out onsite inspections as appropriate to ensure that wells are constructed according to the agreed design.</w:t>
            </w:r>
          </w:p>
          <w:p w14:paraId="7839B2ED" w14:textId="00293545" w:rsidR="001E497A" w:rsidRDefault="001E497A" w:rsidP="006E7F04">
            <w:pPr>
              <w:pStyle w:val="BodyText"/>
              <w:numPr>
                <w:ilvl w:val="0"/>
                <w:numId w:val="14"/>
              </w:numPr>
            </w:pPr>
            <w:r>
              <w:t>Operators should ensure that well integrity tests are carried out as appropriate, such as pressure tests and cement bond logs.” p6 &amp; p27</w:t>
            </w:r>
          </w:p>
          <w:p w14:paraId="26DE8C3E" w14:textId="77777777" w:rsidR="001E497A" w:rsidRDefault="001E497A" w:rsidP="00302F77">
            <w:pPr>
              <w:pStyle w:val="BodyText"/>
              <w:ind w:left="720"/>
            </w:pPr>
          </w:p>
          <w:p w14:paraId="4DB391F8" w14:textId="583508D6" w:rsidR="001E497A" w:rsidRDefault="001E497A" w:rsidP="005904D0">
            <w:pPr>
              <w:pStyle w:val="BodyText"/>
            </w:pPr>
            <w:r>
              <w:t>“The results of well tests and the reports of well examinations should be submitted to the Department of Energy and Climate Change (DECC).” p6 &amp; p27</w:t>
            </w:r>
          </w:p>
        </w:tc>
      </w:tr>
      <w:tr w:rsidR="001E497A" w14:paraId="2A4CA476"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1BA0FE8" w14:textId="77777777" w:rsidR="001E497A" w:rsidRDefault="001E497A" w:rsidP="005904D0">
            <w:pPr>
              <w:pStyle w:val="TableText"/>
              <w:spacing w:before="0" w:after="0" w:line="240" w:lineRule="auto"/>
            </w:pPr>
            <w:r>
              <w:t>W.3</w:t>
            </w:r>
          </w:p>
        </w:tc>
        <w:tc>
          <w:tcPr>
            <w:tcW w:w="0" w:type="auto"/>
          </w:tcPr>
          <w:p w14:paraId="0A0124D4" w14:textId="77777777" w:rsidR="001E497A" w:rsidRDefault="001E497A" w:rsidP="005904D0">
            <w:pPr>
              <w:pStyle w:val="TableTextCentred"/>
              <w:spacing w:before="0" w:after="0" w:line="240" w:lineRule="auto"/>
              <w:jc w:val="left"/>
            </w:pPr>
            <w:r>
              <w:t>Migration along casing between rock layers</w:t>
            </w:r>
          </w:p>
        </w:tc>
        <w:tc>
          <w:tcPr>
            <w:tcW w:w="973" w:type="dxa"/>
          </w:tcPr>
          <w:p w14:paraId="68EEA212" w14:textId="7E0FE5CA" w:rsidR="001E497A" w:rsidRDefault="001E497A" w:rsidP="005904D0">
            <w:pPr>
              <w:pStyle w:val="TableTextCentred"/>
              <w:spacing w:before="0" w:after="0" w:line="240" w:lineRule="auto"/>
              <w:jc w:val="left"/>
            </w:pPr>
            <w:r>
              <w:t>Not assessed</w:t>
            </w:r>
          </w:p>
        </w:tc>
        <w:tc>
          <w:tcPr>
            <w:tcW w:w="6293" w:type="dxa"/>
          </w:tcPr>
          <w:p w14:paraId="25CC6A34" w14:textId="77777777" w:rsidR="001E497A" w:rsidRDefault="001E497A" w:rsidP="005904D0">
            <w:pPr>
              <w:pStyle w:val="BodyText"/>
            </w:pPr>
          </w:p>
        </w:tc>
      </w:tr>
      <w:tr w:rsidR="001E497A" w14:paraId="72F3C4B3"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594DFDD6" w14:textId="77777777" w:rsidR="001E497A" w:rsidRDefault="001E497A" w:rsidP="005904D0">
            <w:pPr>
              <w:pStyle w:val="TableText"/>
              <w:spacing w:before="0" w:after="0" w:line="240" w:lineRule="auto"/>
            </w:pPr>
            <w:r>
              <w:t>W.4</w:t>
            </w:r>
          </w:p>
        </w:tc>
        <w:tc>
          <w:tcPr>
            <w:tcW w:w="0" w:type="auto"/>
          </w:tcPr>
          <w:p w14:paraId="200FD2B6" w14:textId="77777777" w:rsidR="001E497A" w:rsidRDefault="001E497A" w:rsidP="005904D0">
            <w:pPr>
              <w:pStyle w:val="TableTextCentred"/>
              <w:spacing w:before="0" w:after="0" w:line="240" w:lineRule="auto"/>
              <w:jc w:val="left"/>
            </w:pPr>
            <w:r>
              <w:t>Migration along decommissioned / abandoned wells</w:t>
            </w:r>
          </w:p>
        </w:tc>
        <w:tc>
          <w:tcPr>
            <w:tcW w:w="973" w:type="dxa"/>
          </w:tcPr>
          <w:p w14:paraId="1A134D09" w14:textId="49C2F5FF" w:rsidR="001E497A" w:rsidRDefault="001E497A" w:rsidP="005904D0">
            <w:pPr>
              <w:pStyle w:val="TableTextCentred"/>
              <w:spacing w:before="0" w:after="0" w:line="240" w:lineRule="auto"/>
              <w:jc w:val="left"/>
            </w:pPr>
            <w:r>
              <w:t>Unlikely</w:t>
            </w:r>
          </w:p>
        </w:tc>
        <w:tc>
          <w:tcPr>
            <w:tcW w:w="6293" w:type="dxa"/>
          </w:tcPr>
          <w:p w14:paraId="25067C61" w14:textId="42F590AA" w:rsidR="001E497A" w:rsidRDefault="001E497A" w:rsidP="005904D0">
            <w:pPr>
              <w:pStyle w:val="BodyText"/>
            </w:pPr>
            <w:r>
              <w:t>“Risks should be assessed across the entire lifecycle of shale gas extraction, including risks associated with the disposal of wastes and abandonment of wells.” p5</w:t>
            </w:r>
          </w:p>
          <w:p w14:paraId="3338FC67" w14:textId="77777777" w:rsidR="001E497A" w:rsidRDefault="001E497A" w:rsidP="005904D0">
            <w:pPr>
              <w:pStyle w:val="BodyText"/>
            </w:pPr>
          </w:p>
          <w:p w14:paraId="6FC04A27" w14:textId="5BE695EC" w:rsidR="001E497A" w:rsidRDefault="001E497A" w:rsidP="005904D0">
            <w:pPr>
              <w:pStyle w:val="BodyText"/>
            </w:pPr>
            <w:r>
              <w:t>“Recommendation to detect groundwater contamination:  Arrangements for monitoring abandoned wells need to be developed. Funding of this monitoring and any remediation work needs further consideration.” p6</w:t>
            </w:r>
          </w:p>
        </w:tc>
      </w:tr>
      <w:tr w:rsidR="001E497A" w14:paraId="1C33BAD3"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0CCE0390" w14:textId="77777777" w:rsidR="001E497A" w:rsidRDefault="001E497A" w:rsidP="005904D0">
            <w:pPr>
              <w:pStyle w:val="TableText"/>
              <w:spacing w:before="0" w:after="0" w:line="240" w:lineRule="auto"/>
            </w:pPr>
            <w:r>
              <w:t>W.5</w:t>
            </w:r>
          </w:p>
        </w:tc>
        <w:tc>
          <w:tcPr>
            <w:tcW w:w="0" w:type="auto"/>
          </w:tcPr>
          <w:p w14:paraId="566B5A97" w14:textId="77777777" w:rsidR="001E497A" w:rsidRDefault="001E497A" w:rsidP="005904D0">
            <w:pPr>
              <w:pStyle w:val="TableTextCentred"/>
              <w:spacing w:before="0" w:after="0" w:line="240" w:lineRule="auto"/>
              <w:jc w:val="left"/>
            </w:pPr>
            <w:r>
              <w:t>Loss of well control</w:t>
            </w:r>
          </w:p>
        </w:tc>
        <w:tc>
          <w:tcPr>
            <w:tcW w:w="973" w:type="dxa"/>
          </w:tcPr>
          <w:p w14:paraId="6F7F444B" w14:textId="0001573A" w:rsidR="001E497A" w:rsidRDefault="001E497A" w:rsidP="005904D0">
            <w:pPr>
              <w:pStyle w:val="TableTextCentred"/>
              <w:spacing w:before="0" w:after="0" w:line="240" w:lineRule="auto"/>
              <w:jc w:val="left"/>
            </w:pPr>
            <w:r>
              <w:t>Not assessed</w:t>
            </w:r>
          </w:p>
        </w:tc>
        <w:tc>
          <w:tcPr>
            <w:tcW w:w="6293" w:type="dxa"/>
          </w:tcPr>
          <w:p w14:paraId="006BF19A" w14:textId="77777777" w:rsidR="001E497A" w:rsidRDefault="001E497A" w:rsidP="005904D0">
            <w:pPr>
              <w:pStyle w:val="BodyText"/>
            </w:pPr>
          </w:p>
        </w:tc>
      </w:tr>
    </w:tbl>
    <w:p w14:paraId="56ED6D64" w14:textId="77777777" w:rsidR="00406FD4" w:rsidRDefault="00406FD4" w:rsidP="00985B69">
      <w:pPr>
        <w:pStyle w:val="BodyText"/>
      </w:pPr>
      <w:r>
        <w:br w:type="page"/>
      </w:r>
    </w:p>
    <w:p w14:paraId="7F5DD178" w14:textId="3A89FFDB" w:rsidR="00406FD4" w:rsidRPr="005A442F" w:rsidRDefault="00273D75" w:rsidP="00E10706">
      <w:pPr>
        <w:pStyle w:val="Heading3"/>
        <w:rPr>
          <w:i w:val="0"/>
        </w:rPr>
      </w:pPr>
      <w:bookmarkStart w:id="80" w:name="_Ref528836971"/>
      <w:bookmarkStart w:id="81" w:name="_Toc5272816"/>
      <w:bookmarkStart w:id="82" w:name="_Toc36042861"/>
      <w:r w:rsidRPr="005A442F">
        <w:rPr>
          <w:i w:val="0"/>
        </w:rPr>
        <w:t xml:space="preserve">Qualitative review of the findings </w:t>
      </w:r>
      <w:r w:rsidR="00122C47" w:rsidRPr="005A442F">
        <w:rPr>
          <w:i w:val="0"/>
        </w:rPr>
        <w:t xml:space="preserve">from: </w:t>
      </w:r>
      <w:r w:rsidR="00A71174" w:rsidRPr="005A442F">
        <w:rPr>
          <w:i w:val="0"/>
        </w:rPr>
        <w:t>Drilling for Oil and Gas in New Zealand: Environ</w:t>
      </w:r>
      <w:r w:rsidR="00122C47" w:rsidRPr="005A442F">
        <w:rPr>
          <w:i w:val="0"/>
        </w:rPr>
        <w:t>mental Oversight and Regulation</w:t>
      </w:r>
      <w:r w:rsidR="00A71174" w:rsidRPr="005A442F">
        <w:rPr>
          <w:i w:val="0"/>
        </w:rPr>
        <w:t>; (Wright, 2014)</w:t>
      </w:r>
      <w:bookmarkEnd w:id="80"/>
      <w:bookmarkEnd w:id="81"/>
      <w:bookmarkEnd w:id="82"/>
    </w:p>
    <w:p w14:paraId="511CE43F" w14:textId="12F2EF91" w:rsidR="00986CB4" w:rsidRDefault="00986CB4" w:rsidP="00B65D6D">
      <w:pPr>
        <w:pStyle w:val="Heading4notnumbered"/>
      </w:pPr>
      <w:r>
        <w:t>Background and scope</w:t>
      </w:r>
    </w:p>
    <w:p w14:paraId="0CDD42E1" w14:textId="600549FB" w:rsidR="00B01FB6" w:rsidRPr="00B01FB6" w:rsidRDefault="00B01FB6" w:rsidP="00B01FB6">
      <w:pPr>
        <w:pStyle w:val="BodyText"/>
      </w:pPr>
      <w:r>
        <w:t>A</w:t>
      </w:r>
      <w:r w:rsidRPr="00B01FB6">
        <w:t>nalysing the system of laws, agencies, and processes that oversee and control onshore oil and gas extraction. At the end of the report, recommendations on addressing weaknesses in the system are made</w:t>
      </w:r>
    </w:p>
    <w:p w14:paraId="5C6D3384" w14:textId="7BBDDA8D" w:rsidR="00986CB4" w:rsidRDefault="00986CB4" w:rsidP="00B65D6D">
      <w:pPr>
        <w:pStyle w:val="Heading4notnumbered"/>
      </w:pPr>
      <w:r>
        <w:t>Study area</w:t>
      </w:r>
    </w:p>
    <w:p w14:paraId="3D765EF7" w14:textId="38B465F2" w:rsidR="00B03E8D" w:rsidRPr="00B03E8D" w:rsidRDefault="00B03E8D" w:rsidP="00B03E8D">
      <w:pPr>
        <w:pStyle w:val="BodyText"/>
      </w:pPr>
      <w:r>
        <w:t>New Zealand</w:t>
      </w:r>
    </w:p>
    <w:p w14:paraId="645E4364" w14:textId="2351EDBB" w:rsidR="00986CB4" w:rsidRDefault="00986CB4" w:rsidP="00B65D6D">
      <w:pPr>
        <w:pStyle w:val="Heading4notnumbered"/>
      </w:pPr>
      <w:r>
        <w:t>Authors</w:t>
      </w:r>
    </w:p>
    <w:p w14:paraId="1919DC4D" w14:textId="122662D3" w:rsidR="00B01FB6" w:rsidRPr="00B01FB6" w:rsidRDefault="00B01FB6" w:rsidP="00B01FB6">
      <w:pPr>
        <w:pStyle w:val="BodyText"/>
      </w:pPr>
      <w:r>
        <w:t>Jan Wright</w:t>
      </w:r>
    </w:p>
    <w:p w14:paraId="463919CF" w14:textId="77777777" w:rsidR="00236399" w:rsidRPr="00822417" w:rsidRDefault="00236399" w:rsidP="00236399">
      <w:pPr>
        <w:pStyle w:val="Heading4notnumbered"/>
      </w:pPr>
      <w:r>
        <w:t xml:space="preserve">Key findings </w:t>
      </w:r>
    </w:p>
    <w:p w14:paraId="1AC0AB6F" w14:textId="27379862" w:rsidR="00406FD4" w:rsidRPr="005A442F" w:rsidRDefault="006B05EE" w:rsidP="006B05EE">
      <w:pPr>
        <w:pStyle w:val="BodyText"/>
      </w:pPr>
      <w:r w:rsidRPr="005A442F">
        <w:t>The impacts of an individual well are generally small – it is the cumulative effect of many wells on the landscape, on the risk to groundwater, and so on, that matters most.</w:t>
      </w:r>
    </w:p>
    <w:p w14:paraId="05375264" w14:textId="5EF1A657" w:rsidR="006B05EE" w:rsidRPr="005A442F" w:rsidRDefault="006B05EE" w:rsidP="006B05EE">
      <w:pPr>
        <w:pStyle w:val="BodyText"/>
      </w:pPr>
      <w:r w:rsidRPr="005A442F">
        <w:t>The biggest issue is not a local environmental effect, but the global effect of climate change.</w:t>
      </w:r>
    </w:p>
    <w:p w14:paraId="77874BAB" w14:textId="613107BE" w:rsidR="004D2810" w:rsidRPr="005A442F" w:rsidRDefault="008E2FEA" w:rsidP="004D2810">
      <w:pPr>
        <w:pStyle w:val="BodyText"/>
      </w:pPr>
      <w:r>
        <w:t>W</w:t>
      </w:r>
      <w:r w:rsidR="004D2810" w:rsidRPr="005A442F">
        <w:t>hile there were specific concerns about the impacts of fracking itself, most of the concern was about what fracking enables – that is, the expansion of the onshore oil and gas industry within and beyond Taranaki, and all that might come with this</w:t>
      </w:r>
      <w:r w:rsidR="000820D5" w:rsidRPr="005A442F">
        <w:t>.</w:t>
      </w:r>
    </w:p>
    <w:p w14:paraId="6BE9A951"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5898D6AB" w14:textId="390C1D3F" w:rsidR="00273D75" w:rsidRPr="00273D75" w:rsidRDefault="00273D75" w:rsidP="00D92F83">
      <w:pPr>
        <w:pStyle w:val="BodyText"/>
      </w:pPr>
      <w:r>
        <w:t xml:space="preserve">A qualitative review of the findings from </w:t>
      </w:r>
      <w:r w:rsidR="00D25160" w:rsidRPr="003109A0">
        <w:t xml:space="preserve">Wright </w:t>
      </w:r>
      <w:r w:rsidR="00D25160">
        <w:t>(</w:t>
      </w:r>
      <w:r w:rsidR="00D25160" w:rsidRPr="003109A0">
        <w:t>2014)</w:t>
      </w:r>
      <w:r w:rsidR="00D25160">
        <w:t xml:space="preserve">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w:t>
      </w:r>
      <w:r w:rsidR="00D25160">
        <w:t xml:space="preserve"> </w:t>
      </w:r>
      <w:r w:rsidR="00D25160" w:rsidRPr="005A442F">
        <w:fldChar w:fldCharType="begin"/>
      </w:r>
      <w:r w:rsidR="00D25160" w:rsidRPr="005A442F">
        <w:instrText xml:space="preserve"> REF _Ref14707963 \h </w:instrText>
      </w:r>
      <w:r w:rsidR="005A442F" w:rsidRPr="005A442F">
        <w:instrText xml:space="preserve"> \* MERGEFORMAT </w:instrText>
      </w:r>
      <w:r w:rsidR="00D25160" w:rsidRPr="005A442F">
        <w:fldChar w:fldCharType="separate"/>
      </w:r>
      <w:r w:rsidR="00073927">
        <w:t xml:space="preserve">Table </w:t>
      </w:r>
      <w:r w:rsidR="00073927">
        <w:rPr>
          <w:noProof/>
        </w:rPr>
        <w:t>10</w:t>
      </w:r>
      <w:r w:rsidR="00D25160" w:rsidRPr="005A442F">
        <w:fldChar w:fldCharType="end"/>
      </w:r>
      <w:r>
        <w:t xml:space="preserve">. </w:t>
      </w:r>
    </w:p>
    <w:p w14:paraId="194EF793" w14:textId="5985AE13" w:rsidR="003109A0" w:rsidRDefault="003109A0" w:rsidP="003109A0">
      <w:pPr>
        <w:pStyle w:val="Caption"/>
      </w:pPr>
      <w:bookmarkStart w:id="83" w:name="_Ref14707963"/>
      <w:bookmarkStart w:id="84" w:name="_Toc36042893"/>
      <w:r>
        <w:t xml:space="preserve">Table </w:t>
      </w:r>
      <w:r>
        <w:fldChar w:fldCharType="begin"/>
      </w:r>
      <w:r>
        <w:instrText>SEQ Table \* ARABIC</w:instrText>
      </w:r>
      <w:r>
        <w:fldChar w:fldCharType="separate"/>
      </w:r>
      <w:r w:rsidR="00073927">
        <w:rPr>
          <w:noProof/>
        </w:rPr>
        <w:t>10</w:t>
      </w:r>
      <w:r>
        <w:fldChar w:fldCharType="end"/>
      </w:r>
      <w:bookmarkEnd w:id="83"/>
      <w:r>
        <w:t xml:space="preserve"> </w:t>
      </w:r>
      <w:r w:rsidRPr="00AC6073">
        <w:t>Excerpts from</w:t>
      </w:r>
      <w:r>
        <w:t xml:space="preserve"> </w:t>
      </w:r>
      <w:r w:rsidRPr="003109A0">
        <w:t xml:space="preserve">Wright </w:t>
      </w:r>
      <w:r>
        <w:t>(</w:t>
      </w:r>
      <w:r w:rsidRPr="003109A0">
        <w:t>2014)</w:t>
      </w:r>
      <w:r w:rsidRPr="00AC6073">
        <w:t xml:space="preserve"> related to each impact mode</w:t>
      </w:r>
      <w:bookmarkEnd w:id="84"/>
    </w:p>
    <w:tbl>
      <w:tblPr>
        <w:tblStyle w:val="TableBAHeaderRow"/>
        <w:tblpPr w:leftFromText="180" w:rightFromText="180" w:vertAnchor="text" w:tblpY="1"/>
        <w:tblOverlap w:val="never"/>
        <w:tblW w:w="9726" w:type="dxa"/>
        <w:tblInd w:w="0" w:type="dxa"/>
        <w:tblLook w:val="04A0" w:firstRow="1" w:lastRow="0" w:firstColumn="1" w:lastColumn="0" w:noHBand="0" w:noVBand="1"/>
      </w:tblPr>
      <w:tblGrid>
        <w:gridCol w:w="444"/>
        <w:gridCol w:w="1959"/>
        <w:gridCol w:w="973"/>
        <w:gridCol w:w="6350"/>
      </w:tblGrid>
      <w:tr w:rsidR="001E497A" w14:paraId="54F19323" w14:textId="77777777" w:rsidTr="00134D5C">
        <w:trPr>
          <w:cnfStyle w:val="100000000000" w:firstRow="1" w:lastRow="0" w:firstColumn="0" w:lastColumn="0" w:oddVBand="0" w:evenVBand="0" w:oddHBand="0" w:evenHBand="0" w:firstRowFirstColumn="0" w:firstRowLastColumn="0" w:lastRowFirstColumn="0" w:lastRowLastColumn="0"/>
          <w:tblHeader/>
        </w:trPr>
        <w:tc>
          <w:tcPr>
            <w:tcW w:w="0" w:type="auto"/>
          </w:tcPr>
          <w:p w14:paraId="6C7D70AD" w14:textId="77777777" w:rsidR="001E497A" w:rsidRPr="00134D5C" w:rsidRDefault="001E497A" w:rsidP="001600C7">
            <w:pPr>
              <w:pStyle w:val="TableHeading"/>
              <w:rPr>
                <w:b/>
              </w:rPr>
            </w:pPr>
          </w:p>
        </w:tc>
        <w:tc>
          <w:tcPr>
            <w:tcW w:w="0" w:type="auto"/>
          </w:tcPr>
          <w:p w14:paraId="23589542" w14:textId="77777777" w:rsidR="001E497A" w:rsidRPr="00134D5C" w:rsidRDefault="001E497A" w:rsidP="00D92F83">
            <w:pPr>
              <w:pStyle w:val="TableText"/>
            </w:pPr>
            <w:r w:rsidRPr="00134D5C">
              <w:t>Causal Pathway</w:t>
            </w:r>
          </w:p>
        </w:tc>
        <w:tc>
          <w:tcPr>
            <w:tcW w:w="973" w:type="dxa"/>
          </w:tcPr>
          <w:p w14:paraId="1862DAEC" w14:textId="206E218A" w:rsidR="001E497A" w:rsidRPr="00134D5C" w:rsidRDefault="001E497A" w:rsidP="00D92F83">
            <w:pPr>
              <w:pStyle w:val="TableText"/>
            </w:pPr>
            <w:r w:rsidRPr="00134D5C">
              <w:t>Likelihood score</w:t>
            </w:r>
          </w:p>
        </w:tc>
        <w:tc>
          <w:tcPr>
            <w:tcW w:w="6350" w:type="dxa"/>
          </w:tcPr>
          <w:p w14:paraId="23755053" w14:textId="1DEA3FDA" w:rsidR="001E497A" w:rsidRPr="00134D5C" w:rsidRDefault="001E497A" w:rsidP="00D92F83">
            <w:pPr>
              <w:pStyle w:val="TableText"/>
            </w:pPr>
            <w:r w:rsidRPr="00134D5C">
              <w:t>Key excerpts from: Drilling for Oil and Gas in New Zealand: Environmental Oversight and Regulation; (Wright, 2014)</w:t>
            </w:r>
          </w:p>
        </w:tc>
      </w:tr>
      <w:tr w:rsidR="0024219A" w:rsidRPr="00A8172F" w14:paraId="3AC6B015" w14:textId="77777777" w:rsidTr="0078111C">
        <w:trPr>
          <w:cnfStyle w:val="000000100000" w:firstRow="0" w:lastRow="0" w:firstColumn="0" w:lastColumn="0" w:oddVBand="0" w:evenVBand="0" w:oddHBand="1" w:evenHBand="0" w:firstRowFirstColumn="0" w:firstRowLastColumn="0" w:lastRowFirstColumn="0" w:lastRowLastColumn="0"/>
        </w:trPr>
        <w:tc>
          <w:tcPr>
            <w:tcW w:w="9726" w:type="dxa"/>
            <w:gridSpan w:val="4"/>
          </w:tcPr>
          <w:p w14:paraId="7F1FD38C" w14:textId="775DC568" w:rsidR="0024219A" w:rsidRDefault="0024219A" w:rsidP="00A71174">
            <w:pPr>
              <w:pStyle w:val="TableTextCentred"/>
              <w:spacing w:before="0" w:after="0" w:line="240" w:lineRule="auto"/>
              <w:jc w:val="left"/>
            </w:pPr>
            <w:r w:rsidRPr="7DE8E393">
              <w:rPr>
                <w:b/>
                <w:bCs/>
              </w:rPr>
              <w:t>Hydraulic fracture growth</w:t>
            </w:r>
          </w:p>
        </w:tc>
      </w:tr>
      <w:tr w:rsidR="001E497A" w:rsidRPr="00A8172F" w14:paraId="022E54BA"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35DDD1C" w14:textId="77777777" w:rsidR="001E497A" w:rsidRPr="00EA63C0" w:rsidRDefault="001E497A" w:rsidP="00A71174">
            <w:pPr>
              <w:pStyle w:val="TableText"/>
              <w:spacing w:before="0" w:after="0" w:line="240" w:lineRule="auto"/>
            </w:pPr>
            <w:r>
              <w:t>F.1</w:t>
            </w:r>
          </w:p>
        </w:tc>
        <w:tc>
          <w:tcPr>
            <w:tcW w:w="0" w:type="auto"/>
          </w:tcPr>
          <w:p w14:paraId="72F876F3" w14:textId="77777777" w:rsidR="001E497A" w:rsidRPr="00A8172F" w:rsidRDefault="001E497A" w:rsidP="00A71174">
            <w:pPr>
              <w:pStyle w:val="TableTextCentred"/>
              <w:spacing w:before="0" w:after="0" w:line="240" w:lineRule="auto"/>
              <w:jc w:val="left"/>
            </w:pPr>
            <w:r>
              <w:t>Hydraulic fracture growth into aquifer</w:t>
            </w:r>
          </w:p>
        </w:tc>
        <w:tc>
          <w:tcPr>
            <w:tcW w:w="973" w:type="dxa"/>
          </w:tcPr>
          <w:p w14:paraId="40F84B2D" w14:textId="493CFF35" w:rsidR="001E497A" w:rsidRDefault="001E497A" w:rsidP="00A71174">
            <w:pPr>
              <w:pStyle w:val="TableTextCentred"/>
              <w:spacing w:before="0" w:after="0" w:line="240" w:lineRule="auto"/>
              <w:jc w:val="left"/>
            </w:pPr>
            <w:r>
              <w:t>Not assessed</w:t>
            </w:r>
          </w:p>
        </w:tc>
        <w:tc>
          <w:tcPr>
            <w:tcW w:w="6350" w:type="dxa"/>
          </w:tcPr>
          <w:p w14:paraId="56FB919A" w14:textId="77777777" w:rsidR="001E497A" w:rsidRDefault="001E497A" w:rsidP="00A71174">
            <w:pPr>
              <w:pStyle w:val="BodyText"/>
            </w:pPr>
          </w:p>
        </w:tc>
      </w:tr>
      <w:tr w:rsidR="001E497A" w14:paraId="3E7308D7"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467525E2" w14:textId="77777777" w:rsidR="001E497A" w:rsidRDefault="001E497A" w:rsidP="00A71174">
            <w:pPr>
              <w:pStyle w:val="TableText"/>
              <w:spacing w:before="0" w:after="0" w:line="240" w:lineRule="auto"/>
            </w:pPr>
            <w:r>
              <w:t>F.2</w:t>
            </w:r>
          </w:p>
        </w:tc>
        <w:tc>
          <w:tcPr>
            <w:tcW w:w="0" w:type="auto"/>
          </w:tcPr>
          <w:p w14:paraId="173B1F6E" w14:textId="77777777" w:rsidR="001E497A" w:rsidRDefault="001E497A" w:rsidP="00A71174">
            <w:pPr>
              <w:pStyle w:val="TableTextCentred"/>
              <w:spacing w:before="0" w:after="0" w:line="240" w:lineRule="auto"/>
              <w:jc w:val="left"/>
            </w:pPr>
            <w:r>
              <w:t>Hydraulic fracture growth into well</w:t>
            </w:r>
          </w:p>
        </w:tc>
        <w:tc>
          <w:tcPr>
            <w:tcW w:w="973" w:type="dxa"/>
          </w:tcPr>
          <w:p w14:paraId="52317EA6" w14:textId="4FA41E71" w:rsidR="001E497A" w:rsidRDefault="001E497A" w:rsidP="00A71174">
            <w:pPr>
              <w:pStyle w:val="TableTextCentred"/>
              <w:spacing w:before="0" w:after="0" w:line="240" w:lineRule="auto"/>
              <w:jc w:val="left"/>
            </w:pPr>
            <w:r>
              <w:t>Not assessed</w:t>
            </w:r>
          </w:p>
        </w:tc>
        <w:tc>
          <w:tcPr>
            <w:tcW w:w="6350" w:type="dxa"/>
          </w:tcPr>
          <w:p w14:paraId="4FD48F47" w14:textId="77777777" w:rsidR="001E497A" w:rsidRDefault="001E497A" w:rsidP="00A71174">
            <w:pPr>
              <w:pStyle w:val="BodyText"/>
            </w:pPr>
          </w:p>
        </w:tc>
      </w:tr>
      <w:tr w:rsidR="001E497A" w14:paraId="2FFBC6BA"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5E26ED48" w14:textId="77777777" w:rsidR="001E497A" w:rsidRDefault="001E497A" w:rsidP="00130D5C">
            <w:pPr>
              <w:pStyle w:val="TableText"/>
              <w:spacing w:before="0" w:after="0" w:line="240" w:lineRule="auto"/>
            </w:pPr>
            <w:r>
              <w:t>F.3</w:t>
            </w:r>
          </w:p>
        </w:tc>
        <w:tc>
          <w:tcPr>
            <w:tcW w:w="0" w:type="auto"/>
          </w:tcPr>
          <w:p w14:paraId="1669C072" w14:textId="77777777" w:rsidR="001E497A" w:rsidRDefault="001E497A" w:rsidP="00130D5C">
            <w:pPr>
              <w:pStyle w:val="TableTextCentred"/>
              <w:spacing w:before="0" w:after="0" w:line="240" w:lineRule="auto"/>
              <w:jc w:val="left"/>
            </w:pPr>
            <w:r>
              <w:t>Hydraulic fracture growth into fault</w:t>
            </w:r>
          </w:p>
        </w:tc>
        <w:tc>
          <w:tcPr>
            <w:tcW w:w="973" w:type="dxa"/>
          </w:tcPr>
          <w:p w14:paraId="72088E5B" w14:textId="359B8B9A" w:rsidR="001E497A" w:rsidRDefault="001E497A" w:rsidP="00130D5C">
            <w:pPr>
              <w:pStyle w:val="TableTextCentred"/>
              <w:spacing w:before="0" w:after="0" w:line="240" w:lineRule="auto"/>
              <w:jc w:val="left"/>
            </w:pPr>
            <w:r>
              <w:t>Not assessed</w:t>
            </w:r>
          </w:p>
        </w:tc>
        <w:tc>
          <w:tcPr>
            <w:tcW w:w="6350" w:type="dxa"/>
          </w:tcPr>
          <w:p w14:paraId="4D4A3B0F" w14:textId="6B09E686" w:rsidR="001E497A" w:rsidRDefault="001E497A" w:rsidP="00130D5C">
            <w:pPr>
              <w:pStyle w:val="BodyText"/>
            </w:pPr>
          </w:p>
        </w:tc>
      </w:tr>
      <w:tr w:rsidR="0024219A" w:rsidRPr="00A8172F" w14:paraId="431987B5" w14:textId="77777777" w:rsidTr="0078111C">
        <w:trPr>
          <w:cnfStyle w:val="000000100000" w:firstRow="0" w:lastRow="0" w:firstColumn="0" w:lastColumn="0" w:oddVBand="0" w:evenVBand="0" w:oddHBand="1" w:evenHBand="0" w:firstRowFirstColumn="0" w:firstRowLastColumn="0" w:lastRowFirstColumn="0" w:lastRowLastColumn="0"/>
        </w:trPr>
        <w:tc>
          <w:tcPr>
            <w:tcW w:w="9726" w:type="dxa"/>
            <w:gridSpan w:val="4"/>
          </w:tcPr>
          <w:p w14:paraId="7CC05666" w14:textId="3E637F7F" w:rsidR="0024219A" w:rsidRDefault="0024219A" w:rsidP="00130D5C">
            <w:pPr>
              <w:pStyle w:val="BodyText"/>
              <w:keepNext/>
              <w:keepLines/>
            </w:pPr>
            <w:r w:rsidRPr="00D646E6">
              <w:rPr>
                <w:b/>
                <w:bCs/>
              </w:rPr>
              <w:t>Compromised well integrity</w:t>
            </w:r>
          </w:p>
        </w:tc>
      </w:tr>
      <w:tr w:rsidR="001E497A" w:rsidRPr="00A8172F" w14:paraId="11611FD5"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4578038B" w14:textId="77777777" w:rsidR="001E497A" w:rsidRPr="00EA63C0" w:rsidRDefault="001E497A" w:rsidP="00130D5C">
            <w:pPr>
              <w:pStyle w:val="TableText"/>
              <w:keepNext/>
              <w:keepLines/>
              <w:spacing w:before="0" w:after="0" w:line="240" w:lineRule="auto"/>
            </w:pPr>
            <w:r>
              <w:t>W.1</w:t>
            </w:r>
          </w:p>
        </w:tc>
        <w:tc>
          <w:tcPr>
            <w:tcW w:w="0" w:type="auto"/>
          </w:tcPr>
          <w:p w14:paraId="282CCEB4" w14:textId="77777777" w:rsidR="001E497A" w:rsidRPr="00A8172F" w:rsidRDefault="001E497A" w:rsidP="00130D5C">
            <w:pPr>
              <w:pStyle w:val="TableTextCentred"/>
              <w:keepNext/>
              <w:keepLines/>
              <w:spacing w:before="0" w:after="0" w:line="240" w:lineRule="auto"/>
              <w:jc w:val="left"/>
            </w:pPr>
            <w:r>
              <w:t xml:space="preserve">Well rupture or failure across barriers </w:t>
            </w:r>
          </w:p>
        </w:tc>
        <w:tc>
          <w:tcPr>
            <w:tcW w:w="973" w:type="dxa"/>
          </w:tcPr>
          <w:p w14:paraId="5A0295BF" w14:textId="1BB9930B" w:rsidR="001E497A" w:rsidRDefault="001E497A" w:rsidP="00130D5C">
            <w:pPr>
              <w:pStyle w:val="TableTextCentred"/>
              <w:keepNext/>
              <w:keepLines/>
              <w:spacing w:before="0" w:after="0" w:line="240" w:lineRule="auto"/>
              <w:jc w:val="left"/>
            </w:pPr>
            <w:r>
              <w:t>Rare</w:t>
            </w:r>
          </w:p>
        </w:tc>
        <w:tc>
          <w:tcPr>
            <w:tcW w:w="6350" w:type="dxa"/>
          </w:tcPr>
          <w:p w14:paraId="130CB5CB" w14:textId="69AF9928" w:rsidR="001E497A" w:rsidRDefault="001E497A" w:rsidP="00130D5C">
            <w:pPr>
              <w:pStyle w:val="BodyText"/>
              <w:keepNext/>
              <w:keepLines/>
            </w:pPr>
            <w:r>
              <w:t>“A well leaking into the Heretaunga aquifer or groundwater in the Poverty Flats could be very damaging, although it is unlikely.” p7</w:t>
            </w:r>
          </w:p>
        </w:tc>
      </w:tr>
      <w:tr w:rsidR="001E497A" w14:paraId="78BCC31A"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560EF197" w14:textId="77777777" w:rsidR="001E497A" w:rsidRDefault="001E497A" w:rsidP="00130D5C">
            <w:pPr>
              <w:pStyle w:val="TableText"/>
              <w:keepNext/>
              <w:keepLines/>
              <w:spacing w:before="0" w:after="0" w:line="240" w:lineRule="auto"/>
            </w:pPr>
            <w:r>
              <w:t>W.2</w:t>
            </w:r>
          </w:p>
        </w:tc>
        <w:tc>
          <w:tcPr>
            <w:tcW w:w="0" w:type="auto"/>
          </w:tcPr>
          <w:p w14:paraId="16570513" w14:textId="77777777" w:rsidR="001E497A" w:rsidRDefault="001E497A" w:rsidP="00130D5C">
            <w:pPr>
              <w:pStyle w:val="TableTextCentred"/>
              <w:keepNext/>
              <w:keepLines/>
              <w:spacing w:before="0" w:after="0" w:line="240" w:lineRule="auto"/>
              <w:jc w:val="left"/>
            </w:pPr>
            <w:r>
              <w:t>Migration along casing from reservoir</w:t>
            </w:r>
          </w:p>
        </w:tc>
        <w:tc>
          <w:tcPr>
            <w:tcW w:w="973" w:type="dxa"/>
          </w:tcPr>
          <w:p w14:paraId="236A6DDD" w14:textId="2991FFC0" w:rsidR="001E497A" w:rsidRDefault="001E497A" w:rsidP="00130D5C">
            <w:pPr>
              <w:pStyle w:val="TableTextCentred"/>
              <w:keepNext/>
              <w:keepLines/>
              <w:spacing w:before="0" w:after="0" w:line="240" w:lineRule="auto"/>
              <w:jc w:val="left"/>
            </w:pPr>
            <w:r>
              <w:t>Rare</w:t>
            </w:r>
          </w:p>
        </w:tc>
        <w:tc>
          <w:tcPr>
            <w:tcW w:w="6350" w:type="dxa"/>
          </w:tcPr>
          <w:p w14:paraId="45058775" w14:textId="3688ECB9" w:rsidR="001E497A" w:rsidRDefault="001E497A" w:rsidP="00130D5C">
            <w:pPr>
              <w:pStyle w:val="BodyText"/>
              <w:keepNext/>
              <w:keepLines/>
            </w:pPr>
            <w:r>
              <w:t>“Ensuring the wells have what the industry calls ‘integrity’ is vital for protecting the health and safety of the workers at the well site, as well as protecting the environment. The updated Petroleum Exploration and Extraction Regulations put into effect last year are a great improvement in this area, but there is a need to ensure that the well is cased adequately when it passes through freshwater layers.” p7</w:t>
            </w:r>
          </w:p>
        </w:tc>
      </w:tr>
      <w:tr w:rsidR="001E497A" w14:paraId="18DCEC2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C95A711" w14:textId="77777777" w:rsidR="001E497A" w:rsidRDefault="001E497A" w:rsidP="00A71174">
            <w:pPr>
              <w:pStyle w:val="TableText"/>
              <w:spacing w:before="0" w:after="0" w:line="240" w:lineRule="auto"/>
            </w:pPr>
            <w:r>
              <w:t>W.3</w:t>
            </w:r>
          </w:p>
        </w:tc>
        <w:tc>
          <w:tcPr>
            <w:tcW w:w="0" w:type="auto"/>
          </w:tcPr>
          <w:p w14:paraId="143731B0" w14:textId="77777777" w:rsidR="001E497A" w:rsidRDefault="001E497A" w:rsidP="00A71174">
            <w:pPr>
              <w:pStyle w:val="TableTextCentred"/>
              <w:spacing w:before="0" w:after="0" w:line="240" w:lineRule="auto"/>
              <w:jc w:val="left"/>
            </w:pPr>
            <w:r>
              <w:t>Migration along casing between rock layers</w:t>
            </w:r>
          </w:p>
        </w:tc>
        <w:tc>
          <w:tcPr>
            <w:tcW w:w="973" w:type="dxa"/>
          </w:tcPr>
          <w:p w14:paraId="2479DFD1" w14:textId="52EA8105" w:rsidR="001E497A" w:rsidRDefault="001E497A" w:rsidP="00A71174">
            <w:pPr>
              <w:pStyle w:val="TableTextCentred"/>
              <w:spacing w:before="0" w:after="0" w:line="240" w:lineRule="auto"/>
              <w:jc w:val="left"/>
            </w:pPr>
            <w:r>
              <w:t>Not assessed</w:t>
            </w:r>
          </w:p>
        </w:tc>
        <w:tc>
          <w:tcPr>
            <w:tcW w:w="6350" w:type="dxa"/>
          </w:tcPr>
          <w:p w14:paraId="728C1536" w14:textId="77777777" w:rsidR="001E497A" w:rsidRDefault="001E497A" w:rsidP="00A71174">
            <w:pPr>
              <w:pStyle w:val="BodyText"/>
            </w:pPr>
          </w:p>
        </w:tc>
      </w:tr>
      <w:tr w:rsidR="001E497A" w14:paraId="1DF6858E"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6E5B5028" w14:textId="77777777" w:rsidR="001E497A" w:rsidRDefault="001E497A" w:rsidP="00A71174">
            <w:pPr>
              <w:pStyle w:val="TableText"/>
              <w:spacing w:before="0" w:after="0" w:line="240" w:lineRule="auto"/>
            </w:pPr>
            <w:r>
              <w:t>W.4</w:t>
            </w:r>
          </w:p>
        </w:tc>
        <w:tc>
          <w:tcPr>
            <w:tcW w:w="0" w:type="auto"/>
          </w:tcPr>
          <w:p w14:paraId="401EF8C8" w14:textId="77777777" w:rsidR="001E497A" w:rsidRDefault="001E497A" w:rsidP="00A71174">
            <w:pPr>
              <w:pStyle w:val="TableTextCentred"/>
              <w:spacing w:before="0" w:after="0" w:line="240" w:lineRule="auto"/>
              <w:jc w:val="left"/>
            </w:pPr>
            <w:r>
              <w:t>Migration along decommissioned / abandoned wells</w:t>
            </w:r>
          </w:p>
        </w:tc>
        <w:tc>
          <w:tcPr>
            <w:tcW w:w="973" w:type="dxa"/>
          </w:tcPr>
          <w:p w14:paraId="7F3ADA02" w14:textId="3B1CAB18" w:rsidR="001E497A" w:rsidRDefault="001E497A" w:rsidP="00A71174">
            <w:pPr>
              <w:pStyle w:val="TableTextCentred"/>
              <w:spacing w:before="0" w:after="0" w:line="240" w:lineRule="auto"/>
              <w:jc w:val="left"/>
            </w:pPr>
            <w:r>
              <w:t>Unlikely</w:t>
            </w:r>
          </w:p>
        </w:tc>
        <w:tc>
          <w:tcPr>
            <w:tcW w:w="6350" w:type="dxa"/>
          </w:tcPr>
          <w:p w14:paraId="3EA4DB37" w14:textId="5A04EA7D" w:rsidR="001E497A" w:rsidRDefault="001E497A" w:rsidP="006B05EE">
            <w:pPr>
              <w:pStyle w:val="BodyText"/>
            </w:pPr>
            <w:r>
              <w:t>“In particular, it is not enough to abandon wells and assume they will never leak. In Canada, well operators pay a levy into a fund that is then available for cleaning up any contamination in the future. Such a fund can also be used to pay for monitoring the environment – necessary for detecting contamination. Monitoring is a recurring theme in the report, with New Zealand clearly out of step with international ‘best practice’.” p7</w:t>
            </w:r>
          </w:p>
        </w:tc>
      </w:tr>
      <w:tr w:rsidR="001E497A" w14:paraId="0C9A12D4"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156E6B16" w14:textId="77777777" w:rsidR="001E497A" w:rsidRDefault="001E497A" w:rsidP="00A71174">
            <w:pPr>
              <w:pStyle w:val="TableText"/>
              <w:spacing w:before="0" w:after="0" w:line="240" w:lineRule="auto"/>
            </w:pPr>
            <w:r>
              <w:t>W.5</w:t>
            </w:r>
          </w:p>
        </w:tc>
        <w:tc>
          <w:tcPr>
            <w:tcW w:w="0" w:type="auto"/>
          </w:tcPr>
          <w:p w14:paraId="480EDDF1" w14:textId="77777777" w:rsidR="001E497A" w:rsidRDefault="001E497A" w:rsidP="00A71174">
            <w:pPr>
              <w:pStyle w:val="TableTextCentred"/>
              <w:spacing w:before="0" w:after="0" w:line="240" w:lineRule="auto"/>
              <w:jc w:val="left"/>
            </w:pPr>
            <w:r>
              <w:t>Loss of well control</w:t>
            </w:r>
          </w:p>
        </w:tc>
        <w:tc>
          <w:tcPr>
            <w:tcW w:w="973" w:type="dxa"/>
          </w:tcPr>
          <w:p w14:paraId="7D65542B" w14:textId="7D18B103" w:rsidR="001E497A" w:rsidRDefault="001E497A" w:rsidP="00A71174">
            <w:pPr>
              <w:pStyle w:val="TableTextCentred"/>
              <w:spacing w:before="0" w:after="0" w:line="240" w:lineRule="auto"/>
              <w:jc w:val="left"/>
            </w:pPr>
            <w:r>
              <w:t>Not assessed</w:t>
            </w:r>
          </w:p>
        </w:tc>
        <w:tc>
          <w:tcPr>
            <w:tcW w:w="6350" w:type="dxa"/>
          </w:tcPr>
          <w:p w14:paraId="335AEBDC" w14:textId="77777777" w:rsidR="001E497A" w:rsidRDefault="001E497A" w:rsidP="00A71174">
            <w:pPr>
              <w:pStyle w:val="BodyText"/>
            </w:pPr>
          </w:p>
        </w:tc>
      </w:tr>
    </w:tbl>
    <w:p w14:paraId="13BB460F" w14:textId="77777777" w:rsidR="00A71174" w:rsidRDefault="00A71174" w:rsidP="00985B69">
      <w:pPr>
        <w:pStyle w:val="BodyText"/>
      </w:pPr>
      <w:r>
        <w:br w:type="page"/>
      </w:r>
    </w:p>
    <w:p w14:paraId="0DF89B94" w14:textId="3FFDEB31" w:rsidR="00A71174" w:rsidRPr="005A442F" w:rsidRDefault="00273D75" w:rsidP="00E10706">
      <w:pPr>
        <w:pStyle w:val="Heading3"/>
        <w:rPr>
          <w:i w:val="0"/>
        </w:rPr>
      </w:pPr>
      <w:bookmarkStart w:id="85" w:name="_Toc5272817"/>
      <w:bookmarkStart w:id="86" w:name="_Toc36042862"/>
      <w:bookmarkStart w:id="87" w:name="_Ref528837053"/>
      <w:r w:rsidRPr="005A442F">
        <w:rPr>
          <w:i w:val="0"/>
        </w:rPr>
        <w:t xml:space="preserve">Qualitative review of the findings </w:t>
      </w:r>
      <w:r w:rsidR="00122C47" w:rsidRPr="005A442F">
        <w:rPr>
          <w:i w:val="0"/>
        </w:rPr>
        <w:t xml:space="preserve">from: </w:t>
      </w:r>
      <w:r w:rsidR="000A59BD" w:rsidRPr="00400022">
        <w:t xml:space="preserve">Environmental </w:t>
      </w:r>
      <w:r w:rsidR="00400022" w:rsidRPr="00400022">
        <w:t>i</w:t>
      </w:r>
      <w:r w:rsidR="000A59BD" w:rsidRPr="00400022">
        <w:t xml:space="preserve">mpacts of </w:t>
      </w:r>
      <w:r w:rsidR="00400022" w:rsidRPr="00400022">
        <w:t>s</w:t>
      </w:r>
      <w:r w:rsidR="000A59BD" w:rsidRPr="00400022">
        <w:t xml:space="preserve">hale </w:t>
      </w:r>
      <w:r w:rsidR="00400022" w:rsidRPr="00400022">
        <w:t>g</w:t>
      </w:r>
      <w:r w:rsidR="000A59BD" w:rsidRPr="00400022">
        <w:t xml:space="preserve">as </w:t>
      </w:r>
      <w:r w:rsidR="00400022" w:rsidRPr="00400022">
        <w:t>e</w:t>
      </w:r>
      <w:r w:rsidR="000A59BD" w:rsidRPr="00400022">
        <w:t>xtraction in Canada</w:t>
      </w:r>
      <w:r w:rsidR="000A59BD" w:rsidRPr="005A442F">
        <w:rPr>
          <w:i w:val="0"/>
        </w:rPr>
        <w:t xml:space="preserve"> </w:t>
      </w:r>
      <w:r w:rsidR="000A59BD" w:rsidRPr="005A442F">
        <w:rPr>
          <w:i w:val="0"/>
        </w:rPr>
        <w:fldChar w:fldCharType="begin" w:fldLock="1"/>
      </w:r>
      <w:r w:rsidR="0032056B" w:rsidRPr="005A442F">
        <w:rPr>
          <w:i w:val="0"/>
        </w:rP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rsidR="000A59BD" w:rsidRPr="005A442F">
        <w:rPr>
          <w:i w:val="0"/>
        </w:rPr>
        <w:fldChar w:fldCharType="separate"/>
      </w:r>
      <w:r w:rsidR="000A59BD" w:rsidRPr="005A442F">
        <w:rPr>
          <w:i w:val="0"/>
          <w:noProof/>
        </w:rPr>
        <w:t>(Council of Canadian Academies, 2014)</w:t>
      </w:r>
      <w:bookmarkEnd w:id="85"/>
      <w:bookmarkEnd w:id="86"/>
      <w:r w:rsidR="000A59BD" w:rsidRPr="005A442F">
        <w:rPr>
          <w:i w:val="0"/>
        </w:rPr>
        <w:fldChar w:fldCharType="end"/>
      </w:r>
      <w:bookmarkEnd w:id="87"/>
      <w:r w:rsidR="00A71174" w:rsidRPr="005A442F">
        <w:rPr>
          <w:i w:val="0"/>
        </w:rPr>
        <w:t xml:space="preserve"> </w:t>
      </w:r>
    </w:p>
    <w:p w14:paraId="5B4A8544" w14:textId="05A1FF52" w:rsidR="00986CB4" w:rsidRDefault="00986CB4" w:rsidP="00B65D6D">
      <w:pPr>
        <w:pStyle w:val="Heading4notnumbered"/>
      </w:pPr>
      <w:r>
        <w:t>Background and scope</w:t>
      </w:r>
    </w:p>
    <w:p w14:paraId="016EF5D8" w14:textId="77777777" w:rsidR="0038479F" w:rsidRDefault="0038479F" w:rsidP="0038479F">
      <w:pPr>
        <w:pStyle w:val="BodyText"/>
      </w:pPr>
      <w:r>
        <w:t xml:space="preserve">The Council of Canadian Academies was asked by the federal Minister of Environment to assemble an expert panel to assess the state of knowledge about the impacts of shale gas exploration, extraction, and development in Canada. </w:t>
      </w:r>
    </w:p>
    <w:p w14:paraId="72629B52" w14:textId="77777777" w:rsidR="0038479F" w:rsidRDefault="0038479F" w:rsidP="0038479F">
      <w:pPr>
        <w:pStyle w:val="BodyText"/>
      </w:pPr>
      <w:r>
        <w:t xml:space="preserve">In response, the Council recruited a multidisciplinary panel of experts from Canada and the United States to conduct an evidence-based and authoritative assessment supported by relevant and credible peer reviewed research. As with all Council panels, members were selected for their experience and knowledge, not to represent any particular stakeholder group. </w:t>
      </w:r>
    </w:p>
    <w:p w14:paraId="32CCA609" w14:textId="29171BD5" w:rsidR="0038479F" w:rsidRPr="0038479F" w:rsidRDefault="0038479F" w:rsidP="0038479F">
      <w:pPr>
        <w:pStyle w:val="BodyText"/>
      </w:pPr>
      <w:r>
        <w:t>The report does not include recommendations, since policy prescription falls outside the Council’s mandate.</w:t>
      </w:r>
    </w:p>
    <w:p w14:paraId="54E76B93" w14:textId="6C7B8CAB" w:rsidR="00986CB4" w:rsidRDefault="00986CB4" w:rsidP="00B65D6D">
      <w:pPr>
        <w:pStyle w:val="Heading4notnumbered"/>
      </w:pPr>
      <w:r>
        <w:t>Study area</w:t>
      </w:r>
    </w:p>
    <w:p w14:paraId="5AD06984" w14:textId="609B8EAD" w:rsidR="00204B35" w:rsidRPr="00204B35" w:rsidRDefault="00204B35" w:rsidP="00204B35">
      <w:pPr>
        <w:pStyle w:val="BodyText"/>
      </w:pPr>
      <w:r>
        <w:t>Canada</w:t>
      </w:r>
    </w:p>
    <w:p w14:paraId="4D16D97E" w14:textId="1052C6AC" w:rsidR="00986CB4" w:rsidRDefault="00986CB4" w:rsidP="00B65D6D">
      <w:pPr>
        <w:pStyle w:val="Heading4notnumbered"/>
      </w:pPr>
      <w:r>
        <w:t>Authors</w:t>
      </w:r>
    </w:p>
    <w:p w14:paraId="529C64AA" w14:textId="58B2EE3F" w:rsidR="003D1757" w:rsidRPr="003D1757" w:rsidRDefault="003D1757" w:rsidP="003D1757">
      <w:pPr>
        <w:pStyle w:val="BodyText"/>
      </w:pPr>
      <w:r w:rsidRPr="003D1757">
        <w:t>John Cherry, FRSC (Chair),</w:t>
      </w:r>
      <w:r w:rsidR="00CD3C41" w:rsidRPr="00CD3C41">
        <w:t xml:space="preserve"> Michael Ben-Eli, Lalita Bharadwaj, Richard Chalaturnyk, Maurice B. Dusseault,</w:t>
      </w:r>
      <w:r w:rsidR="00204B35" w:rsidRPr="00204B35">
        <w:t xml:space="preserve"> Bernard Goldstein, Jean-Paul Lacoursière, Ralph Matthews, Bernhard Mayer, John Molson, Kelly Munkittrick, Naomi Oreskes,</w:t>
      </w:r>
      <w:r w:rsidR="0038479F" w:rsidRPr="0038479F">
        <w:t xml:space="preserve"> Beth Parker</w:t>
      </w:r>
      <w:r w:rsidR="003E0EEE">
        <w:t xml:space="preserve"> and </w:t>
      </w:r>
      <w:r w:rsidR="0038479F" w:rsidRPr="0038479F">
        <w:t>Paul Young</w:t>
      </w:r>
      <w:r w:rsidR="00942A02">
        <w:t>.</w:t>
      </w:r>
    </w:p>
    <w:p w14:paraId="05367657" w14:textId="77777777" w:rsidR="00236399" w:rsidRPr="00822417" w:rsidRDefault="00236399" w:rsidP="00236399">
      <w:pPr>
        <w:pStyle w:val="Heading4notnumbered"/>
      </w:pPr>
      <w:r>
        <w:t xml:space="preserve">Key findings </w:t>
      </w:r>
    </w:p>
    <w:p w14:paraId="15753E68" w14:textId="6875D719" w:rsidR="00A71174" w:rsidRPr="005A442F" w:rsidRDefault="000A59BD" w:rsidP="000A59BD">
      <w:pPr>
        <w:pStyle w:val="BodyText"/>
      </w:pPr>
      <w:r w:rsidRPr="005A442F">
        <w:t>The rapid expansion of shale gas development in Canada over the past decade has occurred without a corresponding investment in monitoring and research addressing the impacts on the environment, public health, and communities.</w:t>
      </w:r>
    </w:p>
    <w:p w14:paraId="346FCF35" w14:textId="173AAA08" w:rsidR="000A59BD" w:rsidRPr="005A442F" w:rsidRDefault="000A59BD" w:rsidP="000A59BD">
      <w:pPr>
        <w:pStyle w:val="BodyText"/>
      </w:pPr>
      <w:r w:rsidRPr="005A442F">
        <w:t>Regional differences are essential to understanding these environmental impacts of shale gas development.</w:t>
      </w:r>
    </w:p>
    <w:p w14:paraId="4099A7C8" w14:textId="12259A9B" w:rsidR="000A59BD" w:rsidRPr="005A442F" w:rsidRDefault="000A59BD" w:rsidP="000A59BD">
      <w:pPr>
        <w:pStyle w:val="BodyText"/>
      </w:pPr>
      <w:r w:rsidRPr="005A442F">
        <w:t>Assessment of environmental impacts is hampered by a lack of information about many key issues, particularly the problem of fluids escaping from incompletely sealed wells.</w:t>
      </w:r>
    </w:p>
    <w:p w14:paraId="47A8EE65" w14:textId="241D14C7" w:rsidR="008779EE" w:rsidRPr="005A442F" w:rsidRDefault="008779EE" w:rsidP="008779EE">
      <w:pPr>
        <w:pStyle w:val="BodyText"/>
      </w:pPr>
      <w:r w:rsidRPr="005A442F">
        <w:t>Because groundwater flow is slow, it can take decades or longer for contamination by recalcitrant chemicals to become a recogni</w:t>
      </w:r>
      <w:r w:rsidR="009C7299">
        <w:t>s</w:t>
      </w:r>
      <w:r w:rsidRPr="005A442F">
        <w:t>ed problem.</w:t>
      </w:r>
    </w:p>
    <w:p w14:paraId="0D4945D1" w14:textId="26DDED55" w:rsidR="00573BAA" w:rsidRPr="005A442F" w:rsidRDefault="00573BAA" w:rsidP="00573BAA">
      <w:pPr>
        <w:pStyle w:val="BodyText"/>
      </w:pPr>
      <w:r w:rsidRPr="005A442F">
        <w:t>However, the mere existence of a conduit is not enough to contaminate potable groundwater as there also needs to be sufficient and sustained pressure to push the contaminating fluid to a height where it could overcome the hydraulic head of the freshwater zone. Gas rather than brine and flowback water is the more likely cause of contamination of the F</w:t>
      </w:r>
      <w:r w:rsidR="009C7299">
        <w:t>resh Groundwater Zone (FGWZ)</w:t>
      </w:r>
      <w:r w:rsidRPr="005A442F">
        <w:t xml:space="preserve"> from below. Because they are buoyant and an upward gradient in fluid pressure is present, gases will behave differently here than saline water or hydraulic fracturing fluids.</w:t>
      </w:r>
    </w:p>
    <w:p w14:paraId="73727536" w14:textId="539805D2" w:rsidR="008D2CA3" w:rsidRPr="005A442F" w:rsidRDefault="008D2CA3" w:rsidP="008D2CA3">
      <w:pPr>
        <w:pStyle w:val="BodyText"/>
      </w:pPr>
      <w:r w:rsidRPr="005A442F">
        <w:t>Even if baseline data did exist, it would not be possible to clearly differentiate contamination through natural pathways from that caused by previous or current drilling activities, leaky well casings, or from active fracturing. Without good baseline data, the task is immensely more difficult.</w:t>
      </w:r>
    </w:p>
    <w:p w14:paraId="0A2429E0" w14:textId="43BA1B3D" w:rsidR="00700A0B" w:rsidRPr="005A442F" w:rsidRDefault="00700A0B" w:rsidP="00700A0B">
      <w:pPr>
        <w:pStyle w:val="BodyText"/>
      </w:pPr>
      <w:r w:rsidRPr="005A442F">
        <w:t>There is reason to believe that shale gas development poses a risk to water resources, but the extent of that risk, and whether substantial damage has already occurred, cannot be assessed because of a lack of scientific data and understanding.</w:t>
      </w:r>
    </w:p>
    <w:p w14:paraId="55B3D697" w14:textId="5D7C7CB6" w:rsidR="00700A0B" w:rsidRPr="005A442F" w:rsidRDefault="00700A0B" w:rsidP="00700A0B">
      <w:pPr>
        <w:pStyle w:val="BodyText"/>
      </w:pPr>
      <w:r w:rsidRPr="005A442F">
        <w:t>The main potential cause of groundwater contamination is expected to be from upward gas migration along well casings or in combination with natural fractures causing entry of gas over extended time into freshwater aquifers or into the atmosphere.</w:t>
      </w:r>
    </w:p>
    <w:p w14:paraId="2CEF723C"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4C6EB117" w14:textId="563286F8" w:rsidR="00D25160" w:rsidRPr="00D25160" w:rsidRDefault="00D25160" w:rsidP="00D92F83">
      <w:pPr>
        <w:pStyle w:val="BodyText"/>
      </w:pPr>
      <w:r>
        <w:t xml:space="preserve">A qualitative review of the findings from </w:t>
      </w:r>
      <w:r w:rsidRPr="00DA78F7">
        <w:t xml:space="preserve">Council of Canadian Academies </w:t>
      </w:r>
      <w:r>
        <w:t>(</w:t>
      </w:r>
      <w:r w:rsidRPr="00DA78F7">
        <w:t xml:space="preserve">2014)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_Ref14707988 \h </w:instrText>
      </w:r>
      <w:r w:rsidR="005A442F" w:rsidRPr="005A442F">
        <w:instrText xml:space="preserve"> \* MERGEFORMAT </w:instrText>
      </w:r>
      <w:r w:rsidRPr="005A442F">
        <w:fldChar w:fldCharType="separate"/>
      </w:r>
      <w:r w:rsidR="00073927">
        <w:t xml:space="preserve">Table </w:t>
      </w:r>
      <w:r w:rsidR="00073927">
        <w:rPr>
          <w:noProof/>
        </w:rPr>
        <w:t>11</w:t>
      </w:r>
      <w:r w:rsidRPr="005A442F">
        <w:fldChar w:fldCharType="end"/>
      </w:r>
      <w:r>
        <w:t xml:space="preserve">. </w:t>
      </w:r>
    </w:p>
    <w:p w14:paraId="148AD6A8" w14:textId="06CE8EBB" w:rsidR="00DA78F7" w:rsidRDefault="00DA78F7" w:rsidP="00DA78F7">
      <w:pPr>
        <w:pStyle w:val="Caption"/>
      </w:pPr>
      <w:bookmarkStart w:id="88" w:name="_Ref14707988"/>
      <w:bookmarkStart w:id="89" w:name="_Ref14699794"/>
      <w:bookmarkStart w:id="90" w:name="_Toc36042894"/>
      <w:r>
        <w:t xml:space="preserve">Table </w:t>
      </w:r>
      <w:r>
        <w:fldChar w:fldCharType="begin"/>
      </w:r>
      <w:r>
        <w:instrText>SEQ Table \* ARABIC</w:instrText>
      </w:r>
      <w:r>
        <w:fldChar w:fldCharType="separate"/>
      </w:r>
      <w:r w:rsidR="00073927">
        <w:rPr>
          <w:noProof/>
        </w:rPr>
        <w:t>11</w:t>
      </w:r>
      <w:r>
        <w:fldChar w:fldCharType="end"/>
      </w:r>
      <w:bookmarkEnd w:id="88"/>
      <w:r>
        <w:t xml:space="preserve"> </w:t>
      </w:r>
      <w:r w:rsidRPr="001C6F5E">
        <w:t xml:space="preserve">Excerpts from </w:t>
      </w:r>
      <w:r w:rsidRPr="00DA78F7">
        <w:t xml:space="preserve">Council of Canadian Academies </w:t>
      </w:r>
      <w:r>
        <w:t>(</w:t>
      </w:r>
      <w:r w:rsidRPr="00DA78F7">
        <w:t xml:space="preserve">2014) </w:t>
      </w:r>
      <w:r w:rsidRPr="001C6F5E">
        <w:t>related to each impact mode</w:t>
      </w:r>
      <w:bookmarkEnd w:id="89"/>
      <w:bookmarkEnd w:id="90"/>
    </w:p>
    <w:tbl>
      <w:tblPr>
        <w:tblStyle w:val="TableBAHeaderRow"/>
        <w:tblpPr w:leftFromText="180" w:rightFromText="180" w:vertAnchor="text" w:tblpY="1"/>
        <w:tblOverlap w:val="never"/>
        <w:tblW w:w="9762" w:type="dxa"/>
        <w:tblInd w:w="0" w:type="dxa"/>
        <w:tblLook w:val="04A0" w:firstRow="1" w:lastRow="0" w:firstColumn="1" w:lastColumn="0" w:noHBand="0" w:noVBand="1"/>
      </w:tblPr>
      <w:tblGrid>
        <w:gridCol w:w="444"/>
        <w:gridCol w:w="1882"/>
        <w:gridCol w:w="973"/>
        <w:gridCol w:w="6463"/>
      </w:tblGrid>
      <w:tr w:rsidR="001E497A" w14:paraId="51FEFB7E" w14:textId="77777777" w:rsidTr="001E497A">
        <w:trPr>
          <w:cnfStyle w:val="100000000000" w:firstRow="1" w:lastRow="0" w:firstColumn="0" w:lastColumn="0" w:oddVBand="0" w:evenVBand="0" w:oddHBand="0" w:evenHBand="0" w:firstRowFirstColumn="0" w:firstRowLastColumn="0" w:lastRowFirstColumn="0" w:lastRowLastColumn="0"/>
        </w:trPr>
        <w:tc>
          <w:tcPr>
            <w:tcW w:w="0" w:type="auto"/>
          </w:tcPr>
          <w:p w14:paraId="4DE7D3C1" w14:textId="77777777" w:rsidR="001E497A" w:rsidRPr="00DD07F6" w:rsidRDefault="001E497A" w:rsidP="001600C7">
            <w:pPr>
              <w:pStyle w:val="TableHeading"/>
            </w:pPr>
            <w:bookmarkStart w:id="91" w:name="_Hlk14699702"/>
          </w:p>
        </w:tc>
        <w:tc>
          <w:tcPr>
            <w:tcW w:w="0" w:type="auto"/>
          </w:tcPr>
          <w:p w14:paraId="51B360E3" w14:textId="4D996D4D" w:rsidR="001E497A" w:rsidRDefault="001E497A" w:rsidP="00D92F83">
            <w:pPr>
              <w:pStyle w:val="TableText"/>
            </w:pPr>
            <w:r>
              <w:t>Impact Mode</w:t>
            </w:r>
          </w:p>
        </w:tc>
        <w:tc>
          <w:tcPr>
            <w:tcW w:w="973" w:type="dxa"/>
          </w:tcPr>
          <w:p w14:paraId="6998D322" w14:textId="670230B9" w:rsidR="001E497A" w:rsidRDefault="001E497A" w:rsidP="00D92F83">
            <w:pPr>
              <w:pStyle w:val="TableText"/>
            </w:pPr>
            <w:r>
              <w:t>Likelihood score</w:t>
            </w:r>
          </w:p>
        </w:tc>
        <w:tc>
          <w:tcPr>
            <w:tcW w:w="6463" w:type="dxa"/>
          </w:tcPr>
          <w:p w14:paraId="26E8A40F" w14:textId="2AC8CA5C" w:rsidR="001E497A" w:rsidRDefault="001E497A" w:rsidP="00D92F83">
            <w:pPr>
              <w:pStyle w:val="TableText"/>
            </w:pPr>
            <w:r w:rsidRPr="00122C47">
              <w:t xml:space="preserve">Key excerpts from: </w:t>
            </w:r>
            <w:r w:rsidRPr="00400022">
              <w:rPr>
                <w:i/>
              </w:rPr>
              <w:t xml:space="preserve">Environmental </w:t>
            </w:r>
            <w:r w:rsidR="00400022" w:rsidRPr="00400022">
              <w:rPr>
                <w:i/>
              </w:rPr>
              <w:t>i</w:t>
            </w:r>
            <w:r w:rsidRPr="00400022">
              <w:rPr>
                <w:i/>
              </w:rPr>
              <w:t xml:space="preserve">mpacts of </w:t>
            </w:r>
            <w:r w:rsidR="00400022" w:rsidRPr="00400022">
              <w:rPr>
                <w:i/>
              </w:rPr>
              <w:t>s</w:t>
            </w:r>
            <w:r w:rsidRPr="00400022">
              <w:rPr>
                <w:i/>
              </w:rPr>
              <w:t xml:space="preserve">hale </w:t>
            </w:r>
            <w:r w:rsidR="00400022" w:rsidRPr="00400022">
              <w:rPr>
                <w:i/>
              </w:rPr>
              <w:t>g</w:t>
            </w:r>
            <w:r w:rsidRPr="00400022">
              <w:rPr>
                <w:i/>
              </w:rPr>
              <w:t xml:space="preserve">as </w:t>
            </w:r>
            <w:r w:rsidR="00400022" w:rsidRPr="00400022">
              <w:rPr>
                <w:i/>
              </w:rPr>
              <w:t>e</w:t>
            </w:r>
            <w:r w:rsidRPr="00400022">
              <w:rPr>
                <w:i/>
              </w:rPr>
              <w:t>xtraction in Canada</w:t>
            </w:r>
            <w:r w:rsidRPr="00122C47">
              <w:t xml:space="preserve"> (Council of Canadian Academies, 2014)</w:t>
            </w:r>
          </w:p>
        </w:tc>
      </w:tr>
      <w:tr w:rsidR="0024219A" w:rsidRPr="00A8172F" w14:paraId="253B9CEE" w14:textId="77777777" w:rsidTr="0078111C">
        <w:trPr>
          <w:cnfStyle w:val="000000100000" w:firstRow="0" w:lastRow="0" w:firstColumn="0" w:lastColumn="0" w:oddVBand="0" w:evenVBand="0" w:oddHBand="1" w:evenHBand="0" w:firstRowFirstColumn="0" w:firstRowLastColumn="0" w:lastRowFirstColumn="0" w:lastRowLastColumn="0"/>
        </w:trPr>
        <w:tc>
          <w:tcPr>
            <w:tcW w:w="9762" w:type="dxa"/>
            <w:gridSpan w:val="4"/>
          </w:tcPr>
          <w:p w14:paraId="4E37A46D" w14:textId="48ACF52B" w:rsidR="0024219A" w:rsidRDefault="0024219A" w:rsidP="00A71174">
            <w:pPr>
              <w:pStyle w:val="TableTextCentred"/>
              <w:spacing w:before="0" w:after="0" w:line="240" w:lineRule="auto"/>
              <w:jc w:val="left"/>
            </w:pPr>
            <w:r w:rsidRPr="7DE8E393">
              <w:rPr>
                <w:b/>
                <w:bCs/>
              </w:rPr>
              <w:t>Hydraulic fracture growth</w:t>
            </w:r>
          </w:p>
        </w:tc>
      </w:tr>
      <w:tr w:rsidR="001E497A" w:rsidRPr="00A8172F" w14:paraId="3EA1DF97"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B000A88" w14:textId="77777777" w:rsidR="001E497A" w:rsidRPr="00EA63C0" w:rsidRDefault="001E497A" w:rsidP="00A71174">
            <w:pPr>
              <w:pStyle w:val="TableText"/>
              <w:spacing w:before="0" w:after="0" w:line="240" w:lineRule="auto"/>
            </w:pPr>
            <w:r>
              <w:t>F.1</w:t>
            </w:r>
          </w:p>
        </w:tc>
        <w:tc>
          <w:tcPr>
            <w:tcW w:w="0" w:type="auto"/>
          </w:tcPr>
          <w:p w14:paraId="4BA10CD3" w14:textId="77777777" w:rsidR="001E497A" w:rsidRPr="00A8172F" w:rsidRDefault="001E497A" w:rsidP="00A71174">
            <w:pPr>
              <w:pStyle w:val="TableTextCentred"/>
              <w:spacing w:before="0" w:after="0" w:line="240" w:lineRule="auto"/>
              <w:jc w:val="left"/>
            </w:pPr>
            <w:r>
              <w:t>Hydraulic fracture growth into aquifer</w:t>
            </w:r>
          </w:p>
        </w:tc>
        <w:tc>
          <w:tcPr>
            <w:tcW w:w="973" w:type="dxa"/>
          </w:tcPr>
          <w:p w14:paraId="7C75D995" w14:textId="25D4394D" w:rsidR="001E497A" w:rsidRDefault="001E497A" w:rsidP="00A71174">
            <w:pPr>
              <w:pStyle w:val="TableTextCentred"/>
              <w:spacing w:before="0" w:after="0" w:line="240" w:lineRule="auto"/>
              <w:jc w:val="left"/>
            </w:pPr>
            <w:r>
              <w:t>Rare</w:t>
            </w:r>
          </w:p>
        </w:tc>
        <w:tc>
          <w:tcPr>
            <w:tcW w:w="6463" w:type="dxa"/>
          </w:tcPr>
          <w:p w14:paraId="1A221585" w14:textId="1081BE5A" w:rsidR="001E497A" w:rsidRDefault="001E497A" w:rsidP="004E4CB2">
            <w:pPr>
              <w:pStyle w:val="BodyText"/>
            </w:pPr>
            <w:r>
              <w:t>“No comprehensive study in Canada has defined the depth of the bottom of the FGWZ [</w:t>
            </w:r>
            <w:r w:rsidRPr="00C60206">
              <w:t>Fresh Groundwater Zone</w:t>
            </w:r>
            <w:r>
              <w:t>], which varies from region to region. A general estimate is between 100 and 300 metres below land surface, although it may be as deep as 500 to 600 metres.” p62</w:t>
            </w:r>
          </w:p>
          <w:p w14:paraId="177B1796" w14:textId="114C788E" w:rsidR="001E497A" w:rsidRDefault="001E497A" w:rsidP="004E4CB2">
            <w:pPr>
              <w:pStyle w:val="BodyText"/>
            </w:pPr>
          </w:p>
          <w:p w14:paraId="3DB99EFA" w14:textId="3753299C" w:rsidR="001E497A" w:rsidRDefault="001E497A" w:rsidP="008779EE">
            <w:pPr>
              <w:pStyle w:val="BodyText"/>
            </w:pPr>
            <w:r>
              <w:t xml:space="preserve">“Non-peer reviewed literature commonly states that no impacts have been proven or verified. For example, the American Water Works Association’s White Paper on Water and Hydraulic Fracturing states: “At this time, AWWA is aware of no proven cases of groundwater contamination directly attributable to hydraulic fracturing” [cited as AWWA, 2013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D01044">
              <w:rPr>
                <w:noProof/>
              </w:rPr>
              <w:t xml:space="preserve">Council of Canadian Academies, </w:t>
            </w:r>
            <w:r>
              <w:rPr>
                <w:noProof/>
              </w:rPr>
              <w:t>(</w:t>
            </w:r>
            <w:r w:rsidRPr="00D01044">
              <w:rPr>
                <w:noProof/>
              </w:rPr>
              <w:t>2014)</w:t>
            </w:r>
            <w:r>
              <w:fldChar w:fldCharType="end"/>
            </w:r>
            <w:r>
              <w:t>].” p66</w:t>
            </w:r>
          </w:p>
          <w:p w14:paraId="3103E171" w14:textId="77777777" w:rsidR="001E497A" w:rsidRDefault="001E497A" w:rsidP="004E4CB2">
            <w:pPr>
              <w:pStyle w:val="BodyText"/>
            </w:pPr>
          </w:p>
          <w:p w14:paraId="05AD41C5" w14:textId="6D8C2B04" w:rsidR="001E497A" w:rsidRDefault="001E497A" w:rsidP="008779EE">
            <w:pPr>
              <w:pStyle w:val="BodyText"/>
            </w:pPr>
            <w:r>
              <w:t>“</w:t>
            </w:r>
            <w:r>
              <w:fldChar w:fldCharType="begin" w:fldLock="1"/>
            </w:r>
            <w:r>
              <w:instrText>ADDIN CSL_CITATION {"citationItems":[{"id":"ITEM-1","itemData":{"DOI":"10.1111/gwat.12074","ISBN":"1745-6584","ISSN":"0017467X","PMID":"23745972","abstract":"Unconventional natural gas extraction from tight sandstones, shales, and some coal-beds is typically accomplished by horizontal drilling and hydraulic fracturing that is necessary for economic development of these new hydrocarbon resources. Concerns have been raised regarding the potential for contamination of shallow groundwater by stray gases, formation waters, and fracturing chemicals associated with unconventional gas exploration. A lack of sound scientific hydrogeological field observations and a scarcity of published peer-reviewed articles on the effects of both conventional and unconventional oil and gas activities on shallow groundwater make it difficult to address these issues. Here, we discuss several case studies related to both conventional and unconventional oil and gas activities illustrating how under some circumstances stray or fugitive gas from deep gas-rich formations has migrated from the subsurface into shallow aquifers and how it has affected groundwater quality. Examples include impacts of uncemented well annuli in areas of historic drilling operations, effects related to poor cement bonding in both new and old hydrocarbon wells, and ineffective cementing practices. We also summarize studies describing how structural features influence the role of natural and induced fractures as contaminant fluid migration pathways. On the basis of these studies, we identify two areas where field-focused research is urgently needed to fill current science gaps related to unconventional gas extraction: (1) baseline geochemical mapping (with time series sampling from a sufficient network of groundwater monitoring wells) and (2) field testing of potential mechanisms and pathways by which hydrocarbon gases, reservoir fluids, and fracturing chemicals might potentially invade and contaminate useable groundwater.","author":[{"dropping-particle":"","family":"Jackson","given":"R. E.","non-dropping-particle":"","parse-names":false,"suffix":""},{"dropping-particle":"","family":"Gorody","given":"A. W.","non-dropping-particle":"","parse-names":false,"suffix":""},{"dropping-particle":"","family":"Mayer","given":"B.","non-dropping-particle":"","parse-names":false,"suffix":""},{"dropping-particle":"","family":"Roy","given":"J. W.","non-dropping-particle":"","parse-names":false,"suffix":""},{"dropping-particle":"","family":"Ryan","given":"M. C.","non-dropping-particle":"","parse-names":false,"suffix":""},{"dropping-particle":"","family":"Stempvoort","given":"D. R.","non-dropping-particle":"Van","parse-names":false,"suffix":""}],"container-title":"Groundwater","id":"ITEM-1","issue":"4","issued":{"date-parts":[["2013"]]},"page":"488-510","title":"Groundwater protection and unconventional gas extraction: The critical need for field-based hydrogeological research","type":"article-journal","volume":"51"},"uris":["http://www.mendeley.com/documents/?uuid=5c2327dc-f40c-4f61-b5bd-2d4083cb54db"]}],"mendeley":{"formattedCitation":"(R. E. Jackson &lt;i&gt;et al.&lt;/i&gt;, 2013)","manualFormatting":"Jackson et al., (2013)","plainTextFormattedCitation":"(R. E. Jackson et al., 2013)","previouslyFormattedCitation":"(R. E. Jackson &lt;i&gt;et al.&lt;/i&gt;, 2013)"},"properties":{"noteIndex":0},"schema":"https://github.com/citation-style-language/schema/raw/master/csl-citation.json"}</w:instrText>
            </w:r>
            <w:r>
              <w:fldChar w:fldCharType="separate"/>
            </w:r>
            <w:r w:rsidRPr="00D01044">
              <w:rPr>
                <w:noProof/>
              </w:rPr>
              <w:t xml:space="preserve">Jackson </w:t>
            </w:r>
            <w:r w:rsidRPr="005A442F">
              <w:rPr>
                <w:noProof/>
              </w:rPr>
              <w:t>et al.</w:t>
            </w:r>
            <w:r w:rsidRPr="00D01044">
              <w:rPr>
                <w:noProof/>
              </w:rPr>
              <w:t xml:space="preserve">, </w:t>
            </w:r>
            <w:r>
              <w:rPr>
                <w:noProof/>
              </w:rPr>
              <w:t>(</w:t>
            </w:r>
            <w:r w:rsidRPr="00D01044">
              <w:rPr>
                <w:noProof/>
              </w:rPr>
              <w:t>2013)</w:t>
            </w:r>
            <w:r>
              <w:fldChar w:fldCharType="end"/>
            </w:r>
            <w:r>
              <w:t xml:space="preserve"> provide a much more nuanced statement of this generalization: ‘</w:t>
            </w:r>
            <w:r w:rsidRPr="005A442F">
              <w:t>There is no evidence that fracture propagation out-of-zone to shallow groundwater has occurred from deep (&gt;1,000 metre) shale gas reservoirs, although no scientifically robust groundwater monitoring to detect gas migration has been attempted to our knowledge.</w:t>
            </w:r>
            <w:r>
              <w:t>’” p67</w:t>
            </w:r>
          </w:p>
          <w:p w14:paraId="361142EF" w14:textId="77777777" w:rsidR="001E497A" w:rsidRDefault="001E497A" w:rsidP="008779EE">
            <w:pPr>
              <w:pStyle w:val="BodyText"/>
            </w:pPr>
          </w:p>
          <w:p w14:paraId="493F485F" w14:textId="3376915B" w:rsidR="001E497A" w:rsidRDefault="001E497A" w:rsidP="008779EE">
            <w:pPr>
              <w:pStyle w:val="BodyText"/>
            </w:pPr>
            <w:r>
              <w:t>“</w:t>
            </w:r>
            <w:r>
              <w:fldChar w:fldCharType="begin" w:fldLock="1"/>
            </w:r>
            <w:r>
              <w:instrText>ADDIN CSL_CITATION {"citationItems":[{"id":"ITEM-1","itemData":{"DOI":"10.1126/science.1235009","ISBN":"0036-8075","ISSN":"10959203","PMID":"23687049","abstract":"Unconventional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D.","non-dropping-particle":"","parse-names":false,"suffix":""}],"container-title":"Science","id":"ITEM-1","issue":"6134","issued":{"date-parts":[["2013","5"]]},"title":"Impact of shale gas development on regional water quality","title-short":"Vidic et al. 2013","type":"article-journal","volume":"340"},"uris":["http://www.mendeley.com/documents/?uuid=14f56300-1882-4d91-9290-dde5490a3245"]}],"mendeley":{"formattedCitation":"(Vidic &lt;i&gt;et al.&lt;/i&gt;, 2013)","manualFormatting":"Vidic et al. (2013)","plainTextFormattedCitation":"(Vidic et al., 2013)","previouslyFormattedCitation":"(Vidic &lt;i&gt;et al.&lt;/i&gt;, 2013)"},"properties":{"noteIndex":0},"schema":"https://github.com/citation-style-language/schema/raw/master/csl-citation.json"}</w:instrText>
            </w:r>
            <w:r>
              <w:fldChar w:fldCharType="separate"/>
            </w:r>
            <w:r w:rsidRPr="00D01044">
              <w:rPr>
                <w:noProof/>
              </w:rPr>
              <w:t xml:space="preserve">Vidic </w:t>
            </w:r>
            <w:r w:rsidRPr="005A442F">
              <w:rPr>
                <w:noProof/>
              </w:rPr>
              <w:t>et al.</w:t>
            </w:r>
            <w:r w:rsidRPr="00D01044">
              <w:rPr>
                <w:noProof/>
              </w:rPr>
              <w:t xml:space="preserve"> </w:t>
            </w:r>
            <w:r>
              <w:rPr>
                <w:noProof/>
              </w:rPr>
              <w:t>(</w:t>
            </w:r>
            <w:r w:rsidRPr="00D01044">
              <w:rPr>
                <w:noProof/>
              </w:rPr>
              <w:t>2013)</w:t>
            </w:r>
            <w:r>
              <w:fldChar w:fldCharType="end"/>
            </w:r>
            <w:r>
              <w:t xml:space="preserve"> summarize this controversy as follows:</w:t>
            </w:r>
          </w:p>
          <w:p w14:paraId="02B21DAB" w14:textId="4B74D955" w:rsidR="001E497A" w:rsidRPr="005A442F" w:rsidRDefault="001E497A" w:rsidP="008779EE">
            <w:pPr>
              <w:pStyle w:val="BodyText"/>
              <w:ind w:left="720"/>
            </w:pPr>
            <w:r w:rsidRPr="005A442F">
              <w:t>‘Since the advent of hydraulic fracturing, more than 1 million hydraulic fracturing treatments have been conducted, with perhaps only one documented case of direct groundwater pollution resulting from injection of hydraulic fracturing chemicals used for shale gas extraction. Impacts from casing leakage, well blowouts and spills of contaminated fluids are more prevalent but have generally been quickly mitigated. However, confidentiality requirements dictated by legal investigations, combined with the expedited rate of development and the limited funding for research, are substantial impediments to peer-reviewed research into environmental impacts.’” p67</w:t>
            </w:r>
          </w:p>
          <w:p w14:paraId="10A00114" w14:textId="77777777" w:rsidR="001E497A" w:rsidRDefault="001E497A" w:rsidP="00733B41">
            <w:pPr>
              <w:pStyle w:val="BodyText"/>
            </w:pPr>
          </w:p>
          <w:p w14:paraId="640D9AC9" w14:textId="425F7F67" w:rsidR="001E497A" w:rsidRDefault="001E497A" w:rsidP="00733B41">
            <w:pPr>
              <w:pStyle w:val="BodyText"/>
            </w:pPr>
            <w:r>
              <w:t xml:space="preserve">“[three issues where]… private well owners who have claimed that shale gas or other oil and gas industry affected their wells have had their claims settled, their water supply replaced, and their losses compensated </w:t>
            </w:r>
            <w:r>
              <w:fldChar w:fldCharType="begin" w:fldLock="1"/>
            </w:r>
            <w:r w:rsidR="00C91CDA">
              <w:instrText>ADDIN CSL_CITATION {"citationItems":[{"id":"ITEM-1","itemData":{"abstract":"Over the past decade, the oil and gas industry has fused two technolo- gies—hydraulic fracturing and hori- zontal drilling—to unlock new supplies of fossil fuels in underground rock forma- tions across the United States. “Fracking” has spread rapidly, leaving a trail of con- taminated water, polluted air, and marred landscapes in its wake. In fact, a growing body of data indicates that fracking is an environmental and public health disaster in the making. However, the true toll of fracking does not end there. Fracking’s negative impacts on our environment and health come with heavy “dollars and cents” costs as well. In this report, we document those costs—rang- ing from cleaning up contaminated water to repairing ruined roads and beyond. Many of these costs are likely to be borne by the public, rather than the oil and gas industry. As with the damage done by previous ex- tractive booms, the public may experience these costs for decades to come. The case against fracking is compelling based on its damage to the environment and our health alone. To the extent that fracking does take place, the least the public can expect is for the oil and gas industry to be held accountable for the damage it causes. Such accountability must include up-front financial assurances sufficient to ensure that the harms caused by fracking are fully redressed.","author":[{"dropping-particle":"","family":"Dutzik","given":"Tony","non-dropping-particle":"","parse-names":false,"suffix":""},{"dropping-particle":"","family":"Ridlington","given":"Elizabeth","non-dropping-particle":"","parse-names":false,"suffix":""},{"dropping-particle":"","family":"Group","given":"Frontier","non-dropping-particle":"","parse-names":false,"suffix":""},{"dropping-particle":"","family":"Rumpler","given":"John","non-dropping-particle":"","parse-names":false,"suffix":""}],"id":"ITEM-1","issued":{"date-parts":[["2012"]]},"number-of-pages":"49","title":"The Costs of Fracking","type":"report"},"uris":["http://www.mendeley.com/documents/?uuid=84316b38-4e7b-4400-af5c-6dd79c1dd640"]},{"id":"ITEM-2","itemData":{"DOI":"10.1126/science.1235009","ISBN":"0036-8075","ISSN":"10959203","PMID":"23687049","abstract":"Unconventional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D.","non-dropping-particle":"","parse-names":false,"suffix":""}],"container-title":"Science","id":"ITEM-2","issue":"6134","issued":{"date-parts":[["2013","5"]]},"title":"Impact of shale gas development on regional water quality","title-short":"Vidic et al. 2013","type":"article-journal","volume":"340"},"uris":["http://www.mendeley.com/documents/?uuid=14f56300-1882-4d91-9290-dde5490a3245"]}],"mendeley":{"formattedCitation":"(Dutzik &lt;i&gt;et al.&lt;/i&gt;, 2012; Vidic &lt;i&gt;et al.&lt;/i&gt;, 2013)","plainTextFormattedCitation":"(Dutzik et al., 2012; Vidic et al., 2013)","previouslyFormattedCitation":"(Dutzik &lt;i&gt;et al.&lt;/i&gt;, 2012; Vidic &lt;i&gt;et al.&lt;/i&gt;, 2013)"},"properties":{"noteIndex":0},"schema":"https://github.com/citation-style-language/schema/raw/master/csl-citation.json"}</w:instrText>
            </w:r>
            <w:r>
              <w:fldChar w:fldCharType="separate"/>
            </w:r>
            <w:r w:rsidRPr="00302F77">
              <w:rPr>
                <w:noProof/>
              </w:rPr>
              <w:t xml:space="preserve">(Dutzik </w:t>
            </w:r>
            <w:r w:rsidRPr="005A442F">
              <w:rPr>
                <w:noProof/>
              </w:rPr>
              <w:t>et al.</w:t>
            </w:r>
            <w:r w:rsidRPr="00302F77">
              <w:rPr>
                <w:noProof/>
              </w:rPr>
              <w:t xml:space="preserve">, 2012; Vidic </w:t>
            </w:r>
            <w:r w:rsidRPr="005A442F">
              <w:rPr>
                <w:noProof/>
              </w:rPr>
              <w:t>et al.</w:t>
            </w:r>
            <w:r w:rsidRPr="00302F77">
              <w:rPr>
                <w:noProof/>
              </w:rPr>
              <w:t>, 2013)</w:t>
            </w:r>
            <w:r>
              <w:fldChar w:fldCharType="end"/>
            </w:r>
            <w:r>
              <w:t>…</w:t>
            </w:r>
          </w:p>
          <w:p w14:paraId="5DCDFF7E" w14:textId="0F0602A9" w:rsidR="001E497A" w:rsidRDefault="001E497A" w:rsidP="006E7F04">
            <w:pPr>
              <w:pStyle w:val="BodyText"/>
              <w:numPr>
                <w:ilvl w:val="0"/>
                <w:numId w:val="15"/>
              </w:numPr>
            </w:pPr>
            <w:r>
              <w:t>sufficient data to evaluate the claims (for and against) of contamination related to hydraulic fracturing have not been collected;</w:t>
            </w:r>
          </w:p>
          <w:p w14:paraId="396E914B" w14:textId="77777777" w:rsidR="001E497A" w:rsidRDefault="001E497A" w:rsidP="006E7F04">
            <w:pPr>
              <w:pStyle w:val="BodyText"/>
              <w:numPr>
                <w:ilvl w:val="0"/>
                <w:numId w:val="15"/>
              </w:numPr>
            </w:pPr>
            <w:r>
              <w:t>sufficient data to understand the various possible pathways of contamination that may occur in the future have not been collected; and</w:t>
            </w:r>
          </w:p>
          <w:p w14:paraId="720218FA" w14:textId="4ECD3AB2" w:rsidR="001E497A" w:rsidRDefault="001E497A" w:rsidP="006E7F04">
            <w:pPr>
              <w:pStyle w:val="BodyText"/>
              <w:numPr>
                <w:ilvl w:val="0"/>
                <w:numId w:val="15"/>
              </w:numPr>
            </w:pPr>
            <w:r>
              <w:t>the time frame to judge potential long-term, cumulative impacts has been inadequate.” p67</w:t>
            </w:r>
          </w:p>
          <w:p w14:paraId="63115379" w14:textId="77777777" w:rsidR="001E497A" w:rsidRDefault="001E497A" w:rsidP="00573BAA">
            <w:pPr>
              <w:pStyle w:val="BodyText"/>
            </w:pPr>
          </w:p>
          <w:p w14:paraId="497A520E" w14:textId="55B6D70B" w:rsidR="001E497A" w:rsidRDefault="001E497A" w:rsidP="00573BAA">
            <w:pPr>
              <w:pStyle w:val="BodyText"/>
            </w:pPr>
            <w:r>
              <w:t>“Hydraulic fracturing and other shale gas extraction activities may create or enhance preferential pathways for gas and saline waters to move upward more actively through the Intermediate Zone into the FGWZ.” p73</w:t>
            </w:r>
          </w:p>
          <w:p w14:paraId="4159E966" w14:textId="77777777" w:rsidR="001E497A" w:rsidRDefault="001E497A" w:rsidP="00573BAA">
            <w:pPr>
              <w:pStyle w:val="BodyText"/>
            </w:pPr>
          </w:p>
          <w:p w14:paraId="05B497A2" w14:textId="1F019F3F" w:rsidR="001E497A" w:rsidRDefault="001E497A" w:rsidP="00573BAA">
            <w:pPr>
              <w:pStyle w:val="BodyText"/>
            </w:pPr>
            <w:r>
              <w:t>“…the movement of the more buoyant natural gas through fractured sedimentary rock following its release by hydraulic fracturing has not yet been rigorously analyzed or assessed.” p74</w:t>
            </w:r>
          </w:p>
          <w:p w14:paraId="35B42AD0" w14:textId="77777777" w:rsidR="001E497A" w:rsidRDefault="001E497A" w:rsidP="00573BAA">
            <w:pPr>
              <w:pStyle w:val="BodyText"/>
            </w:pPr>
          </w:p>
          <w:p w14:paraId="77AD1406" w14:textId="4AB0D427" w:rsidR="001E497A" w:rsidRDefault="001E497A" w:rsidP="008D2CA3">
            <w:pPr>
              <w:pStyle w:val="BodyText"/>
            </w:pPr>
            <w:r>
              <w:t xml:space="preserve">“…large volume of liquids used in a single shale gas well during fracturing (as much as 80,000,000L)…  raises the concern that any induced fractures could breach the overlying geological strata and interact directly with shallow aquifers via existing faults and fracture zones </w:t>
            </w:r>
            <w:r>
              <w:fldChar w:fldCharType="begin" w:fldLock="1"/>
            </w:r>
            <w:r>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aquifers.","type":"article-journal","volume":"50"},"uris":["http://www.mendeley.com/documents/?uuid=f07de24d-98e0-4591-a4db-f22fe9aa422a"]},{"id":"ITEM-2","itemData":{"DOI":"10.1002/2013WR014287","ISBN":"1944-7973","ISSN":"00431397","abstract":"Hydraulic fracturing, used to economically produce natural gas from shale formations, has raised environmental concerns. The objective of this study is to assess one of the largely unexamined issues, which is the potential for slow contamination of shallow groundwater due to hydraulic fracturing at depth via fluid migration along conductive faults. We compiled publically available data of shale gas basins and hydraulic fracturing operations to develop a two-dimensional, single-phase, multispecies, density-dependent, finite-element numerical groundwater flow and mass transport model. The model simulates hydraulic fracturing in the vicinity of a permeable fault zone in a generic, low-recharge, regional sedimentary basin in which shallow, active groundwater flow occurs above nearly stagnant brine. A sensitivity analysis of contaminant migration along the fault considered basin, fault and hydraulic fracturing parameters. Results show that specific conditions are needed for the slow contamination of a shallow aquifer: a high permeability fault, high overpressure in the shale unit, and hydrofracturing in the upper portion of the shale near the fault. Under such conditions, contaminants from the shale unit reach the shallow aquifer in less than 1000 years following hydraulic fracturing, at concentrations of solutes up to 90% of their initial concentration in the shale, indicating that the impact on groundwater quality could be significant. Important implications of this result are that hydraulic fracturing should not be carried out near potentially conductive faults, and that impacts should be monitored for long timespans. Further work is needed to assess the impact of multiphase flow on contaminant transport along natural preferential pathways.","author":[{"dropping-particle":"","family":"Gassiat","given":"Claire","non-dropping-particle":"","parse-names":false,"suffix":""},{"dropping-particle":"","family":"Gleeson","given":"Tom","non-dropping-particle":"","parse-names":false,"suffix":""},{"dropping-particle":"","family":"Lefebvre","given":"Rene","non-dropping-particle":"","parse-names":false,"suffix":""},{"dropping-particle":"","family":"McKenzie","given":"Jeffrey","non-dropping-particle":"","parse-names":false,"suffix":""}],"container-title":"Water Resources Research","id":"ITEM-2","issue":"12","issued":{"date-parts":[["2013"]]},"page":"8310-8327","title":"Hydraulic fracturing in faulted sedimentary basins: Numerical simulation of potential contamination of shallow aquifers over long time scales","type":"article-journal","volume":"49"},"uris":["http://www.mendeley.com/documents/?uuid=4f4ce29f-b9dd-4daf-92ef-292602c99743"]}],"mendeley":{"formattedCitation":"(Myers, 2012; Gassiat &lt;i&gt;et al.&lt;/i&gt;, 2013)","plainTextFormattedCitation":"(Myers, 2012; Gassiat et al., 2013)","previouslyFormattedCitation":"(Myers, 2012; Gassiat &lt;i&gt;et al.&lt;/i&gt;, 2013)"},"properties":{"noteIndex":0},"schema":"https://github.com/citation-style-language/schema/raw/master/csl-citation.json"}</w:instrText>
            </w:r>
            <w:r>
              <w:fldChar w:fldCharType="separate"/>
            </w:r>
            <w:r w:rsidRPr="00C60206">
              <w:rPr>
                <w:noProof/>
              </w:rPr>
              <w:t xml:space="preserve">(Myers, 2012; Gassiat </w:t>
            </w:r>
            <w:r w:rsidRPr="005A442F">
              <w:rPr>
                <w:noProof/>
              </w:rPr>
              <w:t>et al.</w:t>
            </w:r>
            <w:r w:rsidRPr="00C60206">
              <w:rPr>
                <w:noProof/>
              </w:rPr>
              <w:t>, 2013)</w:t>
            </w:r>
            <w:r>
              <w:fldChar w:fldCharType="end"/>
            </w:r>
            <w:r>
              <w:t>.” p78</w:t>
            </w:r>
          </w:p>
          <w:p w14:paraId="4929008C" w14:textId="0A13AE77" w:rsidR="001E497A" w:rsidRDefault="001E497A" w:rsidP="008D2CA3">
            <w:pPr>
              <w:pStyle w:val="BodyText"/>
            </w:pPr>
          </w:p>
          <w:p w14:paraId="7BACE3EA" w14:textId="025995EB" w:rsidR="001E497A" w:rsidRDefault="001E497A" w:rsidP="008D2CA3">
            <w:pPr>
              <w:pStyle w:val="BodyText"/>
            </w:pPr>
            <w:r>
              <w:t>“</w:t>
            </w:r>
            <w:r w:rsidRPr="008D2CA3">
              <w:t>Industry has</w:t>
            </w:r>
            <w:r>
              <w:t xml:space="preserve"> maintained that the risk of hydraulic fracturing creating vertical conduits that would communicate with, and therefore contaminate, shallow groundwaters is extremely small for deep wells (i.e., those greater than about 1.0 kilometre).” p79</w:t>
            </w:r>
          </w:p>
          <w:p w14:paraId="119F5149" w14:textId="77777777" w:rsidR="001E497A" w:rsidRDefault="001E497A" w:rsidP="008D2CA3">
            <w:pPr>
              <w:pStyle w:val="BodyText"/>
            </w:pPr>
          </w:p>
          <w:p w14:paraId="3018AFCC" w14:textId="0C4CC89E" w:rsidR="001E497A" w:rsidRDefault="001E497A" w:rsidP="008D2CA3">
            <w:pPr>
              <w:pStyle w:val="BodyText"/>
            </w:pPr>
            <w:r>
              <w:t xml:space="preserve">“According to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C60206">
              <w:rPr>
                <w:noProof/>
              </w:rPr>
              <w:t xml:space="preserve">Fisher and Warpinski, </w:t>
            </w:r>
            <w:r>
              <w:rPr>
                <w:noProof/>
              </w:rPr>
              <w:t>(</w:t>
            </w:r>
            <w:r w:rsidRPr="00C60206">
              <w:rPr>
                <w:noProof/>
              </w:rPr>
              <w:t>2012)</w:t>
            </w:r>
            <w:r>
              <w:fldChar w:fldCharType="end"/>
            </w:r>
            <w:r>
              <w:t>:</w:t>
            </w:r>
          </w:p>
          <w:p w14:paraId="75779155" w14:textId="11D3E5AE" w:rsidR="001E497A" w:rsidRPr="005A442F" w:rsidRDefault="001E497A" w:rsidP="008D2CA3">
            <w:pPr>
              <w:pStyle w:val="BodyText"/>
              <w:ind w:left="720"/>
            </w:pPr>
            <w:r w:rsidRPr="005A442F">
              <w:t>‘Under normal circumstances, where hydraulic fractures are conducted at depth, there is no method by which a fracture is going to propagate through the various rock layers and reach the surface. This fact is observed in all of the mapping data and is expected based on the application of basic rock-mechanics principles deduced from mineback, core, lab, and modelling studies.’” p79</w:t>
            </w:r>
          </w:p>
          <w:p w14:paraId="5963AA35" w14:textId="77777777" w:rsidR="001E497A" w:rsidRPr="005A442F" w:rsidRDefault="001E497A" w:rsidP="008D2CA3">
            <w:pPr>
              <w:pStyle w:val="BodyText"/>
              <w:ind w:left="720"/>
            </w:pPr>
          </w:p>
          <w:p w14:paraId="40E086E7" w14:textId="22041D25" w:rsidR="001E497A" w:rsidRDefault="001E497A" w:rsidP="008D2CA3">
            <w:pPr>
              <w:pStyle w:val="BodyText"/>
            </w:pPr>
            <w:r>
              <w:t xml:space="preserve">“Generally, the Panel accepts the above statement as likely, provided that the qualifier, </w:t>
            </w:r>
            <w:r w:rsidRPr="008D2CA3">
              <w:rPr>
                <w:b/>
              </w:rPr>
              <w:t>great depth</w:t>
            </w:r>
            <w:r>
              <w:t>, is included. However, the Panel notes that this is a largely empirical belief based on microseismic measurements and geomechanical considerations, rather than on more definitive types of measurement. The literature does not specify the minimal depth at which hydraulic fracturing is too risky to undertake. Nor does it specify what data and analysis are needed to determine if conditions are too risky to proceed.” p79</w:t>
            </w:r>
          </w:p>
          <w:p w14:paraId="50292EA7" w14:textId="380F5FF2" w:rsidR="001E497A" w:rsidRPr="00733B41" w:rsidRDefault="001E497A" w:rsidP="008D2CA3">
            <w:pPr>
              <w:pStyle w:val="BodyText"/>
            </w:pPr>
          </w:p>
        </w:tc>
      </w:tr>
      <w:tr w:rsidR="001E497A" w14:paraId="143D906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630B8470" w14:textId="77777777" w:rsidR="001E497A" w:rsidRDefault="001E497A" w:rsidP="00A71174">
            <w:pPr>
              <w:pStyle w:val="TableText"/>
              <w:spacing w:before="0" w:after="0" w:line="240" w:lineRule="auto"/>
            </w:pPr>
            <w:r>
              <w:t>F.2</w:t>
            </w:r>
          </w:p>
        </w:tc>
        <w:tc>
          <w:tcPr>
            <w:tcW w:w="0" w:type="auto"/>
          </w:tcPr>
          <w:p w14:paraId="4BE49BB2" w14:textId="77777777" w:rsidR="001E497A" w:rsidRDefault="001E497A" w:rsidP="00A71174">
            <w:pPr>
              <w:pStyle w:val="TableTextCentred"/>
              <w:spacing w:before="0" w:after="0" w:line="240" w:lineRule="auto"/>
              <w:jc w:val="left"/>
            </w:pPr>
            <w:r>
              <w:t>Hydraulic fracture growth into well</w:t>
            </w:r>
          </w:p>
        </w:tc>
        <w:tc>
          <w:tcPr>
            <w:tcW w:w="973" w:type="dxa"/>
          </w:tcPr>
          <w:p w14:paraId="1C35E1CB" w14:textId="0EF25549" w:rsidR="001E497A" w:rsidRDefault="001E497A" w:rsidP="00A71174">
            <w:pPr>
              <w:pStyle w:val="TableTextCentred"/>
              <w:spacing w:before="0" w:after="0" w:line="240" w:lineRule="auto"/>
              <w:jc w:val="left"/>
            </w:pPr>
            <w:r>
              <w:t>Unlikely</w:t>
            </w:r>
          </w:p>
        </w:tc>
        <w:tc>
          <w:tcPr>
            <w:tcW w:w="6463" w:type="dxa"/>
          </w:tcPr>
          <w:p w14:paraId="5A23F253" w14:textId="10C2A84E" w:rsidR="001E497A" w:rsidRDefault="001E497A" w:rsidP="008D72F5">
            <w:pPr>
              <w:pStyle w:val="BodyText"/>
            </w:pPr>
            <w:r>
              <w:t xml:space="preserve">“According to the B.C. Oil and Gas Commission (2010a), 18 known fracture communications have occurred in British Columbia alone, and the AER has records of about 20 such cases in Alberta  [cited as Eynon, (2012)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D01044">
              <w:rPr>
                <w:noProof/>
              </w:rPr>
              <w:t xml:space="preserve">Council of Canadian Academies, </w:t>
            </w:r>
            <w:r>
              <w:rPr>
                <w:noProof/>
              </w:rPr>
              <w:t>(</w:t>
            </w:r>
            <w:r w:rsidRPr="00D01044">
              <w:rPr>
                <w:noProof/>
              </w:rPr>
              <w:t>2014)</w:t>
            </w:r>
            <w:r>
              <w:fldChar w:fldCharType="end"/>
            </w:r>
            <w:r>
              <w:t xml:space="preserve">] taking place before the Innisfail event in 2012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2012a]","plainTextFormattedCitation":"(Energy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Pr>
                <w:noProof/>
              </w:rPr>
              <w:t>[</w:t>
            </w:r>
            <w:r w:rsidRPr="00D01044">
              <w:rPr>
                <w:noProof/>
              </w:rPr>
              <w:t xml:space="preserve">Energy </w:t>
            </w:r>
            <w:r w:rsidR="004E0C5F" w:rsidRPr="004E0C5F">
              <w:rPr>
                <w:noProof/>
              </w:rPr>
              <w:t>Resources</w:t>
            </w:r>
            <w:r w:rsidR="004E0C5F">
              <w:rPr>
                <w:noProof/>
              </w:rPr>
              <w:t xml:space="preserve"> </w:t>
            </w:r>
            <w:r w:rsidRPr="00D01044">
              <w:rPr>
                <w:noProof/>
              </w:rPr>
              <w:t>Conservation Board, 2012</w:t>
            </w:r>
            <w:r w:rsidR="003A68A6">
              <w:rPr>
                <w:noProof/>
              </w:rPr>
              <w:t>a</w:t>
            </w:r>
            <w:r>
              <w:rPr>
                <w:noProof/>
              </w:rPr>
              <w:t>]</w:t>
            </w:r>
            <w:r>
              <w:fldChar w:fldCharType="end"/>
            </w:r>
            <w:r>
              <w:t xml:space="preserve">. That event was caused by an operator drilling a horizontal well too close (about 130 metre) to a producing well. The hydraulic fracture stimulation in the horizontal well caused fluids to discharge at the surface around the pump jack of the producing well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2012a]","plainTextFormattedCitation":"(Energy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Pr>
                <w:noProof/>
              </w:rPr>
              <w:t>[</w:t>
            </w:r>
            <w:r w:rsidRPr="00D01044">
              <w:rPr>
                <w:noProof/>
              </w:rPr>
              <w:t xml:space="preserve">Energy </w:t>
            </w:r>
            <w:r w:rsidR="003A68A6" w:rsidRPr="004E0C5F">
              <w:rPr>
                <w:noProof/>
              </w:rPr>
              <w:t xml:space="preserve"> Resources</w:t>
            </w:r>
            <w:r w:rsidR="003A68A6">
              <w:rPr>
                <w:noProof/>
              </w:rPr>
              <w:t xml:space="preserve"> </w:t>
            </w:r>
            <w:r w:rsidRPr="00D01044">
              <w:rPr>
                <w:noProof/>
              </w:rPr>
              <w:t>Conservation Board, 2012</w:t>
            </w:r>
            <w:r w:rsidR="003A68A6">
              <w:rPr>
                <w:noProof/>
              </w:rPr>
              <w:t>a</w:t>
            </w:r>
            <w:r>
              <w:rPr>
                <w:noProof/>
              </w:rPr>
              <w:t>]</w:t>
            </w:r>
            <w:r>
              <w:fldChar w:fldCharType="end"/>
            </w:r>
            <w:r>
              <w:t>. This type of communication can lead to the unintended discharge of water, gas, mud, or sands into FGWZ and Intermediate Zone aquifers and onto the surface.” p82</w:t>
            </w:r>
          </w:p>
        </w:tc>
      </w:tr>
      <w:tr w:rsidR="001E497A" w14:paraId="6A462AA1"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18D87C88" w14:textId="77777777" w:rsidR="001E497A" w:rsidRDefault="001E497A" w:rsidP="00A71174">
            <w:pPr>
              <w:pStyle w:val="TableText"/>
              <w:spacing w:before="0" w:after="0" w:line="240" w:lineRule="auto"/>
            </w:pPr>
            <w:r>
              <w:t>F.3</w:t>
            </w:r>
          </w:p>
        </w:tc>
        <w:tc>
          <w:tcPr>
            <w:tcW w:w="0" w:type="auto"/>
          </w:tcPr>
          <w:p w14:paraId="442E3616" w14:textId="77777777" w:rsidR="001E497A" w:rsidRDefault="001E497A" w:rsidP="00A71174">
            <w:pPr>
              <w:pStyle w:val="TableTextCentred"/>
              <w:spacing w:before="0" w:after="0" w:line="240" w:lineRule="auto"/>
              <w:jc w:val="left"/>
            </w:pPr>
            <w:r>
              <w:t>Hydraulic fracture growth into fault</w:t>
            </w:r>
          </w:p>
        </w:tc>
        <w:tc>
          <w:tcPr>
            <w:tcW w:w="973" w:type="dxa"/>
          </w:tcPr>
          <w:p w14:paraId="3BDDCB2D" w14:textId="50DFB939" w:rsidR="001E497A" w:rsidRDefault="001E497A" w:rsidP="00A71174">
            <w:pPr>
              <w:pStyle w:val="TableTextCentred"/>
              <w:spacing w:before="0" w:after="0" w:line="240" w:lineRule="auto"/>
              <w:jc w:val="left"/>
            </w:pPr>
            <w:r>
              <w:t>Unlikely</w:t>
            </w:r>
          </w:p>
        </w:tc>
        <w:tc>
          <w:tcPr>
            <w:tcW w:w="6463" w:type="dxa"/>
          </w:tcPr>
          <w:p w14:paraId="2C62836A" w14:textId="53E350F9" w:rsidR="001E497A" w:rsidRDefault="001E497A" w:rsidP="00733B41">
            <w:pPr>
              <w:pStyle w:val="BodyText"/>
            </w:pPr>
            <w:r>
              <w:t>“Thus it is necessary to increase understanding of natural brine migration so as to evaluate brine mobilization and redistribution in areas of shale development.” p69</w:t>
            </w:r>
          </w:p>
          <w:p w14:paraId="0B54A334" w14:textId="77777777" w:rsidR="001E497A" w:rsidRDefault="001E497A" w:rsidP="00733B41">
            <w:pPr>
              <w:pStyle w:val="BodyText"/>
            </w:pPr>
          </w:p>
          <w:p w14:paraId="2AE8A509" w14:textId="5A881B51" w:rsidR="001E497A" w:rsidRDefault="001E497A" w:rsidP="00733B41">
            <w:pPr>
              <w:pStyle w:val="BodyText"/>
            </w:pPr>
            <w:r>
              <w:t>“Whereas the contaminative potential of the Intermediate Zone is likely much greater than that of the shale gas zone, the extent of fractures connecting to natural pathways or boreholes or seals has not been rigorously confirmed with field performance assessments and it likely varies by region.” p69</w:t>
            </w:r>
          </w:p>
          <w:p w14:paraId="0820A5FD" w14:textId="77777777" w:rsidR="001E497A" w:rsidRDefault="001E497A" w:rsidP="00733B41">
            <w:pPr>
              <w:pStyle w:val="BodyText"/>
            </w:pPr>
          </w:p>
          <w:p w14:paraId="765FFD1E" w14:textId="7F975292" w:rsidR="001E497A" w:rsidRDefault="001E497A" w:rsidP="008D2CA3">
            <w:pPr>
              <w:pStyle w:val="BodyText"/>
            </w:pPr>
            <w:r>
              <w:t>“It is now understood that the volume of the rock mass that is affected by a fracturing operation can be far larger than the volume of rock reached by the proppant itself. This effect arises because the volumetric strains in the region close to the fracturing point cause stresses in the rock mass, and the high injection pressure reduces the frictional strength along natural joints. These processes lead to wedging open of more distant fractures and shear displacement across natural fractures. Because a natural fracture is a rough surface, if it is displaced by as little as millimetres, it will no longer fit together snugly when the active fracturing pressure dissipates during the flowback period. This shear dilation leads to enhanced flow capacity (i.e., transmissivity) of the naturally fractured reservoir, opening up minute flow paths far from the proppant zone</w:t>
            </w:r>
          </w:p>
          <w:p w14:paraId="46C84760" w14:textId="62FDD0F5" w:rsidR="001E497A" w:rsidRDefault="001E497A" w:rsidP="008D2CA3">
            <w:pPr>
              <w:pStyle w:val="BodyText"/>
            </w:pPr>
            <w:r>
              <w:t xml:space="preserve">but still within the shale reservoir </w:t>
            </w:r>
            <w:r>
              <w:fldChar w:fldCharType="begin" w:fldLock="1"/>
            </w:r>
            <w:r>
              <w:instrText>ADDIN CSL_CITATION {"citationItems":[{"id":"ITEM-1","itemData":{"DOI":"10.1306/eg.04231414004","ISSN":"10759565","abstract":"Hydraulic fracture stimulation (HFS) of unconventional oil and gas reservoirs has become the focus of public concern with respect to fugitive gas emissions, fracture height growth, induced seismicity and groundwater pollution. We evaluate the potential pathways of fugitive gas seepage during stimulation and production and conclude that the quality of surface casing and deeper casing installations is a major concern with respect to future gas migration. The pathway outside the casing is of greatest concern, and likely leads to many wells leaking natural gas upwards from intermediate, non-depleted thin gas zones, rather than from the deeper target reservoirs which are depleted during production. We substantiate this argument with isotopic data from the Western Canada Sedimentary Basin. These paths must be understood and the probability of leakage addressed by mitigating methods such as casing perforation and squeeze, expanding packers of long life and controlled leak-off into saline aquifers. With a few exceptions, hydraulic fracture stimulation itself appears not to be a significant risk. These exceptions include situations involving fluids during the high pressure stage of HFS when (1) old well casings are intersected by fracturing fluids and (2) when these fluids pressurize nearby offset wells that have not been shut in, and particularly offset wells in the same formation that are surrounded by a region of pressure depletion where the horizontal stresses have also been diminished.. RÉSUMÉ","author":[{"dropping-particle":"","family":"Dusseault","given":"Maurice","non-dropping-particle":"","parse-names":false,"suffix":""},{"dropping-particle":"","family":"Jackson","given":"Richard","non-dropping-particle":"","parse-names":false,"suffix":""}],"container-title":"Environmental Geosciences","id":"ITEM-1","issue":"3","issued":{"date-parts":[["2014"]]},"page":"107-126","title":"Seepage pathway assessment for natural gas to shallow groundwater during well stimulation, in production, and after abandonment","type":"article-journal","volume":"21"},"uris":["http://www.mendeley.com/documents/?uuid=afb2d814-1d5d-4c33-8435-57e38584f608"]}],"mendeley":{"formattedCitation":"(Dusseault and Jackson, 2014)","plainTextFormattedCitation":"(Dusseault and Jackson, 2014)","previouslyFormattedCitation":"(Dusseault and Jackson, 2014)"},"properties":{"noteIndex":0},"schema":"https://github.com/citation-style-language/schema/raw/master/csl-citation.json"}</w:instrText>
            </w:r>
            <w:r>
              <w:fldChar w:fldCharType="separate"/>
            </w:r>
            <w:r w:rsidRPr="00D01044">
              <w:rPr>
                <w:noProof/>
              </w:rPr>
              <w:t>(Dusseault and Jackson, 2014)</w:t>
            </w:r>
            <w:r>
              <w:fldChar w:fldCharType="end"/>
            </w:r>
            <w:r>
              <w:t>.” p78</w:t>
            </w:r>
          </w:p>
        </w:tc>
      </w:tr>
      <w:tr w:rsidR="0024219A" w:rsidRPr="00A8172F" w14:paraId="06B8B259" w14:textId="77777777" w:rsidTr="0078111C">
        <w:trPr>
          <w:cnfStyle w:val="000000100000" w:firstRow="0" w:lastRow="0" w:firstColumn="0" w:lastColumn="0" w:oddVBand="0" w:evenVBand="0" w:oddHBand="1" w:evenHBand="0" w:firstRowFirstColumn="0" w:firstRowLastColumn="0" w:lastRowFirstColumn="0" w:lastRowLastColumn="0"/>
        </w:trPr>
        <w:tc>
          <w:tcPr>
            <w:tcW w:w="9762" w:type="dxa"/>
            <w:gridSpan w:val="4"/>
          </w:tcPr>
          <w:p w14:paraId="76102B57" w14:textId="5D2BC6EB" w:rsidR="0024219A" w:rsidRDefault="0024219A" w:rsidP="00A71174">
            <w:pPr>
              <w:pStyle w:val="BodyText"/>
            </w:pPr>
            <w:r w:rsidRPr="00D646E6">
              <w:rPr>
                <w:b/>
                <w:bCs/>
              </w:rPr>
              <w:t>Compromised well integrity</w:t>
            </w:r>
          </w:p>
        </w:tc>
      </w:tr>
      <w:tr w:rsidR="001E497A" w:rsidRPr="00A8172F" w14:paraId="053EA548"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69EBEAB" w14:textId="77777777" w:rsidR="001E497A" w:rsidRPr="00EA63C0" w:rsidRDefault="001E497A" w:rsidP="00A71174">
            <w:pPr>
              <w:pStyle w:val="TableText"/>
              <w:spacing w:before="0" w:after="0" w:line="240" w:lineRule="auto"/>
            </w:pPr>
            <w:r>
              <w:t>W.1</w:t>
            </w:r>
          </w:p>
        </w:tc>
        <w:tc>
          <w:tcPr>
            <w:tcW w:w="0" w:type="auto"/>
          </w:tcPr>
          <w:p w14:paraId="4305AB1E" w14:textId="77777777" w:rsidR="001E497A" w:rsidRPr="00A8172F" w:rsidRDefault="001E497A" w:rsidP="00A71174">
            <w:pPr>
              <w:pStyle w:val="TableTextCentred"/>
              <w:spacing w:before="0" w:after="0" w:line="240" w:lineRule="auto"/>
              <w:jc w:val="left"/>
            </w:pPr>
            <w:r>
              <w:t xml:space="preserve">Well rupture or failure across barriers </w:t>
            </w:r>
          </w:p>
        </w:tc>
        <w:tc>
          <w:tcPr>
            <w:tcW w:w="973" w:type="dxa"/>
          </w:tcPr>
          <w:p w14:paraId="4B82879F" w14:textId="27B68304" w:rsidR="001E497A" w:rsidRDefault="001E497A" w:rsidP="00A71174">
            <w:pPr>
              <w:pStyle w:val="TableTextCentred"/>
              <w:spacing w:before="0" w:after="0" w:line="240" w:lineRule="auto"/>
              <w:jc w:val="left"/>
            </w:pPr>
            <w:r>
              <w:t>Rare</w:t>
            </w:r>
          </w:p>
        </w:tc>
        <w:tc>
          <w:tcPr>
            <w:tcW w:w="6463" w:type="dxa"/>
          </w:tcPr>
          <w:p w14:paraId="6999C3EA" w14:textId="2160087D" w:rsidR="001E497A" w:rsidRDefault="001E497A" w:rsidP="008D72F5">
            <w:pPr>
              <w:pStyle w:val="BodyText"/>
            </w:pPr>
            <w:r>
              <w:t xml:space="preserve">“Only one documented case exists of a shallow aquifer becoming contaminated with hydraulic fracturing fluids, most likely as result of human error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Caltex Energy Inc., Hydraulic Fracturing Incident","type":"report"},"uris":["http://www.mendeley.com/documents/?uuid=2767ad3a-1445-492e-810e-a0eff964c15b"]}],"mendeley":{"formattedCitation":"(Energy Resources Conservation Board, 2012b)","plainTextFormattedCitation":"(Energy Resources Conservation Board, 2012b)","previouslyFormattedCitation":"(Energy Resources Conservation Board, 2012b)"},"properties":{"noteIndex":0},"schema":"https://github.com/citation-style-language/schema/raw/master/csl-citation.json"}</w:instrText>
            </w:r>
            <w:r>
              <w:fldChar w:fldCharType="separate"/>
            </w:r>
            <w:r w:rsidR="0057362C" w:rsidRPr="0057362C">
              <w:rPr>
                <w:noProof/>
              </w:rPr>
              <w:t>(Energy</w:t>
            </w:r>
            <w:r w:rsidR="003A68A6" w:rsidRPr="004E0C5F">
              <w:rPr>
                <w:noProof/>
              </w:rPr>
              <w:t xml:space="preserve"> Resources</w:t>
            </w:r>
            <w:r w:rsidR="003A68A6">
              <w:rPr>
                <w:noProof/>
              </w:rPr>
              <w:t xml:space="preserve"> </w:t>
            </w:r>
            <w:r w:rsidR="0057362C" w:rsidRPr="0057362C">
              <w:rPr>
                <w:noProof/>
              </w:rPr>
              <w:t>Conservation Board, 2012b)</w:t>
            </w:r>
            <w:r>
              <w:fldChar w:fldCharType="end"/>
            </w:r>
            <w:r>
              <w:t>. This event took place during a stimulation of a shale gas reservoir in Alberta and was due to the accidental injection of hydraulic fracturing fluids directly into sandstone at a depth of 136 metres when the operators believed they were fracturing at about 1.5 kilometres.” p82</w:t>
            </w:r>
          </w:p>
        </w:tc>
      </w:tr>
      <w:tr w:rsidR="001E497A" w14:paraId="3DCF58C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4F57753A" w14:textId="77777777" w:rsidR="001E497A" w:rsidRDefault="001E497A" w:rsidP="00A71174">
            <w:pPr>
              <w:pStyle w:val="TableText"/>
              <w:spacing w:before="0" w:after="0" w:line="240" w:lineRule="auto"/>
            </w:pPr>
            <w:r>
              <w:t>W.2</w:t>
            </w:r>
          </w:p>
        </w:tc>
        <w:tc>
          <w:tcPr>
            <w:tcW w:w="0" w:type="auto"/>
          </w:tcPr>
          <w:p w14:paraId="69390324" w14:textId="77777777" w:rsidR="001E497A" w:rsidRDefault="001E497A" w:rsidP="00A71174">
            <w:pPr>
              <w:pStyle w:val="TableTextCentred"/>
              <w:spacing w:before="0" w:after="0" w:line="240" w:lineRule="auto"/>
              <w:jc w:val="left"/>
            </w:pPr>
            <w:r>
              <w:t>Migration along casing from reservoir</w:t>
            </w:r>
          </w:p>
        </w:tc>
        <w:tc>
          <w:tcPr>
            <w:tcW w:w="973" w:type="dxa"/>
          </w:tcPr>
          <w:p w14:paraId="4B3A6A72" w14:textId="2075F6E6" w:rsidR="001E497A" w:rsidRDefault="001E497A" w:rsidP="00A71174">
            <w:pPr>
              <w:pStyle w:val="TableTextCentred"/>
              <w:spacing w:before="0" w:after="0" w:line="240" w:lineRule="auto"/>
              <w:jc w:val="left"/>
            </w:pPr>
            <w:r>
              <w:t>Unlikely</w:t>
            </w:r>
          </w:p>
        </w:tc>
        <w:tc>
          <w:tcPr>
            <w:tcW w:w="6463" w:type="dxa"/>
          </w:tcPr>
          <w:p w14:paraId="08270108" w14:textId="005D5C6F" w:rsidR="001E497A" w:rsidRDefault="001E497A" w:rsidP="000A59BD">
            <w:pPr>
              <w:pStyle w:val="BodyText"/>
            </w:pPr>
            <w:r>
              <w:t>“Leaky wells due to improperly placed cement seals, damage from repeated fracturing treatments, or cement deterioration over time, have the potential to create pathways for contamination of groundwater  resources and to increase GHG emissions.” pES-xiii</w:t>
            </w:r>
          </w:p>
          <w:p w14:paraId="2DE5C790" w14:textId="77777777" w:rsidR="001E497A" w:rsidRDefault="001E497A" w:rsidP="000A59BD">
            <w:pPr>
              <w:pStyle w:val="BodyText"/>
            </w:pPr>
          </w:p>
          <w:p w14:paraId="76C6B0CA" w14:textId="62EEFE91" w:rsidR="001E497A" w:rsidRDefault="001E497A" w:rsidP="000A59BD">
            <w:pPr>
              <w:pStyle w:val="BodyText"/>
            </w:pPr>
            <w:r>
              <w:t>“Several factors make the long-term impact related to leakage greater for shale gas development than for conventional oil and gas development. These are the larger number of wells needed for shale gas extraction; the diverse chemicals used in hydraulic fracturing operations; the potential development of shale gas resources in rural and suburban areas that rely on groundwater resources; and possibly the repetitive fracturing process itself.” pES-xiii</w:t>
            </w:r>
          </w:p>
          <w:p w14:paraId="7D365D49" w14:textId="77777777" w:rsidR="001E497A" w:rsidRDefault="001E497A" w:rsidP="000A59BD">
            <w:pPr>
              <w:pStyle w:val="BodyText"/>
            </w:pPr>
          </w:p>
          <w:p w14:paraId="43955576" w14:textId="703BDC8F" w:rsidR="001E497A" w:rsidRDefault="001E497A" w:rsidP="00AC3D00">
            <w:pPr>
              <w:pStyle w:val="BodyText"/>
            </w:pPr>
            <w:r>
              <w:t>“The greatest threat to groundwater is gas leakage from wells for which even existing best practices cannot assure long-term prevention. The degree to which natural assimilation capacity can limit the impacts of well leakage is site</w:t>
            </w:r>
            <w:r w:rsidR="00435DC5">
              <w:t xml:space="preserve"> </w:t>
            </w:r>
            <w:r>
              <w:t xml:space="preserve">specific due to variability in the magnitude of natural gas fluxes (or loadings) and aquifer hydro-geochemical compositions. These potential impacts are not being systematically monitored, predications remain unreliable, and approaches for effective and consistent monitoring need to be developed.” </w:t>
            </w:r>
            <w:r w:rsidRPr="001E497A">
              <w:t>pES-xi</w:t>
            </w:r>
            <w:r>
              <w:t>v</w:t>
            </w:r>
          </w:p>
          <w:p w14:paraId="1F732780" w14:textId="77777777" w:rsidR="001E497A" w:rsidRDefault="001E497A" w:rsidP="00AC3D00">
            <w:pPr>
              <w:pStyle w:val="BodyText"/>
            </w:pPr>
          </w:p>
          <w:p w14:paraId="6CBA3F61" w14:textId="4027F519" w:rsidR="001E497A" w:rsidRDefault="001E497A" w:rsidP="008D2CA3">
            <w:pPr>
              <w:pStyle w:val="BodyText"/>
            </w:pPr>
            <w:r>
              <w:t>“Consequently, the most likely pathway for gas to seep from the Deep Zone and/or the Intermediate Zone to the FGWZ is via this annular pathway.” p80</w:t>
            </w:r>
          </w:p>
          <w:p w14:paraId="03F67148" w14:textId="77777777" w:rsidR="001E497A" w:rsidRDefault="001E497A" w:rsidP="008D2CA3">
            <w:pPr>
              <w:pStyle w:val="BodyText"/>
            </w:pPr>
          </w:p>
          <w:p w14:paraId="1B12869C" w14:textId="59BC8175" w:rsidR="001E497A" w:rsidRDefault="001E497A" w:rsidP="00700A0B">
            <w:pPr>
              <w:pStyle w:val="BodyText"/>
            </w:pPr>
            <w:r>
              <w:t>“Even if impermeable caprocks did exist above a shale gas reservoir, seepage via leaky well seals and abandoned wells and fluid flow along faults could bypass otherwise low permeability rock strata or displace fluids in the Intermediate Zone. The risks of such events are both variable and poorly quantified. They need to be carefully considered, particularly near wetlands, in populated areas served by domestic wells, and in near-urban areas that may have abandoned wells.” p97</w:t>
            </w:r>
          </w:p>
        </w:tc>
      </w:tr>
      <w:tr w:rsidR="001E497A" w14:paraId="6237AAC2"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568C83A8" w14:textId="77777777" w:rsidR="001E497A" w:rsidRDefault="001E497A" w:rsidP="00A71174">
            <w:pPr>
              <w:pStyle w:val="TableText"/>
              <w:spacing w:before="0" w:after="0" w:line="240" w:lineRule="auto"/>
            </w:pPr>
            <w:r>
              <w:t>W.3</w:t>
            </w:r>
          </w:p>
        </w:tc>
        <w:tc>
          <w:tcPr>
            <w:tcW w:w="0" w:type="auto"/>
          </w:tcPr>
          <w:p w14:paraId="67A3AFED" w14:textId="77777777" w:rsidR="001E497A" w:rsidRDefault="001E497A" w:rsidP="00A71174">
            <w:pPr>
              <w:pStyle w:val="TableTextCentred"/>
              <w:spacing w:before="0" w:after="0" w:line="240" w:lineRule="auto"/>
              <w:jc w:val="left"/>
            </w:pPr>
            <w:r>
              <w:t>Migration along casing between rock layers</w:t>
            </w:r>
          </w:p>
        </w:tc>
        <w:tc>
          <w:tcPr>
            <w:tcW w:w="973" w:type="dxa"/>
          </w:tcPr>
          <w:p w14:paraId="0DA10685" w14:textId="7F9002E3" w:rsidR="001E497A" w:rsidRDefault="001E497A" w:rsidP="00A71174">
            <w:pPr>
              <w:pStyle w:val="TableTextCentred"/>
              <w:spacing w:before="0" w:after="0" w:line="240" w:lineRule="auto"/>
              <w:jc w:val="left"/>
            </w:pPr>
            <w:r>
              <w:t>Unlikely</w:t>
            </w:r>
          </w:p>
        </w:tc>
        <w:tc>
          <w:tcPr>
            <w:tcW w:w="6463" w:type="dxa"/>
          </w:tcPr>
          <w:p w14:paraId="074D2D2C" w14:textId="7E2D96B5" w:rsidR="001E497A" w:rsidRDefault="001E497A" w:rsidP="000A59BD">
            <w:pPr>
              <w:pStyle w:val="BodyText"/>
            </w:pPr>
            <w:r>
              <w:t>“If wells can be sealed, the risk to groundwater is expected to be minimal, although little is known about the mobility and fate of hydraulic fracturing chemicals and wastewater in the subsurface. The pertinent questions are difficult to answer objectively and scientifically, either because the relevant data have not been obtained; because some relevant data are not publicly available; or because existing data are of variable quality, allow for divergent interpretations, or span a wide range of values with different implications.” pES-xiii</w:t>
            </w:r>
          </w:p>
          <w:p w14:paraId="7C1210DE" w14:textId="77777777" w:rsidR="001E497A" w:rsidRDefault="001E497A" w:rsidP="000A59BD">
            <w:pPr>
              <w:pStyle w:val="BodyText"/>
            </w:pPr>
          </w:p>
          <w:p w14:paraId="27998024" w14:textId="399ADC3E" w:rsidR="001E497A" w:rsidRDefault="001E497A" w:rsidP="00733B41">
            <w:pPr>
              <w:pStyle w:val="BodyText"/>
            </w:pPr>
            <w:r>
              <w:t>“…one of the most probable pathways for leakage is from the Intermediate Zone along the annulus between the cement seal and the rock into the FGWZ.” p70</w:t>
            </w:r>
          </w:p>
          <w:p w14:paraId="377AE921" w14:textId="77777777" w:rsidR="001E497A" w:rsidRDefault="001E497A" w:rsidP="00733B41">
            <w:pPr>
              <w:pStyle w:val="BodyText"/>
            </w:pPr>
          </w:p>
          <w:p w14:paraId="5DFEC9C4" w14:textId="324300C6" w:rsidR="001E497A" w:rsidRDefault="001E497A" w:rsidP="00733B41">
            <w:pPr>
              <w:pStyle w:val="BodyText"/>
            </w:pPr>
            <w:r>
              <w:t>“Existing cases of groundwater contamination due to upstream oil and gas activities have typically been caused by gas on account of its buoyancy and in situ pressure gradient. Brine or saline water are dense and not prone to migrating upwards along a well column or through fractured rock except from rare, over-pressurized zones.” p70</w:t>
            </w:r>
          </w:p>
          <w:p w14:paraId="7C87326D" w14:textId="77777777" w:rsidR="001E497A" w:rsidRDefault="001E497A" w:rsidP="00733B41">
            <w:pPr>
              <w:pStyle w:val="BodyText"/>
            </w:pPr>
          </w:p>
          <w:p w14:paraId="07355FC3" w14:textId="7B87068A" w:rsidR="001E497A" w:rsidRDefault="001E497A" w:rsidP="008D72F5">
            <w:pPr>
              <w:pStyle w:val="BodyText"/>
            </w:pPr>
            <w:r>
              <w:t xml:space="preserve">“…in Bainbridge Township, Ohio, </w:t>
            </w:r>
            <w:r w:rsidR="0078111C">
              <w:t xml:space="preserve">[a well integrity failure was observed] </w:t>
            </w:r>
            <w:r>
              <w:t xml:space="preserve">following hydraulic fracture stimulation of the Clinton sandstone [cited as Bair et al. (2010)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70DA2">
              <w:rPr>
                <w:noProof/>
              </w:rPr>
              <w:t xml:space="preserve">Council of Canadian Academies, </w:t>
            </w:r>
            <w:r>
              <w:rPr>
                <w:noProof/>
              </w:rPr>
              <w:t>(</w:t>
            </w:r>
            <w:r w:rsidRPr="00F70DA2">
              <w:rPr>
                <w:noProof/>
              </w:rPr>
              <w:t>2014</w:t>
            </w:r>
            <w:r>
              <w:fldChar w:fldCharType="end"/>
            </w:r>
            <w:r>
              <w:t>)]. Because of poor cement completion and the possible effect of the stimulation on the cement sheath, shutting in of the annular space between the production casing and rock led to over-pressurization of this space and the vertical migration of natural gas up the well. The gas escaped into the Berea sandstone aquifer and contaminated local water wells.” p81</w:t>
            </w:r>
          </w:p>
          <w:p w14:paraId="69D95A34" w14:textId="77777777" w:rsidR="001E497A" w:rsidRDefault="001E497A" w:rsidP="008D72F5">
            <w:pPr>
              <w:pStyle w:val="BodyText"/>
            </w:pPr>
          </w:p>
          <w:p w14:paraId="7583D39C" w14:textId="77CDEB49" w:rsidR="001E497A" w:rsidRDefault="001E497A" w:rsidP="008D72F5">
            <w:pPr>
              <w:pStyle w:val="BodyText"/>
            </w:pPr>
            <w:r>
              <w:t>“Behind-the-casing pathways of gas leakage are often difficult to detect using standard geophysical logging tools (e.g., cement bond logs). Although improved logging tools are becoming available, they are fairly expensive to use (at least $30,000 per well) and may not be required by regulations.” p84</w:t>
            </w:r>
          </w:p>
        </w:tc>
      </w:tr>
      <w:tr w:rsidR="001E497A" w14:paraId="356D42F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0C9EBCC8" w14:textId="77777777" w:rsidR="001E497A" w:rsidRDefault="001E497A" w:rsidP="00A71174">
            <w:pPr>
              <w:pStyle w:val="TableText"/>
              <w:spacing w:before="0" w:after="0" w:line="240" w:lineRule="auto"/>
            </w:pPr>
            <w:r>
              <w:t>W.4</w:t>
            </w:r>
          </w:p>
        </w:tc>
        <w:tc>
          <w:tcPr>
            <w:tcW w:w="0" w:type="auto"/>
          </w:tcPr>
          <w:p w14:paraId="40BCF223" w14:textId="77777777" w:rsidR="001E497A" w:rsidRDefault="001E497A" w:rsidP="00A71174">
            <w:pPr>
              <w:pStyle w:val="TableTextCentred"/>
              <w:spacing w:before="0" w:after="0" w:line="240" w:lineRule="auto"/>
              <w:jc w:val="left"/>
            </w:pPr>
            <w:r>
              <w:t>Migration along decommissioned / abandoned wells</w:t>
            </w:r>
          </w:p>
        </w:tc>
        <w:tc>
          <w:tcPr>
            <w:tcW w:w="973" w:type="dxa"/>
          </w:tcPr>
          <w:p w14:paraId="2BA20C5F" w14:textId="7A71F117" w:rsidR="001E497A" w:rsidRDefault="001E497A" w:rsidP="00A71174">
            <w:pPr>
              <w:pStyle w:val="TableTextCentred"/>
              <w:spacing w:before="0" w:after="0" w:line="240" w:lineRule="auto"/>
              <w:jc w:val="left"/>
            </w:pPr>
            <w:r>
              <w:t>Unlikely</w:t>
            </w:r>
          </w:p>
        </w:tc>
        <w:tc>
          <w:tcPr>
            <w:tcW w:w="6463" w:type="dxa"/>
          </w:tcPr>
          <w:p w14:paraId="7C0806D8" w14:textId="44DDD53C" w:rsidR="001E497A" w:rsidRDefault="001E497A" w:rsidP="00AC3D00">
            <w:pPr>
              <w:pStyle w:val="BodyText"/>
            </w:pPr>
            <w:r>
              <w:t>“A risk to potable groundwater exists from the upward migration of natural gas and saline waters from leaky well casings, and possibly also natural fractures in the rock, old abandoned wells, and permeable faults.” pES-xiii</w:t>
            </w:r>
          </w:p>
          <w:p w14:paraId="5E25678B" w14:textId="77777777" w:rsidR="001E497A" w:rsidRDefault="001E497A" w:rsidP="00AC3D00">
            <w:pPr>
              <w:pStyle w:val="BodyText"/>
            </w:pPr>
          </w:p>
          <w:p w14:paraId="7F2BD7F4" w14:textId="294FE71D" w:rsidR="001E497A" w:rsidRDefault="001E497A" w:rsidP="00513186">
            <w:pPr>
              <w:pStyle w:val="BodyText"/>
            </w:pPr>
            <w:r>
              <w:t>“Information concerning the impacts of leakage of natural gas from poor cement seals on fresh groundwater resources is insufficient. The nature and rate of cement deterioration are poorly understood and there is only minimal or misleading information available in the public domain. Research is also lacking on methods for detecting and measuring leakage of GHGs to the atmosphere.” pES-xvi</w:t>
            </w:r>
          </w:p>
          <w:p w14:paraId="659F791B" w14:textId="77777777" w:rsidR="001E497A" w:rsidRDefault="001E497A" w:rsidP="00513186">
            <w:pPr>
              <w:pStyle w:val="BodyText"/>
            </w:pPr>
          </w:p>
          <w:p w14:paraId="24A00240" w14:textId="23DB99B9" w:rsidR="001E497A" w:rsidRDefault="001E497A" w:rsidP="008779EE">
            <w:pPr>
              <w:pStyle w:val="BodyText"/>
            </w:pPr>
            <w:r>
              <w:t>“Because intense development in most shale gas plays has been taking place for less than 20 years, questions about the longer-term cumulative effects cannot yet be answered.” p68</w:t>
            </w:r>
          </w:p>
          <w:p w14:paraId="2AF06D30" w14:textId="77777777" w:rsidR="001E497A" w:rsidRDefault="001E497A" w:rsidP="008779EE">
            <w:pPr>
              <w:pStyle w:val="BodyText"/>
            </w:pPr>
          </w:p>
          <w:p w14:paraId="18C2600A" w14:textId="3F3E7099" w:rsidR="001E497A" w:rsidRDefault="001E497A" w:rsidP="008D2CA3">
            <w:pPr>
              <w:pStyle w:val="BodyText"/>
            </w:pPr>
            <w:r>
              <w:t xml:space="preserve">“Schlumberger states: “public data suggests that there are +18,000 leaking wells in Alberta” [cited as </w:t>
            </w:r>
            <w:r>
              <w:fldChar w:fldCharType="begin" w:fldLock="1"/>
            </w:r>
            <w:r>
              <w:instrText>ADDIN CSL_CITATION {"citationItems":[{"id":"ITEM-1","itemData":{"author":[{"dropping-particle":"","family":"Bexte","given":"David","non-dropping-particle":"","parse-names":false,"suffix":""},{"dropping-particle":"","family":"Willis","given":"M","non-dropping-particle":"","parse-names":false,"suffix":""},{"dropping-particle":"","family":"Bruijn","given":"G.G.","non-dropping-particle":"De","parse-names":false,"suffix":""},{"dropping-particle":"","family":"Eitzen","given":"B","non-dropping-particle":"","parse-names":false,"suffix":""},{"dropping-particle":"","family":"Fouillard","given":"E.","non-dropping-particle":"","parse-names":false,"suffix":""}],"container-title":"World Oil","id":"ITEM-1","issue":"229","issued":{"date-parts":[["2008"]]},"page":"73-75","title":"Improved cementing practice prevents gas migration","type":"article-journal"},"uris":["http://www.mendeley.com/documents/?uuid=a4e7f7a9-db00-4cc6-b88a-b71e26880df2"]}],"mendeley":{"formattedCitation":"(Bexte &lt;i&gt;et al.&lt;/i&gt;, 2008)","manualFormatting":"Bexte et al., (2008)","plainTextFormattedCitation":"(Bexte et al., 2008)","previouslyFormattedCitation":"(Bexte &lt;i&gt;et al.&lt;/i&gt;, 2008)"},"properties":{"noteIndex":0},"schema":"https://github.com/citation-style-language/schema/raw/master/csl-citation.json"}</w:instrText>
            </w:r>
            <w:r>
              <w:fldChar w:fldCharType="separate"/>
            </w:r>
            <w:r w:rsidRPr="00F70DA2">
              <w:rPr>
                <w:noProof/>
              </w:rPr>
              <w:t xml:space="preserve">Bexte </w:t>
            </w:r>
            <w:r w:rsidRPr="005A442F">
              <w:rPr>
                <w:noProof/>
              </w:rPr>
              <w:t>et al.</w:t>
            </w:r>
            <w:r w:rsidRPr="00F70DA2">
              <w:rPr>
                <w:noProof/>
              </w:rPr>
              <w:t xml:space="preserve">, </w:t>
            </w:r>
            <w:r>
              <w:rPr>
                <w:noProof/>
              </w:rPr>
              <w:t>(</w:t>
            </w:r>
            <w:r w:rsidRPr="00F70DA2">
              <w:rPr>
                <w:noProof/>
              </w:rPr>
              <w:t>2008)</w:t>
            </w:r>
            <w:r>
              <w:fldChar w:fldCharType="end"/>
            </w:r>
            <w:r>
              <w:t xml:space="preserve">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70DA2">
              <w:rPr>
                <w:noProof/>
              </w:rPr>
              <w:t xml:space="preserve">Council of Canadian Academies, </w:t>
            </w:r>
            <w:r>
              <w:rPr>
                <w:noProof/>
              </w:rPr>
              <w:t>(</w:t>
            </w:r>
            <w:r w:rsidRPr="00F70DA2">
              <w:rPr>
                <w:noProof/>
              </w:rPr>
              <w:t>2014)</w:t>
            </w:r>
            <w:r>
              <w:fldChar w:fldCharType="end"/>
            </w:r>
            <w:r>
              <w:t>].” p80</w:t>
            </w:r>
          </w:p>
          <w:p w14:paraId="26D4C453" w14:textId="77777777" w:rsidR="001E497A" w:rsidRDefault="001E497A" w:rsidP="008D2CA3">
            <w:pPr>
              <w:pStyle w:val="BodyText"/>
            </w:pPr>
          </w:p>
          <w:p w14:paraId="1C6E0B7E" w14:textId="5BA91519" w:rsidR="001E497A" w:rsidRDefault="001E497A" w:rsidP="008D72F5">
            <w:pPr>
              <w:pStyle w:val="BodyText"/>
            </w:pPr>
            <w:r>
              <w:t>“Gas leakage pathways may result because of difficulties in positioning the cement or because the cement deteriorates over time. In many cases, there is no requirement to cement off thin gassy formations in the Intermediate Zone.” p84</w:t>
            </w:r>
          </w:p>
          <w:p w14:paraId="359989A7" w14:textId="77777777" w:rsidR="001E497A" w:rsidRDefault="001E497A" w:rsidP="008D72F5">
            <w:pPr>
              <w:pStyle w:val="BodyText"/>
            </w:pPr>
          </w:p>
          <w:p w14:paraId="02C16252" w14:textId="6813C728" w:rsidR="001E497A" w:rsidRDefault="001E497A" w:rsidP="008D72F5">
            <w:pPr>
              <w:pStyle w:val="BodyText"/>
            </w:pPr>
          </w:p>
        </w:tc>
      </w:tr>
      <w:tr w:rsidR="001E497A" w14:paraId="7E73C29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3BADD2F8" w14:textId="77777777" w:rsidR="001E497A" w:rsidRDefault="001E497A" w:rsidP="00A71174">
            <w:pPr>
              <w:pStyle w:val="TableText"/>
              <w:spacing w:before="0" w:after="0" w:line="240" w:lineRule="auto"/>
            </w:pPr>
            <w:r>
              <w:t>W.5</w:t>
            </w:r>
          </w:p>
        </w:tc>
        <w:tc>
          <w:tcPr>
            <w:tcW w:w="0" w:type="auto"/>
          </w:tcPr>
          <w:p w14:paraId="16834F82" w14:textId="77777777" w:rsidR="001E497A" w:rsidRDefault="001E497A" w:rsidP="00A71174">
            <w:pPr>
              <w:pStyle w:val="TableTextCentred"/>
              <w:spacing w:before="0" w:after="0" w:line="240" w:lineRule="auto"/>
              <w:jc w:val="left"/>
            </w:pPr>
            <w:r>
              <w:t>Loss of well control</w:t>
            </w:r>
          </w:p>
        </w:tc>
        <w:tc>
          <w:tcPr>
            <w:tcW w:w="973" w:type="dxa"/>
          </w:tcPr>
          <w:p w14:paraId="468DF8C8" w14:textId="61610620" w:rsidR="001E497A" w:rsidRDefault="001E497A" w:rsidP="00A71174">
            <w:pPr>
              <w:pStyle w:val="TableTextCentred"/>
              <w:spacing w:before="0" w:after="0" w:line="240" w:lineRule="auto"/>
              <w:jc w:val="left"/>
            </w:pPr>
            <w:r>
              <w:t>Not assessed</w:t>
            </w:r>
          </w:p>
        </w:tc>
        <w:tc>
          <w:tcPr>
            <w:tcW w:w="6463" w:type="dxa"/>
          </w:tcPr>
          <w:p w14:paraId="4F8DE03B" w14:textId="77777777" w:rsidR="001E497A" w:rsidRDefault="001E497A" w:rsidP="00A71174">
            <w:pPr>
              <w:pStyle w:val="BodyText"/>
            </w:pPr>
          </w:p>
        </w:tc>
      </w:tr>
      <w:bookmarkEnd w:id="91"/>
    </w:tbl>
    <w:p w14:paraId="36035872" w14:textId="6337B636" w:rsidR="00131A46" w:rsidRDefault="00131A46" w:rsidP="00985B69">
      <w:pPr>
        <w:pStyle w:val="BodyText"/>
      </w:pPr>
      <w:r>
        <w:br w:type="page"/>
      </w:r>
    </w:p>
    <w:p w14:paraId="3BE35AED" w14:textId="520B245A" w:rsidR="001E497A" w:rsidRDefault="001E497A" w:rsidP="001E497A">
      <w:pPr>
        <w:pStyle w:val="Heading5notnumbered"/>
      </w:pPr>
      <w:r>
        <w:t xml:space="preserve">References contained within </w:t>
      </w:r>
      <w:r>
        <w:fldChar w:fldCharType="begin"/>
      </w:r>
      <w:r>
        <w:instrText xml:space="preserve"> REF _Ref14699794 \h  \* MERGEFORMAT </w:instrText>
      </w:r>
      <w:r>
        <w:fldChar w:fldCharType="separate"/>
      </w:r>
      <w:r w:rsidR="00073927">
        <w:t xml:space="preserve">Table </w:t>
      </w:r>
      <w:r w:rsidR="00073927">
        <w:rPr>
          <w:noProof/>
        </w:rPr>
        <w:t>11</w:t>
      </w:r>
      <w:r w:rsidR="00073927">
        <w:t xml:space="preserve"> </w:t>
      </w:r>
      <w:r w:rsidR="00073927" w:rsidRPr="001C6F5E">
        <w:t xml:space="preserve">Excerpts from </w:t>
      </w:r>
      <w:r w:rsidR="00073927" w:rsidRPr="00DA78F7">
        <w:t xml:space="preserve">Council of Canadian Academies </w:t>
      </w:r>
      <w:r w:rsidR="00073927">
        <w:t>(</w:t>
      </w:r>
      <w:r w:rsidR="00073927" w:rsidRPr="00DA78F7">
        <w:t xml:space="preserve">2014) </w:t>
      </w:r>
      <w:r w:rsidR="00073927" w:rsidRPr="001C6F5E">
        <w:t>related to each impact mode</w:t>
      </w:r>
      <w:r>
        <w:fldChar w:fldCharType="end"/>
      </w:r>
      <w:r>
        <w:t xml:space="preserve"> </w:t>
      </w:r>
    </w:p>
    <w:p w14:paraId="08330A5E" w14:textId="7BC62630" w:rsidR="001E497A" w:rsidRDefault="001E497A" w:rsidP="00464065">
      <w:pPr>
        <w:pStyle w:val="References"/>
      </w:pPr>
      <w:r>
        <w:t>Bexte, D., Willis, M., De Bruijn, G. G., Eitzen, B., &amp; Fouillard, E. (2008). Improved cementing practice prevents gas migration. World Oil, (229), 73–75.</w:t>
      </w:r>
    </w:p>
    <w:p w14:paraId="29215A78" w14:textId="77777777" w:rsidR="001E497A" w:rsidRDefault="001E497A" w:rsidP="00464065">
      <w:pPr>
        <w:pStyle w:val="References"/>
      </w:pPr>
      <w:r>
        <w:t>Council of Canadian Academies. (2014). Environmental Impacts of Shale Gas Extraction in Canada. Ottawa (ON): Council of Canadian Academies.</w:t>
      </w:r>
    </w:p>
    <w:p w14:paraId="7F986869" w14:textId="320F8219" w:rsidR="001E497A" w:rsidRDefault="001E497A" w:rsidP="00464065">
      <w:pPr>
        <w:pStyle w:val="References"/>
      </w:pPr>
      <w:r>
        <w:t xml:space="preserve">Dusseault, M., &amp; Jackson, R. (2014). Seepage pathway assessment for natural gas to shallow groundwater during well stimulation, in production, and after abandonment. Environmental Geosciences, 21(3), 107–126. </w:t>
      </w:r>
    </w:p>
    <w:p w14:paraId="14EA748A" w14:textId="16B6432E" w:rsidR="001E497A" w:rsidRDefault="001E497A" w:rsidP="00464065">
      <w:pPr>
        <w:pStyle w:val="References"/>
      </w:pPr>
      <w:r>
        <w:t>Dutzik, T., Ridlington, E., Group, F., &amp; Rumpler, J. (2012). The Costs of Fracking.</w:t>
      </w:r>
    </w:p>
    <w:p w14:paraId="0185974C" w14:textId="107E746E" w:rsidR="001E497A" w:rsidRDefault="001E497A" w:rsidP="00464065">
      <w:pPr>
        <w:pStyle w:val="References"/>
      </w:pPr>
      <w:r>
        <w:t xml:space="preserve">Energy </w:t>
      </w:r>
      <w:r w:rsidR="003A68A6" w:rsidRPr="004E0C5F">
        <w:t>Resources</w:t>
      </w:r>
      <w:r w:rsidR="003A68A6">
        <w:t xml:space="preserve"> </w:t>
      </w:r>
      <w:r>
        <w:t xml:space="preserve">Conservation Board. (2012a). ERCB Investigation Report, Red Deer Field Centre: Midway Energy Ltd. Hydraulic Fracturing Incident: Interwellbore Communication. Retrieved from </w:t>
      </w:r>
      <w:hyperlink r:id="rId46" w:history="1">
        <w:r w:rsidR="00464065" w:rsidRPr="00EF72E0">
          <w:rPr>
            <w:rStyle w:val="Hyperlink"/>
          </w:rPr>
          <w:t>http://www.aer.ca/data-and-publications/publications/ongoing-investigations</w:t>
        </w:r>
      </w:hyperlink>
      <w:r w:rsidR="00464065">
        <w:t xml:space="preserve"> </w:t>
      </w:r>
    </w:p>
    <w:p w14:paraId="7D09E4D2" w14:textId="00D71D1B" w:rsidR="001E497A" w:rsidRDefault="001E497A" w:rsidP="00464065">
      <w:pPr>
        <w:pStyle w:val="References"/>
      </w:pPr>
      <w:r>
        <w:t xml:space="preserve">Energy </w:t>
      </w:r>
      <w:r w:rsidR="003A68A6" w:rsidRPr="004E0C5F">
        <w:t>Resources</w:t>
      </w:r>
      <w:r w:rsidR="003A68A6">
        <w:t xml:space="preserve"> </w:t>
      </w:r>
      <w:r>
        <w:t>Conservation Board. (2012b). ERCB Investigation Report: Caltex Energy Inc., Hydraulic Fracturing Incident.</w:t>
      </w:r>
    </w:p>
    <w:p w14:paraId="7F9C3E8D" w14:textId="77777777" w:rsidR="001E497A" w:rsidRDefault="001E497A" w:rsidP="00464065">
      <w:pPr>
        <w:pStyle w:val="References"/>
      </w:pPr>
      <w:r>
        <w:t>Fisher, K., &amp; Warpinski, N. (2012). Hydraulic-Fracture-Height Growth : Real Data. SPE Production &amp; Operations, (February).</w:t>
      </w:r>
    </w:p>
    <w:p w14:paraId="2818B31E" w14:textId="56518253" w:rsidR="001E497A" w:rsidRDefault="001E497A" w:rsidP="00464065">
      <w:pPr>
        <w:pStyle w:val="References"/>
      </w:pPr>
      <w:r>
        <w:t xml:space="preserve">Gassiat, C., Gleeson, T., Lefebvre, R., &amp; McKenzie, J. (2013). Hydraulic fracturing in faulted sedimentary basins: Numerical simulation of potential contamination of shallow aquifers over long time scales. Water Resources Research, 49(12), 8310–8327. </w:t>
      </w:r>
    </w:p>
    <w:p w14:paraId="569C3E2B" w14:textId="46E27646" w:rsidR="001E497A" w:rsidRDefault="001E497A" w:rsidP="00464065">
      <w:pPr>
        <w:pStyle w:val="References"/>
      </w:pPr>
      <w:r>
        <w:t xml:space="preserve">Jackson, R. E., Gorody, A. W., Mayer, B., Roy, J. W., Ryan, M. C., &amp; Van Stempvoort, D. R. (2013). Groundwater protection and unconventional gas extraction: The critical need for field-based hydrogeological research. Groundwater, 51(4), 488–510. </w:t>
      </w:r>
    </w:p>
    <w:p w14:paraId="4309E145" w14:textId="0610F8F3" w:rsidR="001E497A" w:rsidRDefault="001E497A" w:rsidP="00464065">
      <w:pPr>
        <w:pStyle w:val="References"/>
      </w:pPr>
      <w:r>
        <w:t xml:space="preserve">Myers, T. (2012). Potential contaminant pathways from hydraulically fractured shale to aquifers. Ground Water, 50(6), 872–882. </w:t>
      </w:r>
    </w:p>
    <w:p w14:paraId="6D13F240" w14:textId="0C54CFBB" w:rsidR="001E497A" w:rsidRDefault="001E497A" w:rsidP="00464065">
      <w:pPr>
        <w:pStyle w:val="References"/>
      </w:pPr>
      <w:r>
        <w:t xml:space="preserve">Vidic, R. D., Brantley, S. L., Vandenbossche, J. M., Yoxtheimer, D., &amp; Abad, J. D. (2013). Impact of shale gas development on regional water quality. Science, 340(6134). </w:t>
      </w:r>
    </w:p>
    <w:p w14:paraId="51FB35AA" w14:textId="77777777" w:rsidR="001E497A" w:rsidRDefault="001E497A" w:rsidP="00985B69">
      <w:pPr>
        <w:pStyle w:val="BodyText"/>
      </w:pPr>
    </w:p>
    <w:p w14:paraId="6B560EC8" w14:textId="2F7FB979" w:rsidR="001E497A" w:rsidRDefault="001E497A" w:rsidP="00985B69">
      <w:pPr>
        <w:pStyle w:val="BodyText"/>
      </w:pPr>
      <w:r>
        <w:br w:type="page"/>
      </w:r>
    </w:p>
    <w:p w14:paraId="607C252C" w14:textId="672EB90B" w:rsidR="00131A46" w:rsidRPr="005A442F" w:rsidRDefault="00273D75" w:rsidP="00E10706">
      <w:pPr>
        <w:pStyle w:val="Heading3"/>
        <w:rPr>
          <w:i w:val="0"/>
        </w:rPr>
      </w:pPr>
      <w:bookmarkStart w:id="92" w:name="_Toc5272818"/>
      <w:bookmarkStart w:id="93" w:name="_Toc36042863"/>
      <w:bookmarkStart w:id="94" w:name="_Ref528837017"/>
      <w:r w:rsidRPr="005A442F">
        <w:rPr>
          <w:i w:val="0"/>
        </w:rPr>
        <w:t xml:space="preserve">Qualitative review of the findings </w:t>
      </w:r>
      <w:r w:rsidR="00454DB2" w:rsidRPr="005A442F">
        <w:rPr>
          <w:i w:val="0"/>
        </w:rPr>
        <w:t xml:space="preserve">from: </w:t>
      </w:r>
      <w:r w:rsidR="00454DB2" w:rsidRPr="00400022">
        <w:t>Report</w:t>
      </w:r>
      <w:r w:rsidR="00AA2CBC" w:rsidRPr="00400022">
        <w:t xml:space="preserve"> of the Nova Scotia Independent Panel On Hydraulic Fracturing</w:t>
      </w:r>
      <w:r w:rsidR="00AA2CBC" w:rsidRPr="005A442F">
        <w:rPr>
          <w:i w:val="0"/>
        </w:rPr>
        <w:t xml:space="preserve"> </w:t>
      </w:r>
      <w:r w:rsidR="0032056B" w:rsidRPr="005A442F">
        <w:rPr>
          <w:i w:val="0"/>
        </w:rPr>
        <w:fldChar w:fldCharType="begin" w:fldLock="1"/>
      </w:r>
      <w:r w:rsidR="00E2287F" w:rsidRPr="005A442F">
        <w:rPr>
          <w:i w:val="0"/>
        </w:rP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2014)","plainTextFormattedCitation":"(Atherton et al., 2014)","previouslyFormattedCitation":"(Atherton &lt;i&gt;et al.&lt;/i&gt;, 2014)"},"properties":{"noteIndex":0},"schema":"https://github.com/citation-style-language/schema/raw/master/csl-citation.json"}</w:instrText>
      </w:r>
      <w:r w:rsidR="0032056B" w:rsidRPr="005A442F">
        <w:rPr>
          <w:i w:val="0"/>
        </w:rPr>
        <w:fldChar w:fldCharType="separate"/>
      </w:r>
      <w:r w:rsidR="0032056B" w:rsidRPr="005A442F">
        <w:rPr>
          <w:i w:val="0"/>
          <w:noProof/>
        </w:rPr>
        <w:t>(Atherton et al., 2014)</w:t>
      </w:r>
      <w:bookmarkEnd w:id="92"/>
      <w:bookmarkEnd w:id="93"/>
      <w:r w:rsidR="0032056B" w:rsidRPr="005A442F">
        <w:rPr>
          <w:i w:val="0"/>
        </w:rPr>
        <w:fldChar w:fldCharType="end"/>
      </w:r>
      <w:bookmarkEnd w:id="94"/>
    </w:p>
    <w:p w14:paraId="7093268A" w14:textId="2EDCAFF2" w:rsidR="00986CB4" w:rsidRDefault="00986CB4" w:rsidP="00B65D6D">
      <w:pPr>
        <w:pStyle w:val="Heading4notnumbered"/>
      </w:pPr>
      <w:r>
        <w:t>Background and scope</w:t>
      </w:r>
    </w:p>
    <w:p w14:paraId="6356B240" w14:textId="41556373" w:rsidR="00C30C07" w:rsidRPr="00C30C07" w:rsidRDefault="00C30C07" w:rsidP="00C30C07">
      <w:pPr>
        <w:pStyle w:val="BodyText"/>
      </w:pPr>
      <w:r w:rsidRPr="00C30C07">
        <w:t>The mandate for the review was to: create a panel of technical experts based on input from the public and hire technical consultant(s) to facilitate the work of the panel; hire a part-time project administrator; conduct public consultations on the process of hydraulic fracturing with online tools and face-to-face meetings with stakeholders; and conduct a literature review on the health and socio-economic impacts of hydraulic fracturing. These activities would result in a final report to the Government of Nova Scotia with recommendations on the potential of hydraulic fracturing to develop unconventional gas and oil resources in the Province</w:t>
      </w:r>
      <w:r>
        <w:t>.</w:t>
      </w:r>
    </w:p>
    <w:p w14:paraId="583A7C1C" w14:textId="2E1B372A" w:rsidR="00986CB4" w:rsidRDefault="00986CB4" w:rsidP="00B65D6D">
      <w:pPr>
        <w:pStyle w:val="Heading4notnumbered"/>
      </w:pPr>
      <w:r>
        <w:t>Study area</w:t>
      </w:r>
    </w:p>
    <w:p w14:paraId="651FFF47" w14:textId="50155D5A" w:rsidR="00C96D7C" w:rsidRPr="00C96D7C" w:rsidRDefault="00C96D7C" w:rsidP="00C96D7C">
      <w:pPr>
        <w:pStyle w:val="BodyText"/>
      </w:pPr>
      <w:r w:rsidRPr="00C96D7C">
        <w:t>Nova Scotia</w:t>
      </w:r>
      <w:r>
        <w:t>, Canada</w:t>
      </w:r>
    </w:p>
    <w:p w14:paraId="56B8214D" w14:textId="02EAE111" w:rsidR="00986CB4" w:rsidRDefault="00986CB4" w:rsidP="00B65D6D">
      <w:pPr>
        <w:pStyle w:val="Heading4notnumbered"/>
      </w:pPr>
      <w:r>
        <w:t>Authors</w:t>
      </w:r>
    </w:p>
    <w:p w14:paraId="07C8ED98" w14:textId="6BCE0FEC" w:rsidR="00C96D7C" w:rsidRPr="00C96D7C" w:rsidRDefault="00C96D7C" w:rsidP="00C96D7C">
      <w:pPr>
        <w:pStyle w:val="BodyText"/>
      </w:pPr>
      <w:r>
        <w:t>Frank Atherton, Michael Bradfield, Kevin Christmas, Shawn Dalton, Maurice Dusseault, Graham Gagnon, Brad Hayes</w:t>
      </w:r>
      <w:r w:rsidR="0056331B">
        <w:t xml:space="preserve">, </w:t>
      </w:r>
      <w:r>
        <w:t>Constance MacIntosh</w:t>
      </w:r>
      <w:r w:rsidR="0056331B">
        <w:t>,</w:t>
      </w:r>
      <w:r>
        <w:t xml:space="preserve"> Ian Mauro</w:t>
      </w:r>
      <w:r w:rsidR="0056331B">
        <w:t>,</w:t>
      </w:r>
      <w:r>
        <w:t xml:space="preserve"> Ray Ritcey</w:t>
      </w:r>
      <w:r w:rsidR="0056331B">
        <w:t xml:space="preserve">, </w:t>
      </w:r>
      <w:r>
        <w:t>David Wheeler (Chair)</w:t>
      </w:r>
    </w:p>
    <w:p w14:paraId="2DB2B5B1" w14:textId="77777777" w:rsidR="00236399" w:rsidRPr="00822417" w:rsidRDefault="00236399" w:rsidP="00236399">
      <w:pPr>
        <w:pStyle w:val="Heading4notnumbered"/>
      </w:pPr>
      <w:r>
        <w:t xml:space="preserve">Key findings </w:t>
      </w:r>
    </w:p>
    <w:p w14:paraId="4454DB01" w14:textId="1DA3BA8B" w:rsidR="00AA2CBC" w:rsidRPr="005A442F" w:rsidRDefault="00BF270E" w:rsidP="00AA2CBC">
      <w:pPr>
        <w:pStyle w:val="BodyText"/>
      </w:pPr>
      <w:r w:rsidRPr="005A442F">
        <w:t>The m</w:t>
      </w:r>
      <w:r w:rsidR="00AA2CBC" w:rsidRPr="005A442F">
        <w:t>andate</w:t>
      </w:r>
      <w:r w:rsidRPr="005A442F">
        <w:t xml:space="preserve"> was to </w:t>
      </w:r>
      <w:r w:rsidR="00AA2CBC" w:rsidRPr="005A442F">
        <w:t>conduct public consultations on the process of hydraulic fracturing with online tools and face-to-face meetings with stakeholders; and conduct a literature review on the health and socio-economic impacts of hydraulic fracturing.</w:t>
      </w:r>
    </w:p>
    <w:p w14:paraId="15AAEFB7" w14:textId="101DD76E" w:rsidR="00131A46" w:rsidRPr="005A442F" w:rsidRDefault="008E2FEA" w:rsidP="00AA2CBC">
      <w:pPr>
        <w:pStyle w:val="BodyText"/>
      </w:pPr>
      <w:r>
        <w:t>The study</w:t>
      </w:r>
      <w:r w:rsidR="00AA2CBC" w:rsidRPr="005A442F">
        <w:t xml:space="preserve"> concluded that it is a relatively straightforward task to establish good well integrity regulatory practices</w:t>
      </w:r>
      <w:r w:rsidR="009835B4" w:rsidRPr="005A442F">
        <w:t xml:space="preserve"> </w:t>
      </w:r>
      <w:r w:rsidR="00AA2CBC" w:rsidRPr="005A442F">
        <w:t>(guidelines and enforcement), quality control, and monitoring to ensure that potential sites are geologically understood, that wells are properly installed, and that well abandonment is done according to regulatory requirements. However, this is not a risk-free activity and hence the establishment of an appropriate monitoring and regulatory system would clearly be needed if large-scale unconventional oil and gas resource development were ever to take place</w:t>
      </w:r>
      <w:r>
        <w:t>.</w:t>
      </w:r>
    </w:p>
    <w:p w14:paraId="3B55AB39" w14:textId="7AD65D5F" w:rsidR="00816DAD" w:rsidRPr="005A442F" w:rsidRDefault="008E2FEA" w:rsidP="00816DAD">
      <w:pPr>
        <w:pStyle w:val="BodyText"/>
      </w:pPr>
      <w:r>
        <w:t>U</w:t>
      </w:r>
      <w:r w:rsidR="00816DAD" w:rsidRPr="005A442F">
        <w:t xml:space="preserve">nconventional gas and oil development, using modern cementing and completion techniques, usually leads to good wellbore integrity. </w:t>
      </w:r>
    </w:p>
    <w:p w14:paraId="31AC23CB" w14:textId="2ACDA7AD" w:rsidR="00AA2CBC" w:rsidRPr="005A442F" w:rsidRDefault="00AA2CBC" w:rsidP="00AA2CBC">
      <w:pPr>
        <w:pStyle w:val="BodyText"/>
      </w:pPr>
      <w:r w:rsidRPr="005A442F">
        <w:t>In the case of hydraulic fracturing and its associated activities and technologies, we can safely say that proper application of a precautionary approach means that the burden of proof on avoiding public harm rests with developers and those governments (i.e. federal, provincial, municipal and Aboriginal governments) that may wish to pursue the possible application of the technology in the future</w:t>
      </w:r>
      <w:r w:rsidR="00530223">
        <w:t>.</w:t>
      </w:r>
    </w:p>
    <w:p w14:paraId="52B2F8A4" w14:textId="78559C46" w:rsidR="00B74AA7" w:rsidRPr="005A442F" w:rsidRDefault="00530223" w:rsidP="00B74AA7">
      <w:pPr>
        <w:pStyle w:val="BodyText"/>
      </w:pPr>
      <w:r>
        <w:t>W</w:t>
      </w:r>
      <w:r w:rsidR="00B74AA7" w:rsidRPr="005A442F">
        <w:t>ater quality and quantity concerns are regularly cited as the top issues for the public in considering the potential impacts of hydraulic fracturing.</w:t>
      </w:r>
    </w:p>
    <w:p w14:paraId="4B3F8263" w14:textId="45E52AAF" w:rsidR="00E27D83" w:rsidRPr="005A442F" w:rsidRDefault="00E27D83" w:rsidP="00E27D83">
      <w:pPr>
        <w:pStyle w:val="BodyText"/>
      </w:pPr>
      <w:r w:rsidRPr="005A442F">
        <w:t>Risk management plans need to consider the safety of the industrial process itself and the development of water safety plans for the protection of neighbouring groundwater and surface water systems. The latter water safety plans would ensure that chemicals used by the industry are publicly declared and appropriate monitoring programs and risk mitigation programs are designed and available for public scrutiny.</w:t>
      </w:r>
    </w:p>
    <w:p w14:paraId="03A36334" w14:textId="45BA0562" w:rsidR="00CE6F5B" w:rsidRPr="005A442F" w:rsidRDefault="00CE6F5B" w:rsidP="00CE6F5B">
      <w:pPr>
        <w:pStyle w:val="BodyText"/>
      </w:pPr>
      <w:r w:rsidRPr="005A442F">
        <w:t>The best guarantee against future leaky well problems is a high-quality initial well installation (primary cementation); so, attention should be paid to well casing and cementing. Although well cementing does not have to take place under direct supervision of a professional engineer, it is important to verify that the appropriate materials and procedures are used and that the installed well meets mandated performance criteria (pressure tests, bond log quality). In this way, future issues relating to well integrity and risks of interaction with shallow aquifers are reduced.</w:t>
      </w:r>
    </w:p>
    <w:p w14:paraId="0C6D6D1A" w14:textId="53A43B9D" w:rsidR="00CE6F5B" w:rsidRPr="005A442F" w:rsidRDefault="00CE6F5B" w:rsidP="00CE6F5B">
      <w:pPr>
        <w:pStyle w:val="BodyText"/>
      </w:pPr>
      <w:r w:rsidRPr="005A442F">
        <w:t>Nevertheless, as in any complex industrial activity, there will always be some cases where sealing of all leakage pathways for the entire life of the well, including the post-decommissioning period, is not achieved.</w:t>
      </w:r>
    </w:p>
    <w:p w14:paraId="5E8FC6A8" w14:textId="48EBE0F6" w:rsidR="00856560" w:rsidRPr="005A442F" w:rsidRDefault="00530223" w:rsidP="00856560">
      <w:pPr>
        <w:pStyle w:val="BodyText"/>
      </w:pPr>
      <w:r>
        <w:t>T</w:t>
      </w:r>
      <w:r w:rsidR="00856560" w:rsidRPr="005A442F">
        <w:t>here is a great deal of indirect evidence suggesting that gas leaking into groundwater wells is not a major public health issue. Much of this indirect evidence is a general lack of morbid effects noted despite many hundreds of thousands of known cases of naturally</w:t>
      </w:r>
      <w:r w:rsidR="00B4177B">
        <w:t xml:space="preserve"> </w:t>
      </w:r>
      <w:r w:rsidR="00856560" w:rsidRPr="005A442F">
        <w:t>occurring methane seepage into water wells around North America.</w:t>
      </w:r>
    </w:p>
    <w:p w14:paraId="0BE380DB" w14:textId="3386BE41" w:rsidR="008870F8" w:rsidRPr="005A442F" w:rsidRDefault="008870F8" w:rsidP="008870F8">
      <w:pPr>
        <w:pStyle w:val="BodyText"/>
      </w:pPr>
      <w:r w:rsidRPr="005A442F">
        <w:t>An example of a recent survey of wells above an American oilfield (Wattenburg, CO) that has been active since 1970 and has more than 19,000 producing wells and more than 7,500 decommissioned wells was published in early 2014</w:t>
      </w:r>
      <w:r w:rsidR="009835B4" w:rsidRPr="005A442F">
        <w:t xml:space="preserve"> </w:t>
      </w:r>
      <w:r w:rsidR="006F2E87" w:rsidRPr="005A442F">
        <w:fldChar w:fldCharType="begin" w:fldLock="1"/>
      </w:r>
      <w:r w:rsidR="00126731" w:rsidRPr="005A442F">
        <w:instrText>ADDIN CSL_CITATION {"citationItems":[{"id":"ITEM-1","itemData":{"DOI":"10.1021/es404668b","ISSN":"0013936X","abstract":"Public concerns over potential environmental contamination associated with oil and gas well drilling and fracturing in the Wattenberg field in northeast Colorado are increasing. One of the issues of concern is the migration of oil, gas, or produced water to a groundwater aquifer resulting in contamination of drinking water. Since methane is the major component of natural gas and it can be dissolved and transported with groundwater, stray gas in aquifers has elicited attention. The initial step toward understanding the environmental impacts of oil and gas activities, such as well drilling and fracturing, is to determine the occurrence, where it is and where it came from. In this study, groundwater methane data that has been collected in response to a relatively new regulation in Colorado is analyzed. Dissolved methane was detected in 78% of groundwater wells with an average concentration of 4.0 mg/L and a range of 0-37.1 mg/L. Greater than 95% of the methane found in groundwater wells was classified as having a microbial origin, and there was minimal overlap between the C and H isotopic characterization of the produced gas and dissolved methane measured in the aquifer. Neither density of oil/gas wells nor distance to oil/gas wells had a significant impact on methane concentration suggesting other important factors were influencing methane generation and distribution. Thermogenic methane was detected in two aquifer wells indicating a potential contamination pathway from the producing formation, but microbial-origin gas was by far the predominant source of dissolved methane in the Wattenberg field.","author":[{"dropping-particle":"","family":"Li","given":"Huishu","non-dropping-particle":"","parse-names":false,"suffix":""},{"dropping-particle":"","family":"Carlson","given":"Kenneth H.","non-dropping-particle":"","parse-names":false,"suffix":""}],"container-title":"Environmental Science and Technology","id":"ITEM-1","issue":"3","issued":{"date-parts":[["2014"]]},"page":"1484-1491","title":"Distribution and origin of groundwater methane in the Wattenberg oil and gas field of northern Colorado","type":"article-journal","volume":"48"},"uris":["http://www.mendeley.com/documents/?uuid=44508e92-010d-4377-8328-bd301e0d801b"]}],"mendeley":{"formattedCitation":"(Li and Carlson, 2014)","plainTextFormattedCitation":"(Li and Carlson, 2014)","previouslyFormattedCitation":"(Li and Carlson, 2014)"},"properties":{"noteIndex":0},"schema":"https://github.com/citation-style-language/schema/raw/master/csl-citation.json"}</w:instrText>
      </w:r>
      <w:r w:rsidR="006F2E87" w:rsidRPr="005A442F">
        <w:fldChar w:fldCharType="separate"/>
      </w:r>
      <w:r w:rsidR="006F2E87" w:rsidRPr="005A442F">
        <w:rPr>
          <w:noProof/>
        </w:rPr>
        <w:t>(Li and Carlson, 2014)</w:t>
      </w:r>
      <w:r w:rsidR="006F2E87" w:rsidRPr="005A442F">
        <w:fldChar w:fldCharType="end"/>
      </w:r>
      <w:r w:rsidRPr="005A442F">
        <w:t xml:space="preserve"> The study found that in a sample of 223 groundwater wells, a number of which were resampled over a period of five years, 78</w:t>
      </w:r>
      <w:r w:rsidR="009C7299">
        <w:t xml:space="preserve">% </w:t>
      </w:r>
      <w:r w:rsidRPr="005A442F">
        <w:t>had dissolved methane. The occurrence of methane did not correlate with proximity to energy wellbores, and the methane was found to be more than 98</w:t>
      </w:r>
      <w:r w:rsidR="009C7299">
        <w:t>%</w:t>
      </w:r>
      <w:r w:rsidRPr="005A442F">
        <w:t xml:space="preserve"> of biogenic (shallow) origin, therefore, not from thermogenic sources (deep, from the intermediate or the producing zone). Even for the few cases where the gas was of thermogenic origin, the specific pathway (natural or man-induced) could not be deduced.</w:t>
      </w:r>
    </w:p>
    <w:p w14:paraId="30C5B232" w14:textId="3E675469" w:rsidR="004F03FD" w:rsidRPr="005A442F" w:rsidRDefault="004F03FD" w:rsidP="004F03FD">
      <w:pPr>
        <w:pStyle w:val="BodyText"/>
      </w:pPr>
      <w:r w:rsidRPr="005A442F">
        <w:t>In contrast, some work has shown that methane found in groundwater wells in certain areas in Pennsylvania is somewhat correlated to the distance from recent energy wells drilled in the five- to six-year period before the study was done</w:t>
      </w:r>
      <w:r w:rsidR="006F2E87" w:rsidRPr="005A442F">
        <w:t xml:space="preserve"> </w:t>
      </w:r>
      <w:r w:rsidR="00126731" w:rsidRPr="005A442F">
        <w:fldChar w:fldCharType="begin" w:fldLock="1"/>
      </w:r>
      <w:r w:rsidR="00126731" w:rsidRPr="005A442F">
        <w:instrText>ADDIN CSL_CITATION {"citationItems":[{"id":"ITEM-1","itemData":{"DOI":"10.1073/pnas.1221635110","ISBN":"0027-8424","ISSN":"1091-6490","PMID":"23798404","abstract":"Horizontal drilling and hydraulic fracturing are transforming energy production, but their potential environmental effects remain controversial. We analyzed 141 drinking water wells across the Appalachian Plateaus physiographic province of northeastern Pennsylvania, examining natural gas concentrations and isotopic signatures with proximity to shale gas wells. Methane was detected in 82% of drinking water samples, with average concentrations six times higher for homes &lt;1 km from natural gas wells (P = 0.0006). Ethane was 23 times higher in homes &lt;1 km from gas wells (P = 0.0013); propane was detected in 10 water wells, all within approximately 1 km distance (P = 0.01). Of three factors previously proposed to influence gas concentrations in shallow groundwater (distances to gas wells, valley bottoms, and the Appalachian Structural Front, a proxy for tectonic deformation), distance to gas wells was highly significant for methane concentrations (P = 0.007; multiple regression), whereas distances to valley bottoms and the Appalachian Structural Front were not significant (P = 0.27 and P = 0.11, respectively). Distance to gas wells was also the most significant factor for Pearson and Spearman correlation analyses (P &lt; 0.01). For ethane concentrations, distance to gas wells was the only statistically significant factor (P &lt; 0.005). Isotopic signatures (δ(13)C-CH4, δ(13)C-C2H6, and δ(2)H-CH4), hydrocarbon ratios (methane to ethane and propane), and the ratio of the noble gas (4)He to CH4 in groundwater were characteristic of a thermally postmature Marcellus-like source in some cases. Overall, our data suggest that some homeowners living &lt;1 km from gas wells have drinking water contaminated with stray gases.","author":[{"dropping-particle":"","family":"Jackson","given":"Robert B","non-dropping-particle":"","parse-names":false,"suffix":""},{"dropping-particle":"","family":"Vengosh","given":"Avner","non-dropping-particle":"","parse-names":false,"suffix":""},{"dropping-particle":"","family":"Darrah","given":"Thomas H","non-dropping-particle":"","parse-names":false,"suffix":""},{"dropping-particle":"","family":"Warner","given":"Nathaniel R","non-dropping-particle":"","parse-names":false,"suffix":""},{"dropping-particle":"","family":"Down","given":"Adrian","non-dropping-particle":"","parse-names":false,"suffix":""},{"dropping-particle":"","family":"Poreda","given":"Robert J","non-dropping-particle":"","parse-names":false,"suffix":""},{"dropping-particle":"","family":"Osborn","given":"Stephen G","non-dropping-particle":"","parse-names":false,"suffix":""},{"dropping-particle":"","family":"Zhao","given":"Kaiguang","non-dropping-particle":"","parse-names":false,"suffix":""},{"dropping-particle":"","family":"Karr","given":"Jonathan D","non-dropping-particle":"","parse-names":false,"suffix":""}],"container-title":"Proceedings of the National Academy of Sciences of the United States of America","id":"ITEM-1","issue":"28","issued":{"date-parts":[["2013"]]},"page":"11250-5","title":"Increased stray gas abundance in a subset of drinking water wells near Marcellus shale gas extraction","type":"article-journal","volume":"110"},"uris":["http://www.mendeley.com/documents/?uuid=f21c8fa9-75dd-4795-9efe-76e8610f5ade"]}],"mendeley":{"formattedCitation":"(R. B. Jackson &lt;i&gt;et al.&lt;/i&gt;, 2013)","plainTextFormattedCitation":"(R. B. Jackson et al., 2013)","previouslyFormattedCitation":"(R. B. Jackson &lt;i&gt;et al.&lt;/i&gt;, 2013)"},"properties":{"noteIndex":0},"schema":"https://github.com/citation-style-language/schema/raw/master/csl-citation.json"}</w:instrText>
      </w:r>
      <w:r w:rsidR="00126731" w:rsidRPr="005A442F">
        <w:fldChar w:fldCharType="separate"/>
      </w:r>
      <w:r w:rsidR="00126731" w:rsidRPr="005A442F">
        <w:rPr>
          <w:noProof/>
        </w:rPr>
        <w:t>(R. B. Jackson et al., 2013)</w:t>
      </w:r>
      <w:r w:rsidR="00126731" w:rsidRPr="005A442F">
        <w:fldChar w:fldCharType="end"/>
      </w:r>
      <w:r w:rsidR="00126731" w:rsidRPr="005A442F">
        <w:t xml:space="preserve">. </w:t>
      </w:r>
      <w:r w:rsidRPr="005A442F">
        <w:t>Specifically, methane occurrences in groundwater wells were found to be statistically more common nearer to energy wells in this region, although the authors did not prove that the methane actually came from the proximal energy wells.</w:t>
      </w:r>
    </w:p>
    <w:p w14:paraId="0455943D" w14:textId="4A9E55A6" w:rsidR="004F03FD" w:rsidRPr="005A442F" w:rsidRDefault="004F03FD" w:rsidP="004F03FD">
      <w:pPr>
        <w:pStyle w:val="BodyText"/>
      </w:pPr>
      <w:r w:rsidRPr="005A442F">
        <w:t>The results are reminders that vigilance is needed, baseline data must be established (it is too late in many oil and gas areas to collect true baseline data), and careful scientific analysis performed before wide-sweeping conclusions about well integrity, groundwater contamination, and gas migration pathways can be drawn.</w:t>
      </w:r>
    </w:p>
    <w:p w14:paraId="4CC09A9C" w14:textId="743FC475" w:rsidR="00221CFE" w:rsidRPr="005A442F" w:rsidRDefault="00AD4EFB" w:rsidP="006103DA">
      <w:pPr>
        <w:pStyle w:val="BodyText"/>
      </w:pPr>
      <w:r w:rsidRPr="005A442F">
        <w:t>Good quality data on the composition and geochemical nature of the gases</w:t>
      </w:r>
      <w:r w:rsidR="006103DA" w:rsidRPr="005A442F">
        <w:t xml:space="preserve"> is collected through what is referred to as “mud-gas logging,” which is the collection of samples of gas released from the rocks during drilling </w:t>
      </w:r>
      <w:r w:rsidR="00126731" w:rsidRPr="005A442F">
        <w:fldChar w:fldCharType="begin" w:fldLock="1"/>
      </w:r>
      <w:r w:rsidR="00126731" w:rsidRPr="005A442F">
        <w:instrText>ADDIN CSL_CITATION {"citationItems":[{"id":"ITEM-1","itemData":{"DOI":"10.1016/S0146-6380(99)00068-6","ISSN":"01466380","abstract":"Thousands of wells have been drilled in northeastern Alberta and adjacent Saskatchewan in order to develop the heavy oil reservoirs of the Lower Cretaceous Mannville Group. In a large number of these wells, vertical migration of gas from unknown sources to the surface via well casings and surrounding soils represents a serious environmental problem. Mud samples from new wells drilled in the area were collected at approximately 50 m intervals from the surface to the completion depth, and the gases contained within the muds ('mud-gases') were analyzed for 13C/ 12C composition. Gases from the various Mannville Group sands do not show unique isotopic signatures; they comprise bacterial methane (δ 13C(Cl) =-70‰ to -60‰ (PDB)), with trace C 2+ components that are residues from biodegradation processes. Gases from each of the overlying Upper Cretaceous Colorado Group shale units are, however, isotopically distinct. The δ 13C of methanes in the shales have values equivalent to those within the Mannville sands, but the δ 13C of the C 2+ components are unambiguously different. C 2+ gases from the shallower Colorado shales are incipient thermal gases and fit the isotopic maturity diagram of James, A T, 1983 AAPG Bull. 67, 1176-1191, and also of Chung, H M., Gormly, J.R, Squires, R M. 1988. Chem Geol. 71, 97-103. We believe these gases may include the most immature suite of thermogenic gases reported δ 13C(C2)= -63‰ to -32‰, δ 13C(C3)= -42‰ to -22‰, δ 13C(nc4)= -37‰ to -23‰). Carbon isotope fingerprints from mud-gases are used to identify specific source depths of migrated gases. Comparisons between the isotopic characteristics of the shallow gases and the migrated gases collected near surface infer that most of the migrated gases are actually generated in the Colorado Group shales, and not the Mannville sands in which the wells were completed. The ability to estimate the source depth of the migrated gases greatly aids remediation of 'leaking' wells within the Western Canadian Sedimentary Basin (WCSB).","author":[{"dropping-particle":"","family":"Rowe","given":"Devon","non-dropping-particle":"","parse-names":false,"suffix":""},{"dropping-particle":"","family":"Muehlenbachs","given":"Karlis","non-dropping-particle":"","parse-names":false,"suffix":""}],"container-title":"Organic Geochemistry","id":"ITEM-1","issue":"8 A","issued":{"date-parts":[["1999"]]},"page":"861-871","title":"Isotopic fingerprints of shallow gases in the Western Canadian sedimentary basin: Tools for remediation of leaking heavy oil wells","type":"article-journal","volume":"30"},"uris":["http://www.mendeley.com/documents/?uuid=d5e9e053-1a43-4daa-887d-1704d6769850"]}],"mendeley":{"formattedCitation":"(Rowe and Muehlenbachs, 1999)","plainTextFormattedCitation":"(Rowe and Muehlenbachs, 1999)","previouslyFormattedCitation":"(Rowe and Muehlenbachs, 1999)"},"properties":{"noteIndex":0},"schema":"https://github.com/citation-style-language/schema/raw/master/csl-citation.json"}</w:instrText>
      </w:r>
      <w:r w:rsidR="00126731" w:rsidRPr="005A442F">
        <w:fldChar w:fldCharType="separate"/>
      </w:r>
      <w:r w:rsidR="00126731" w:rsidRPr="005A442F">
        <w:rPr>
          <w:noProof/>
        </w:rPr>
        <w:t>(Rowe and Muehlenbachs, 1999)</w:t>
      </w:r>
      <w:r w:rsidR="00126731" w:rsidRPr="005A442F">
        <w:fldChar w:fldCharType="end"/>
      </w:r>
      <w:r w:rsidR="00126731" w:rsidRPr="005A442F">
        <w:t xml:space="preserve">. </w:t>
      </w:r>
      <w:r w:rsidR="006103DA" w:rsidRPr="005A442F">
        <w:t>Energy companies regard this information as strategic, of economic interest, and, therefore, confidential. Means can easily be established within a regulatory framework to store this data and make it available under controlled conditions when claims are made related to fugitive gas emissions</w:t>
      </w:r>
      <w:r w:rsidR="0022599B">
        <w:t>.</w:t>
      </w:r>
    </w:p>
    <w:p w14:paraId="41ADE1FD" w14:textId="30949D39" w:rsidR="00221CFE" w:rsidRPr="005A442F" w:rsidRDefault="00221CFE" w:rsidP="00AC6E02">
      <w:pPr>
        <w:pStyle w:val="BodyText"/>
      </w:pPr>
      <w:r w:rsidRPr="005A442F">
        <w:t>Three known significant consequences exist: contamination of groundwater, turning it unpalatable; escape of natural gas to the atmosphere, where it has a greenhouse gas effect; and direct safety risk associated with potential explosion of an accumulation of gas in a confined space.</w:t>
      </w:r>
      <w:r w:rsidR="00AC6E02" w:rsidRPr="005A442F">
        <w:t xml:space="preserve"> Although not desirable, groundwater souring is not a serious public health issue because methane itself is not toxic.</w:t>
      </w:r>
    </w:p>
    <w:p w14:paraId="75698EE5" w14:textId="709F2584" w:rsidR="00AC6E02" w:rsidRPr="005A442F" w:rsidRDefault="00AC6E02" w:rsidP="00AC6E02">
      <w:pPr>
        <w:pStyle w:val="BodyText"/>
      </w:pPr>
      <w:r w:rsidRPr="005A442F">
        <w:t>The science regarding contamination of well water from hydraulic fracturing is controversial and inconclusive. Two U</w:t>
      </w:r>
      <w:r w:rsidR="009C7299">
        <w:t>S</w:t>
      </w:r>
      <w:r w:rsidRPr="005A442F">
        <w:t xml:space="preserve"> studies indicate homes within one kilometre of </w:t>
      </w:r>
      <w:r w:rsidR="008E2FEA" w:rsidRPr="005A442F">
        <w:t>unconventional</w:t>
      </w:r>
      <w:r w:rsidRPr="005A442F">
        <w:t xml:space="preserve"> gas production may be six times more likely than homes further away to be contaminated with stray gases such as methane, methane, and propane</w:t>
      </w:r>
      <w:r w:rsidR="00126731" w:rsidRPr="005A442F">
        <w:t xml:space="preserve"> </w:t>
      </w:r>
      <w:r w:rsidR="00126731" w:rsidRPr="005A442F">
        <w:fldChar w:fldCharType="begin" w:fldLock="1"/>
      </w:r>
      <w:r w:rsidR="001B0BB9" w:rsidRPr="005A442F">
        <w:instrText>ADDIN CSL_CITATION {"citationItems":[{"id":"ITEM-1","itemData":{"DOI":"10.1073/pnas.1221635110","ISBN":"0027-8424","ISSN":"1091-6490","PMID":"23798404","abstract":"Horizontal drilling and hydraulic fracturing are transforming energy production, but their potential environmental effects remain controversial. We analyzed 141 drinking water wells across the Appalachian Plateaus physiographic province of northeastern Pennsylvania, examining natural gas concentrations and isotopic signatures with proximity to shale gas wells. Methane was detected in 82% of drinking water samples, with average concentrations six times higher for homes &lt;1 km from natural gas wells (P = 0.0006). Ethane was 23 times higher in homes &lt;1 km from gas wells (P = 0.0013); propane was detected in 10 water wells, all within approximately 1 km distance (P = 0.01). Of three factors previously proposed to influence gas concentrations in shallow groundwater (distances to gas wells, valley bottoms, and the Appalachian Structural Front, a proxy for tectonic deformation), distance to gas wells was highly significant for methane concentrations (P = 0.007; multiple regression), whereas distances to valley bottoms and the Appalachian Structural Front were not significant (P = 0.27 and P = 0.11, respectively). Distance to gas wells was also the most significant factor for Pearson and Spearman correlation analyses (P &lt; 0.01). For ethane concentrations, distance to gas wells was the only statistically significant factor (P &lt; 0.005). Isotopic signatures (δ(13)C-CH4, δ(13)C-C2H6, and δ(2)H-CH4), hydrocarbon ratios (methane to ethane and propane), and the ratio of the noble gas (4)He to CH4 in groundwater were characteristic of a thermally postmature Marcellus-like source in some cases. Overall, our data suggest that some homeowners living &lt;1 km from gas wells have drinking water contaminated with stray gases.","author":[{"dropping-particle":"","family":"Jackson","given":"Robert B","non-dropping-particle":"","parse-names":false,"suffix":""},{"dropping-particle":"","family":"Vengosh","given":"Avner","non-dropping-particle":"","parse-names":false,"suffix":""},{"dropping-particle":"","family":"Darrah","given":"Thomas H","non-dropping-particle":"","parse-names":false,"suffix":""},{"dropping-particle":"","family":"Warner","given":"Nathaniel R","non-dropping-particle":"","parse-names":false,"suffix":""},{"dropping-particle":"","family":"Down","given":"Adrian","non-dropping-particle":"","parse-names":false,"suffix":""},{"dropping-particle":"","family":"Poreda","given":"Robert J","non-dropping-particle":"","parse-names":false,"suffix":""},{"dropping-particle":"","family":"Osborn","given":"Stephen G","non-dropping-particle":"","parse-names":false,"suffix":""},{"dropping-particle":"","family":"Zhao","given":"Kaiguang","non-dropping-particle":"","parse-names":false,"suffix":""},{"dropping-particle":"","family":"Karr","given":"Jonathan D","non-dropping-particle":"","parse-names":false,"suffix":""}],"container-title":"Proceedings of the National Academy of Sciences of the United States of America","id":"ITEM-1","issue":"28","issued":{"date-parts":[["2013"]]},"page":"11250-5","title":"Increased stray gas abundance in a subset of drinking water wells near Marcellus shale gas extraction","type":"article-journal","volume":"110"},"uris":["http://www.mendeley.com/documents/?uuid=f21c8fa9-75dd-4795-9efe-76e8610f5ade"]},{"id":"ITEM-2","itemData":{"DOI":"10.1016/j.proeps.2013.03.213","ISSN":"18785220","abstract":"Advances in drilling technologies and production strategies such as horizontal drilling and hydraulic fracturing have significantly improved the production of natural gas by stimulating fluid flow from wells. Since 2008, these technological developments have spurred exponential growth of gas well drilling across the U.S. While the new drilling for shale gas and hydraulic fracturing technologies have dramatically changed the energy landscape in the U.S., recent scientific findings show evidence for contamination of water resources. This paper provides key observations for the potential risks of shale gas drilling and hydraulic fracturing on the quality of water resources and include: (1) stray gas contamination of shallow groundwater overlying shale gas basins; (2) pathways and hydraulic connectivity between the deep shale gas formations and the overlying shallow drinking water aquifers; and (3) inadequate disposal of produced and flowback waters associated with shale gas exploration that causes contamination of surface waters and long-term ecological effects. By using geochemical (e.g., Br/Cl) integrated with oxygen, hydrogen, strontium, radium, and boron isotopic tracers, we have characterized the geochemical fingerprints of brines from several shale gas basins in the USA, including the Utica and Marcellus brines in the Appalachian Basin and the Fayetteville brines in Arkansas. We use these geochemical fingerprints to delineate the impact of shale gas associated fluids on the environment.","author":[{"dropping-particle":"","family":"Vengosh","given":"Avner","non-dropping-particle":"","parse-names":false,"suffix":""},{"dropping-particle":"","family":"Warner","given":"Nathaniel","non-dropping-particle":"","parse-names":false,"suffix":""},{"dropping-particle":"","family":"Jackson","given":"Rob","non-dropping-particle":"","parse-names":false,"suffix":""},{"dropping-particle":"","family":"Darrah","given":"Tom","non-dropping-particle":"","parse-names":false,"suffix":""}],"container-title":"Procedia Earth and Planetary Science","id":"ITEM-2","issued":{"date-parts":[["2013"]]},"page":"863-866","publisher":"Elsevier B.V.","title":"The Effects of Shale Gas Exploration and Hydraulic Fracturing on the Quality of Water Resources in the United States","type":"article-journal","volume":"7"},"uris":["http://www.mendeley.com/documents/?uuid=f9c07b7f-cfb0-4222-9350-7718fbdc14f0"]}],"mendeley":{"formattedCitation":"(R. B. Jackson &lt;i&gt;et al.&lt;/i&gt;, 2013; Vengosh &lt;i&gt;et al.&lt;/i&gt;, 2013)","plainTextFormattedCitation":"(R. B. Jackson et al., 2013; Vengosh et al., 2013)","previouslyFormattedCitation":"(R. B. Jackson &lt;i&gt;et al.&lt;/i&gt;, 2013; Vengosh &lt;i&gt;et al.&lt;/i&gt;, 2013)"},"properties":{"noteIndex":0},"schema":"https://github.com/citation-style-language/schema/raw/master/csl-citation.json"}</w:instrText>
      </w:r>
      <w:r w:rsidR="00126731" w:rsidRPr="005A442F">
        <w:fldChar w:fldCharType="separate"/>
      </w:r>
      <w:r w:rsidR="00126731" w:rsidRPr="005A442F">
        <w:rPr>
          <w:noProof/>
        </w:rPr>
        <w:t>(R. B. Jackson et al., 2013; Vengosh et al., 2013)</w:t>
      </w:r>
      <w:r w:rsidR="00126731" w:rsidRPr="005A442F">
        <w:fldChar w:fldCharType="end"/>
      </w:r>
      <w:r w:rsidR="00126731" w:rsidRPr="005A442F">
        <w:t xml:space="preserve">. </w:t>
      </w:r>
      <w:r w:rsidRPr="005A442F">
        <w:t>Contrasting studies suggest stray gases are naturally occurring in aquifers and cannot be definitively linked with unconventional gas activities</w:t>
      </w:r>
      <w:r w:rsidR="00126731" w:rsidRPr="005A442F">
        <w:t xml:space="preserve"> </w:t>
      </w:r>
      <w:r w:rsidR="001B0BB9" w:rsidRPr="005A442F">
        <w:fldChar w:fldCharType="begin" w:fldLock="1"/>
      </w:r>
      <w:r w:rsidR="001B0BB9" w:rsidRPr="005A442F">
        <w:instrText>ADDIN CSL_CITATION {"citationItems":[{"id":"ITEM-1","itemData":{"DOI":"10.1306/06111312178","ISSN":"01491423","abstract":"As the pace of drilling activity in the Marcellus Formation in the northern Appalachian Basin has increased, so has the number of alleged incidents of stray natural gas migration to shallow aquifer systems. For this study, more than 2300 gas and water samples were analyzed for molecular composition and stable isotope compositions of methane and ethane. The sampies are from Neogene- to Middle Devonian-age strata in a five-county study area in northeastern Pennsylvania. Samples were collected from the vertical and lateral sections of 234 gas wells during mud gas logging MGL programs and 67 private groundwater-supply wells during baseline groundwaterquality testing programs. Evaluation of this geochemical database reveals that microbial, mixed microbial and thermogenic, and thermogenic gases of different thermal maturities occur in some shallow aquifer systems and throughout the stratigraphy above the Marcellus Formation. The gas occurrences predate Marcellus Formation drilling activity. Isotope data reveal that thermogenic gases are predominant in the regional Neogene and Upper Devonian rocks that comprise the potable aquifer system in the upper 305 m (1000 ft) (average δ 13 C 1 = -43.53%0; average δ 13 C 2 = -40.95%0; average δDC 1 = -232.50%o) and typically are distinct from gases in the Middle Devonian Marcellus Formation (average δ 13 C 1 = -32.37%0; average δ 13 C 2 = -38.48%0; average δDC 1 = -162.34%0 ). Additionally, isotope geochemistry at the site-specific level reveals a complex thermal and migration history with gas mixtures and partial isotope reversals (δ 13 C 1 &gt;  δ 13 C 2 ) in the units overlying the Marcellus Formation. Identifying a source for stray natural gas requires the synthesis of multiple data types at the site-specific level. Molecular and isotope geochemistry provide evidence of gas origin and secondary processes that may have affected the gases during migration. Such data provide focus for investigations where the potential sources for stray gas include multiple, naturally occurring, and anthropogenic gases. ©2014. The American Association of Petroleum Geologists. All rights reserved.","author":[{"dropping-particle":"","family":"Baldassare","given":"Fred J.","non-dropping-particle":"","parse-names":false,"suffix":""},{"dropping-particle":"","family":"McCaffrey","given":"Mark A.","non-dropping-particle":"","parse-names":false,"suffix":""},{"dropping-particle":"","family":"Harper","given":"John A.","non-dropping-particle":"","parse-names":false,"suffix":""}],"container-title":"AAPG Bulletin","id":"ITEM-1","issue":"2","issued":{"date-parts":[["2014"]]},"page":"341-372","title":"A geochemical context for stray gas investigations in the northern Appalachian Basin: Implications of analyses of natural gases from Neogene-through Devonian-age strata","type":"article-journal","volume":"98"},"uris":["http://www.mendeley.com/documents/?uuid=659cf385-9eab-4ead-967b-fdd0d5c2d12b"]},{"id":"ITEM-2","itemData":{"DOI":"10.1111/gwat.12056","ISSN":"0017467X","abstract":"Testing of 1701 water wells in northeastern Pennsylvania shows that methane is ubiquitous in groundwater, with higher concentrations observed in valleys vs. upland areas and in association with calcium-sodium-bicarbonate, sodium-bicarbonate, and sodium-chloride rich waters-indicating that, on a regional scale, methane concentrations are best correlated to topographic and hydrogeologic features, rather than shale-gas extraction. In addition, our assessment of isotopic and molecular analyses of hydrocarbon gases in the Dimock Township suggest that gases present in local water wells are most consistent with Middle and Upper Devonian gases sampled in the annular spaces of local gas wells, as opposed to Marcellus Production gas. Combined, these findings suggest that the methane concentrations in Susquehanna County water wells can be explained without the migration of Marcellus shale gas through fractures, an observation that has important implications for understanding the nature of risks associated with shale-gas extraction. © 2013, National GroundWater Association.","author":[{"dropping-particle":"","family":"Molofsky","given":"Lisa J.","non-dropping-particle":"","parse-names":false,"suffix":""},{"dropping-particle":"","family":"Connor","given":"John A.","non-dropping-particle":"","parse-names":false,"suffix":""},{"dropping-particle":"","family":"Wylie","given":"Albert S.","non-dropping-particle":"","parse-names":false,"suffix":""},{"dropping-particle":"","family":"Wagner","given":"Tom","non-dropping-particle":"","parse-names":false,"suffix":""},{"dropping-particle":"","family":"Farhat","given":"Shahla K.","non-dropping-particle":"","parse-names":false,"suffix":""}],"container-title":"GroundWater","id":"ITEM-2","issue":"3","issued":{"date-parts":[["2013"]]},"page":"333-349","title":"Evaluation of Methane Sources in Groundwater in Northeastern Pennsylvania","type":"article-journal","volume":"51"},"uris":["http://www.mendeley.com/documents/?uuid=a6cfe9a8-9f38-49ff-9cdb-063895034f99"]}],"mendeley":{"formattedCitation":"(Molofsky &lt;i&gt;et al.&lt;/i&gt;, 2013; Baldassare, McCaffrey and Harper, 2014)","plainTextFormattedCitation":"(Molofsky et al., 2013; Baldassare, McCaffrey and Harper, 2014)","previouslyFormattedCitation":"(Molofsky &lt;i&gt;et al.&lt;/i&gt;, 2013; Baldassare, McCaffrey and Harper, 2014)"},"properties":{"noteIndex":0},"schema":"https://github.com/citation-style-language/schema/raw/master/csl-citation.json"}</w:instrText>
      </w:r>
      <w:r w:rsidR="001B0BB9" w:rsidRPr="005A442F">
        <w:fldChar w:fldCharType="separate"/>
      </w:r>
      <w:r w:rsidR="001B0BB9" w:rsidRPr="005A442F">
        <w:rPr>
          <w:noProof/>
        </w:rPr>
        <w:t>(Molofsky et al., 2013; Baldassare, McCaffrey and Harper, 2014)</w:t>
      </w:r>
      <w:r w:rsidR="001B0BB9" w:rsidRPr="005A442F">
        <w:fldChar w:fldCharType="end"/>
      </w:r>
      <w:r w:rsidR="001B0BB9" w:rsidRPr="005A442F">
        <w:t>.</w:t>
      </w:r>
    </w:p>
    <w:p w14:paraId="27842FE5"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1ACB85E3" w14:textId="1628ED4F" w:rsidR="00D25160" w:rsidRPr="00D25160" w:rsidRDefault="00D25160" w:rsidP="0018536F">
      <w:pPr>
        <w:pStyle w:val="BodyText"/>
      </w:pPr>
      <w:r>
        <w:t xml:space="preserve">A qualitative review of the findings from </w:t>
      </w:r>
      <w:r w:rsidRPr="00DA78F7">
        <w:t xml:space="preserve">Atherton et al. </w:t>
      </w:r>
      <w:r>
        <w:t>(</w:t>
      </w:r>
      <w:r w:rsidRPr="00DA78F7">
        <w:t>2014)</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_Ref14708019 \h </w:instrText>
      </w:r>
      <w:r w:rsidR="005A442F" w:rsidRPr="005A442F">
        <w:instrText xml:space="preserve"> \* MERGEFORMAT </w:instrText>
      </w:r>
      <w:r w:rsidRPr="005A442F">
        <w:fldChar w:fldCharType="separate"/>
      </w:r>
      <w:r w:rsidR="00073927">
        <w:t xml:space="preserve">Table </w:t>
      </w:r>
      <w:r w:rsidR="00073927">
        <w:rPr>
          <w:noProof/>
        </w:rPr>
        <w:t>12</w:t>
      </w:r>
      <w:r w:rsidRPr="005A442F">
        <w:fldChar w:fldCharType="end"/>
      </w:r>
      <w:r>
        <w:t>.</w:t>
      </w:r>
    </w:p>
    <w:p w14:paraId="05C4364B" w14:textId="63DDE306" w:rsidR="00DA78F7" w:rsidRDefault="00DA78F7" w:rsidP="00DA78F7">
      <w:pPr>
        <w:pStyle w:val="Caption"/>
      </w:pPr>
      <w:bookmarkStart w:id="95" w:name="_Ref14708019"/>
      <w:bookmarkStart w:id="96" w:name="_Ref14700264"/>
      <w:bookmarkStart w:id="97" w:name="_Toc36042895"/>
      <w:r>
        <w:t xml:space="preserve">Table </w:t>
      </w:r>
      <w:r>
        <w:fldChar w:fldCharType="begin"/>
      </w:r>
      <w:r>
        <w:instrText>SEQ Table \* ARABIC</w:instrText>
      </w:r>
      <w:r>
        <w:fldChar w:fldCharType="separate"/>
      </w:r>
      <w:r w:rsidR="00073927">
        <w:rPr>
          <w:noProof/>
        </w:rPr>
        <w:t>12</w:t>
      </w:r>
      <w:r>
        <w:fldChar w:fldCharType="end"/>
      </w:r>
      <w:bookmarkEnd w:id="95"/>
      <w:r>
        <w:t xml:space="preserve"> </w:t>
      </w:r>
      <w:r w:rsidRPr="002767AB">
        <w:t xml:space="preserve">Excerpts from </w:t>
      </w:r>
      <w:r w:rsidRPr="00DA78F7">
        <w:t xml:space="preserve">Atherton et al. </w:t>
      </w:r>
      <w:r>
        <w:t>(</w:t>
      </w:r>
      <w:r w:rsidRPr="00DA78F7">
        <w:t>2014)</w:t>
      </w:r>
      <w:r w:rsidRPr="002767AB">
        <w:t xml:space="preserve"> related to each impact mode</w:t>
      </w:r>
      <w:bookmarkEnd w:id="96"/>
      <w:bookmarkEnd w:id="97"/>
    </w:p>
    <w:tbl>
      <w:tblPr>
        <w:tblStyle w:val="TableBAHeaderRow"/>
        <w:tblpPr w:leftFromText="180" w:rightFromText="180" w:vertAnchor="text" w:tblpY="1"/>
        <w:tblOverlap w:val="never"/>
        <w:tblW w:w="0" w:type="auto"/>
        <w:tblInd w:w="0" w:type="dxa"/>
        <w:tblLook w:val="04A0" w:firstRow="1" w:lastRow="0" w:firstColumn="1" w:lastColumn="0" w:noHBand="0" w:noVBand="1"/>
      </w:tblPr>
      <w:tblGrid>
        <w:gridCol w:w="444"/>
        <w:gridCol w:w="1934"/>
        <w:gridCol w:w="1048"/>
        <w:gridCol w:w="6212"/>
      </w:tblGrid>
      <w:tr w:rsidR="00DD377F" w14:paraId="4F5EB96B" w14:textId="77777777" w:rsidTr="0022599B">
        <w:trPr>
          <w:cnfStyle w:val="100000000000" w:firstRow="1" w:lastRow="0" w:firstColumn="0" w:lastColumn="0" w:oddVBand="0" w:evenVBand="0" w:oddHBand="0" w:evenHBand="0" w:firstRowFirstColumn="0" w:firstRowLastColumn="0" w:lastRowFirstColumn="0" w:lastRowLastColumn="0"/>
          <w:tblHeader/>
        </w:trPr>
        <w:tc>
          <w:tcPr>
            <w:tcW w:w="0" w:type="auto"/>
          </w:tcPr>
          <w:p w14:paraId="59BAF414" w14:textId="77777777" w:rsidR="00DD377F" w:rsidRPr="0022599B" w:rsidRDefault="00DD377F" w:rsidP="001600C7">
            <w:pPr>
              <w:pStyle w:val="TableHeading"/>
              <w:rPr>
                <w:b/>
              </w:rPr>
            </w:pPr>
            <w:bookmarkStart w:id="98" w:name="_Hlk14700172"/>
          </w:p>
        </w:tc>
        <w:tc>
          <w:tcPr>
            <w:tcW w:w="0" w:type="auto"/>
          </w:tcPr>
          <w:p w14:paraId="743290BC" w14:textId="2E4F9A05" w:rsidR="00DD377F" w:rsidRPr="0022599B" w:rsidRDefault="00DD377F" w:rsidP="001600C7">
            <w:pPr>
              <w:pStyle w:val="TableHeading"/>
              <w:rPr>
                <w:b/>
              </w:rPr>
            </w:pPr>
            <w:r w:rsidRPr="0022599B">
              <w:rPr>
                <w:b/>
              </w:rPr>
              <w:t>Impact Mode</w:t>
            </w:r>
          </w:p>
        </w:tc>
        <w:tc>
          <w:tcPr>
            <w:tcW w:w="0" w:type="auto"/>
          </w:tcPr>
          <w:p w14:paraId="52E76499" w14:textId="63AC2BA4" w:rsidR="00DD377F" w:rsidRPr="0022599B" w:rsidRDefault="00DD377F" w:rsidP="001600C7">
            <w:pPr>
              <w:pStyle w:val="TableHeading"/>
              <w:rPr>
                <w:b/>
              </w:rPr>
            </w:pPr>
            <w:r w:rsidRPr="0022599B">
              <w:rPr>
                <w:b/>
              </w:rPr>
              <w:t>Likelihood score</w:t>
            </w:r>
          </w:p>
        </w:tc>
        <w:tc>
          <w:tcPr>
            <w:tcW w:w="0" w:type="auto"/>
          </w:tcPr>
          <w:p w14:paraId="120B156E" w14:textId="5706E64C" w:rsidR="00DD377F" w:rsidRPr="0022599B" w:rsidRDefault="00DD377F" w:rsidP="001600C7">
            <w:pPr>
              <w:pStyle w:val="TableHeading"/>
              <w:rPr>
                <w:b/>
              </w:rPr>
            </w:pPr>
            <w:r w:rsidRPr="0022599B">
              <w:rPr>
                <w:b/>
              </w:rPr>
              <w:t xml:space="preserve">Key excerpts from: </w:t>
            </w:r>
            <w:r w:rsidRPr="00400022">
              <w:rPr>
                <w:b/>
                <w:i/>
              </w:rPr>
              <w:t>Report of the Nova Scotia Independent Panel On Hydraulic Fracturing</w:t>
            </w:r>
            <w:r w:rsidRPr="0022599B">
              <w:rPr>
                <w:b/>
              </w:rPr>
              <w:t xml:space="preserve"> (Atherton et al., 2014)</w:t>
            </w:r>
          </w:p>
        </w:tc>
      </w:tr>
      <w:tr w:rsidR="0024219A" w:rsidRPr="00A8172F" w14:paraId="28FAA3B9" w14:textId="77777777" w:rsidTr="0078111C">
        <w:trPr>
          <w:cnfStyle w:val="000000100000" w:firstRow="0" w:lastRow="0" w:firstColumn="0" w:lastColumn="0" w:oddVBand="0" w:evenVBand="0" w:oddHBand="1" w:evenHBand="0" w:firstRowFirstColumn="0" w:firstRowLastColumn="0" w:lastRowFirstColumn="0" w:lastRowLastColumn="0"/>
        </w:trPr>
        <w:tc>
          <w:tcPr>
            <w:tcW w:w="0" w:type="auto"/>
            <w:gridSpan w:val="4"/>
          </w:tcPr>
          <w:p w14:paraId="4DD3494E" w14:textId="23F8449B" w:rsidR="0024219A" w:rsidRDefault="0024219A" w:rsidP="001600C7">
            <w:pPr>
              <w:pStyle w:val="TableText"/>
            </w:pPr>
            <w:r w:rsidRPr="7DE8E393">
              <w:rPr>
                <w:bCs/>
              </w:rPr>
              <w:t>Hydraulic fracture growth</w:t>
            </w:r>
          </w:p>
        </w:tc>
      </w:tr>
      <w:tr w:rsidR="00DD377F" w:rsidRPr="00A8172F" w14:paraId="7E61C68F"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3267C9BF" w14:textId="77777777" w:rsidR="00DD377F" w:rsidRPr="00EA63C0" w:rsidRDefault="00DD377F" w:rsidP="001600C7">
            <w:pPr>
              <w:pStyle w:val="TableText"/>
            </w:pPr>
            <w:r>
              <w:t>F.1</w:t>
            </w:r>
          </w:p>
        </w:tc>
        <w:tc>
          <w:tcPr>
            <w:tcW w:w="0" w:type="auto"/>
          </w:tcPr>
          <w:p w14:paraId="52B3808C" w14:textId="77777777" w:rsidR="00DD377F" w:rsidRPr="00A8172F" w:rsidRDefault="00DD377F" w:rsidP="001600C7">
            <w:pPr>
              <w:pStyle w:val="TableText"/>
            </w:pPr>
            <w:r>
              <w:t>Hydraulic fracture growth into aquifer</w:t>
            </w:r>
          </w:p>
        </w:tc>
        <w:tc>
          <w:tcPr>
            <w:tcW w:w="0" w:type="auto"/>
          </w:tcPr>
          <w:p w14:paraId="4B5764BC" w14:textId="5B14587B" w:rsidR="00DD377F" w:rsidRDefault="00DD377F" w:rsidP="001600C7">
            <w:pPr>
              <w:pStyle w:val="TableText"/>
            </w:pPr>
            <w:r>
              <w:t>Rare</w:t>
            </w:r>
          </w:p>
        </w:tc>
        <w:tc>
          <w:tcPr>
            <w:tcW w:w="0" w:type="auto"/>
          </w:tcPr>
          <w:p w14:paraId="3C62D8D6" w14:textId="71DAA11B" w:rsidR="00DD377F" w:rsidRDefault="00DD377F" w:rsidP="001600C7">
            <w:pPr>
              <w:pStyle w:val="TableText"/>
            </w:pPr>
            <w:r>
              <w:t xml:space="preserve">“In Nova Scotia, drinking water aquifers are usually less than 150 m below the surface [cited as ‘J. Drage, personal communication February 04, 2014’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B0BB9">
              <w:rPr>
                <w:noProof/>
              </w:rPr>
              <w:t xml:space="preserve">Atherton </w:t>
            </w:r>
            <w:r w:rsidRPr="005A442F">
              <w:rPr>
                <w:noProof/>
              </w:rPr>
              <w:t>et al.</w:t>
            </w:r>
            <w:r w:rsidRPr="001B0BB9">
              <w:rPr>
                <w:noProof/>
              </w:rPr>
              <w:t xml:space="preserve"> </w:t>
            </w:r>
            <w:r>
              <w:rPr>
                <w:noProof/>
              </w:rPr>
              <w:t>(</w:t>
            </w:r>
            <w:r w:rsidRPr="001B0BB9">
              <w:rPr>
                <w:noProof/>
              </w:rPr>
              <w:t>2014)</w:t>
            </w:r>
            <w:r>
              <w:fldChar w:fldCharType="end"/>
            </w:r>
            <w:r>
              <w:t xml:space="preserve">]. The target zone for unconventional gas and oil exploration in the Horton formation, a bedrock formation within the sedimentary grouping where the hydraulic fracturing could occur, is between 900 and 1,500 m below the surface [cited as Ryder Scott (2008)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B0BB9">
              <w:rPr>
                <w:noProof/>
              </w:rPr>
              <w:t xml:space="preserve">Atherton </w:t>
            </w:r>
            <w:r w:rsidRPr="005A442F">
              <w:rPr>
                <w:noProof/>
              </w:rPr>
              <w:t>et al.</w:t>
            </w:r>
            <w:r w:rsidRPr="001B0BB9">
              <w:rPr>
                <w:noProof/>
              </w:rPr>
              <w:t xml:space="preserve"> </w:t>
            </w:r>
            <w:r>
              <w:rPr>
                <w:noProof/>
              </w:rPr>
              <w:t>(</w:t>
            </w:r>
            <w:r w:rsidRPr="001B0BB9">
              <w:rPr>
                <w:noProof/>
              </w:rPr>
              <w:t>2014)</w:t>
            </w:r>
            <w:r>
              <w:fldChar w:fldCharType="end"/>
            </w:r>
            <w:r>
              <w:t>].” p178</w:t>
            </w:r>
          </w:p>
          <w:p w14:paraId="7EE07510" w14:textId="77777777" w:rsidR="00DD377F" w:rsidRDefault="00DD377F" w:rsidP="001600C7">
            <w:pPr>
              <w:pStyle w:val="TableText"/>
            </w:pPr>
          </w:p>
          <w:p w14:paraId="3F3CE6C9" w14:textId="46F30A2C" w:rsidR="00DD377F" w:rsidRDefault="00DD377F" w:rsidP="001600C7">
            <w:pPr>
              <w:pStyle w:val="TableText"/>
            </w:pPr>
            <w:r>
              <w:t xml:space="preserve">“Due to the compressive stress of the weight of the soil and rock (or lithostatic stress) that exists at the depth of these geological formations (such as the Horton formation), the fractures generated by hydraulic fracturing typically extend approximately 100 m vertically and approximately 200 - 300 metres laterally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2012)","plainTextFormattedCitation":"(King, 2012)","previouslyFormattedCitation":"(King, 2012)"},"properties":{"noteIndex":0},"schema":"https://github.com/citation-style-language/schema/raw/master/csl-citation.json"}</w:instrText>
            </w:r>
            <w:r>
              <w:fldChar w:fldCharType="separate"/>
            </w:r>
            <w:r w:rsidRPr="001B0BB9">
              <w:rPr>
                <w:noProof/>
              </w:rPr>
              <w:t>(King, 2012)</w:t>
            </w:r>
            <w:r>
              <w:fldChar w:fldCharType="end"/>
            </w:r>
            <w:r>
              <w:t>.”p179</w:t>
            </w:r>
          </w:p>
          <w:p w14:paraId="3100FE18" w14:textId="77777777" w:rsidR="00DD377F" w:rsidRDefault="00DD377F" w:rsidP="001600C7">
            <w:pPr>
              <w:pStyle w:val="TableText"/>
            </w:pPr>
          </w:p>
          <w:p w14:paraId="07270A55" w14:textId="2DB53314" w:rsidR="00DD377F" w:rsidRDefault="00DD377F" w:rsidP="001600C7">
            <w:pPr>
              <w:pStyle w:val="TableText"/>
            </w:pPr>
            <w:r>
              <w:t xml:space="preserve">“Therefore, the fractures could be hundreds of metres away from the underside of the aquifer. </w:t>
            </w:r>
            <w:r>
              <w:fldChar w:fldCharType="begin" w:fldLock="1"/>
            </w:r>
            <w:r>
              <w:instrText>ADDIN CSL_CITATION {"citationItems":[{"id":"ITEM-1","itemData":{"DOI":"10.1111/gwat.12095","ISSN":"0017467X","abstract":"Recent increases in the use of hydraulic fracturing (HF) to aid extraction of oil and gas from black shales have raised concerns regarding potential environmental effects associated with predictions of upward migration of HF fluid and brine. Some recent studies have suggested that such upward migration can be large and that timescales for migration can be as short as a few years. In this article, we discuss the physical constraints on upward fluid migration from black shales (e.g., the Marcellus, Bakken, and Eagle Ford) to shallow aquifers, taking into account the potential changes to the subsurface brought about by HF. Our review of the literature indicates that HF affects a very limited portion of the entire thickness of the overlying bedrock and therefore, is unable to create direct hydraulic communication between black shales and shallow aquifers via induced fractures. As a result, upward migration of HF fluid and brine is controlled by preexisting hydraulic gradients and bedrock permeability. We show that in cases where there is an upward gradient, permeability is low, upward flow rates are low, and mean travel times are long (often &gt;10⁶ years). Consequently, the recently proposed rapid upward migration of brine and HF fluid, predicted to occur as a result of increased HF activity, does not appear to be physically plausible. Unrealistically high estimates of upward flow are the result of invalid assumptions about HF and the hydrogeology of sedimentary basins.","author":[{"dropping-particle":"","family":"Flewelling","given":"Samuel A.","non-dropping-particle":"","parse-names":false,"suffix":""},{"dropping-particle":"","family":"Sharma","given":"Manu","non-dropping-particle":"","parse-names":false,"suffix":""}],"container-title":"Groundwater","id":"ITEM-1","issue":"1","issued":{"date-parts":[["2014"]]},"page":"9-19","title":"Constraints on upward migration of hydraulic fracturing fluid and brine","type":"article-journal","volume":"52"},"uris":["http://www.mendeley.com/documents/?uuid=b78907e6-296d-4f82-bd06-073a10a52344"]}],"mendeley":{"formattedCitation":"(Flewelling and Sharma, 2014)","manualFormatting":"Flewelling and Sharma, (2014)","plainTextFormattedCitation":"(Flewelling and Sharma, 2014)","previouslyFormattedCitation":"(Flewelling and Sharma, 2014)"},"properties":{"noteIndex":0},"schema":"https://github.com/citation-style-language/schema/raw/master/csl-citation.json"}</w:instrText>
            </w:r>
            <w:r>
              <w:fldChar w:fldCharType="separate"/>
            </w:r>
            <w:r w:rsidRPr="001B0BB9">
              <w:rPr>
                <w:noProof/>
              </w:rPr>
              <w:t xml:space="preserve">Flewelling and Sharma, </w:t>
            </w:r>
            <w:r>
              <w:rPr>
                <w:noProof/>
              </w:rPr>
              <w:t>(</w:t>
            </w:r>
            <w:r w:rsidRPr="001B0BB9">
              <w:rPr>
                <w:noProof/>
              </w:rPr>
              <w:t>2014)</w:t>
            </w:r>
            <w:r>
              <w:fldChar w:fldCharType="end"/>
            </w:r>
            <w:r>
              <w:t xml:space="preserve">, conducted a numerical analysis and literature review and found that where upward flow occurs within the fracture, both permeability and flow rates are low and therefore, timescales for transport are long. The authors estimated the travel time would be on the order of 105 to 108 years to travel across a 100 metres thick layer </w:t>
            </w:r>
            <w:r>
              <w:fldChar w:fldCharType="begin" w:fldLock="1"/>
            </w:r>
            <w:r>
              <w:instrText>ADDIN CSL_CITATION {"citationItems":[{"id":"ITEM-1","itemData":{"DOI":"10.1111/gwat.12095","ISSN":"0017467X","abstract":"Recent increases in the use of hydraulic fracturing (HF) to aid extraction of oil and gas from black shales have raised concerns regarding potential environmental effects associated with predictions of upward migration of HF fluid and brine. Some recent studies have suggested that such upward migration can be large and that timescales for migration can be as short as a few years. In this article, we discuss the physical constraints on upward fluid migration from black shales (e.g., the Marcellus, Bakken, and Eagle Ford) to shallow aquifers, taking into account the potential changes to the subsurface brought about by HF. Our review of the literature indicates that HF affects a very limited portion of the entire thickness of the overlying bedrock and therefore, is unable to create direct hydraulic communication between black shales and shallow aquifers via induced fractures. As a result, upward migration of HF fluid and brine is controlled by preexisting hydraulic gradients and bedrock permeability. We show that in cases where there is an upward gradient, permeability is low, upward flow rates are low, and mean travel times are long (often &gt;10⁶ years). Consequently, the recently proposed rapid upward migration of brine and HF fluid, predicted to occur as a result of increased HF activity, does not appear to be physically plausible. Unrealistically high estimates of upward flow are the result of invalid assumptions about HF and the hydrogeology of sedimentary basins.","author":[{"dropping-particle":"","family":"Flewelling","given":"Samuel A.","non-dropping-particle":"","parse-names":false,"suffix":""},{"dropping-particle":"","family":"Sharma","given":"Manu","non-dropping-particle":"","parse-names":false,"suffix":""}],"container-title":"Groundwater","id":"ITEM-1","issue":"1","issued":{"date-parts":[["2014"]]},"page":"9-19","title":"Constraints on upward migration of hydraulic fracturing fluid and brine","type":"article-journal","volume":"52"},"uris":["http://www.mendeley.com/documents/?uuid=b78907e6-296d-4f82-bd06-073a10a52344"]}],"mendeley":{"formattedCitation":"(Flewelling and Sharma, 2014)","plainTextFormattedCitation":"(Flewelling and Sharma, 2014)","previouslyFormattedCitation":"(Flewelling and Sharma, 2014)"},"properties":{"noteIndex":0},"schema":"https://github.com/citation-style-language/schema/raw/master/csl-citation.json"}</w:instrText>
            </w:r>
            <w:r>
              <w:fldChar w:fldCharType="separate"/>
            </w:r>
            <w:r w:rsidRPr="001B0BB9">
              <w:rPr>
                <w:noProof/>
              </w:rPr>
              <w:t>(Flewelling and Sharma, 2014)</w:t>
            </w:r>
            <w:r>
              <w:fldChar w:fldCharType="end"/>
            </w:r>
            <w:r>
              <w:t xml:space="preserve">. In contrast to this study, others (e.g., </w:t>
            </w:r>
            <w:r>
              <w:fldChar w:fldCharType="begin" w:fldLock="1"/>
            </w:r>
            <w:r>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aquifers.","type":"article-journal","volume":"50"},"uris":["http://www.mendeley.com/documents/?uuid=f07de24d-98e0-4591-a4db-f22fe9aa422a"]}],"mendeley":{"formattedCitation":"(Myers, 2012)","manualFormatting":"Myers 2012","plainTextFormattedCitation":"(Myers, 2012)","previouslyFormattedCitation":"(Myers, 2012)"},"properties":{"noteIndex":0},"schema":"https://github.com/citation-style-language/schema/raw/master/csl-citation.json"}</w:instrText>
            </w:r>
            <w:r>
              <w:fldChar w:fldCharType="separate"/>
            </w:r>
            <w:r w:rsidRPr="001B0BB9">
              <w:rPr>
                <w:noProof/>
              </w:rPr>
              <w:t>Myers 2012</w:t>
            </w:r>
            <w:r>
              <w:fldChar w:fldCharType="end"/>
            </w:r>
            <w:r>
              <w:t>) have suggested shorter time scales for vertical flow, based on modeling under case specific conditions.” p178</w:t>
            </w:r>
          </w:p>
          <w:p w14:paraId="6C7D9BF8" w14:textId="77777777" w:rsidR="00DD377F" w:rsidRDefault="00DD377F" w:rsidP="001600C7">
            <w:pPr>
              <w:pStyle w:val="TableText"/>
            </w:pPr>
          </w:p>
          <w:p w14:paraId="642B5D74" w14:textId="6B2DEB8D" w:rsidR="00DD377F" w:rsidRDefault="00DD377F" w:rsidP="001600C7">
            <w:pPr>
              <w:pStyle w:val="TableText"/>
            </w:pPr>
            <w:r>
              <w:t>“…based on current knowledge and documented evidence, it is anticipated that flow through the fractures would not likely extend from the shale to the aquifer and thus direct contamination from hydraulic fracturing fluids would appear less likely than other pathways (e.g., accidental spills; well bore stability).” p178</w:t>
            </w:r>
          </w:p>
          <w:p w14:paraId="27A11C7A" w14:textId="77777777" w:rsidR="00DD377F" w:rsidRDefault="00DD377F" w:rsidP="001600C7">
            <w:pPr>
              <w:pStyle w:val="TableText"/>
            </w:pPr>
          </w:p>
          <w:p w14:paraId="2E150293" w14:textId="669C456E" w:rsidR="00DD377F" w:rsidRDefault="00DD377F" w:rsidP="001600C7">
            <w:pPr>
              <w:pStyle w:val="TableText"/>
            </w:pPr>
            <w:r>
              <w:t xml:space="preserve">“Once gas production begins, pressure drops and gas and fracturing fluids tend to migrate towards the wellbore, rather than to the surface by some undefined pathway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9B6A37">
              <w:rPr>
                <w:noProof/>
              </w:rPr>
              <w:t>(Council of Canadian Academies, 2014)</w:t>
            </w:r>
            <w:r>
              <w:fldChar w:fldCharType="end"/>
            </w:r>
            <w:r>
              <w:t>.” p178</w:t>
            </w:r>
          </w:p>
          <w:p w14:paraId="05F8B9E3" w14:textId="77777777" w:rsidR="00DD377F" w:rsidRDefault="00DD377F" w:rsidP="001600C7">
            <w:pPr>
              <w:pStyle w:val="TableText"/>
            </w:pPr>
          </w:p>
          <w:p w14:paraId="024DB0C3" w14:textId="6895ED90" w:rsidR="00DD377F" w:rsidRDefault="00DD377F" w:rsidP="001600C7">
            <w:pPr>
              <w:pStyle w:val="TableText"/>
            </w:pPr>
            <w:r>
              <w:t>“…it is recognized that the risk to water quality from unconventional gas and oil operations is more related to operational practices (e.g. chemical handling or waste management), rather than the fracturing and extraction process.” p178</w:t>
            </w:r>
          </w:p>
          <w:p w14:paraId="56EAB936" w14:textId="77777777" w:rsidR="00DD377F" w:rsidRDefault="00DD377F" w:rsidP="001600C7">
            <w:pPr>
              <w:pStyle w:val="TableText"/>
            </w:pPr>
          </w:p>
          <w:p w14:paraId="6F34E61D" w14:textId="50670629" w:rsidR="00DD377F" w:rsidRDefault="00DD377F" w:rsidP="001600C7">
            <w:pPr>
              <w:pStyle w:val="TableText"/>
            </w:pPr>
            <w:r>
              <w:t xml:space="preserve">“…has triggered much concern among </w:t>
            </w:r>
            <w:r w:rsidRPr="0056331B">
              <w:t>stakeholders (see Chapter 8).</w:t>
            </w:r>
            <w:r>
              <w:t xml:space="preserve"> However, there is apparently no known case of fracturing liquids or gas migration from the target horizon directly up through the rock mass to the surface or into shallow aquifers during or after well stimulation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9B6A37">
              <w:rPr>
                <w:noProof/>
              </w:rPr>
              <w:t>(Council of Canadian Academies, 2014)</w:t>
            </w:r>
            <w:r>
              <w:fldChar w:fldCharType="end"/>
            </w:r>
            <w:r>
              <w:t xml:space="preserve">. A typical induced fracture height may range from tens of metres to perhaps several hundred metres, whereas the well interval fractured is 1.5 to 4 kilometres deep. Monitoring of the active fracturing process for hydraulic fracture rise shows that induced fracturing terminates in the zone just above the target formation and induced fractures do not rise a thousand metres or more to the surface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9B6A37">
              <w:rPr>
                <w:noProof/>
              </w:rPr>
              <w:t>(Fisher and Warpinski, 2012)</w:t>
            </w:r>
            <w:r>
              <w:fldChar w:fldCharType="end"/>
            </w:r>
            <w:r>
              <w:t>. There are many reasons why this should be the case, but perhaps the most important one is that to double the height of an induced hydraulic fracture, one must pump in about eight times the liquid,9 and this is not done because there is no economic incentive to propagate fractures into the non-productive strata above the target formation. Thus, Pathway 1 remains speculative and extremely unlikely, compared to other pathways. It can reasonably be judged to be of far less interest than other pathways in the context of possible onshore Nova Scotia oil and gas development.” p208</w:t>
            </w:r>
          </w:p>
          <w:p w14:paraId="44556B42" w14:textId="2FAB5821" w:rsidR="00DD377F" w:rsidRDefault="00DD377F" w:rsidP="001600C7">
            <w:pPr>
              <w:pStyle w:val="TableText"/>
            </w:pPr>
          </w:p>
          <w:p w14:paraId="72C04D05" w14:textId="79A83064" w:rsidR="00DD377F" w:rsidRDefault="00DD377F" w:rsidP="001600C7">
            <w:pPr>
              <w:pStyle w:val="TableText"/>
            </w:pPr>
          </w:p>
        </w:tc>
      </w:tr>
      <w:tr w:rsidR="00DD377F" w14:paraId="591154B5"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080B62AD" w14:textId="77777777" w:rsidR="00DD377F" w:rsidRDefault="00DD377F" w:rsidP="001600C7">
            <w:pPr>
              <w:pStyle w:val="TableText"/>
            </w:pPr>
            <w:r>
              <w:t>F.2</w:t>
            </w:r>
          </w:p>
        </w:tc>
        <w:tc>
          <w:tcPr>
            <w:tcW w:w="0" w:type="auto"/>
          </w:tcPr>
          <w:p w14:paraId="37D52ABD" w14:textId="77777777" w:rsidR="00DD377F" w:rsidRDefault="00DD377F" w:rsidP="001600C7">
            <w:pPr>
              <w:pStyle w:val="TableText"/>
            </w:pPr>
            <w:r>
              <w:t>Hydraulic fracture growth into well</w:t>
            </w:r>
          </w:p>
        </w:tc>
        <w:tc>
          <w:tcPr>
            <w:tcW w:w="0" w:type="auto"/>
          </w:tcPr>
          <w:p w14:paraId="07D56EBA" w14:textId="114A54C6" w:rsidR="00DD377F" w:rsidRDefault="00DD377F" w:rsidP="001600C7">
            <w:pPr>
              <w:pStyle w:val="TableText"/>
            </w:pPr>
            <w:r>
              <w:t>Unlikely</w:t>
            </w:r>
          </w:p>
        </w:tc>
        <w:tc>
          <w:tcPr>
            <w:tcW w:w="0" w:type="auto"/>
          </w:tcPr>
          <w:p w14:paraId="514C7053" w14:textId="3F2367CA" w:rsidR="00DD377F" w:rsidRDefault="00DD377F" w:rsidP="001600C7">
            <w:pPr>
              <w:pStyle w:val="TableText"/>
            </w:pPr>
            <w:r>
              <w:t xml:space="preserve">“…fluid migration up an offset well during hydraulic fracturing, has happened at least once in practice in Canada. In 2012, injected fluids rose to the surface in an offset legacy well producing from the same formation during active fracturing of a horizontal well north of Calgary, AB. This incident caused the Alberta Energy Regulator (AER) to initiate and publish a detailed study of the event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sidR="0057362C" w:rsidRPr="0057362C">
              <w:rPr>
                <w:noProof/>
              </w:rPr>
              <w:t>(Energy Resources Conservation Board, 2012)</w:t>
            </w:r>
            <w:r>
              <w:fldChar w:fldCharType="end"/>
            </w:r>
            <w:r>
              <w:t xml:space="preserve"> and also led to the issuance of new guidelines to reduce the probability of such an incident in the future </w:t>
            </w:r>
            <w:r>
              <w:fldChar w:fldCharType="begin" w:fldLock="1"/>
            </w:r>
            <w:r>
              <w:instrText>ADDIN CSL_CITATION {"citationItems":[{"id":"ITEM-1","itemData":{"abstract":"Effective June 17, 2013, the Energy Resources Conservation Board (ERCB) has been succeeded by the Alberta Energy Regulator (AER). As part of this succession, the title pages of all existing ERCB directives now carry the new AER logo. However, no other changes have been made to the directives, and they continue to have references to the ERCB. As new editions of the directives are issued, these references will be changed.","author":[{"dropping-particle":"","family":"AER","given":"","non-dropping-particle":"","parse-names":false,"suffix":""}],"id":"ITEM-1","issued":{"date-parts":[["2013"]]},"number-of-pages":"16","title":"Directive 83: Hydraulic Fracturing – Subsurface Integrity","type":"report"},"uris":["http://www.mendeley.com/documents/?uuid=4bd1b3dd-b594-4d63-a290-dfd16e9c1d0c"]}],"mendeley":{"formattedCitation":"(AER, 2013)","plainTextFormattedCitation":"(AER, 2013)","previouslyFormattedCitation":"(AER, 2013)"},"properties":{"noteIndex":0},"schema":"https://github.com/citation-style-language/schema/raw/master/csl-citation.json"}</w:instrText>
            </w:r>
            <w:r>
              <w:fldChar w:fldCharType="separate"/>
            </w:r>
            <w:r w:rsidRPr="009B6A37">
              <w:rPr>
                <w:noProof/>
              </w:rPr>
              <w:t>(AER, 2013)</w:t>
            </w:r>
            <w:r>
              <w:fldChar w:fldCharType="end"/>
            </w:r>
            <w:r>
              <w:t>.” p208-209</w:t>
            </w:r>
          </w:p>
          <w:p w14:paraId="4B7998FE" w14:textId="77777777" w:rsidR="00DD377F" w:rsidRDefault="00DD377F" w:rsidP="001600C7">
            <w:pPr>
              <w:pStyle w:val="TableText"/>
            </w:pPr>
          </w:p>
          <w:p w14:paraId="331B3A70" w14:textId="57AD7442" w:rsidR="00DD377F" w:rsidRDefault="00DD377F" w:rsidP="001600C7">
            <w:pPr>
              <w:pStyle w:val="TableText"/>
            </w:pPr>
            <w:r>
              <w:t>“…the presence of nearby active or legacy wells must be considered during planning for drilling and well stimulation in order to preserve the integrity of the offset wells.” p209</w:t>
            </w:r>
          </w:p>
          <w:p w14:paraId="44BD3FC2" w14:textId="77777777" w:rsidR="00DD377F" w:rsidRDefault="00DD377F" w:rsidP="001600C7">
            <w:pPr>
              <w:pStyle w:val="TableText"/>
            </w:pPr>
          </w:p>
          <w:p w14:paraId="220595C9" w14:textId="53B705EA" w:rsidR="00DD377F" w:rsidRDefault="00DD377F" w:rsidP="001600C7">
            <w:pPr>
              <w:pStyle w:val="TableText"/>
            </w:pPr>
            <w:r>
              <w:t>“Fluid migration is not the same as a detectable pressure pulse. High pressure fracturing operations can create a pressure response some distance away, certainly hundreds of meters in some cases, but because water is relatively incompressible, a pressure response can be detected at great distance and is not proof that a breaching of a barrier has taken place by direct flow of significant volumes of fluid.” p217</w:t>
            </w:r>
          </w:p>
        </w:tc>
      </w:tr>
      <w:tr w:rsidR="00DD377F" w14:paraId="4604AEC0"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08EB8B4F" w14:textId="77777777" w:rsidR="00DD377F" w:rsidRDefault="00DD377F" w:rsidP="001600C7">
            <w:pPr>
              <w:pStyle w:val="TableText"/>
            </w:pPr>
            <w:r>
              <w:t>F.3</w:t>
            </w:r>
          </w:p>
        </w:tc>
        <w:tc>
          <w:tcPr>
            <w:tcW w:w="0" w:type="auto"/>
          </w:tcPr>
          <w:p w14:paraId="4F4C0A39" w14:textId="77777777" w:rsidR="00DD377F" w:rsidRDefault="00DD377F" w:rsidP="001600C7">
            <w:pPr>
              <w:pStyle w:val="TableText"/>
            </w:pPr>
            <w:r>
              <w:t>Hydraulic fracture growth into fault</w:t>
            </w:r>
          </w:p>
        </w:tc>
        <w:tc>
          <w:tcPr>
            <w:tcW w:w="0" w:type="auto"/>
          </w:tcPr>
          <w:p w14:paraId="33311336" w14:textId="1B515A6E" w:rsidR="00DD377F" w:rsidRDefault="00DD377F" w:rsidP="001600C7">
            <w:pPr>
              <w:pStyle w:val="TableText"/>
            </w:pPr>
            <w:r>
              <w:t>Not assessed</w:t>
            </w:r>
          </w:p>
        </w:tc>
        <w:tc>
          <w:tcPr>
            <w:tcW w:w="0" w:type="auto"/>
          </w:tcPr>
          <w:p w14:paraId="7CBAC4AC" w14:textId="77777777" w:rsidR="00DD377F" w:rsidRDefault="00DD377F" w:rsidP="001600C7">
            <w:pPr>
              <w:pStyle w:val="TableText"/>
            </w:pPr>
          </w:p>
        </w:tc>
      </w:tr>
      <w:tr w:rsidR="0024219A" w:rsidRPr="00A8172F" w14:paraId="483923D7" w14:textId="77777777" w:rsidTr="0078111C">
        <w:trPr>
          <w:cnfStyle w:val="000000100000" w:firstRow="0" w:lastRow="0" w:firstColumn="0" w:lastColumn="0" w:oddVBand="0" w:evenVBand="0" w:oddHBand="1" w:evenHBand="0" w:firstRowFirstColumn="0" w:firstRowLastColumn="0" w:lastRowFirstColumn="0" w:lastRowLastColumn="0"/>
        </w:trPr>
        <w:tc>
          <w:tcPr>
            <w:tcW w:w="0" w:type="auto"/>
            <w:gridSpan w:val="4"/>
          </w:tcPr>
          <w:p w14:paraId="7A95C1A1" w14:textId="437A3451" w:rsidR="0024219A" w:rsidRDefault="0024219A" w:rsidP="001600C7">
            <w:pPr>
              <w:pStyle w:val="TableText"/>
            </w:pPr>
            <w:r w:rsidRPr="00D646E6">
              <w:rPr>
                <w:bCs/>
              </w:rPr>
              <w:t>Compromised well integrity</w:t>
            </w:r>
          </w:p>
        </w:tc>
      </w:tr>
      <w:tr w:rsidR="00DD377F" w:rsidRPr="00A8172F" w14:paraId="14792D00"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5320B9E2" w14:textId="77777777" w:rsidR="00DD377F" w:rsidRPr="00EA63C0" w:rsidRDefault="00DD377F" w:rsidP="001600C7">
            <w:pPr>
              <w:pStyle w:val="TableText"/>
            </w:pPr>
            <w:r>
              <w:t>W.1</w:t>
            </w:r>
          </w:p>
        </w:tc>
        <w:tc>
          <w:tcPr>
            <w:tcW w:w="0" w:type="auto"/>
          </w:tcPr>
          <w:p w14:paraId="2987F795" w14:textId="77777777" w:rsidR="00DD377F" w:rsidRPr="00A8172F" w:rsidRDefault="00DD377F" w:rsidP="001600C7">
            <w:pPr>
              <w:pStyle w:val="TableText"/>
            </w:pPr>
            <w:r>
              <w:t xml:space="preserve">Well rupture or failure across barriers </w:t>
            </w:r>
          </w:p>
        </w:tc>
        <w:tc>
          <w:tcPr>
            <w:tcW w:w="0" w:type="auto"/>
          </w:tcPr>
          <w:p w14:paraId="6031D8DB" w14:textId="7F78A1BA" w:rsidR="00DD377F" w:rsidRDefault="00DD377F" w:rsidP="001600C7">
            <w:pPr>
              <w:pStyle w:val="TableText"/>
            </w:pPr>
            <w:r>
              <w:t>Very rare</w:t>
            </w:r>
          </w:p>
        </w:tc>
        <w:tc>
          <w:tcPr>
            <w:tcW w:w="0" w:type="auto"/>
          </w:tcPr>
          <w:p w14:paraId="4852FC07" w14:textId="396B2223" w:rsidR="00DD377F" w:rsidRDefault="00DD377F" w:rsidP="001600C7">
            <w:pPr>
              <w:pStyle w:val="TableText"/>
            </w:pPr>
            <w:r>
              <w:t xml:space="preserve">“…regulations tend to stipulate performance goals, as determined by measurements, such as a measurement of casing string pressure integrity before it is cemented into place [cited as (British Columbia Oil and Gas Commission, 2014)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63E0D">
              <w:rPr>
                <w:noProof/>
              </w:rPr>
              <w:t xml:space="preserve">Atherton </w:t>
            </w:r>
            <w:r w:rsidRPr="005A442F">
              <w:rPr>
                <w:noProof/>
              </w:rPr>
              <w:t>et al.</w:t>
            </w:r>
            <w:r w:rsidRPr="00163E0D">
              <w:rPr>
                <w:noProof/>
              </w:rPr>
              <w:t xml:space="preserve"> </w:t>
            </w:r>
            <w:r>
              <w:rPr>
                <w:noProof/>
              </w:rPr>
              <w:t>(</w:t>
            </w:r>
            <w:r w:rsidRPr="00163E0D">
              <w:rPr>
                <w:noProof/>
              </w:rPr>
              <w:t>2014)</w:t>
            </w:r>
            <w:r>
              <w:fldChar w:fldCharType="end"/>
            </w:r>
            <w:r>
              <w:t>]. A properly assembled casing string has adequate pressure integrity for its entire length, and this integrity is tested to meet regulatory standards before well</w:t>
            </w:r>
            <w:r w:rsidRPr="00EE52B6">
              <w:t xml:space="preserve"> assembly is complete</w:t>
            </w:r>
            <w:r>
              <w:t>” p200</w:t>
            </w:r>
          </w:p>
          <w:p w14:paraId="7D1242BF" w14:textId="77777777" w:rsidR="00DD377F" w:rsidRDefault="00DD377F" w:rsidP="001600C7">
            <w:pPr>
              <w:pStyle w:val="TableText"/>
            </w:pPr>
          </w:p>
          <w:p w14:paraId="73593F91" w14:textId="1C304F5C" w:rsidR="00DD377F" w:rsidRDefault="00DD377F" w:rsidP="001600C7">
            <w:pPr>
              <w:pStyle w:val="TableText"/>
            </w:pPr>
            <w:r>
              <w:t>“The high alkalinity of the cement also protects the steel casing from deterioration if there are acidic gases in the formation such as carbon dioxide (CO</w:t>
            </w:r>
            <w:r w:rsidRPr="003E7D0F">
              <w:rPr>
                <w:vertAlign w:val="subscript"/>
              </w:rPr>
              <w:t>2</w:t>
            </w:r>
            <w:r>
              <w:t>) or hydrogen sulphide (H</w:t>
            </w:r>
            <w:r w:rsidRPr="003E7D0F">
              <w:rPr>
                <w:vertAlign w:val="subscript"/>
              </w:rPr>
              <w:t>2</w:t>
            </w:r>
            <w:r>
              <w:t>S) dissolved in the water.” p201</w:t>
            </w:r>
          </w:p>
        </w:tc>
      </w:tr>
      <w:tr w:rsidR="00DD377F" w14:paraId="160BFBBD"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07C02894" w14:textId="77777777" w:rsidR="00DD377F" w:rsidRDefault="00DD377F" w:rsidP="001600C7">
            <w:pPr>
              <w:pStyle w:val="TableText"/>
            </w:pPr>
            <w:r>
              <w:t>W.2</w:t>
            </w:r>
          </w:p>
        </w:tc>
        <w:tc>
          <w:tcPr>
            <w:tcW w:w="0" w:type="auto"/>
          </w:tcPr>
          <w:p w14:paraId="71E1657E" w14:textId="77777777" w:rsidR="00DD377F" w:rsidRDefault="00DD377F" w:rsidP="001600C7">
            <w:pPr>
              <w:pStyle w:val="TableText"/>
            </w:pPr>
            <w:r>
              <w:t>Migration along casing from reservoir</w:t>
            </w:r>
          </w:p>
        </w:tc>
        <w:tc>
          <w:tcPr>
            <w:tcW w:w="0" w:type="auto"/>
          </w:tcPr>
          <w:p w14:paraId="6EFF87A9" w14:textId="1AF982CD" w:rsidR="00DD377F" w:rsidRDefault="00DD377F" w:rsidP="001600C7">
            <w:pPr>
              <w:pStyle w:val="TableText"/>
            </w:pPr>
            <w:r>
              <w:t>Rare</w:t>
            </w:r>
          </w:p>
        </w:tc>
        <w:tc>
          <w:tcPr>
            <w:tcW w:w="0" w:type="auto"/>
          </w:tcPr>
          <w:p w14:paraId="3C33BCDB" w14:textId="1232D402" w:rsidR="00DD377F" w:rsidRDefault="00DD377F" w:rsidP="001600C7">
            <w:pPr>
              <w:pStyle w:val="TableText"/>
            </w:pPr>
            <w:r>
              <w:t>“</w:t>
            </w:r>
            <w:r>
              <w:fldChar w:fldCharType="begin" w:fldLock="1"/>
            </w:r>
            <w:r w:rsidR="0073177A">
              <w:instrText>ADDIN CSL_CITATION {"citationItems":[{"id":"ITEM-1","itemData":{"DOI":"10.1073/pnas.1100682108","ISBN":"0160-6689","ISSN":"0027-8424","PMID":"12108820","abstract":"Directional drilling and hydraulic-fracturing technologies are dra- matically increasing natural-gas extraction. In aquifers overlying the Marcellus and Utica shale formations of northeastern Pennsyl- vania and upstate NewYork, we document systematic evidence for methane contamination of drinking water associated with shale- gas extraction. In active gas-extraction areas (one or more gas wells within 1 km), average and maximum methane concentrations in drinking-water wells increased with proximity to the nearest explosion hazard; in contrast, dissolved methane samples in neigh- gas well and were 19.2 and 64 mg CH4 L−1 (n ¼ 26), a potential boring nonextraction sites (no gas wells within 1 km) within similar geologic formations and hydrogeologic regimes averaged only 1.1mg L−1 (P &lt;0.05; n ¼ 34). Average δ13C-CH4 values of dissolved methane in shallow groundwater were significantly less negative respectively; P &lt;0.0001). These δ13C-CH4 data, coupled with the ra- for active than for nonactive sites (−37 ? 7‰ and −54 ? 11‰, tios of methane-to-higher-chain hydrocarbons, and δ2H-CH4 values, are consistent with deeper thermogenic methane sources such as the Marcellus and Utica shales at the active sites and matched gas geochemistry from gas wells nearby. In contrast, lower-concentra- tion samples from shallow groundwater at nonactive sites had isotopic signatures reflecting a more biogenic or mixed biogenic/ thermogenic methane source. We found no evidence for contam- ination of drinking-water samples with deep saline brines or frac- turing fluids. We conclude that greater stewardship, data, and— possibly—regulation are needed to ensure the sustainable future of shale-gas extraction and to improve public confidence in its use.","author":[{"dropping-particle":"","family":"Osborn","given":"Stephen G.","non-dropping-particle":"","parse-names":false,"suffix":""},{"dropping-particle":"","family":"Vengosh","given":"Avner","non-dropping-particle":"","parse-names":false,"suffix":""},{"dropping-particle":"","family":"Warner","given":"Nathaniel R.","non-dropping-particle":"","parse-names":false,"suffix":""},{"dropping-particle":"","family":"Jackson","given":"Robert B.","non-dropping-particle":"","parse-names":false,"suffix":""}],"container-title":"Proceedings of the National Academy of Sciences","id":"ITEM-1","issue":"20","issued":{"date-parts":[["2011","5","17"]]},"page":"8172-8176","title":"Methane contamination of drinking water accompanying gas-well drilling and hydraulic fracturing","type":"article-journal","volume":"108"},"uris":["http://www.mendeley.com/documents/?uuid=57ec974b-25de-42da-bde7-77db14749282"]}],"mendeley":{"formattedCitation":"(Osborn &lt;i&gt;et al.&lt;/i&gt;, 2011)","manualFormatting":"Osborn et al., (2011)","plainTextFormattedCitation":"(Osborn et al., 2011)","previouslyFormattedCitation":"(Osborn &lt;i&gt;et al.&lt;/i&gt;, 2011)"},"properties":{"noteIndex":0},"schema":"https://github.com/citation-style-language/schema/raw/master/csl-citation.json"}</w:instrText>
            </w:r>
            <w:r>
              <w:fldChar w:fldCharType="separate"/>
            </w:r>
            <w:r w:rsidRPr="00163E0D">
              <w:rPr>
                <w:noProof/>
              </w:rPr>
              <w:t xml:space="preserve">Osborn </w:t>
            </w:r>
            <w:r w:rsidRPr="005A442F">
              <w:rPr>
                <w:noProof/>
              </w:rPr>
              <w:t>et al.</w:t>
            </w:r>
            <w:r w:rsidRPr="00163E0D">
              <w:rPr>
                <w:noProof/>
              </w:rPr>
              <w:t xml:space="preserve">, </w:t>
            </w:r>
            <w:r>
              <w:rPr>
                <w:noProof/>
              </w:rPr>
              <w:t>(</w:t>
            </w:r>
            <w:r w:rsidRPr="00163E0D">
              <w:rPr>
                <w:noProof/>
              </w:rPr>
              <w:t>2011)</w:t>
            </w:r>
            <w:r>
              <w:fldChar w:fldCharType="end"/>
            </w:r>
            <w:r>
              <w:t xml:space="preserve"> while studying methane occurrence in shallow Pennsylvania groundwater wells, ruled out migration through the shale formation as a possible explanation for methane occurrence in groundwater wells. The authors cited leaky well casings and naturally occurring methane as more likely scenarios for methane occurrence </w:t>
            </w:r>
            <w:r>
              <w:fldChar w:fldCharType="begin" w:fldLock="1"/>
            </w:r>
            <w:r>
              <w:instrText>ADDIN CSL_CITATION {"citationItems":[{"id":"ITEM-1","itemData":{"DOI":"10.1073/pnas.1100682108","ISBN":"0160-6689","ISSN":"0027-8424","PMID":"12108820","abstract":"Directional drilling and hydraulic-fracturing technologies are dra- matically increasing natural-gas extraction. In aquifers overlying the Marcellus and Utica shale formations of northeastern Pennsyl- vania and upstate NewYork, we document systematic evidence for methane contamination of drinking water associated with shale- gas extraction. In active gas-extraction areas (one or more gas wells within 1 km), average and maximum methane concentrations in drinking-water wells increased with proximity to the nearest explosion hazard; in contrast, dissolved methane samples in neigh- gas well and were 19.2 and 64 mg CH4 L−1 (n ¼ 26), a potential boring nonextraction sites (no gas wells within 1 km) within similar geologic formations and hydrogeologic regimes averaged only 1.1mg L−1 (P &lt;0.05; n ¼ 34). Average δ13C-CH4 values of dissolved methane in shallow groundwater were significantly less negative respectively; P &lt;0.0001). These δ13C-CH4 data, coupled with the ra- for active than for nonactive sites (−37 ? 7‰ and −54 ? 11‰, tios of methane-to-higher-chain hydrocarbons, and δ2H-CH4 values, are consistent with deeper thermogenic methane sources such as the Marcellus and Utica shales at the active sites and matched gas geochemistry from gas wells nearby. In contrast, lower-concentra- tion samples from shallow groundwater at nonactive sites had isotopic signatures reflecting a more biogenic or mixed biogenic/ thermogenic methane source. We found no evidence for contam- ination of drinking-water samples with deep saline brines or frac- turing fluids. We conclude that greater stewardship, data, and— possibly—regulation are needed to ensure the sustainable future of shale-gas extraction and to improve public confidence in its use.","author":[{"dropping-particle":"","family":"Osborn","given":"Stephen G.","non-dropping-particle":"","parse-names":false,"suffix":""},{"dropping-particle":"","family":"Vengosh","given":"Avner","non-dropping-particle":"","parse-names":false,"suffix":""},{"dropping-particle":"","family":"Warner","given":"Nathaniel R.","non-dropping-particle":"","parse-names":false,"suffix":""},{"dropping-particle":"","family":"Jackson","given":"Robert B.","non-dropping-particle":"","parse-names":false,"suffix":""}],"container-title":"Proceedings of the National Academy of Sciences","id":"ITEM-1","issue":"20","issued":{"date-parts":[["2011","5","17"]]},"page":"8172-8176","title":"Methane contamination of drinking water accompanying gas-well drilling and hydraulic fracturing","type":"article-journal","volume":"108"},"uris":["http://www.mendeley.com/documents/?uuid=57ec974b-25de-42da-bde7-77db14749282"]}],"mendeley":{"formattedCitation":"(Osborn &lt;i&gt;et al.&lt;/i&gt;, 2011)","plainTextFormattedCitation":"(Osborn et al., 2011)","previouslyFormattedCitation":"(Osborn &lt;i&gt;et al.&lt;/i&gt;, 2011)"},"properties":{"noteIndex":0},"schema":"https://github.com/citation-style-language/schema/raw/master/csl-citation.json"}</w:instrText>
            </w:r>
            <w:r>
              <w:fldChar w:fldCharType="separate"/>
            </w:r>
            <w:r w:rsidRPr="00163E0D">
              <w:rPr>
                <w:noProof/>
              </w:rPr>
              <w:t xml:space="preserve">(Osborn </w:t>
            </w:r>
            <w:r w:rsidRPr="005A442F">
              <w:rPr>
                <w:noProof/>
              </w:rPr>
              <w:t>et al.</w:t>
            </w:r>
            <w:r w:rsidRPr="00163E0D">
              <w:rPr>
                <w:noProof/>
              </w:rPr>
              <w:t>, 2011)</w:t>
            </w:r>
            <w:r>
              <w:fldChar w:fldCharType="end"/>
            </w:r>
            <w:r>
              <w:t>.” p178</w:t>
            </w:r>
          </w:p>
          <w:p w14:paraId="4660298E" w14:textId="77777777" w:rsidR="00DD377F" w:rsidRDefault="00DD377F" w:rsidP="001600C7">
            <w:pPr>
              <w:pStyle w:val="TableText"/>
            </w:pPr>
          </w:p>
          <w:p w14:paraId="1BB4DCAC" w14:textId="0D12C59F" w:rsidR="00DD377F" w:rsidRDefault="00DD377F" w:rsidP="001600C7">
            <w:pPr>
              <w:pStyle w:val="TableText"/>
            </w:pPr>
            <w:r>
              <w:t>“…improper well construction, which allows hydraulic connection of deeper strata and the shallower drinking water aquifer that drilling operations pass through, is an important consideration” p179</w:t>
            </w:r>
          </w:p>
          <w:p w14:paraId="5032EA59" w14:textId="77777777" w:rsidR="00DD377F" w:rsidRDefault="00DD377F" w:rsidP="001600C7">
            <w:pPr>
              <w:pStyle w:val="TableText"/>
            </w:pPr>
          </w:p>
          <w:p w14:paraId="0D778530" w14:textId="4707FF0E" w:rsidR="00DD377F" w:rsidRDefault="00DD377F" w:rsidP="001600C7">
            <w:pPr>
              <w:pStyle w:val="TableText"/>
            </w:pPr>
            <w:r>
              <w:t xml:space="preserve">“…unconventional gas and oil development, using modern cementing and completion techniques, usually leads to good wellbore integrity.” p194 </w:t>
            </w:r>
          </w:p>
          <w:p w14:paraId="203885F9" w14:textId="77777777" w:rsidR="00DD377F" w:rsidRDefault="00DD377F" w:rsidP="001600C7">
            <w:pPr>
              <w:pStyle w:val="TableText"/>
            </w:pPr>
          </w:p>
          <w:p w14:paraId="4E8DC225" w14:textId="34706F41" w:rsidR="00DD377F" w:rsidRDefault="00DD377F" w:rsidP="001600C7">
            <w:pPr>
              <w:pStyle w:val="TableText"/>
            </w:pPr>
            <w:r>
              <w:t>“However, as in any industrial activity, there will never be 100 per cent success in sealing all wellbores against all possibilities of any future leakage.” p194</w:t>
            </w:r>
          </w:p>
          <w:p w14:paraId="1F63C70C" w14:textId="77777777" w:rsidR="00DD377F" w:rsidRDefault="00DD377F" w:rsidP="001600C7">
            <w:pPr>
              <w:pStyle w:val="TableText"/>
            </w:pPr>
          </w:p>
          <w:p w14:paraId="02C51AD0" w14:textId="3A86FEAB" w:rsidR="00DD377F" w:rsidRDefault="00DD377F" w:rsidP="001600C7">
            <w:pPr>
              <w:pStyle w:val="TableText"/>
            </w:pPr>
            <w:r>
              <w:t>“Generally, the intermediate casing string is cemented all the way to surface in modern practice.” p201</w:t>
            </w:r>
          </w:p>
          <w:p w14:paraId="69075A56" w14:textId="77777777" w:rsidR="00DD377F" w:rsidRDefault="00DD377F" w:rsidP="001600C7">
            <w:pPr>
              <w:pStyle w:val="TableText"/>
            </w:pPr>
          </w:p>
          <w:p w14:paraId="63D92C63" w14:textId="1D317026" w:rsidR="00DD377F" w:rsidRDefault="00DD377F" w:rsidP="001600C7">
            <w:pPr>
              <w:pStyle w:val="TableText"/>
            </w:pPr>
            <w:r>
              <w:t xml:space="preserve">“The goal is to achieve a continuous, effective seal between the casing and the rock mass or between the current casing and the previous casing, so that the steel-cased wellbore has full pressure integrity along its entire length for the period of time it will be operational and for the range of conditions it will experience </w:t>
            </w:r>
            <w:r>
              <w:fldChar w:fldCharType="begin" w:fldLock="1"/>
            </w:r>
            <w:r>
              <w:instrText>ADDIN CSL_CITATION {"citationItems":[{"id":"ITEM-1","itemData":{"abstract":"Wellbore leakage, the seepage of natural gas through cement channels, casing annuli and behind the outermost casing string, is a problem reported across Canada. Wellbore leakage is a threat to the environment and public safety because of potential groundwater quality deterioration, contributions to greenhouse gas emissions and explosion risks if methane gas accumulates in inadequately ventilated areas. Leakage rates remain poorly quantified and remedial workovers are often challenging. Subsequent costs attributed to remedial workovers are often significant and present an economic strain on the industry as well as lost profit, reduced exploration and production and, therefore, foregone royalties. The purpose of this report has been to (1) identify persistent problems that result in wellbore leakage, (2) discuss potential approaches that appear to reduce the rates and occurrences of wellbore leakage, (3) describe methods for detecting and monitoring for wellbore leakage, and (4) discuss methods that have improved the efficiency of remedial workovers. Our motivation has been to outline the need for a Canadian Road Map for Wellbore Integrity that identifies future research and development (R&amp;D) needs and identifies where the resources for such R&amp;D might be found. Several key processes were identified that lead to the potential development of a leakage problem, working to either prevent the initial creation of an adequate cement seal or compromising the integrity of the cement sheath over time. The pathways produced by these processes include microannuli, channels and fractures due to poor mud removal, invasion by fluids during setting, stresses imposed by operations, cement shrinkage and casing corrosion. Intermediate-depth formations, i.e., non-commercial gas zones, are often found to be the source of the buoyant fugitive gases that migrate up these pathways. ‘Doing it right the first time’ – i.e., creating a robust seal during primary cementation – was uniformly agreed by industry and regulators to be the best approach for reducing leakage development over the operational and post-operational lifetime of a well. Even if an adequately sealed wellbore was achieved during primary cementation, there remains the possibility that a leakage problem may develop due to corrosion or cement shrinkage. Therefore, in addition to ‘doing it right the first time’, new cement formulations, wellbore designs and abandonment approaches are needed. Wellbore monitoring needs t…","author":[{"dropping-particle":"","family":"Dusseault","given":"M B","non-dropping-particle":"","parse-names":false,"suffix":""},{"dropping-particle":"","family":"Jackson","given":"R E","non-dropping-particle":"","parse-names":false,"suffix":""},{"dropping-particle":"","family":"MacDonald","given":"D","non-dropping-particle":"","parse-names":false,"suffix":""}],"container-title":"Geofirma","id":"ITEM-1","issued":{"date-parts":[["2014"]]},"page":"1-69","title":"Towards a Road Map for Mitigating the Rates and Occurrences of Long-Term Wellbore Leakage","type":"article-journal"},"uris":["http://www.mendeley.com/documents/?uuid=4623c230-34cb-4dcd-b1e6-6db6a51ad378"]}],"mendeley":{"formattedCitation":"(Dusseault, Jackson and MacDonald, 2014)","plainTextFormattedCitation":"(Dusseault, Jackson and MacDonald, 2014)","previouslyFormattedCitation":"(Dusseault, Jackson and MacDonald, 2014)"},"properties":{"noteIndex":0},"schema":"https://github.com/citation-style-language/schema/raw/master/csl-citation.json"}</w:instrText>
            </w:r>
            <w:r>
              <w:fldChar w:fldCharType="separate"/>
            </w:r>
            <w:r w:rsidRPr="00163E0D">
              <w:rPr>
                <w:noProof/>
              </w:rPr>
              <w:t>(Dusseault, Jackson and MacDonald, 2014)</w:t>
            </w:r>
            <w:r>
              <w:fldChar w:fldCharType="end"/>
            </w:r>
            <w:r>
              <w:t>.” p202</w:t>
            </w:r>
          </w:p>
          <w:p w14:paraId="0308D81D" w14:textId="77777777" w:rsidR="00DD377F" w:rsidRDefault="00DD377F" w:rsidP="001600C7">
            <w:pPr>
              <w:pStyle w:val="TableText"/>
            </w:pPr>
          </w:p>
          <w:p w14:paraId="695183F9" w14:textId="57029CD4" w:rsidR="00DD377F" w:rsidRDefault="00DD377F" w:rsidP="001600C7">
            <w:pPr>
              <w:pStyle w:val="TableText"/>
            </w:pPr>
            <w:r>
              <w:t>“Use of additives is typically not mandated or controlled by the regulatory agency; it is the responsibility of the owner of the well to ensure that appropriate cement formulations and additives are used in the conditions encountered so that the energy well is properly sealed, ready for service, and resistant to impairment.” p204</w:t>
            </w:r>
          </w:p>
          <w:p w14:paraId="2498B98E" w14:textId="77777777" w:rsidR="00DD377F" w:rsidRDefault="00DD377F" w:rsidP="001600C7">
            <w:pPr>
              <w:pStyle w:val="TableText"/>
            </w:pPr>
          </w:p>
          <w:p w14:paraId="07B46766" w14:textId="64B89752" w:rsidR="00DD377F" w:rsidRDefault="00DD377F" w:rsidP="001600C7">
            <w:pPr>
              <w:pStyle w:val="TableText"/>
            </w:pPr>
            <w:r>
              <w:t>“Because a reservoir is depleted by production, the fluid pressure in the target horizon is reduced over time to much lower values than in the fluids above the reservoir. This inhibits gas migration and acts against development behind the casing of a continuous buoyant gas column having its origin in the producing formation.… would be of limited concern in Nova Scotia, providing that good quality assurance of the primary cementing operation is maintained.” p209</w:t>
            </w:r>
          </w:p>
          <w:p w14:paraId="5C044605" w14:textId="025A132C" w:rsidR="00DD377F" w:rsidRDefault="00DD377F" w:rsidP="001600C7">
            <w:pPr>
              <w:pStyle w:val="TableText"/>
            </w:pPr>
          </w:p>
        </w:tc>
      </w:tr>
      <w:tr w:rsidR="00DD377F" w14:paraId="691C03C5"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64C543F8" w14:textId="77777777" w:rsidR="00DD377F" w:rsidRDefault="00DD377F" w:rsidP="001600C7">
            <w:pPr>
              <w:pStyle w:val="TableText"/>
            </w:pPr>
            <w:r>
              <w:t>W.3</w:t>
            </w:r>
          </w:p>
        </w:tc>
        <w:tc>
          <w:tcPr>
            <w:tcW w:w="0" w:type="auto"/>
          </w:tcPr>
          <w:p w14:paraId="7ECD77C7" w14:textId="77777777" w:rsidR="00DD377F" w:rsidRDefault="00DD377F" w:rsidP="001600C7">
            <w:pPr>
              <w:pStyle w:val="TableText"/>
            </w:pPr>
            <w:r>
              <w:t>Migration along casing between rock layers</w:t>
            </w:r>
          </w:p>
        </w:tc>
        <w:tc>
          <w:tcPr>
            <w:tcW w:w="0" w:type="auto"/>
          </w:tcPr>
          <w:p w14:paraId="2B7902B5" w14:textId="655572DB" w:rsidR="00DD377F" w:rsidRDefault="00DD377F" w:rsidP="001600C7">
            <w:pPr>
              <w:pStyle w:val="TableText"/>
            </w:pPr>
            <w:r>
              <w:t>Rare</w:t>
            </w:r>
          </w:p>
        </w:tc>
        <w:tc>
          <w:tcPr>
            <w:tcW w:w="0" w:type="auto"/>
          </w:tcPr>
          <w:p w14:paraId="220F0033" w14:textId="77BAB330" w:rsidR="00DD377F" w:rsidRDefault="00DD377F" w:rsidP="001600C7">
            <w:pPr>
              <w:pStyle w:val="TableText"/>
            </w:pPr>
            <w:r>
              <w:t xml:space="preserve">“One of the major wellbore integrity issues in the unconventional gas and oil industry is related to gas migration (or ‘stray gas’) outside of the production casing, up around the surface casing shoe, and interacting with shallow groundwater or venting to the surface </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id":"ITEM-2","itemData":{"author":[{"dropping-particle":"","family":"Dusseault","given":"M","non-dropping-particle":"","parse-names":false,"suffix":""},{"dropping-particle":"","family":"Gray","given":"M","non-dropping-particle":"","parse-names":false,"suffix":""},{"dropping-particle":"","family":"Nawrocki","given":"P","non-dropping-particle":"","parse-names":false,"suffix":""}],"container-title":"SPE Oil and Gas Conference and Exhibition","id":"ITEM-2","issued":{"date-parts":[["2000"]]},"publisher-place":"Beijing, China","title":"Why oilwells leak: cement behavior and long-term consequences","type":"paper-conference","volume":"November"},"uris":["http://www.mendeley.com/documents/?uuid=01d05f34-da45-4ea4-b34e-f6b40ce5a500"]}],"mendeley":{"formattedCitation":"(Dusseault, Gray and Nawrocki, 2000; Watson and Bachu, 2009)","plainTextFormattedCitation":"(Dusseault, Gray and Nawrocki, 2000; Watson and Bachu, 2009)","previouslyFormattedCitation":"(Dusseault, Gray and Nawrocki, 2000; Watson and Bachu, 2009)"},"properties":{"noteIndex":0},"schema":"https://github.com/citation-style-language/schema/raw/master/csl-citation.json"}</w:instrText>
            </w:r>
            <w:r>
              <w:fldChar w:fldCharType="separate"/>
            </w:r>
            <w:r w:rsidRPr="00163E0D">
              <w:rPr>
                <w:noProof/>
              </w:rPr>
              <w:t>(Dusseault, Gray and Nawrocki, 2000; Watson and Bachu, 2009)</w:t>
            </w:r>
            <w:r>
              <w:fldChar w:fldCharType="end"/>
            </w:r>
            <w:r>
              <w:t>.” p206</w:t>
            </w:r>
          </w:p>
          <w:p w14:paraId="338C3B3E" w14:textId="52A2F6BA" w:rsidR="00DD377F" w:rsidRDefault="00DD377F" w:rsidP="001600C7">
            <w:pPr>
              <w:pStyle w:val="TableText"/>
            </w:pPr>
          </w:p>
          <w:p w14:paraId="5D3E3BE9" w14:textId="3B85AC05" w:rsidR="00DD377F" w:rsidRDefault="00DD377F" w:rsidP="001600C7">
            <w:pPr>
              <w:pStyle w:val="TableText"/>
            </w:pPr>
            <w:r>
              <w:t>“SCVF</w:t>
            </w:r>
            <w:r w:rsidRPr="00D70B5C">
              <w:rPr>
                <w:rStyle w:val="FootnoteReference"/>
              </w:rPr>
              <w:footnoteReference w:id="2"/>
            </w:r>
            <w:r>
              <w:t xml:space="preserve"> data must be registered with the regulatory agency; for example, the AER keeps records of all occurrences; therefore, there are excellent statistics available in this area, in contrast to gas migration behind casing, where there are data or observed incidents, but data based on surface observations only are insufficient to draw strong quantitative conclusions about the overall rate of well leakage.” p206</w:t>
            </w:r>
          </w:p>
          <w:p w14:paraId="63C2380E" w14:textId="77777777" w:rsidR="00DD377F" w:rsidRDefault="00DD377F" w:rsidP="001600C7">
            <w:pPr>
              <w:pStyle w:val="TableText"/>
            </w:pPr>
          </w:p>
          <w:p w14:paraId="1BABD7CD" w14:textId="55643D99" w:rsidR="00DD377F" w:rsidRDefault="00DD377F" w:rsidP="001600C7">
            <w:pPr>
              <w:pStyle w:val="TableText"/>
            </w:pPr>
            <w:r>
              <w:t>“…the buoyancy of the gas leads to slow seepage, perhaps into shallow aquifers or to the surface where methane enters the atmosphere.” P209</w:t>
            </w:r>
          </w:p>
          <w:p w14:paraId="53B06D5D" w14:textId="77777777" w:rsidR="00DD377F" w:rsidRDefault="00DD377F" w:rsidP="001600C7">
            <w:pPr>
              <w:pStyle w:val="TableText"/>
            </w:pPr>
          </w:p>
          <w:p w14:paraId="0FBC4B13" w14:textId="25129C95" w:rsidR="00DD377F" w:rsidRDefault="00DD377F" w:rsidP="001600C7">
            <w:pPr>
              <w:pStyle w:val="TableText"/>
            </w:pPr>
            <w:r>
              <w:t xml:space="preserve">“In Nova Scotia, because there are probably none or few intermediate-depth gas-bearing zones, except in the coalbeds of the northern part of the province, these two pathways might be expected to be far less frequent and problematic compared to some other jurisdictions, such as eastern Alberta and western Saskatchewan, where there may be a half-dozen thin gas sands at depths of 200 to 1000 m, i.e., below the surface casing shoe but above the producing zone </w:t>
            </w:r>
            <w:r>
              <w:fldChar w:fldCharType="begin" w:fldLock="1"/>
            </w:r>
            <w:r>
              <w:instrText>ADDIN CSL_CITATION {"citationItems":[{"id":"ITEM-1","itemData":{"ISSN":"00219487","abstract":"Methane gas is emitted from surface casing annuli and surrounding soil at many oil and gas wells in the Lloydminster area. Attempts to stop this leakage have been mostly unsuccessful, and environmental and safety concerns have been unresolved partly because of the lack of any quantitative assessment of the magnitude of this leakage. This project is aimed primarily at providing a quantitative estimate of the magnitude of methane emissions from these oil and gas wells. Leakage rates from surface casing vents have been relatively easy to measure, using conventional flowmeters, and estimating this contribution to the total leakage has consisted primarily of data gathering and statistical evaluation. Measured surface casing vent leakage rates vary from 0.01 to about 200 m3/d. There does not appear to be any consistent variation in flow throughout the year; some surface casing vents vary by an order of magnitude in a random way with time, others are relatively constant. Soil gas migration, the leakage of gas through soil in the vicinity of oil and gas wells, is more challenging to measure. Following a review of relevant literature, a direct measurement technique using a surface emission flux chamber was selected as the primary approach for this project. Measurements have shown that soil gas leakage rates are mostly less than 0.1 m3/d, and no wells have been found with methane leakage greater than 60m3/d. A simple numerical model has been used to help understand the relationship between soil gas composition and leakage rate. Lab experimentation has confirmed that bacterial oxidation reduces methane leakage rates in the soil around wells. Results from this work help to assess the importance of these methane emissions relative to other natural and man-made sources.","author":[{"dropping-particle":"","family":"Erno","given":"B.","non-dropping-particle":"","parse-names":false,"suffix":""},{"dropping-particle":"","family":"Schmitz","given":"R.","non-dropping-particle":"","parse-names":false,"suffix":""}],"container-title":"Journal of Canadian Petroleum Technology","id":"ITEM-1","issue":"7","issued":{"date-parts":[["1996"]]},"page":"37-46","title":"Measurements of soil gas migration around oil and gas wells in the Lloydminster area","type":"article-journal","volume":"35"},"uris":["http://www.mendeley.com/documents/?uuid=ec43eee2-c066-495f-8f29-ffbf737ebd07"]}],"mendeley":{"formattedCitation":"(Erno and Schmitz, 1996)","plainTextFormattedCitation":"(Erno and Schmitz, 1996)","previouslyFormattedCitation":"(Erno and Schmitz, 1996)"},"properties":{"noteIndex":0},"schema":"https://github.com/citation-style-language/schema/raw/master/csl-citation.json"}</w:instrText>
            </w:r>
            <w:r>
              <w:fldChar w:fldCharType="separate"/>
            </w:r>
            <w:r w:rsidRPr="00163E0D">
              <w:rPr>
                <w:noProof/>
              </w:rPr>
              <w:t>(Erno and Schmitz, 1996)</w:t>
            </w:r>
            <w:r>
              <w:fldChar w:fldCharType="end"/>
            </w:r>
            <w:r>
              <w:t>.” p209</w:t>
            </w:r>
          </w:p>
          <w:p w14:paraId="5EAFCAF6" w14:textId="77777777" w:rsidR="00DD377F" w:rsidRDefault="00DD377F" w:rsidP="001600C7">
            <w:pPr>
              <w:pStyle w:val="TableText"/>
            </w:pPr>
          </w:p>
          <w:p w14:paraId="019B487B" w14:textId="6C71C53A" w:rsidR="00DD377F" w:rsidRDefault="00DD377F" w:rsidP="001600C7">
            <w:pPr>
              <w:pStyle w:val="TableText"/>
            </w:pPr>
            <w:r>
              <w:t>“…there is good evidence that a significant percentage (from a few to as many as 10 per cent –Bexte et al., 2012</w:t>
            </w:r>
            <w:r w:rsidRPr="00D70B5C">
              <w:rPr>
                <w:rStyle w:val="FootnoteReference"/>
              </w:rPr>
              <w:footnoteReference w:id="3"/>
            </w:r>
            <w:r>
              <w:t xml:space="preserve">) of oil and gas wellbores in some areas in Canada experience gas migration </w:t>
            </w:r>
            <w:r>
              <w:fldChar w:fldCharType="begin" w:fldLock="1"/>
            </w:r>
            <w:r>
              <w:instrText>ADDIN CSL_CITATION {"citationItems":[{"id":"ITEM-1","itemData":{"abstract":"Wellbore leakage, the seepage of natural gas through cement channels, casing annuli and behind the outermost casing string, is a problem reported across Canada. Wellbore leakage is a threat to the environment and public safety because of potential groundwater quality deterioration, contributions to greenhouse gas emissions and explosion risks if methane gas accumulates in inadequately ventilated areas. Leakage rates remain poorly quantified and remedial workovers are often challenging. Subsequent costs attributed to remedial workovers are often significant and present an economic strain on the industry as well as lost profit, reduced exploration and production and, therefore, foregone royalties. The purpose of this report has been to (1) identify persistent problems that result in wellbore leakage, (2) discuss potential approaches that appear to reduce the rates and occurrences of wellbore leakage, (3) describe methods for detecting and monitoring for wellbore leakage, and (4) discuss methods that have improved the efficiency of remedial workovers. Our motivation has been to outline the need for a Canadian Road Map for Wellbore Integrity that identifies future research and development (R&amp;D) needs and identifies where the resources for such R&amp;D might be found. Several key processes were identified that lead to the potential development of a leakage problem, working to either prevent the initial creation of an adequate cement seal or compromising the integrity of the cement sheath over time. The pathways produced by these processes include microannuli, channels and fractures due to poor mud removal, invasion by fluids during setting, stresses imposed by operations, cement shrinkage and casing corrosion. Intermediate-depth formations, i.e., non-commercial gas zones, are often found to be the source of the buoyant fugitive gases that migrate up these pathways. ‘Doing it right the first time’ – i.e., creating a robust seal during primary cementation – was uniformly agreed by industry and regulators to be the best approach for reducing leakage development over the operational and post-operational lifetime of a well. Even if an adequately sealed wellbore was achieved during primary cementation, there remains the possibility that a leakage problem may develop due to corrosion or cement shrinkage. Therefore, in addition to ‘doing it right the first time’, new cement formulations, wellbore designs and abandonment approaches are needed. Wellbore monitoring needs t…","author":[{"dropping-particle":"","family":"Dusseault","given":"M B","non-dropping-particle":"","parse-names":false,"suffix":""},{"dropping-particle":"","family":"Jackson","given":"R E","non-dropping-particle":"","parse-names":false,"suffix":""},{"dropping-particle":"","family":"MacDonald","given":"D","non-dropping-particle":"","parse-names":false,"suffix":""}],"container-title":"Geofirma","id":"ITEM-1","issued":{"date-parts":[["2014"]]},"page":"1-69","title":"Towards a Road Map for Mitigating the Rates and Occurrences of Long-Term Wellbore Leakage","type":"article-journal"},"uris":["http://www.mendeley.com/documents/?uuid=4623c230-34cb-4dcd-b1e6-6db6a51ad378"]},{"id":"ITEM-2","itemData":{"DOI":"10.1306/eg.04231414004","ISSN":"10759565","abstract":"Hydraulic fracture stimulation (HFS) of unconventional oil and gas reservoirs has become the focus of public concern with respect to fugitive gas emissions, fracture height growth, induced seismicity and groundwater pollution. We evaluate the potential pathways of fugitive gas seepage during stimulation and production and conclude that the quality of surface casing and deeper casing installations is a major concern with respect to future gas migration. The pathway outside the casing is of greatest concern, and likely leads to many wells leaking natural gas upwards from intermediate, non-depleted thin gas zones, rather than from the deeper target reservoirs which are depleted during production. We substantiate this argument with isotopic data from the Western Canada Sedimentary Basin. These paths must be understood and the probability of leakage addressed by mitigating methods such as casing perforation and squeeze, expanding packers of long life and controlled leak-off into saline aquifers. With a few exceptions, hydraulic fracture stimulation itself appears not to be a significant risk. These exceptions include situations involving fluids during the high pressure stage of HFS when (1) old well casings are intersected by fracturing fluids and (2) when these fluids pressurize nearby offset wells that have not been shut in, and particularly offset wells in the same formation that are surrounded by a region of pressure depletion where the horizontal stresses have also been diminished.. RÉSUMÉ","author":[{"dropping-particle":"","family":"Dusseault","given":"Maurice","non-dropping-particle":"","parse-names":false,"suffix":""},{"dropping-particle":"","family":"Jackson","given":"Richard","non-dropping-particle":"","parse-names":false,"suffix":""}],"container-title":"Environmental Geosciences","id":"ITEM-2","issue":"3","issued":{"date-parts":[["2014"]]},"page":"107-126","title":"Seepage pathway assessment for natural gas to shallow groundwater during well stimulation, in production, and after abandonment","type":"article-journal","volume":"21"},"uris":["http://www.mendeley.com/documents/?uuid=afb2d814-1d5d-4c33-8435-57e38584f608"]}],"mendeley":{"formattedCitation":"(Dusseault and Jackson, 2014; Dusseault, Jackson and MacDonald, 2014)","plainTextFormattedCitation":"(Dusseault and Jackson, 2014; Dusseault, Jackson and MacDonald, 2014)","previouslyFormattedCitation":"(Dusseault and Jackson, 2014; Dusseault, Jackson and MacDonald, 2014)"},"properties":{"noteIndex":0},"schema":"https://github.com/citation-style-language/schema/raw/master/csl-citation.json"}</w:instrText>
            </w:r>
            <w:r>
              <w:fldChar w:fldCharType="separate"/>
            </w:r>
            <w:r w:rsidRPr="003C694C">
              <w:rPr>
                <w:noProof/>
              </w:rPr>
              <w:t>(Dusseault and Jackson, 2014; Dusseault, Jackson and MacDonald, 2014)</w:t>
            </w:r>
            <w:r>
              <w:fldChar w:fldCharType="end"/>
            </w:r>
            <w:r>
              <w:t>.” p210</w:t>
            </w:r>
          </w:p>
          <w:p w14:paraId="34553425" w14:textId="77777777" w:rsidR="00DD377F" w:rsidRDefault="00DD377F" w:rsidP="001600C7">
            <w:pPr>
              <w:pStyle w:val="TableText"/>
            </w:pPr>
          </w:p>
          <w:p w14:paraId="05367E6A" w14:textId="7BBFFE72" w:rsidR="00DD377F" w:rsidRDefault="00DD377F" w:rsidP="001600C7">
            <w:pPr>
              <w:pStyle w:val="TableText"/>
            </w:pPr>
            <w:r>
              <w:t>“Once a gas migration event has been identified during operations or at a later date (by the company or a plaintiff), sampling and analysis help reveal the source and give clues about the pathway. It is a standard regulatory requirement that the operator report gas migration events. Once the source is located, perf-and-squeeze operations (see above) can be used to shut the pathway above the source and greatly reduce the chances of further gas seepage.” p210</w:t>
            </w:r>
          </w:p>
          <w:p w14:paraId="6BD41E24" w14:textId="77777777" w:rsidR="00DD377F" w:rsidRDefault="00DD377F" w:rsidP="001600C7">
            <w:pPr>
              <w:pStyle w:val="TableText"/>
            </w:pPr>
          </w:p>
          <w:p w14:paraId="51598E60" w14:textId="7B8CAA15" w:rsidR="00DD377F" w:rsidRDefault="00DD377F" w:rsidP="001600C7">
            <w:pPr>
              <w:pStyle w:val="TableText"/>
            </w:pPr>
            <w:r>
              <w:t xml:space="preserve">“Although an undesirable event from a greenhouse gas and aesthetic perspective, the impact of methane entering potable water sources is not a serious health issue, in comparison to many other chemical contaminants </w:t>
            </w:r>
            <w:r>
              <w:fldChar w:fldCharType="begin" w:fldLock="1"/>
            </w:r>
            <w:r>
              <w:instrText>ADDIN CSL_CITATION {"citationItems":[{"id":"ITEM-1","itemData":{"DOI":"10.1093/toxsci/kfu061","ISSN":"10960929","abstract":"We briefly describe how toxicology can inform the discussion and debate of the merits of hydraulic fracturing by providing information on the potential toxicity of the chemical and physical agents associated with this process, individually and in combination. We consider upstream activities related to bringing chemical and physical agents to the site, on-site activities including drilling of wells and containment of agents injected into or produced from the well, and downstream activities including the flow/removal of hydrocarbon products and of produced water from the site. A broad variety of chemical and physical agents are involved. As the industry expands this has raised concern about the potential for toxicological effects on ecosystems, workers, and the general public. Response to these concerns requires a concerted and collaborative toxicological assessment. This assessment should take into account the different geology in areas newly subjected to hydraulic fracturing as well as evolving industrial practices that can alter the chemical and physical agents of toxicological interest. The potential for ecosystem or human exposure to mixtures of these agents presents a particular toxicological and public health challenge. These data are essential for developing a reliable assessment of the potential risks to the environment and to human health of the rapidly increasing use of hydraulic fracturing and deep underground horizontal drilling techniques for tightly bound shale gas and other fossil fuels. Input from toxicologists will be most effective when employed early in the process, before there are unwanted consequences to the environment and human health, or economic losses due to the need to abandon or rework costly initiatives. © The Author 2014. Published by Oxford University Press on behalf of the Society of Toxicology.All rights reserved.","author":[{"dropping-particle":"","family":"Goldstein","given":"Bernard D.","non-dropping-particle":"","parse-names":false,"suffix":""},{"dropping-particle":"","family":"Brooks","given":"Bryan W.","non-dropping-particle":"","parse-names":false,"suffix":""},{"dropping-particle":"","family":"Cohen","given":"Steven D.","non-dropping-particle":"","parse-names":false,"suffix":""},{"dropping-particle":"","family":"Gates","given":"Alexander E.","non-dropping-particle":"","parse-names":false,"suffix":""},{"dropping-particle":"","family":"Honeycutt","given":"Michael E.","non-dropping-particle":"","parse-names":false,"suffix":""},{"dropping-particle":"","family":"Morris","given":"John B.","non-dropping-particle":"","parse-names":false,"suffix":""},{"dropping-particle":"","family":"Orme-Zavaleta","given":"Jennifer","non-dropping-particle":"","parse-names":false,"suffix":""},{"dropping-particle":"","family":"Penning","given":"Trevor M.","non-dropping-particle":"","parse-names":false,"suffix":""},{"dropping-particle":"","family":"Snawder","given":"John","non-dropping-particle":"","parse-names":false,"suffix":""}],"container-title":"Toxicological Sciences","id":"ITEM-1","issue":"2","issued":{"date-parts":[["2014"]]},"page":"271-283","title":"The role of toxicological science in meeting the challenges and opportunities of hydraulic fracturing","type":"article-journal","volume":"139"},"uris":["http://www.mendeley.com/documents/?uuid=24da8b95-7a5a-4377-ae2c-bf39ef1a2504"]}],"mendeley":{"formattedCitation":"(Goldstein &lt;i&gt;et al.&lt;/i&gt;, 2014)","plainTextFormattedCitation":"(Goldstein et al., 2014)","previouslyFormattedCitation":"(Goldstein &lt;i&gt;et al.&lt;/i&gt;, 2014)"},"properties":{"noteIndex":0},"schema":"https://github.com/citation-style-language/schema/raw/master/csl-citation.json"}</w:instrText>
            </w:r>
            <w:r>
              <w:fldChar w:fldCharType="separate"/>
            </w:r>
            <w:r w:rsidRPr="003C694C">
              <w:rPr>
                <w:noProof/>
              </w:rPr>
              <w:t xml:space="preserve">(Goldstein </w:t>
            </w:r>
            <w:r w:rsidRPr="005A442F">
              <w:rPr>
                <w:noProof/>
              </w:rPr>
              <w:t>et al.</w:t>
            </w:r>
            <w:r w:rsidRPr="003C694C">
              <w:rPr>
                <w:noProof/>
              </w:rPr>
              <w:t>, 2014)</w:t>
            </w:r>
            <w:r>
              <w:fldChar w:fldCharType="end"/>
            </w:r>
            <w:r>
              <w:t>.” p210</w:t>
            </w:r>
          </w:p>
          <w:p w14:paraId="5E65E2F6" w14:textId="77777777" w:rsidR="00DD377F" w:rsidRDefault="00DD377F" w:rsidP="001600C7">
            <w:pPr>
              <w:pStyle w:val="TableText"/>
            </w:pPr>
          </w:p>
          <w:p w14:paraId="46279769" w14:textId="2F3EF331" w:rsidR="00DD377F" w:rsidRDefault="00DD377F" w:rsidP="001600C7">
            <w:pPr>
              <w:pStyle w:val="TableText"/>
            </w:pPr>
            <w:r>
              <w:t>“Gas entering shallow groundwater wells may be a nuisance and can, exceptionally, be an explosion hazard if gas accumulates in poorly ventilated spaces. However, other than making groundwater unpalatable in some cases, no severe health impacts appear to have been recognized at this time…” p210</w:t>
            </w:r>
          </w:p>
          <w:p w14:paraId="5C69A581" w14:textId="0AC98B1D" w:rsidR="00DD377F" w:rsidRDefault="00DD377F" w:rsidP="001600C7">
            <w:pPr>
              <w:pStyle w:val="TableText"/>
            </w:pPr>
          </w:p>
        </w:tc>
      </w:tr>
      <w:tr w:rsidR="00DD377F" w14:paraId="32F8853B"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72C99772" w14:textId="77777777" w:rsidR="00DD377F" w:rsidRDefault="00DD377F" w:rsidP="001600C7">
            <w:pPr>
              <w:pStyle w:val="TableText"/>
            </w:pPr>
            <w:r>
              <w:t>W.4</w:t>
            </w:r>
          </w:p>
        </w:tc>
        <w:tc>
          <w:tcPr>
            <w:tcW w:w="0" w:type="auto"/>
          </w:tcPr>
          <w:p w14:paraId="3AC3EC6C" w14:textId="77777777" w:rsidR="00DD377F" w:rsidRDefault="00DD377F" w:rsidP="001600C7">
            <w:pPr>
              <w:pStyle w:val="TableText"/>
            </w:pPr>
            <w:r>
              <w:t>Migration along decommissioned / abandoned wells</w:t>
            </w:r>
          </w:p>
        </w:tc>
        <w:tc>
          <w:tcPr>
            <w:tcW w:w="0" w:type="auto"/>
          </w:tcPr>
          <w:p w14:paraId="0951B664" w14:textId="05EA5103" w:rsidR="00DD377F" w:rsidRDefault="00DD377F" w:rsidP="001600C7">
            <w:pPr>
              <w:pStyle w:val="TableText"/>
            </w:pPr>
            <w:r>
              <w:t>Likely</w:t>
            </w:r>
          </w:p>
        </w:tc>
        <w:tc>
          <w:tcPr>
            <w:tcW w:w="0" w:type="auto"/>
          </w:tcPr>
          <w:p w14:paraId="4AEEEA84" w14:textId="5A047DD6" w:rsidR="00DD377F" w:rsidRDefault="00DD377F" w:rsidP="001600C7">
            <w:pPr>
              <w:pStyle w:val="TableText"/>
            </w:pPr>
            <w:r>
              <w:t>“The most common, long-term well integrity issue after decommissioning is slow gas seepage around the external casing. Such leaks appear not to lead to a major public health threat because methane is not a toxic substance, the number of wells that display high-rate leaks is low, and the overall average leakage rates appear to be low.” p194</w:t>
            </w:r>
          </w:p>
          <w:p w14:paraId="3B8BA69A" w14:textId="77777777" w:rsidR="00DD377F" w:rsidRDefault="00DD377F" w:rsidP="001600C7">
            <w:pPr>
              <w:pStyle w:val="TableText"/>
            </w:pPr>
          </w:p>
          <w:p w14:paraId="19FFD9FB" w14:textId="582FFBF0" w:rsidR="00DD377F" w:rsidRDefault="00DD377F" w:rsidP="001600C7">
            <w:pPr>
              <w:pStyle w:val="TableText"/>
            </w:pPr>
            <w:r>
              <w:t>“However, the long-term behaviour of cemented wellbores remains of interest because the rates and consequences of gradual steel and cement deterioration at depth remain ill-defined.” p194</w:t>
            </w:r>
          </w:p>
          <w:p w14:paraId="1CAD2C25" w14:textId="77777777" w:rsidR="00DD377F" w:rsidRDefault="00DD377F" w:rsidP="001600C7">
            <w:pPr>
              <w:pStyle w:val="TableText"/>
            </w:pPr>
          </w:p>
          <w:p w14:paraId="3EEF7BDC" w14:textId="24B1E7AF" w:rsidR="00DD377F" w:rsidRDefault="00DD377F" w:rsidP="001600C7">
            <w:pPr>
              <w:pStyle w:val="TableText"/>
            </w:pPr>
            <w:r>
              <w:t>“The long-term integrity of wells at a time scale of many decades after decommissioning remains poorly understood; this is an area where further measurements, experiments, and monitoring efforts are needed to evaluate risk and establish means of addressing these risks if they are found to be significant.” p202</w:t>
            </w:r>
          </w:p>
          <w:p w14:paraId="31D8CA23" w14:textId="77777777" w:rsidR="00DD377F" w:rsidRDefault="00DD377F" w:rsidP="001600C7">
            <w:pPr>
              <w:pStyle w:val="TableText"/>
            </w:pPr>
          </w:p>
          <w:p w14:paraId="55BAAD6E" w14:textId="3420B7B8" w:rsidR="00DD377F" w:rsidRDefault="00DD377F" w:rsidP="001600C7">
            <w:pPr>
              <w:pStyle w:val="TableText"/>
            </w:pPr>
            <w:r>
              <w:t>“If there is any detectable SCVF, which occurs in perhaps 10-15 per cent of wellbores, or evidence of seepage or loss of pressure integrity between the intermediate string and the production string, remediation must be implemented to reduce such flows to negligible values before the well is sealed.” p211</w:t>
            </w:r>
          </w:p>
          <w:p w14:paraId="0BB0E907" w14:textId="77777777" w:rsidR="00DD377F" w:rsidRDefault="00DD377F" w:rsidP="001600C7">
            <w:pPr>
              <w:pStyle w:val="TableText"/>
            </w:pPr>
          </w:p>
          <w:p w14:paraId="2B7B7541" w14:textId="77777777" w:rsidR="00DD377F" w:rsidRDefault="00DD377F" w:rsidP="001600C7">
            <w:pPr>
              <w:pStyle w:val="TableText"/>
            </w:pPr>
            <w:r>
              <w:t xml:space="preserve">“Cement bond logs, temperature logs, and noise logs may be used to identify the source of the gas migration to guide the location of the perforating action, and the well will have to be monitored again for SCVF before decommissioning.  Several perf-and-squeeze episodes may be required to reduce seepage rates to mandated levels.” p211 </w:t>
            </w:r>
          </w:p>
          <w:p w14:paraId="46710F26" w14:textId="77777777" w:rsidR="00DD377F" w:rsidRDefault="00DD377F" w:rsidP="001600C7">
            <w:pPr>
              <w:pStyle w:val="TableText"/>
            </w:pPr>
          </w:p>
          <w:p w14:paraId="43289E5F" w14:textId="55C41ACE" w:rsidR="00DD377F" w:rsidRDefault="00DD377F" w:rsidP="001600C7">
            <w:pPr>
              <w:pStyle w:val="TableText"/>
            </w:pPr>
            <w:r>
              <w:t>“…more publicly available data on the efficacy of practices such as cement squeezing over time are needed.” p211</w:t>
            </w:r>
          </w:p>
          <w:p w14:paraId="1CFBBD80" w14:textId="51C5ABA3" w:rsidR="00DD377F" w:rsidRDefault="00DD377F" w:rsidP="001600C7">
            <w:pPr>
              <w:pStyle w:val="TableText"/>
            </w:pPr>
          </w:p>
          <w:p w14:paraId="27567C9C" w14:textId="5FB89841" w:rsidR="00DD377F" w:rsidRDefault="00DD377F" w:rsidP="001600C7">
            <w:pPr>
              <w:pStyle w:val="TableText"/>
            </w:pPr>
            <w:r>
              <w:t>“Gas migration issues must be fixed when noted, but based on many years of history in Alberta and elsewhere, there is no evidence of major environmental problems arising from the existence of these decommissioned wells at this time.” p212</w:t>
            </w:r>
          </w:p>
          <w:p w14:paraId="719A2550" w14:textId="5C5A0B43" w:rsidR="00DD377F" w:rsidRDefault="00DD377F" w:rsidP="001600C7">
            <w:pPr>
              <w:pStyle w:val="TableText"/>
            </w:pPr>
          </w:p>
          <w:p w14:paraId="200B7BF1" w14:textId="75DB40E0" w:rsidR="00DD377F" w:rsidRDefault="00DD377F" w:rsidP="001600C7">
            <w:pPr>
              <w:pStyle w:val="TableText"/>
            </w:pPr>
            <w:r>
              <w:t>“There is evidence that the development of slow gas migration can take place years after decommissioning if a buoyant gas column gradually develops behind the casing.” p212</w:t>
            </w:r>
          </w:p>
          <w:p w14:paraId="75B28A15" w14:textId="77777777" w:rsidR="00DD377F" w:rsidRDefault="00DD377F" w:rsidP="001600C7">
            <w:pPr>
              <w:pStyle w:val="TableText"/>
            </w:pPr>
          </w:p>
          <w:p w14:paraId="056F01C1" w14:textId="5AB2A320" w:rsidR="00DD377F" w:rsidRDefault="00DD377F" w:rsidP="001600C7">
            <w:pPr>
              <w:pStyle w:val="TableText"/>
            </w:pPr>
            <w:r>
              <w:t>“Liquid seepage is far less probable because liquids are not buoyant.” p213</w:t>
            </w:r>
          </w:p>
          <w:p w14:paraId="7AC6D88F" w14:textId="1248329F" w:rsidR="00DD377F" w:rsidRDefault="00DD377F" w:rsidP="001600C7">
            <w:pPr>
              <w:pStyle w:val="TableText"/>
            </w:pPr>
          </w:p>
          <w:p w14:paraId="76CAC8B0" w14:textId="48C8B4A4" w:rsidR="00DD377F" w:rsidRDefault="00DD377F" w:rsidP="001600C7">
            <w:pPr>
              <w:pStyle w:val="TableText"/>
            </w:pPr>
            <w:r>
              <w:t>“…if gas migration is detectable at the surface, there is a high probability, almost a certainty, that some gas is also entering into shallow sandy aquifers behind the surface casing.” p212</w:t>
            </w:r>
          </w:p>
          <w:p w14:paraId="3B36C18F" w14:textId="12465055" w:rsidR="00DD377F" w:rsidRDefault="00DD377F" w:rsidP="001600C7">
            <w:pPr>
              <w:pStyle w:val="TableText"/>
            </w:pPr>
          </w:p>
          <w:p w14:paraId="2E847E1C" w14:textId="4966732F" w:rsidR="00DD377F" w:rsidRDefault="00DD377F" w:rsidP="001600C7">
            <w:pPr>
              <w:pStyle w:val="TableText"/>
            </w:pPr>
            <w:r>
              <w:t>“Modern well cementation practices are barely 60 years old, and the lifespan of steel in the ground, perhaps subjected to electro-chemical corrosion (the steel is a good electrode), is not known, nor is it known if gas migration pathways could develop once the casing has corroded and is breached in many places. The products of steel corrosion and cement degradation are solid materials, so energy well deterioration over many decades or centuries will not lead to wide open channels to the surface, but there is a possibility, perhaps small, that additional pathways for slow gas seepage could develop.” p213</w:t>
            </w:r>
          </w:p>
          <w:p w14:paraId="19C90337" w14:textId="55F86B8E" w:rsidR="00DD377F" w:rsidRDefault="00DD377F" w:rsidP="001600C7">
            <w:pPr>
              <w:pStyle w:val="TableText"/>
            </w:pPr>
          </w:p>
          <w:p w14:paraId="36431C39" w14:textId="508D7E76" w:rsidR="00DD377F" w:rsidRDefault="00DD377F" w:rsidP="001600C7">
            <w:pPr>
              <w:pStyle w:val="TableText"/>
            </w:pPr>
            <w:r>
              <w:t>“The most important integrity problem, after wellbore decommissioning, appears to be gas seepage along the outside of casing.” p213</w:t>
            </w:r>
          </w:p>
          <w:p w14:paraId="0BFA47E0" w14:textId="1A869FF5" w:rsidR="00DD377F" w:rsidRDefault="00DD377F" w:rsidP="001600C7">
            <w:pPr>
              <w:pStyle w:val="TableText"/>
            </w:pPr>
          </w:p>
          <w:p w14:paraId="39B33B7E" w14:textId="5CC17DAE" w:rsidR="00DD377F" w:rsidRDefault="00DD377F" w:rsidP="001600C7">
            <w:pPr>
              <w:pStyle w:val="TableText"/>
            </w:pPr>
            <w:r>
              <w:t>“Probably from 1 to 10 per cent of energy wells may be slowly leaking natural gas, most likely sourced from intermediate depth uncommercial gas zones, and such leaks are difficult to detect if they have little or no surface expression.” p214</w:t>
            </w:r>
          </w:p>
          <w:p w14:paraId="11DE21A9" w14:textId="6D41AF3B" w:rsidR="00DD377F" w:rsidRDefault="00DD377F" w:rsidP="001600C7">
            <w:pPr>
              <w:pStyle w:val="TableText"/>
            </w:pPr>
          </w:p>
          <w:p w14:paraId="0BEC66E5" w14:textId="2B0B7308" w:rsidR="00DD377F" w:rsidRDefault="00DD377F" w:rsidP="001600C7">
            <w:pPr>
              <w:pStyle w:val="TableText"/>
            </w:pPr>
            <w:r>
              <w:t>“Suppose that 10% (a high estimate) of the approximately 175,000 decommissioned and suspended energy wells in Alberta are slowly seeping methane at a mean rate of 500 kg/yr (this is a very high estimate); this gives about 9,000 tCH</w:t>
            </w:r>
            <w:r w:rsidRPr="006F16AA">
              <w:rPr>
                <w:vertAlign w:val="subscript"/>
              </w:rPr>
              <w:t>4</w:t>
            </w:r>
            <w:r>
              <w:t>/yr, similar to the cattle herd emissions in Nova Scotia and about a third of the CH</w:t>
            </w:r>
            <w:r w:rsidRPr="006F16AA">
              <w:rPr>
                <w:vertAlign w:val="subscript"/>
              </w:rPr>
              <w:t>4</w:t>
            </w:r>
            <w:r>
              <w:t xml:space="preserve"> equivalent of the Lingan plant.” p214</w:t>
            </w:r>
          </w:p>
          <w:p w14:paraId="1ECED4ED" w14:textId="4B78EBDD" w:rsidR="00DD377F" w:rsidRDefault="00DD377F" w:rsidP="001600C7">
            <w:pPr>
              <w:pStyle w:val="TableText"/>
            </w:pPr>
            <w:r>
              <w:t xml:space="preserve"> </w:t>
            </w:r>
          </w:p>
        </w:tc>
      </w:tr>
      <w:tr w:rsidR="00DD377F" w14:paraId="1348465C"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031BF3E4" w14:textId="77777777" w:rsidR="00DD377F" w:rsidRDefault="00DD377F" w:rsidP="001600C7">
            <w:pPr>
              <w:pStyle w:val="TableText"/>
            </w:pPr>
            <w:r>
              <w:t>W.5</w:t>
            </w:r>
          </w:p>
        </w:tc>
        <w:tc>
          <w:tcPr>
            <w:tcW w:w="0" w:type="auto"/>
          </w:tcPr>
          <w:p w14:paraId="626821EE" w14:textId="77777777" w:rsidR="00DD377F" w:rsidRDefault="00DD377F" w:rsidP="001600C7">
            <w:pPr>
              <w:pStyle w:val="TableText"/>
            </w:pPr>
            <w:r>
              <w:t>Loss of well control</w:t>
            </w:r>
          </w:p>
        </w:tc>
        <w:tc>
          <w:tcPr>
            <w:tcW w:w="0" w:type="auto"/>
          </w:tcPr>
          <w:p w14:paraId="4FEA98D4" w14:textId="0C61573F" w:rsidR="00DD377F" w:rsidRDefault="00DD377F" w:rsidP="001600C7">
            <w:pPr>
              <w:pStyle w:val="TableText"/>
            </w:pPr>
            <w:r>
              <w:t>Rare</w:t>
            </w:r>
          </w:p>
        </w:tc>
        <w:tc>
          <w:tcPr>
            <w:tcW w:w="0" w:type="auto"/>
          </w:tcPr>
          <w:p w14:paraId="75F5E709" w14:textId="07F93CBD" w:rsidR="00DD377F" w:rsidRDefault="00DD377F" w:rsidP="001600C7">
            <w:pPr>
              <w:pStyle w:val="TableText"/>
            </w:pPr>
            <w:r>
              <w:t>“…standard well designs and safety measures would be sufficient to address the small risk of a blowout if overpressures are absent.” p199</w:t>
            </w:r>
          </w:p>
        </w:tc>
      </w:tr>
      <w:bookmarkEnd w:id="98"/>
    </w:tbl>
    <w:p w14:paraId="34F09B5E" w14:textId="77777777" w:rsidR="0056331B" w:rsidRDefault="0056331B" w:rsidP="00985B69">
      <w:pPr>
        <w:pStyle w:val="BodyText"/>
      </w:pPr>
      <w:r>
        <w:br w:type="page"/>
      </w:r>
    </w:p>
    <w:p w14:paraId="6B65B4D4" w14:textId="0D2F6295" w:rsidR="0056331B" w:rsidRDefault="0056331B" w:rsidP="0056331B">
      <w:pPr>
        <w:pStyle w:val="Heading5notnumbered"/>
      </w:pPr>
      <w:r>
        <w:t>References contained within</w:t>
      </w:r>
      <w:r w:rsidRPr="002F7982">
        <w:t xml:space="preserve"> </w:t>
      </w:r>
      <w:r>
        <w:fldChar w:fldCharType="begin"/>
      </w:r>
      <w:r>
        <w:instrText xml:space="preserve"> REF _Ref14700264 \h  \* MERGEFORMAT </w:instrText>
      </w:r>
      <w:r>
        <w:fldChar w:fldCharType="separate"/>
      </w:r>
      <w:r w:rsidR="00073927">
        <w:t xml:space="preserve">Table </w:t>
      </w:r>
      <w:r w:rsidR="00073927">
        <w:rPr>
          <w:noProof/>
        </w:rPr>
        <w:t>12</w:t>
      </w:r>
      <w:r w:rsidR="00073927">
        <w:t xml:space="preserve"> </w:t>
      </w:r>
      <w:r w:rsidR="00073927" w:rsidRPr="002767AB">
        <w:t xml:space="preserve">Excerpts from </w:t>
      </w:r>
      <w:r w:rsidR="00073927" w:rsidRPr="00DA78F7">
        <w:t xml:space="preserve">Atherton et al. </w:t>
      </w:r>
      <w:r w:rsidR="00073927">
        <w:t>(</w:t>
      </w:r>
      <w:r w:rsidR="00073927" w:rsidRPr="00DA78F7">
        <w:t>2014)</w:t>
      </w:r>
      <w:r w:rsidR="00073927" w:rsidRPr="002767AB">
        <w:t xml:space="preserve"> related to each impact mode</w:t>
      </w:r>
      <w:r>
        <w:fldChar w:fldCharType="end"/>
      </w:r>
    </w:p>
    <w:p w14:paraId="5DADCBB2" w14:textId="6DE5A726" w:rsidR="0056331B" w:rsidRDefault="0056331B" w:rsidP="00464065">
      <w:pPr>
        <w:pStyle w:val="References"/>
      </w:pPr>
      <w:r>
        <w:t xml:space="preserve">AER. (2013). Directive 83: Hydraulic Fracturing – Subsurface Integrity. </w:t>
      </w:r>
      <w:r w:rsidR="007A779F">
        <w:t>Viewed 22 July 2019</w:t>
      </w:r>
      <w:r>
        <w:t xml:space="preserve"> </w:t>
      </w:r>
      <w:hyperlink r:id="rId47" w:history="1">
        <w:r w:rsidR="007A779F" w:rsidRPr="00464065">
          <w:rPr>
            <w:rStyle w:val="Hyperlink"/>
          </w:rPr>
          <w:t>https://www.aer.ca/documents/directives/Directive083.pdf</w:t>
        </w:r>
      </w:hyperlink>
      <w:r w:rsidR="007A779F">
        <w:t xml:space="preserve"> </w:t>
      </w:r>
    </w:p>
    <w:p w14:paraId="0BC058D4" w14:textId="1E4A3F6A" w:rsidR="009A75B9" w:rsidRDefault="009A75B9" w:rsidP="00464065">
      <w:pPr>
        <w:pStyle w:val="References"/>
      </w:pPr>
      <w:r w:rsidRPr="006D5E5C">
        <w:t>Atherton, F., Bradfield, M., Christmas, K., Dalton, S., Dusseault, M., Gagnon, G., Hayes, B., MacIntosh, C., Mauro, I., Ritcey, R. and Wheeler, D. (2014) Report of the Nova Scotia Independent Review Panel on Hydraulic Fracturing.</w:t>
      </w:r>
      <w:r>
        <w:t xml:space="preserve"> </w:t>
      </w:r>
      <w:r w:rsidRPr="006D5E5C">
        <w:t xml:space="preserve">Viewed </w:t>
      </w:r>
      <w:r>
        <w:t>20</w:t>
      </w:r>
      <w:r w:rsidRPr="006D5E5C">
        <w:t xml:space="preserve"> August 201</w:t>
      </w:r>
      <w:r>
        <w:t>8</w:t>
      </w:r>
      <w:r w:rsidRPr="006D5E5C">
        <w:t xml:space="preserve">, </w:t>
      </w:r>
      <w:hyperlink r:id="rId48" w:history="1">
        <w:r w:rsidRPr="00464065">
          <w:rPr>
            <w:rStyle w:val="Hyperlink"/>
          </w:rPr>
          <w:t>http://verschurencentre.ca/report-of-the-nova-scotia-independent-panel-on-hydraulic-fracturing/</w:t>
        </w:r>
      </w:hyperlink>
    </w:p>
    <w:p w14:paraId="2BACC9C1" w14:textId="77777777" w:rsidR="0056331B" w:rsidRDefault="0056331B" w:rsidP="00464065">
      <w:pPr>
        <w:pStyle w:val="References"/>
      </w:pPr>
      <w:r>
        <w:t>Council of Canadian Academies. (2014). Environmental Impacts of Shale Gas Extraction in Canada. Ottawa (ON): Council of Canadian Academies.</w:t>
      </w:r>
    </w:p>
    <w:p w14:paraId="1EC4C975" w14:textId="77777777" w:rsidR="0056331B" w:rsidRDefault="0056331B" w:rsidP="00464065">
      <w:pPr>
        <w:pStyle w:val="References"/>
      </w:pPr>
      <w:r>
        <w:t>Dusseault, M. B., Jackson, R. E., &amp; MacDonald, D. (2014). Towards a Road Map for Mitigating the Rates and Occurrences of Long-Term Wellbore Leakage. Geofirma, 1–69.</w:t>
      </w:r>
    </w:p>
    <w:p w14:paraId="7E7146E5" w14:textId="7782B836" w:rsidR="0056331B" w:rsidRDefault="0056331B" w:rsidP="00464065">
      <w:pPr>
        <w:pStyle w:val="References"/>
      </w:pPr>
      <w:r>
        <w:t xml:space="preserve">Dusseault, M, Gray, M., &amp; Nawrocki, P. (2000). Why oilwells leak: cement behavior and long-term consequences. In SPE Oil and Gas Conference and Exhibition (Vol. November). Beijing, China. </w:t>
      </w:r>
    </w:p>
    <w:p w14:paraId="5AB9C4A3" w14:textId="508D4D65" w:rsidR="0056331B" w:rsidRDefault="0056331B" w:rsidP="00464065">
      <w:pPr>
        <w:pStyle w:val="References"/>
      </w:pPr>
      <w:r>
        <w:t xml:space="preserve">Dusseault, Maurice, &amp; Jackson, R. (2014). Seepage pathway assessment for natural gas to shallow groundwater during well stimulation, in production, and after abandonment. Environmental Geosciences, 21(3), 107–126. </w:t>
      </w:r>
    </w:p>
    <w:p w14:paraId="23B98E63" w14:textId="216F7A7C" w:rsidR="0056331B" w:rsidRDefault="0056331B" w:rsidP="00464065">
      <w:pPr>
        <w:pStyle w:val="References"/>
      </w:pPr>
      <w:r>
        <w:t xml:space="preserve">Energy </w:t>
      </w:r>
      <w:r w:rsidR="00BC68CE">
        <w:t>Resources</w:t>
      </w:r>
      <w:r>
        <w:t xml:space="preserve"> Conservation Board. (2012). ERCB Investigation Report, Red Deer Field Centre: Midway Energy Ltd. Hydraulic Fracturing Incident: Interwellbore Communication. </w:t>
      </w:r>
      <w:r w:rsidR="009A75B9">
        <w:t xml:space="preserve">Viewed 27 July 2018 </w:t>
      </w:r>
      <w:hyperlink r:id="rId49" w:history="1">
        <w:r w:rsidR="009A75B9" w:rsidRPr="00464065">
          <w:rPr>
            <w:rStyle w:val="Hyperlink"/>
          </w:rPr>
          <w:t>http://www.aer.ca/data-and-publications/publications/ongoing-investigations</w:t>
        </w:r>
      </w:hyperlink>
      <w:r w:rsidR="009A75B9">
        <w:t xml:space="preserve"> </w:t>
      </w:r>
    </w:p>
    <w:p w14:paraId="20983865" w14:textId="77777777" w:rsidR="0056331B" w:rsidRDefault="0056331B" w:rsidP="00464065">
      <w:pPr>
        <w:pStyle w:val="References"/>
      </w:pPr>
      <w:r>
        <w:t>Erno, B., &amp; Schmitz, R. (1996). Measurements of soil gas migration around oil and gas wells in the Lloydminster area. Journal of Canadian Petroleum Technology, 35(7), 37–46.</w:t>
      </w:r>
    </w:p>
    <w:p w14:paraId="0AB838A9" w14:textId="71CD07DC" w:rsidR="0056331B" w:rsidRDefault="0056331B" w:rsidP="00464065">
      <w:pPr>
        <w:pStyle w:val="References"/>
      </w:pPr>
      <w:r>
        <w:t>Fisher, K., &amp; Warpinski, N. (2012). Hydraulic-Fracture-Height Growth: Real Data. SPE Production &amp; Operations, (February).</w:t>
      </w:r>
    </w:p>
    <w:p w14:paraId="58626730" w14:textId="64FD5630" w:rsidR="0056331B" w:rsidRDefault="0056331B" w:rsidP="00464065">
      <w:pPr>
        <w:pStyle w:val="References"/>
      </w:pPr>
      <w:r>
        <w:t xml:space="preserve">Flewelling, S. A., &amp; Sharma, M. (2014). Constraints on upward migration of hydraulic fracturing fluid and brine. Groundwater, 52(1), 9–19. </w:t>
      </w:r>
    </w:p>
    <w:p w14:paraId="521D7454" w14:textId="4B17AEC4" w:rsidR="0056331B" w:rsidRDefault="0056331B" w:rsidP="00464065">
      <w:pPr>
        <w:pStyle w:val="References"/>
      </w:pPr>
      <w:r>
        <w:t xml:space="preserve">Goldstein, B. D., Brooks, B. W., Cohen, S. D., Gates, A. E., Honeycutt, M. E., Morris, J. B., … Snawder, J. (2014). The role of toxicological science in meeting the challenges and opportunities of hydraulic fracturing. Toxicological Sciences, 139(2), 271–283. </w:t>
      </w:r>
    </w:p>
    <w:p w14:paraId="4F0496D4" w14:textId="31A718E0" w:rsidR="0056331B" w:rsidRDefault="0056331B" w:rsidP="00464065">
      <w:pPr>
        <w:pStyle w:val="References"/>
      </w:pPr>
      <w:r>
        <w:t xml:space="preserve">King, G. (2012). Hydraulic Fracturing 101: What Every Representative, Environmentalist, Regulator, Reporter, Investor, University Researcher, Neighbor and Engineer Should Know. SPE Hydraulic Fracturing Technology Conference, 1–80. </w:t>
      </w:r>
    </w:p>
    <w:p w14:paraId="7E1B1476" w14:textId="3F75F033" w:rsidR="0056331B" w:rsidRDefault="0056331B" w:rsidP="00464065">
      <w:pPr>
        <w:pStyle w:val="References"/>
      </w:pPr>
      <w:r>
        <w:t xml:space="preserve">Myers, T. (2012). Potential contaminant pathways from hydraulically fractured shale to aquifers. Ground Water, 50(6), 872–882. </w:t>
      </w:r>
    </w:p>
    <w:p w14:paraId="6FECDDB6" w14:textId="39EB7479" w:rsidR="0056331B" w:rsidRDefault="0056331B" w:rsidP="00464065">
      <w:pPr>
        <w:pStyle w:val="References"/>
      </w:pPr>
      <w:r>
        <w:t xml:space="preserve">Osborn, S. G., Vengosh, A., Warner, N. R., &amp; Jackson, R. B. (2011). Methane contamination of drinking water accompanying gas-well drilling and hydraulic fracturing. Proceedings of the National Academy of Sciences, 108(20), 8172–8176. </w:t>
      </w:r>
    </w:p>
    <w:p w14:paraId="6D029037" w14:textId="63CF3EBB" w:rsidR="0056331B" w:rsidRDefault="0056331B" w:rsidP="00464065">
      <w:pPr>
        <w:pStyle w:val="References"/>
      </w:pPr>
      <w:r>
        <w:t>Watson, T., &amp; Bachu, S. (2009). Evaluation of the Potential for Gas and CO2 Leakage along Wellbores. SPE Drilling &amp; Completion, (March), 115–126.</w:t>
      </w:r>
    </w:p>
    <w:p w14:paraId="2A152F31" w14:textId="77777777" w:rsidR="0056331B" w:rsidRDefault="0056331B" w:rsidP="00985B69">
      <w:pPr>
        <w:pStyle w:val="BodyText"/>
      </w:pPr>
    </w:p>
    <w:p w14:paraId="1DB9B0A4" w14:textId="223D7098" w:rsidR="00131A46" w:rsidRDefault="00131A46" w:rsidP="00985B69">
      <w:pPr>
        <w:pStyle w:val="BodyText"/>
      </w:pPr>
      <w:r>
        <w:br w:type="page"/>
      </w:r>
    </w:p>
    <w:p w14:paraId="1FE8EA86" w14:textId="48852366" w:rsidR="00131A46" w:rsidRPr="005A442F" w:rsidRDefault="00273D75" w:rsidP="00E10706">
      <w:pPr>
        <w:pStyle w:val="Heading3"/>
        <w:rPr>
          <w:i w:val="0"/>
        </w:rPr>
      </w:pPr>
      <w:bookmarkStart w:id="99" w:name="_Toc5272819"/>
      <w:bookmarkStart w:id="100" w:name="_Toc36042864"/>
      <w:bookmarkStart w:id="101" w:name="_Ref528836995"/>
      <w:r w:rsidRPr="005A442F">
        <w:rPr>
          <w:i w:val="0"/>
        </w:rPr>
        <w:t>Qualitative review of the findings from</w:t>
      </w:r>
      <w:r w:rsidR="00454DB2" w:rsidRPr="005A442F">
        <w:rPr>
          <w:i w:val="0"/>
        </w:rPr>
        <w:t xml:space="preserve">: </w:t>
      </w:r>
      <w:r w:rsidR="00454DB2" w:rsidRPr="00220117">
        <w:t>Final</w:t>
      </w:r>
      <w:r w:rsidR="008C4B5A" w:rsidRPr="00220117">
        <w:t xml:space="preserve"> </w:t>
      </w:r>
      <w:r w:rsidR="00220117">
        <w:t>r</w:t>
      </w:r>
      <w:r w:rsidR="008C4B5A" w:rsidRPr="00220117">
        <w:t xml:space="preserve">eport of the </w:t>
      </w:r>
      <w:r w:rsidR="00220117">
        <w:t>s</w:t>
      </w:r>
      <w:r w:rsidR="008C4B5A" w:rsidRPr="00220117">
        <w:t xml:space="preserve">cientific </w:t>
      </w:r>
      <w:r w:rsidR="00220117">
        <w:t>i</w:t>
      </w:r>
      <w:r w:rsidR="008C4B5A" w:rsidRPr="00220117">
        <w:t xml:space="preserve">nquiry into </w:t>
      </w:r>
      <w:r w:rsidR="00220117">
        <w:t>h</w:t>
      </w:r>
      <w:r w:rsidR="008C4B5A" w:rsidRPr="00220117">
        <w:t xml:space="preserve">ydraulic </w:t>
      </w:r>
      <w:r w:rsidR="00220117">
        <w:t>f</w:t>
      </w:r>
      <w:r w:rsidR="008C4B5A" w:rsidRPr="00220117">
        <w:t>racturing in the Northern Territory</w:t>
      </w:r>
      <w:r w:rsidR="00131A46" w:rsidRPr="005A442F">
        <w:rPr>
          <w:i w:val="0"/>
        </w:rPr>
        <w:t xml:space="preserve"> </w:t>
      </w:r>
      <w:r w:rsidR="008C4B5A" w:rsidRPr="005A442F">
        <w:rPr>
          <w:i w:val="0"/>
        </w:rPr>
        <w:fldChar w:fldCharType="begin" w:fldLock="1"/>
      </w:r>
      <w:r w:rsidR="009517F2" w:rsidRPr="005A442F">
        <w:rPr>
          <w:i w:val="0"/>
        </w:rPr>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008C4B5A" w:rsidRPr="005A442F">
        <w:rPr>
          <w:i w:val="0"/>
        </w:rPr>
        <w:fldChar w:fldCharType="separate"/>
      </w:r>
      <w:r w:rsidR="008C4B5A" w:rsidRPr="005A442F">
        <w:rPr>
          <w:i w:val="0"/>
          <w:noProof/>
        </w:rPr>
        <w:t>(Pepper et al., 2018)</w:t>
      </w:r>
      <w:bookmarkEnd w:id="99"/>
      <w:bookmarkEnd w:id="100"/>
      <w:r w:rsidR="008C4B5A" w:rsidRPr="005A442F">
        <w:rPr>
          <w:i w:val="0"/>
        </w:rPr>
        <w:fldChar w:fldCharType="end"/>
      </w:r>
      <w:bookmarkEnd w:id="101"/>
    </w:p>
    <w:p w14:paraId="485A3720" w14:textId="526D5174" w:rsidR="00986CB4" w:rsidRDefault="00986CB4" w:rsidP="00B65D6D">
      <w:pPr>
        <w:pStyle w:val="Heading4notnumbered"/>
      </w:pPr>
      <w:r>
        <w:t>Background and scope</w:t>
      </w:r>
    </w:p>
    <w:p w14:paraId="5FB8F761" w14:textId="00412053" w:rsidR="00A02512" w:rsidRDefault="00183406" w:rsidP="00183406">
      <w:pPr>
        <w:pStyle w:val="BodyText"/>
      </w:pPr>
      <w:r>
        <w:t xml:space="preserve">Inquire into the impacts and risks associated with hydraulic fracturing in the </w:t>
      </w:r>
      <w:r w:rsidR="00220117">
        <w:t>NT</w:t>
      </w:r>
      <w:r>
        <w:t xml:space="preserve"> </w:t>
      </w:r>
    </w:p>
    <w:p w14:paraId="2D208A7B" w14:textId="5A4B86B5" w:rsidR="00A02512" w:rsidRDefault="00A02512" w:rsidP="00A02512">
      <w:pPr>
        <w:pStyle w:val="BodyText"/>
      </w:pPr>
      <w:r>
        <w:t>To assess and determine:</w:t>
      </w:r>
    </w:p>
    <w:p w14:paraId="11730B85" w14:textId="2FFD55A5" w:rsidR="00A02512" w:rsidRDefault="00A02512" w:rsidP="00FA3C6A">
      <w:pPr>
        <w:pStyle w:val="ListBullet"/>
      </w:pPr>
      <w:r>
        <w:t>the nature and extent of the risks associated with hydraulic fracturing of onshore unconventional shale gas reservoirs and its associated activities on the environmental (aquatic, terrestrial and atmospheric), social, cultural and economic conditions of the NT;</w:t>
      </w:r>
    </w:p>
    <w:p w14:paraId="058D987B" w14:textId="24CB5CF5" w:rsidR="00A02512" w:rsidRDefault="00A02512" w:rsidP="00FA3C6A">
      <w:pPr>
        <w:pStyle w:val="ListBullet"/>
      </w:pPr>
      <w:r>
        <w:t>whether these risks can be mitigated to an acceptable level;</w:t>
      </w:r>
    </w:p>
    <w:p w14:paraId="241F62C7" w14:textId="28B9D775" w:rsidR="00A02512" w:rsidRDefault="00A02512" w:rsidP="00FA3C6A">
      <w:pPr>
        <w:pStyle w:val="ListBullet"/>
      </w:pPr>
      <w:r>
        <w:t>if they can, by what methodology or methodologies can these risks be mitigated; and</w:t>
      </w:r>
    </w:p>
    <w:p w14:paraId="46DAB56B" w14:textId="7C8B5CAC" w:rsidR="00183406" w:rsidRPr="00183406" w:rsidRDefault="00A02512" w:rsidP="00FA3C6A">
      <w:pPr>
        <w:pStyle w:val="ListBullet"/>
      </w:pPr>
      <w:r>
        <w:t>whether the existing regulatory framework is sufficient to implement these methodologies, and if not, what changes need to be made.</w:t>
      </w:r>
    </w:p>
    <w:p w14:paraId="480197EC" w14:textId="6853F14F" w:rsidR="00986CB4" w:rsidRDefault="00986CB4" w:rsidP="00B65D6D">
      <w:pPr>
        <w:pStyle w:val="Heading4notnumbered"/>
      </w:pPr>
      <w:r>
        <w:t>Study area</w:t>
      </w:r>
    </w:p>
    <w:p w14:paraId="775D4B19" w14:textId="6A61FC22" w:rsidR="008C25D0" w:rsidRPr="008C25D0" w:rsidRDefault="008C25D0" w:rsidP="008C25D0">
      <w:pPr>
        <w:pStyle w:val="BodyText"/>
      </w:pPr>
      <w:r>
        <w:t>N</w:t>
      </w:r>
      <w:r w:rsidR="00220117">
        <w:t>T</w:t>
      </w:r>
      <w:r>
        <w:t>, Australia</w:t>
      </w:r>
    </w:p>
    <w:p w14:paraId="002E15A6" w14:textId="767EC633" w:rsidR="00986CB4" w:rsidRDefault="00986CB4" w:rsidP="00B65D6D">
      <w:pPr>
        <w:pStyle w:val="Heading4notnumbered"/>
      </w:pPr>
      <w:r>
        <w:t>Authors</w:t>
      </w:r>
    </w:p>
    <w:p w14:paraId="78869640" w14:textId="2013732C" w:rsidR="006A67DF" w:rsidRPr="006A67DF" w:rsidRDefault="006A67DF" w:rsidP="006A67DF">
      <w:pPr>
        <w:pStyle w:val="BodyText"/>
      </w:pPr>
      <w:r w:rsidRPr="006A67DF">
        <w:t>Justice Rachel Pepper</w:t>
      </w:r>
      <w:r>
        <w:t xml:space="preserve">, </w:t>
      </w:r>
      <w:r w:rsidRPr="006A67DF">
        <w:t>Alan Andersen</w:t>
      </w:r>
      <w:r>
        <w:t xml:space="preserve">, </w:t>
      </w:r>
      <w:r w:rsidRPr="006A67DF">
        <w:t>Peta Ashworth</w:t>
      </w:r>
      <w:r>
        <w:t xml:space="preserve">, </w:t>
      </w:r>
      <w:r w:rsidRPr="006A67DF">
        <w:t>Vaughan Beck</w:t>
      </w:r>
      <w:r w:rsidR="00DE0F72">
        <w:t xml:space="preserve">, </w:t>
      </w:r>
      <w:r w:rsidR="00DE0F72" w:rsidRPr="00DE0F72">
        <w:t>Barry Hart</w:t>
      </w:r>
      <w:r w:rsidR="00DE0F72">
        <w:t xml:space="preserve">, </w:t>
      </w:r>
      <w:r w:rsidR="00DE0F72" w:rsidRPr="00DE0F72">
        <w:t>David Jones</w:t>
      </w:r>
      <w:r w:rsidR="00DE0F72">
        <w:t xml:space="preserve">, </w:t>
      </w:r>
      <w:r w:rsidR="00DE0F72" w:rsidRPr="00DE0F72">
        <w:t>Brian Priestly</w:t>
      </w:r>
      <w:r w:rsidR="00DE0F72">
        <w:t xml:space="preserve">, </w:t>
      </w:r>
      <w:r w:rsidR="00DE0F72" w:rsidRPr="00DE0F72">
        <w:t>David Ritchie</w:t>
      </w:r>
      <w:r w:rsidR="00DE0F72">
        <w:t xml:space="preserve">, </w:t>
      </w:r>
      <w:r w:rsidR="00DE0F72" w:rsidRPr="00DE0F72">
        <w:t>Ross Smith</w:t>
      </w:r>
    </w:p>
    <w:p w14:paraId="5815A9E6" w14:textId="77777777" w:rsidR="00F2214A" w:rsidRPr="00822417" w:rsidRDefault="00F2214A" w:rsidP="00F2214A">
      <w:pPr>
        <w:pStyle w:val="Heading4notnumbered"/>
      </w:pPr>
      <w:r>
        <w:t xml:space="preserve">Key findings </w:t>
      </w:r>
    </w:p>
    <w:p w14:paraId="4579E4AE" w14:textId="43EA41AE" w:rsidR="00131A46" w:rsidRPr="005A442F" w:rsidRDefault="006C522D" w:rsidP="006C522D">
      <w:pPr>
        <w:pStyle w:val="BodyText"/>
      </w:pPr>
      <w:r w:rsidRPr="005A442F">
        <w:t xml:space="preserve">It is the Panel’s opinion that, provided that all of the recommendations made in this </w:t>
      </w:r>
      <w:r w:rsidR="00400022">
        <w:t>r</w:t>
      </w:r>
      <w:r w:rsidRPr="005A442F">
        <w:t>eport are adopted and implemented in their entirety, not only should the risks associated with an onshore shale gas industry be minimised to an acceptable level, in some instances, they can be avoided altogether.</w:t>
      </w:r>
    </w:p>
    <w:p w14:paraId="2E186840"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4642B554" w14:textId="060210F2" w:rsidR="00D25160" w:rsidRPr="00D25160" w:rsidRDefault="00D25160" w:rsidP="00FA3C6A">
      <w:pPr>
        <w:pStyle w:val="BodyText"/>
      </w:pPr>
      <w:r>
        <w:t xml:space="preserve">A qualitative review of the findings from </w:t>
      </w:r>
      <w:r w:rsidRPr="00CF5AA9">
        <w:t xml:space="preserve">Pepper et al. </w:t>
      </w:r>
      <w:r>
        <w:t>(</w:t>
      </w:r>
      <w:r w:rsidRPr="00CF5AA9">
        <w:t>2018)</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_Ref14708059 \h </w:instrText>
      </w:r>
      <w:r w:rsidR="005A442F" w:rsidRPr="005A442F">
        <w:instrText xml:space="preserve"> \* MERGEFORMAT </w:instrText>
      </w:r>
      <w:r w:rsidRPr="005A442F">
        <w:fldChar w:fldCharType="separate"/>
      </w:r>
      <w:r w:rsidR="00073927">
        <w:t xml:space="preserve">Table </w:t>
      </w:r>
      <w:r w:rsidR="00073927">
        <w:rPr>
          <w:noProof/>
        </w:rPr>
        <w:t>13</w:t>
      </w:r>
      <w:r w:rsidRPr="005A442F">
        <w:fldChar w:fldCharType="end"/>
      </w:r>
      <w:r>
        <w:t>.</w:t>
      </w:r>
    </w:p>
    <w:p w14:paraId="65996B5B" w14:textId="56129E6F" w:rsidR="00CF5AA9" w:rsidRDefault="00CF5AA9" w:rsidP="00FA3C6A">
      <w:pPr>
        <w:pStyle w:val="Caption"/>
        <w:keepLines/>
      </w:pPr>
      <w:bookmarkStart w:id="102" w:name="_Ref14708059"/>
      <w:bookmarkStart w:id="103" w:name="_Toc36042896"/>
      <w:r>
        <w:t xml:space="preserve">Table </w:t>
      </w:r>
      <w:r>
        <w:fldChar w:fldCharType="begin"/>
      </w:r>
      <w:r>
        <w:instrText>SEQ Table \* ARABIC</w:instrText>
      </w:r>
      <w:r>
        <w:fldChar w:fldCharType="separate"/>
      </w:r>
      <w:r w:rsidR="00073927">
        <w:rPr>
          <w:noProof/>
        </w:rPr>
        <w:t>13</w:t>
      </w:r>
      <w:r>
        <w:fldChar w:fldCharType="end"/>
      </w:r>
      <w:bookmarkEnd w:id="102"/>
      <w:r>
        <w:t xml:space="preserve"> </w:t>
      </w:r>
      <w:r w:rsidRPr="009634AD">
        <w:t xml:space="preserve">Excerpts from </w:t>
      </w:r>
      <w:r w:rsidRPr="00CF5AA9">
        <w:t xml:space="preserve">Pepper et al. </w:t>
      </w:r>
      <w:r>
        <w:t>(</w:t>
      </w:r>
      <w:r w:rsidRPr="00CF5AA9">
        <w:t>2018)</w:t>
      </w:r>
      <w:r>
        <w:t xml:space="preserve"> </w:t>
      </w:r>
      <w:r w:rsidRPr="009634AD">
        <w:t>related to each impact mode</w:t>
      </w:r>
      <w:bookmarkEnd w:id="103"/>
    </w:p>
    <w:tbl>
      <w:tblPr>
        <w:tblStyle w:val="TableBAHeaderRow"/>
        <w:tblW w:w="9764" w:type="dxa"/>
        <w:tblInd w:w="0" w:type="dxa"/>
        <w:tblLook w:val="04A0" w:firstRow="1" w:lastRow="0" w:firstColumn="1" w:lastColumn="0" w:noHBand="0" w:noVBand="1"/>
      </w:tblPr>
      <w:tblGrid>
        <w:gridCol w:w="444"/>
        <w:gridCol w:w="1941"/>
        <w:gridCol w:w="973"/>
        <w:gridCol w:w="6406"/>
      </w:tblGrid>
      <w:tr w:rsidR="0056331B" w14:paraId="05BE4D09" w14:textId="77777777" w:rsidTr="00C244C3">
        <w:trPr>
          <w:cnfStyle w:val="100000000000" w:firstRow="1" w:lastRow="0" w:firstColumn="0" w:lastColumn="0" w:oddVBand="0" w:evenVBand="0" w:oddHBand="0" w:evenHBand="0" w:firstRowFirstColumn="0" w:firstRowLastColumn="0" w:lastRowFirstColumn="0" w:lastRowLastColumn="0"/>
          <w:tblHeader/>
        </w:trPr>
        <w:tc>
          <w:tcPr>
            <w:tcW w:w="0" w:type="auto"/>
          </w:tcPr>
          <w:p w14:paraId="7046C46B" w14:textId="77777777" w:rsidR="0056331B" w:rsidRPr="004A6A1C" w:rsidRDefault="0056331B" w:rsidP="00FA3C6A">
            <w:pPr>
              <w:pStyle w:val="TableHeading"/>
              <w:keepNext/>
              <w:keepLines/>
              <w:rPr>
                <w:b/>
              </w:rPr>
            </w:pPr>
            <w:bookmarkStart w:id="104" w:name="_Hlk14700334"/>
          </w:p>
        </w:tc>
        <w:tc>
          <w:tcPr>
            <w:tcW w:w="0" w:type="auto"/>
          </w:tcPr>
          <w:p w14:paraId="65EA3B93" w14:textId="53459E51" w:rsidR="0056331B" w:rsidRPr="004A6A1C" w:rsidRDefault="0056331B" w:rsidP="00FA3C6A">
            <w:pPr>
              <w:pStyle w:val="TableHeading"/>
              <w:keepNext/>
              <w:keepLines/>
              <w:rPr>
                <w:b/>
              </w:rPr>
            </w:pPr>
            <w:r w:rsidRPr="004A6A1C">
              <w:rPr>
                <w:b/>
              </w:rPr>
              <w:t>Impact Mode</w:t>
            </w:r>
          </w:p>
        </w:tc>
        <w:tc>
          <w:tcPr>
            <w:tcW w:w="973" w:type="dxa"/>
          </w:tcPr>
          <w:p w14:paraId="65FC563C" w14:textId="55FCB7B7" w:rsidR="0056331B" w:rsidRPr="004A6A1C" w:rsidRDefault="0056331B" w:rsidP="00FA3C6A">
            <w:pPr>
              <w:pStyle w:val="TableHeading"/>
              <w:keepNext/>
              <w:keepLines/>
              <w:rPr>
                <w:b/>
              </w:rPr>
            </w:pPr>
            <w:r w:rsidRPr="004A6A1C">
              <w:rPr>
                <w:b/>
              </w:rPr>
              <w:t>Likelihood score</w:t>
            </w:r>
          </w:p>
        </w:tc>
        <w:tc>
          <w:tcPr>
            <w:tcW w:w="6406" w:type="dxa"/>
          </w:tcPr>
          <w:p w14:paraId="1C8521DA" w14:textId="5B468918" w:rsidR="0056331B" w:rsidRPr="004A6A1C" w:rsidRDefault="0056331B" w:rsidP="00FA3C6A">
            <w:pPr>
              <w:pStyle w:val="TableHeading"/>
              <w:keepNext/>
              <w:keepLines/>
              <w:rPr>
                <w:b/>
              </w:rPr>
            </w:pPr>
            <w:r w:rsidRPr="004A6A1C">
              <w:rPr>
                <w:b/>
              </w:rPr>
              <w:t xml:space="preserve">Key excerpts from: </w:t>
            </w:r>
            <w:r w:rsidRPr="00220117">
              <w:rPr>
                <w:b/>
                <w:i/>
              </w:rPr>
              <w:t xml:space="preserve">Final </w:t>
            </w:r>
            <w:r w:rsidR="00220117">
              <w:rPr>
                <w:b/>
                <w:i/>
              </w:rPr>
              <w:t>r</w:t>
            </w:r>
            <w:r w:rsidRPr="00220117">
              <w:rPr>
                <w:b/>
                <w:i/>
              </w:rPr>
              <w:t xml:space="preserve">eport of the </w:t>
            </w:r>
            <w:r w:rsidR="00220117">
              <w:rPr>
                <w:b/>
                <w:i/>
              </w:rPr>
              <w:t>s</w:t>
            </w:r>
            <w:r w:rsidRPr="00220117">
              <w:rPr>
                <w:b/>
                <w:i/>
              </w:rPr>
              <w:t xml:space="preserve">cientific </w:t>
            </w:r>
            <w:r w:rsidR="00220117">
              <w:rPr>
                <w:b/>
                <w:i/>
              </w:rPr>
              <w:t>i</w:t>
            </w:r>
            <w:r w:rsidRPr="00220117">
              <w:rPr>
                <w:b/>
                <w:i/>
              </w:rPr>
              <w:t xml:space="preserve">nquiry into </w:t>
            </w:r>
            <w:r w:rsidR="00220117">
              <w:rPr>
                <w:b/>
                <w:i/>
              </w:rPr>
              <w:t>h</w:t>
            </w:r>
            <w:r w:rsidRPr="00220117">
              <w:rPr>
                <w:b/>
                <w:i/>
              </w:rPr>
              <w:t xml:space="preserve">ydraulic </w:t>
            </w:r>
            <w:r w:rsidR="00220117">
              <w:rPr>
                <w:b/>
                <w:i/>
              </w:rPr>
              <w:t>f</w:t>
            </w:r>
            <w:r w:rsidRPr="00220117">
              <w:rPr>
                <w:b/>
                <w:i/>
              </w:rPr>
              <w:t>racturing in the Northern Territory</w:t>
            </w:r>
            <w:r w:rsidRPr="004A6A1C">
              <w:rPr>
                <w:b/>
              </w:rPr>
              <w:t xml:space="preserve"> (Pepper et al., 2018)</w:t>
            </w:r>
          </w:p>
        </w:tc>
      </w:tr>
      <w:tr w:rsidR="0024219A" w:rsidRPr="00A8172F" w14:paraId="62AF4347" w14:textId="77777777" w:rsidTr="00321295">
        <w:trPr>
          <w:cnfStyle w:val="000000100000" w:firstRow="0" w:lastRow="0" w:firstColumn="0" w:lastColumn="0" w:oddVBand="0" w:evenVBand="0" w:oddHBand="1" w:evenHBand="0" w:firstRowFirstColumn="0" w:firstRowLastColumn="0" w:lastRowFirstColumn="0" w:lastRowLastColumn="0"/>
        </w:trPr>
        <w:tc>
          <w:tcPr>
            <w:tcW w:w="9764" w:type="dxa"/>
            <w:gridSpan w:val="4"/>
          </w:tcPr>
          <w:p w14:paraId="1651AE29" w14:textId="522F736C" w:rsidR="0024219A" w:rsidRDefault="0024219A" w:rsidP="00FA3C6A">
            <w:pPr>
              <w:pStyle w:val="TableText"/>
              <w:keepNext/>
              <w:keepLines/>
            </w:pPr>
            <w:r w:rsidRPr="7DE8E393">
              <w:rPr>
                <w:bCs/>
              </w:rPr>
              <w:t>Hydraulic fracture growth</w:t>
            </w:r>
          </w:p>
        </w:tc>
      </w:tr>
      <w:tr w:rsidR="0056331B" w:rsidRPr="00A8172F" w14:paraId="4CA9B6DD"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78B4DDB2" w14:textId="77777777" w:rsidR="0056331B" w:rsidRPr="00EA63C0" w:rsidRDefault="0056331B" w:rsidP="00FA3C6A">
            <w:pPr>
              <w:pStyle w:val="TableText"/>
              <w:keepNext/>
              <w:keepLines/>
            </w:pPr>
            <w:r>
              <w:t>F.1</w:t>
            </w:r>
          </w:p>
        </w:tc>
        <w:tc>
          <w:tcPr>
            <w:tcW w:w="0" w:type="auto"/>
          </w:tcPr>
          <w:p w14:paraId="4DA9ECE0" w14:textId="77777777" w:rsidR="0056331B" w:rsidRPr="00A8172F" w:rsidRDefault="0056331B" w:rsidP="00FA3C6A">
            <w:pPr>
              <w:pStyle w:val="TableText"/>
              <w:keepNext/>
              <w:keepLines/>
            </w:pPr>
            <w:r>
              <w:t>Hydraulic fracture growth into aquifer</w:t>
            </w:r>
          </w:p>
        </w:tc>
        <w:tc>
          <w:tcPr>
            <w:tcW w:w="973" w:type="dxa"/>
          </w:tcPr>
          <w:p w14:paraId="0AF126EB" w14:textId="772DFF14" w:rsidR="0056331B" w:rsidRDefault="0056331B" w:rsidP="00FA3C6A">
            <w:pPr>
              <w:pStyle w:val="TableText"/>
              <w:keepNext/>
              <w:keepLines/>
            </w:pPr>
            <w:r>
              <w:t>Rare</w:t>
            </w:r>
          </w:p>
        </w:tc>
        <w:tc>
          <w:tcPr>
            <w:tcW w:w="6406" w:type="dxa"/>
          </w:tcPr>
          <w:p w14:paraId="5F43E4AB" w14:textId="77777777" w:rsidR="0056331B" w:rsidRDefault="0056331B" w:rsidP="00FA3C6A">
            <w:pPr>
              <w:pStyle w:val="TableText"/>
              <w:keepNext/>
              <w:keepLines/>
            </w:pPr>
            <w:r>
              <w:t>“…likelihood of fractures growing out of the shale rock region for distances of 1,000 to 3,000 m is extremely low.280 For example, the majority of fractures in the Marcellus shale basin were found to have heights of less than 100 m, although fracture lengths up to approximately 600 m have been recorded.” p159</w:t>
            </w:r>
          </w:p>
          <w:p w14:paraId="20536DBE" w14:textId="77777777" w:rsidR="0056331B" w:rsidRDefault="0056331B" w:rsidP="00FA3C6A">
            <w:pPr>
              <w:pStyle w:val="TableText"/>
              <w:keepNext/>
              <w:keepLines/>
            </w:pPr>
          </w:p>
          <w:p w14:paraId="606EBB2B" w14:textId="35993E09" w:rsidR="0056331B" w:rsidRDefault="0056331B" w:rsidP="00FA3C6A">
            <w:pPr>
              <w:pStyle w:val="TableText"/>
              <w:keepNext/>
              <w:keepLines/>
            </w:pPr>
            <w:r>
              <w:t>“…</w:t>
            </w:r>
            <w:r w:rsidRPr="00D90BA4">
              <w:t xml:space="preserve"> the Panel finds that based on the available evidence, the likelihood of contamination of NT groundwaters by the upward migration of contaminated fluids as a result of hydraulic fracturing is ‘very low’</w:t>
            </w:r>
            <w:r>
              <w:t>” p149</w:t>
            </w:r>
          </w:p>
        </w:tc>
      </w:tr>
      <w:tr w:rsidR="0056331B" w14:paraId="7D54F0A0"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25D91620" w14:textId="77777777" w:rsidR="0056331B" w:rsidRDefault="0056331B" w:rsidP="00321295">
            <w:pPr>
              <w:pStyle w:val="TableText"/>
            </w:pPr>
            <w:r>
              <w:t>F.2</w:t>
            </w:r>
          </w:p>
        </w:tc>
        <w:tc>
          <w:tcPr>
            <w:tcW w:w="0" w:type="auto"/>
          </w:tcPr>
          <w:p w14:paraId="14329B4D" w14:textId="77777777" w:rsidR="0056331B" w:rsidRDefault="0056331B" w:rsidP="00321295">
            <w:pPr>
              <w:pStyle w:val="TableText"/>
            </w:pPr>
            <w:r>
              <w:t>Hydraulic fracture growth into well</w:t>
            </w:r>
          </w:p>
        </w:tc>
        <w:tc>
          <w:tcPr>
            <w:tcW w:w="973" w:type="dxa"/>
          </w:tcPr>
          <w:p w14:paraId="747C8BFF" w14:textId="32F94A16" w:rsidR="0056331B" w:rsidRDefault="0056331B" w:rsidP="00321295">
            <w:pPr>
              <w:pStyle w:val="TableText"/>
            </w:pPr>
            <w:r>
              <w:t>Not assessed</w:t>
            </w:r>
          </w:p>
        </w:tc>
        <w:tc>
          <w:tcPr>
            <w:tcW w:w="6406" w:type="dxa"/>
          </w:tcPr>
          <w:p w14:paraId="6913AA39" w14:textId="64C4A5E6" w:rsidR="0056331B" w:rsidRDefault="0056331B" w:rsidP="00321295">
            <w:pPr>
              <w:pStyle w:val="TableText"/>
            </w:pPr>
            <w:r>
              <w:t>“… fractures intersecting with other wells (including active and abandoned wells), are not likely given that there are currently very few deep wells drilled in the NT. However, this is very unlikely to be an issue in the NT given the very low number of deep wells that have been drilled, and moreover, because those that exist are well documented.” p159</w:t>
            </w:r>
          </w:p>
        </w:tc>
      </w:tr>
      <w:tr w:rsidR="0056331B" w14:paraId="2C011D38"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3EA0315F" w14:textId="77777777" w:rsidR="0056331B" w:rsidRDefault="0056331B" w:rsidP="00321295">
            <w:pPr>
              <w:pStyle w:val="TableText"/>
            </w:pPr>
            <w:r>
              <w:t>F.3</w:t>
            </w:r>
          </w:p>
        </w:tc>
        <w:tc>
          <w:tcPr>
            <w:tcW w:w="0" w:type="auto"/>
          </w:tcPr>
          <w:p w14:paraId="2292DE1C" w14:textId="77777777" w:rsidR="0056331B" w:rsidRDefault="0056331B" w:rsidP="00321295">
            <w:pPr>
              <w:pStyle w:val="TableText"/>
            </w:pPr>
            <w:r>
              <w:t>Hydraulic fracture growth into fault</w:t>
            </w:r>
          </w:p>
        </w:tc>
        <w:tc>
          <w:tcPr>
            <w:tcW w:w="973" w:type="dxa"/>
          </w:tcPr>
          <w:p w14:paraId="775F8E6B" w14:textId="7D32A7F6" w:rsidR="0056331B" w:rsidRDefault="0056331B" w:rsidP="00321295">
            <w:pPr>
              <w:pStyle w:val="TableText"/>
            </w:pPr>
            <w:r>
              <w:t>Rare</w:t>
            </w:r>
          </w:p>
        </w:tc>
        <w:tc>
          <w:tcPr>
            <w:tcW w:w="6406" w:type="dxa"/>
          </w:tcPr>
          <w:p w14:paraId="2F7B88B2" w14:textId="5F4FBE6E" w:rsidR="0056331B" w:rsidRDefault="0056331B" w:rsidP="00321295">
            <w:pPr>
              <w:pStyle w:val="TableText"/>
            </w:pPr>
            <w:r>
              <w:t>“The only hydraulically plausible opportunity for limited fluid migration along faults is during the intense pressurisation of the actual hydraulic fracturing. However, it is considered that with close monitoring and management of the pressurisation to ensure that only the desired interval is fractured, this scenario can be prevented. Accordingly, there is a low likelihood of aquifer contamination as the result of groundwater flow through faults as the result of, or exacerbated by, hydraulic fracturing.” p159</w:t>
            </w:r>
          </w:p>
          <w:p w14:paraId="4AC977AE" w14:textId="77777777" w:rsidR="0056331B" w:rsidRDefault="0056331B" w:rsidP="00321295">
            <w:pPr>
              <w:pStyle w:val="TableText"/>
            </w:pPr>
          </w:p>
          <w:p w14:paraId="6E572E47" w14:textId="77777777" w:rsidR="0056331B" w:rsidRDefault="0056331B" w:rsidP="00321295">
            <w:pPr>
              <w:pStyle w:val="TableText"/>
            </w:pPr>
            <w:r>
              <w:t>“The Panel has therefore assessed this risk as ‘low’, given the vertical distance between the fractured rocks and surface aquifers, and the hydraulic potential for flow between fractured rocks and surface aquifers, provided that fracturing operations avoid proximity to faults” p159</w:t>
            </w:r>
          </w:p>
          <w:p w14:paraId="569C372C" w14:textId="77777777" w:rsidR="0056331B" w:rsidRDefault="0056331B" w:rsidP="00321295">
            <w:pPr>
              <w:pStyle w:val="TableText"/>
            </w:pPr>
          </w:p>
          <w:p w14:paraId="27E78C31" w14:textId="5454B261" w:rsidR="0056331B" w:rsidRDefault="0056331B" w:rsidP="00321295">
            <w:pPr>
              <w:pStyle w:val="TableText"/>
            </w:pPr>
            <w:r>
              <w:t>“… the occurrence of large faults that can allow vertical connection with the near surface is a risk factor that must be avoided as part of the well design phase.” p69</w:t>
            </w:r>
          </w:p>
        </w:tc>
      </w:tr>
      <w:tr w:rsidR="0024219A" w:rsidRPr="00A8172F" w14:paraId="6FF2D50E" w14:textId="77777777" w:rsidTr="00321295">
        <w:trPr>
          <w:cnfStyle w:val="000000100000" w:firstRow="0" w:lastRow="0" w:firstColumn="0" w:lastColumn="0" w:oddVBand="0" w:evenVBand="0" w:oddHBand="1" w:evenHBand="0" w:firstRowFirstColumn="0" w:firstRowLastColumn="0" w:lastRowFirstColumn="0" w:lastRowLastColumn="0"/>
        </w:trPr>
        <w:tc>
          <w:tcPr>
            <w:tcW w:w="9764" w:type="dxa"/>
            <w:gridSpan w:val="4"/>
          </w:tcPr>
          <w:p w14:paraId="3221BD7E" w14:textId="07AA14A0" w:rsidR="0024219A" w:rsidRDefault="0024219A" w:rsidP="00321295">
            <w:pPr>
              <w:pStyle w:val="TableText"/>
            </w:pPr>
            <w:r w:rsidRPr="00D646E6">
              <w:rPr>
                <w:bCs/>
              </w:rPr>
              <w:t>Compromised well integrity</w:t>
            </w:r>
          </w:p>
        </w:tc>
      </w:tr>
      <w:tr w:rsidR="0056331B" w:rsidRPr="00A8172F" w14:paraId="1125F8A6"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51E46741" w14:textId="77777777" w:rsidR="0056331B" w:rsidRPr="00EA63C0" w:rsidRDefault="0056331B" w:rsidP="00321295">
            <w:pPr>
              <w:pStyle w:val="TableText"/>
            </w:pPr>
            <w:r>
              <w:t>W.1</w:t>
            </w:r>
          </w:p>
        </w:tc>
        <w:tc>
          <w:tcPr>
            <w:tcW w:w="0" w:type="auto"/>
          </w:tcPr>
          <w:p w14:paraId="425A1B7B" w14:textId="77777777" w:rsidR="0056331B" w:rsidRPr="00A8172F" w:rsidRDefault="0056331B" w:rsidP="00321295">
            <w:pPr>
              <w:pStyle w:val="TableText"/>
            </w:pPr>
            <w:r>
              <w:t xml:space="preserve">Well rupture or failure across barriers </w:t>
            </w:r>
          </w:p>
        </w:tc>
        <w:tc>
          <w:tcPr>
            <w:tcW w:w="973" w:type="dxa"/>
          </w:tcPr>
          <w:p w14:paraId="15DD029F" w14:textId="1AEFEE1C" w:rsidR="0056331B" w:rsidRPr="00FB5B05" w:rsidRDefault="0056331B" w:rsidP="00321295">
            <w:pPr>
              <w:pStyle w:val="TableText"/>
            </w:pPr>
            <w:r>
              <w:t>Rare</w:t>
            </w:r>
          </w:p>
        </w:tc>
        <w:tc>
          <w:tcPr>
            <w:tcW w:w="6406" w:type="dxa"/>
          </w:tcPr>
          <w:p w14:paraId="5A338737" w14:textId="7E58BA40" w:rsidR="0056331B" w:rsidRDefault="0056331B" w:rsidP="00321295">
            <w:pPr>
              <w:pStyle w:val="TableText"/>
            </w:pPr>
            <w:r>
              <w:t xml:space="preserve"> “Overall, the Panel concludes that provided a well is constructed to the high standard required for the particular local geology, and provided that it has passed all of the relevant integrity tests prior to, during, and after hydraulic fracturing, there is a ‘low’ likelihood of integrity issues. There does, however, need to be a program of regular integrity testing during the decades-long operational life of the well to ensure that if problems do develop, they are detected early and remediated quickly (as specified in Recommendation 5.4). In particular, the well must pass a rigorous set of integrity tests prior to being decommissioned because once a well has been abandoned, it is difficult to re-enter it.” p81</w:t>
            </w:r>
          </w:p>
          <w:p w14:paraId="1193D2FA" w14:textId="7F0C3938" w:rsidR="0056331B" w:rsidRDefault="0056331B" w:rsidP="00321295">
            <w:pPr>
              <w:pStyle w:val="TableText"/>
            </w:pPr>
          </w:p>
          <w:p w14:paraId="12FC0AA3" w14:textId="67675175" w:rsidR="0056331B" w:rsidRDefault="0056331B" w:rsidP="00321295">
            <w:pPr>
              <w:pStyle w:val="TableText"/>
            </w:pPr>
            <w:r>
              <w:t>“The likelihood of a well integrity failure (that is, where all barriers fail), which is required for an actual release of fluids to the environment, is very low, typically less than 0.1%.” p64</w:t>
            </w:r>
          </w:p>
          <w:p w14:paraId="612AE7BD" w14:textId="77777777" w:rsidR="0056331B" w:rsidRDefault="0056331B" w:rsidP="00321295">
            <w:pPr>
              <w:pStyle w:val="TableText"/>
            </w:pPr>
          </w:p>
          <w:p w14:paraId="085C24F9" w14:textId="43A9DEAA" w:rsidR="0056331B" w:rsidRDefault="0056331B" w:rsidP="00321295">
            <w:pPr>
              <w:pStyle w:val="TableText"/>
            </w:pPr>
            <w:r>
              <w:t>“The greatest potential for contamination of freshwater aquifers from a leaky well is if the leak occurs in the section of the well where it goes through the aquifer. This can occur as a result of casing failure that occurs when the system is under maximum pressure during the hydraulic fracturing operation. It is this type of failure that has the greatest potential to quickly release large volumes of contaminants directly into the aquifer. The evidence presented in Chapter 5 has shown that the likelihood of this occurring is ‘low’.” p147</w:t>
            </w:r>
          </w:p>
          <w:p w14:paraId="5ABA456F" w14:textId="17BF717D" w:rsidR="0056331B" w:rsidRDefault="0056331B" w:rsidP="00321295">
            <w:pPr>
              <w:pStyle w:val="TableText"/>
            </w:pPr>
          </w:p>
        </w:tc>
      </w:tr>
      <w:tr w:rsidR="0056331B" w14:paraId="0D0CD8AC"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78C0B525" w14:textId="77777777" w:rsidR="0056331B" w:rsidRDefault="0056331B" w:rsidP="00321295">
            <w:pPr>
              <w:pStyle w:val="TableText"/>
            </w:pPr>
            <w:r>
              <w:t>W.2</w:t>
            </w:r>
          </w:p>
        </w:tc>
        <w:tc>
          <w:tcPr>
            <w:tcW w:w="0" w:type="auto"/>
          </w:tcPr>
          <w:p w14:paraId="13F2392A" w14:textId="77777777" w:rsidR="0056331B" w:rsidRDefault="0056331B" w:rsidP="00321295">
            <w:pPr>
              <w:pStyle w:val="TableText"/>
            </w:pPr>
            <w:r>
              <w:t>Migration along casing from reservoir</w:t>
            </w:r>
          </w:p>
        </w:tc>
        <w:tc>
          <w:tcPr>
            <w:tcW w:w="973" w:type="dxa"/>
          </w:tcPr>
          <w:p w14:paraId="4E87C950" w14:textId="1192EF97" w:rsidR="0056331B" w:rsidRDefault="0056331B" w:rsidP="00321295">
            <w:pPr>
              <w:pStyle w:val="TableText"/>
            </w:pPr>
            <w:r>
              <w:t>Rare</w:t>
            </w:r>
          </w:p>
        </w:tc>
        <w:tc>
          <w:tcPr>
            <w:tcW w:w="6406" w:type="dxa"/>
          </w:tcPr>
          <w:p w14:paraId="684A64AE" w14:textId="0E860823" w:rsidR="0056331B" w:rsidRDefault="0056331B" w:rsidP="00321295">
            <w:pPr>
              <w:pStyle w:val="TableText"/>
            </w:pPr>
            <w:r>
              <w:t>“CSIRO found overall that the rate of well integrity failures that have the potential to cause environmental contamination is approximately 0.1%, with several studies finding no well integrity failures.” P81</w:t>
            </w:r>
          </w:p>
          <w:p w14:paraId="15D0B698" w14:textId="052AA2DA" w:rsidR="0056331B" w:rsidRDefault="0056331B" w:rsidP="00321295">
            <w:pPr>
              <w:pStyle w:val="TableText"/>
            </w:pPr>
          </w:p>
          <w:p w14:paraId="600D67BD" w14:textId="0FD5D8F0" w:rsidR="0056331B" w:rsidRDefault="0056331B" w:rsidP="00321295">
            <w:pPr>
              <w:pStyle w:val="TableText"/>
            </w:pPr>
            <w:r>
              <w:t>“It is clear that wells are now being increasingly completed to higher standards and are performing much better than those completed to lower standards. In this context, the Panel notes that the Amungee well was a Category 9 well with cement casing along the full length of the well casing to the surface.” p147</w:t>
            </w:r>
          </w:p>
          <w:p w14:paraId="19F01D1F" w14:textId="16F8D970" w:rsidR="0056331B" w:rsidRDefault="0056331B" w:rsidP="00321295">
            <w:pPr>
              <w:pStyle w:val="TableText"/>
            </w:pPr>
          </w:p>
          <w:p w14:paraId="63BA5655" w14:textId="63874EF7" w:rsidR="0056331B" w:rsidRDefault="0056331B" w:rsidP="00321295">
            <w:pPr>
              <w:pStyle w:val="TableText"/>
            </w:pPr>
            <w:r>
              <w:t>“There has been considerable effort over the past decade by both the gas industry and regulators in Australia, the US and elsewhere, to improve the design, construction and operation of onshore shale gas wells. … the incidence of these issues has markedly declined as more modern methods of design, construction and regulation are implemented and is now relatively low” p147</w:t>
            </w:r>
          </w:p>
          <w:p w14:paraId="4A42DFB9" w14:textId="73E90B2F" w:rsidR="0056331B" w:rsidRDefault="0056331B" w:rsidP="00321295">
            <w:pPr>
              <w:pStyle w:val="TableText"/>
            </w:pPr>
          </w:p>
        </w:tc>
      </w:tr>
      <w:tr w:rsidR="0056331B" w14:paraId="73444DAC"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40E0F975" w14:textId="77777777" w:rsidR="0056331B" w:rsidRDefault="0056331B" w:rsidP="00321295">
            <w:pPr>
              <w:pStyle w:val="TableText"/>
            </w:pPr>
            <w:r>
              <w:t>W.3</w:t>
            </w:r>
          </w:p>
        </w:tc>
        <w:tc>
          <w:tcPr>
            <w:tcW w:w="0" w:type="auto"/>
          </w:tcPr>
          <w:p w14:paraId="11CEC61A" w14:textId="77777777" w:rsidR="0056331B" w:rsidRDefault="0056331B" w:rsidP="00321295">
            <w:pPr>
              <w:pStyle w:val="TableText"/>
            </w:pPr>
            <w:r>
              <w:t>Migration along casing between rock layers</w:t>
            </w:r>
          </w:p>
        </w:tc>
        <w:tc>
          <w:tcPr>
            <w:tcW w:w="973" w:type="dxa"/>
          </w:tcPr>
          <w:p w14:paraId="44929E60" w14:textId="531C5E02" w:rsidR="0056331B" w:rsidRDefault="0056331B" w:rsidP="00321295">
            <w:pPr>
              <w:pStyle w:val="TableText"/>
            </w:pPr>
            <w:r>
              <w:t>Unlikely</w:t>
            </w:r>
          </w:p>
        </w:tc>
        <w:tc>
          <w:tcPr>
            <w:tcW w:w="6406" w:type="dxa"/>
          </w:tcPr>
          <w:p w14:paraId="02426FA2" w14:textId="6D1B7AFD" w:rsidR="0056331B" w:rsidRDefault="0056331B" w:rsidP="00321295">
            <w:pPr>
              <w:pStyle w:val="TableText"/>
            </w:pPr>
            <w:r>
              <w:t>“The rate for a single well barrier failure, however, was much higher: approximately 1–10%. However, there were very few single barrier failures observed for wells constructed to Category 9 or above, and no well integrity failures for wells built to those categories. The Amungee NW-1H well that was constructed by Origin in the Beetaloo Sub-basin was of Category 9 standard, with casing cemented to surface along the entire length of the well.” p81</w:t>
            </w:r>
          </w:p>
          <w:p w14:paraId="34182401" w14:textId="2CEF2C06" w:rsidR="0056331B" w:rsidRDefault="0056331B" w:rsidP="00321295">
            <w:pPr>
              <w:pStyle w:val="TableText"/>
            </w:pPr>
          </w:p>
          <w:p w14:paraId="6E78AD7B" w14:textId="6D18B634" w:rsidR="0056331B" w:rsidRDefault="0056331B" w:rsidP="00321295">
            <w:pPr>
              <w:pStyle w:val="TableText"/>
            </w:pPr>
            <w:r>
              <w:t>“A key distinction must also be made between the detection of methane at the surface and/or in groundwater, and the potential for that groundwater to be contaminated by chemicals from the formation water or fracturing fluids, which would cause it to become unsuitable for use for drinking or stock watering, or for general environmental use.” p147</w:t>
            </w:r>
          </w:p>
          <w:p w14:paraId="50059136" w14:textId="4217BB17" w:rsidR="0056331B" w:rsidRDefault="0056331B" w:rsidP="00321295">
            <w:pPr>
              <w:pStyle w:val="TableText"/>
            </w:pPr>
          </w:p>
          <w:p w14:paraId="2371319B" w14:textId="54DBA580" w:rsidR="0056331B" w:rsidRDefault="0056331B" w:rsidP="00321295">
            <w:pPr>
              <w:pStyle w:val="TableText"/>
            </w:pPr>
            <w:r>
              <w:t>“Methane has been detected in groundwater adjacent to shale gas bores in the Denver-Julesburg basin of north-eastern Colorado with a frequency that suggests a low to medium likelihood of occurrence. The most recently published work on this subject concluded that most of this methane was microbially generated and likely to have come from shallow coal seams that occur in the basin, and not from the deep shale gas formations. Only 0.06% of sampled bores contained methane at depth. The reason that methane was able to migrate upwards was because these shallow coal seams had not been effectively sealed off as part of the well construction process, thereby indicating the need for much closer attention to be paid to the identification of and planning for isolation of such sources during the well design phase of operations.” p147</w:t>
            </w:r>
          </w:p>
          <w:p w14:paraId="707738A9" w14:textId="317EDCEA" w:rsidR="0056331B" w:rsidRDefault="0056331B" w:rsidP="00321295">
            <w:pPr>
              <w:pStyle w:val="TableText"/>
            </w:pPr>
          </w:p>
          <w:p w14:paraId="6AEDD712" w14:textId="6518BE4F" w:rsidR="0056331B" w:rsidRDefault="0056331B" w:rsidP="00321295">
            <w:pPr>
              <w:pStyle w:val="TableText"/>
            </w:pPr>
            <w:r>
              <w:t>“…there was no evidence of contamination of the shallow drinking water wells near active drilling sites from deep brines and/or fracturing fluids, with the concentrations of salts measured in these wells being consistent with the baseline historical water quality data. This conclusion is consistent with other published work.” p148</w:t>
            </w:r>
          </w:p>
          <w:p w14:paraId="11708A00" w14:textId="77777777" w:rsidR="0056331B" w:rsidRDefault="0056331B" w:rsidP="00321295">
            <w:pPr>
              <w:pStyle w:val="TableText"/>
            </w:pPr>
          </w:p>
          <w:p w14:paraId="5004F3C8" w14:textId="04E8E740" w:rsidR="0056331B" w:rsidRDefault="0056331B" w:rsidP="00321295">
            <w:pPr>
              <w:pStyle w:val="TableText"/>
            </w:pPr>
            <w:r>
              <w:t xml:space="preserve">“In summary, therefore, the Panel finds that based on the available evidence … the likelihood of contamination by methane is ‘low’ to ‘medium’. The consequence to water quality (specifically the impact on groundwater used for drinking or stock watering) from the occurrence of methane is rated as ‘low’ because methane in water is non-toxic. However, the presence of methane above a threshold value (10-28 mg/L) could result in an explosion risk under certain, albeit unlikely, circumstances.” </w:t>
            </w:r>
            <w:r w:rsidR="004C6ACC">
              <w:t>p</w:t>
            </w:r>
            <w:r>
              <w:t>149</w:t>
            </w:r>
          </w:p>
          <w:p w14:paraId="47D294ED" w14:textId="52743AEA" w:rsidR="0056331B" w:rsidRDefault="0056331B" w:rsidP="00321295">
            <w:pPr>
              <w:pStyle w:val="TableText"/>
            </w:pPr>
          </w:p>
        </w:tc>
      </w:tr>
      <w:tr w:rsidR="0056331B" w14:paraId="59B150DC"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1E64BBF1" w14:textId="77777777" w:rsidR="0056331B" w:rsidRDefault="0056331B" w:rsidP="00321295">
            <w:pPr>
              <w:pStyle w:val="TableText"/>
            </w:pPr>
            <w:r>
              <w:t>W.4</w:t>
            </w:r>
          </w:p>
        </w:tc>
        <w:tc>
          <w:tcPr>
            <w:tcW w:w="0" w:type="auto"/>
          </w:tcPr>
          <w:p w14:paraId="198ADB27" w14:textId="77777777" w:rsidR="0056331B" w:rsidRDefault="0056331B" w:rsidP="00321295">
            <w:pPr>
              <w:pStyle w:val="TableText"/>
            </w:pPr>
            <w:r>
              <w:t>Migration along decommissioned / abandoned wells</w:t>
            </w:r>
          </w:p>
        </w:tc>
        <w:tc>
          <w:tcPr>
            <w:tcW w:w="973" w:type="dxa"/>
          </w:tcPr>
          <w:p w14:paraId="7F062F65" w14:textId="43C71FC3" w:rsidR="0056331B" w:rsidRDefault="0056331B" w:rsidP="00321295">
            <w:pPr>
              <w:pStyle w:val="TableText"/>
            </w:pPr>
            <w:r>
              <w:t>Unlikely</w:t>
            </w:r>
          </w:p>
        </w:tc>
        <w:tc>
          <w:tcPr>
            <w:tcW w:w="6406" w:type="dxa"/>
          </w:tcPr>
          <w:p w14:paraId="7C374992" w14:textId="072D39E1" w:rsidR="0056331B" w:rsidRDefault="0056331B" w:rsidP="00321295">
            <w:pPr>
              <w:pStyle w:val="TableText"/>
            </w:pPr>
            <w:r>
              <w:t>“The Panel has found that there is a paucity of information available on the performance of decommissioned and/or abandoned onshore shale wells (refer also to Section 9.8). Indeed, it appears to be only recently that specific attention has been paid to this issue by regulators.” p54</w:t>
            </w:r>
          </w:p>
          <w:p w14:paraId="2C1D3D50" w14:textId="185947CF" w:rsidR="0056331B" w:rsidRDefault="0056331B" w:rsidP="00321295">
            <w:pPr>
              <w:pStyle w:val="TableText"/>
            </w:pPr>
          </w:p>
          <w:p w14:paraId="342487DF" w14:textId="232BFBE4" w:rsidR="0056331B" w:rsidRDefault="0056331B" w:rsidP="00321295">
            <w:pPr>
              <w:pStyle w:val="TableText"/>
            </w:pPr>
            <w:r>
              <w:t>“the evidence on methane emissions from decommissioned and abandoned gas wells is mixed. It is clear, however, that properly decommissioned wells (wells that have been cut-off, sealed (plugged) and then buried under soil) have generally lower methane emissions than wells that have been not been properly (or at all) decommissioned and have been abandoned with well head infrastructure left above the surface;” p234</w:t>
            </w:r>
          </w:p>
          <w:p w14:paraId="28A850A8" w14:textId="031F4A1C" w:rsidR="0056331B" w:rsidRDefault="0056331B" w:rsidP="00321295">
            <w:pPr>
              <w:pStyle w:val="TableText"/>
            </w:pPr>
          </w:p>
          <w:p w14:paraId="626ABE21" w14:textId="2782BD33" w:rsidR="0056331B" w:rsidRDefault="0056331B" w:rsidP="00321295">
            <w:pPr>
              <w:pStyle w:val="TableText"/>
            </w:pPr>
            <w:r>
              <w:t xml:space="preserve">“fugitive methane emissions from any onshore shale gas industry in the NT (for the case of 1,000 decommissioned wells) is estimated to represent 0.7% of Australia’s inventory fugitive methane emissions and 0.005% of the global anthropogenic methane emissions from fossil fuels;” p234 </w:t>
            </w:r>
          </w:p>
          <w:p w14:paraId="5DA121E5" w14:textId="56950C3A" w:rsidR="0056331B" w:rsidRDefault="0056331B" w:rsidP="00321295">
            <w:pPr>
              <w:pStyle w:val="TableText"/>
            </w:pPr>
          </w:p>
          <w:p w14:paraId="2F02EA35" w14:textId="0B95F95B" w:rsidR="0056331B" w:rsidRDefault="0056331B" w:rsidP="00321295">
            <w:pPr>
              <w:pStyle w:val="TableText"/>
            </w:pPr>
            <w:r>
              <w:t>“the assessed risk of fugitive methane emissions from decommissioned wells resulting from any new shale gas industry in the NT, without any further mitigation, is ‘medium’.” p234</w:t>
            </w:r>
          </w:p>
          <w:p w14:paraId="495AA145" w14:textId="5A412F59" w:rsidR="0056331B" w:rsidRDefault="0056331B" w:rsidP="00321295">
            <w:pPr>
              <w:pStyle w:val="TableText"/>
            </w:pPr>
          </w:p>
          <w:p w14:paraId="1E50EBF6" w14:textId="5A02B49D" w:rsidR="0056331B" w:rsidRDefault="0056331B" w:rsidP="00321295">
            <w:pPr>
              <w:pStyle w:val="TableText"/>
            </w:pPr>
            <w:r>
              <w:t>“CSIRO also found that for shale gas wells decommissioned using current practices, if any of the potential leakage pathways were to develop, it was highly unlikely that they would allow large fluid flow rates along the wellbore” p81</w:t>
            </w:r>
          </w:p>
          <w:p w14:paraId="15D37A67" w14:textId="77777777" w:rsidR="0056331B" w:rsidRDefault="0056331B" w:rsidP="00321295">
            <w:pPr>
              <w:pStyle w:val="TableText"/>
            </w:pPr>
          </w:p>
          <w:p w14:paraId="2B5539CB" w14:textId="41D4ED08" w:rsidR="0056331B" w:rsidRDefault="0056331B" w:rsidP="00321295">
            <w:pPr>
              <w:pStyle w:val="TableText"/>
            </w:pPr>
            <w:r>
              <w:t>“The assessment of post-decommissioning or abandonment performance is an aspect that requires greater attention by both the regulator and the gas industry and is the subject of specific recommendations by the Panel” p81</w:t>
            </w:r>
          </w:p>
        </w:tc>
      </w:tr>
      <w:tr w:rsidR="0056331B" w14:paraId="18E69E0C"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0277E5A9" w14:textId="77777777" w:rsidR="0056331B" w:rsidRDefault="0056331B" w:rsidP="00321295">
            <w:pPr>
              <w:pStyle w:val="TableText"/>
            </w:pPr>
            <w:r>
              <w:t>W.5</w:t>
            </w:r>
          </w:p>
        </w:tc>
        <w:tc>
          <w:tcPr>
            <w:tcW w:w="0" w:type="auto"/>
          </w:tcPr>
          <w:p w14:paraId="4CB240C9" w14:textId="77777777" w:rsidR="0056331B" w:rsidRDefault="0056331B" w:rsidP="00321295">
            <w:pPr>
              <w:pStyle w:val="TableText"/>
            </w:pPr>
            <w:r>
              <w:t>Loss of well control</w:t>
            </w:r>
          </w:p>
        </w:tc>
        <w:tc>
          <w:tcPr>
            <w:tcW w:w="973" w:type="dxa"/>
          </w:tcPr>
          <w:p w14:paraId="6D6C484B" w14:textId="761EB7BE" w:rsidR="0056331B" w:rsidRDefault="0056331B" w:rsidP="00321295">
            <w:pPr>
              <w:pStyle w:val="TableText"/>
            </w:pPr>
            <w:r>
              <w:t>Not assessed</w:t>
            </w:r>
          </w:p>
        </w:tc>
        <w:tc>
          <w:tcPr>
            <w:tcW w:w="6406" w:type="dxa"/>
          </w:tcPr>
          <w:p w14:paraId="6E1E5DF4" w14:textId="77777777" w:rsidR="0056331B" w:rsidRDefault="0056331B" w:rsidP="00321295">
            <w:pPr>
              <w:pStyle w:val="TableText"/>
            </w:pPr>
          </w:p>
        </w:tc>
      </w:tr>
      <w:bookmarkEnd w:id="104"/>
    </w:tbl>
    <w:p w14:paraId="54A21E22" w14:textId="41EF8581" w:rsidR="000733DC" w:rsidRDefault="000733DC" w:rsidP="00985B69">
      <w:pPr>
        <w:pStyle w:val="BodyText"/>
      </w:pPr>
    </w:p>
    <w:p w14:paraId="1CE18ACB" w14:textId="77777777" w:rsidR="000733DC" w:rsidRDefault="000733DC" w:rsidP="00985B69">
      <w:pPr>
        <w:pStyle w:val="BodyText"/>
      </w:pPr>
      <w:r>
        <w:br w:type="page"/>
      </w:r>
    </w:p>
    <w:p w14:paraId="63D7B946" w14:textId="0DA0BF81" w:rsidR="000733DC" w:rsidRPr="005A442F" w:rsidRDefault="00273D75" w:rsidP="00E10706">
      <w:pPr>
        <w:pStyle w:val="Heading3"/>
        <w:rPr>
          <w:i w:val="0"/>
        </w:rPr>
      </w:pPr>
      <w:bookmarkStart w:id="105" w:name="_Toc5272820"/>
      <w:bookmarkStart w:id="106" w:name="_Ref7009984"/>
      <w:bookmarkStart w:id="107" w:name="_Ref16686104"/>
      <w:bookmarkStart w:id="108" w:name="_Toc36042865"/>
      <w:r w:rsidRPr="005A442F">
        <w:rPr>
          <w:i w:val="0"/>
        </w:rPr>
        <w:t xml:space="preserve">Qualitative review of the findings </w:t>
      </w:r>
      <w:r w:rsidR="000733DC" w:rsidRPr="005A442F">
        <w:rPr>
          <w:i w:val="0"/>
        </w:rPr>
        <w:t xml:space="preserve">from: </w:t>
      </w:r>
      <w:r w:rsidR="00E269EE" w:rsidRPr="005A442F">
        <w:rPr>
          <w:i w:val="0"/>
        </w:rPr>
        <w:t>Independent Scientific Panel Inquiry into Hydraulic Fracture Stimulation in Western Australia</w:t>
      </w:r>
      <w:r w:rsidR="00CF5AA9" w:rsidRPr="005A442F">
        <w:rPr>
          <w:i w:val="0"/>
        </w:rPr>
        <w:t xml:space="preserve"> (Hatton et al., 2018)</w:t>
      </w:r>
      <w:bookmarkEnd w:id="105"/>
      <w:bookmarkEnd w:id="106"/>
      <w:bookmarkEnd w:id="107"/>
      <w:bookmarkEnd w:id="108"/>
    </w:p>
    <w:p w14:paraId="65EBAAEA" w14:textId="55EEA311" w:rsidR="000733DC" w:rsidRDefault="000733DC" w:rsidP="000733DC">
      <w:pPr>
        <w:pStyle w:val="Heading4notnumbered"/>
      </w:pPr>
      <w:r>
        <w:t>Background and scope</w:t>
      </w:r>
    </w:p>
    <w:p w14:paraId="54D21132" w14:textId="7E46A8A3" w:rsidR="007F1FF2" w:rsidRDefault="00777421" w:rsidP="005968E8">
      <w:pPr>
        <w:pStyle w:val="BodyText"/>
      </w:pPr>
      <w:r>
        <w:t xml:space="preserve">In </w:t>
      </w:r>
      <w:r w:rsidR="005968E8">
        <w:t xml:space="preserve">2017, the Western Australian Government announced an independent scientific inquiry into hydraulic fracture stimulation and appointed an independent </w:t>
      </w:r>
      <w:r w:rsidR="00400022">
        <w:t>p</w:t>
      </w:r>
      <w:r w:rsidR="005968E8">
        <w:t>anel of experts, under provisions of the Environmental Protection Act 1986, to report on the potential impacts arising from the implementation of hydraulic fracture stimulation on the onshore environment of W</w:t>
      </w:r>
      <w:r w:rsidR="002A45A3">
        <w:t>A</w:t>
      </w:r>
      <w:r w:rsidR="005968E8">
        <w:t xml:space="preserve">, outside of the Perth metropolitan, Peel and South-West regions. </w:t>
      </w:r>
    </w:p>
    <w:p w14:paraId="6AF005B8" w14:textId="77777777" w:rsidR="007F1FF2" w:rsidRDefault="005968E8" w:rsidP="005968E8">
      <w:pPr>
        <w:pStyle w:val="BodyText"/>
      </w:pPr>
      <w:r>
        <w:t xml:space="preserve">The Terms of Reference for the Inquiry were to: </w:t>
      </w:r>
    </w:p>
    <w:p w14:paraId="06F4248D" w14:textId="23FA6A7E" w:rsidR="005968E8" w:rsidRDefault="005968E8" w:rsidP="00FA3C6A">
      <w:pPr>
        <w:pStyle w:val="ListBullet"/>
      </w:pPr>
      <w:r>
        <w:t>Identify environmental, health, agricultural, heritage and community impacts associated with the process of hydraulic fracture stimulation in W</w:t>
      </w:r>
      <w:r w:rsidR="002A45A3">
        <w:t>A</w:t>
      </w:r>
      <w:r>
        <w:t>, noting that impacts may vary in accordance with the location of the activity;</w:t>
      </w:r>
    </w:p>
    <w:p w14:paraId="5F2ADE95" w14:textId="5FF2188D" w:rsidR="005968E8" w:rsidRDefault="005968E8" w:rsidP="00FA3C6A">
      <w:pPr>
        <w:pStyle w:val="ListBullet"/>
      </w:pPr>
      <w:r>
        <w:t>Use credible scientific and historical evidence to assess the level of risk associated with identified impacts;</w:t>
      </w:r>
    </w:p>
    <w:p w14:paraId="0AA9DE29" w14:textId="7272CFBC" w:rsidR="005968E8" w:rsidRDefault="005968E8" w:rsidP="00FA3C6A">
      <w:pPr>
        <w:pStyle w:val="ListBullet"/>
      </w:pPr>
      <w:r>
        <w:t>Describe regulatory mechanisms that may be employed to mitigate or minimise risks to an acceptable level, where appropriate;</w:t>
      </w:r>
    </w:p>
    <w:p w14:paraId="64A91B29" w14:textId="77777777" w:rsidR="00A270C3" w:rsidRDefault="005968E8" w:rsidP="00FA3C6A">
      <w:pPr>
        <w:pStyle w:val="ListBullet"/>
      </w:pPr>
      <w:r>
        <w:t xml:space="preserve">Recommend a scientific approach to regulating hydraulic fracture stimulation; and </w:t>
      </w:r>
    </w:p>
    <w:p w14:paraId="31BC912E" w14:textId="245ED1F3" w:rsidR="005968E8" w:rsidRDefault="005968E8" w:rsidP="00FA3C6A">
      <w:pPr>
        <w:pStyle w:val="ListBullet"/>
      </w:pPr>
      <w:r>
        <w:t>Hold community meetings in Perth, and the Midwest and Kimberley regions.</w:t>
      </w:r>
    </w:p>
    <w:p w14:paraId="603FD9BE" w14:textId="084B941D" w:rsidR="00635B23" w:rsidRDefault="00635B23" w:rsidP="00635B23">
      <w:pPr>
        <w:pStyle w:val="BodyText"/>
      </w:pPr>
      <w:r>
        <w:t>The Inquiry tailored a standard risk assessment framework to enable a wide range of issues and concerns related to hydraulic fracture stimulation to be assessed in a systematic and consistent manner, based on the available information/evidence.</w:t>
      </w:r>
    </w:p>
    <w:p w14:paraId="41E6BC7F" w14:textId="39CFA148" w:rsidR="005C7CA5" w:rsidRPr="00FA7543" w:rsidRDefault="005968E8" w:rsidP="005968E8">
      <w:pPr>
        <w:pStyle w:val="BodyText"/>
      </w:pPr>
      <w:r>
        <w:t>The</w:t>
      </w:r>
      <w:r w:rsidRPr="005C7CA5">
        <w:t xml:space="preserve"> </w:t>
      </w:r>
      <w:r w:rsidR="00400022">
        <w:t>r</w:t>
      </w:r>
      <w:r w:rsidR="005C7CA5" w:rsidRPr="005C7CA5">
        <w:t>eport makes findings on the risks associated with the onshore use of hydraulic fracture stimulation as well as recommendations on how the risks and impacts might be further reduced through changes in regulation and practice.</w:t>
      </w:r>
    </w:p>
    <w:p w14:paraId="1D08AFD9" w14:textId="341C55B5" w:rsidR="000733DC" w:rsidRDefault="000733DC" w:rsidP="000733DC">
      <w:pPr>
        <w:pStyle w:val="Heading4notnumbered"/>
      </w:pPr>
      <w:r>
        <w:t>Study area</w:t>
      </w:r>
    </w:p>
    <w:p w14:paraId="3E10D161" w14:textId="2A2C87BA" w:rsidR="000C01D6" w:rsidRPr="000C01D6" w:rsidRDefault="000C01D6" w:rsidP="000C01D6">
      <w:pPr>
        <w:pStyle w:val="BodyText"/>
      </w:pPr>
      <w:r>
        <w:t>O</w:t>
      </w:r>
      <w:r w:rsidRPr="000C01D6">
        <w:t>nshore environment of W</w:t>
      </w:r>
      <w:r w:rsidR="002A45A3">
        <w:t>A</w:t>
      </w:r>
    </w:p>
    <w:p w14:paraId="714ECD54" w14:textId="72AE3F9E" w:rsidR="000733DC" w:rsidRDefault="000733DC" w:rsidP="000733DC">
      <w:pPr>
        <w:pStyle w:val="Heading4notnumbered"/>
      </w:pPr>
      <w:r>
        <w:t>Authors</w:t>
      </w:r>
    </w:p>
    <w:p w14:paraId="21CB91E0" w14:textId="5F3EA8F3" w:rsidR="008E4219" w:rsidRPr="008E4219" w:rsidRDefault="00D31C40" w:rsidP="008E4219">
      <w:pPr>
        <w:pStyle w:val="BodyText"/>
      </w:pPr>
      <w:r>
        <w:t xml:space="preserve">Tom </w:t>
      </w:r>
      <w:r w:rsidR="008E4219">
        <w:t>Hatton</w:t>
      </w:r>
      <w:r>
        <w:t xml:space="preserve">, Philip </w:t>
      </w:r>
      <w:r w:rsidR="008E4219">
        <w:t>Commander,</w:t>
      </w:r>
      <w:r>
        <w:t xml:space="preserve"> Fiona </w:t>
      </w:r>
      <w:r w:rsidR="008E4219">
        <w:t xml:space="preserve">McKenzie, </w:t>
      </w:r>
      <w:r>
        <w:t xml:space="preserve">Jackie </w:t>
      </w:r>
      <w:r w:rsidR="008E4219">
        <w:t>Wright,</w:t>
      </w:r>
      <w:r>
        <w:t xml:space="preserve"> and</w:t>
      </w:r>
      <w:r w:rsidR="008E4219">
        <w:t xml:space="preserve"> </w:t>
      </w:r>
      <w:r>
        <w:t xml:space="preserve">Ben </w:t>
      </w:r>
      <w:r w:rsidR="008E4219">
        <w:t xml:space="preserve">Clennell, </w:t>
      </w:r>
    </w:p>
    <w:p w14:paraId="772803E0" w14:textId="2EB93C7F" w:rsidR="000733DC" w:rsidRDefault="000733DC" w:rsidP="000733DC">
      <w:pPr>
        <w:pStyle w:val="Heading4notnumbered"/>
      </w:pPr>
      <w:r>
        <w:t>Focus</w:t>
      </w:r>
    </w:p>
    <w:p w14:paraId="1352B360" w14:textId="77AF02C3" w:rsidR="000C01D6" w:rsidRPr="000C01D6" w:rsidRDefault="000C01D6" w:rsidP="000C01D6">
      <w:pPr>
        <w:pStyle w:val="BodyText"/>
      </w:pPr>
      <w:r>
        <w:t>P</w:t>
      </w:r>
      <w:r w:rsidRPr="000C01D6">
        <w:t>otential risks arising from the implementation of hydraulic fracture stimulation on the onshore environment of W</w:t>
      </w:r>
      <w:r w:rsidR="002A45A3">
        <w:t>A</w:t>
      </w:r>
      <w:r w:rsidRPr="000C01D6">
        <w:t xml:space="preserve"> and recommendations that may be employed to mitigate these risks</w:t>
      </w:r>
      <w:r w:rsidR="003C77DC">
        <w:t>.</w:t>
      </w:r>
    </w:p>
    <w:p w14:paraId="53D1F50D" w14:textId="77777777" w:rsidR="00F2214A" w:rsidRPr="00822417" w:rsidRDefault="00F2214A" w:rsidP="00F2214A">
      <w:pPr>
        <w:pStyle w:val="Heading4notnumbered"/>
      </w:pPr>
      <w:r>
        <w:t xml:space="preserve">Key findings </w:t>
      </w:r>
    </w:p>
    <w:p w14:paraId="54A86208" w14:textId="11C69F33" w:rsidR="009C3FDF" w:rsidRPr="005A442F" w:rsidRDefault="005A12BF" w:rsidP="005A12BF">
      <w:pPr>
        <w:pStyle w:val="BodyText"/>
      </w:pPr>
      <w:r w:rsidRPr="005A442F">
        <w:t>Overall, the findings support a broad conclusion that the international standards for the</w:t>
      </w:r>
      <w:r w:rsidR="007D389F" w:rsidRPr="005A442F">
        <w:t xml:space="preserve"> </w:t>
      </w:r>
      <w:r w:rsidRPr="005A442F">
        <w:t>design, construction and operation of an individual petroleum well (incorporating hydraulic</w:t>
      </w:r>
      <w:r w:rsidR="007D389F" w:rsidRPr="005A442F">
        <w:t xml:space="preserve"> </w:t>
      </w:r>
      <w:r w:rsidRPr="005A442F">
        <w:t>fracture stimulation) if properly executed and located, generally limit risks to the</w:t>
      </w:r>
      <w:r w:rsidR="007D389F" w:rsidRPr="005A442F">
        <w:t xml:space="preserve"> </w:t>
      </w:r>
      <w:r w:rsidRPr="005A442F">
        <w:t xml:space="preserve">environment and people to a low level. </w:t>
      </w:r>
    </w:p>
    <w:p w14:paraId="0BD61C6E" w14:textId="0C722F9A" w:rsidR="001449D4" w:rsidRPr="005A442F" w:rsidRDefault="001449D4" w:rsidP="001449D4">
      <w:pPr>
        <w:pStyle w:val="BodyText"/>
      </w:pPr>
      <w:r w:rsidRPr="005A442F">
        <w:t>Fluid spills at the well site are the most serious threat to groundwater quality.</w:t>
      </w:r>
    </w:p>
    <w:p w14:paraId="7B3E5A68" w14:textId="3450F60A" w:rsidR="00764F4F" w:rsidRPr="005A442F" w:rsidRDefault="00764F4F" w:rsidP="00076B76">
      <w:pPr>
        <w:pStyle w:val="BodyText"/>
      </w:pPr>
      <w:r w:rsidRPr="005A442F">
        <w:t>Key to the safety and effectiveness of unconventional oil and gas development is the</w:t>
      </w:r>
      <w:r w:rsidR="00076B76" w:rsidRPr="005A442F">
        <w:t xml:space="preserve"> design and life cycle of the wells themselves, and the chemicals and infrastructure used to hydraulically stimulate the fractures.</w:t>
      </w:r>
    </w:p>
    <w:p w14:paraId="20FBA006" w14:textId="497B6245" w:rsidR="00AC4271" w:rsidRPr="005A442F" w:rsidRDefault="00AC4271" w:rsidP="00AC4271">
      <w:pPr>
        <w:pStyle w:val="BodyText"/>
      </w:pPr>
      <w:r w:rsidRPr="005A442F">
        <w:t>It is the possibility of well integrity failures and associated pollution of the environment that underpins the preponderance of real and perceived risk to the environment and people.</w:t>
      </w:r>
    </w:p>
    <w:p w14:paraId="73729AA5" w14:textId="12469881" w:rsidR="00C84172" w:rsidRPr="005A442F" w:rsidRDefault="00C84172" w:rsidP="0005361B">
      <w:pPr>
        <w:pStyle w:val="BodyText"/>
      </w:pPr>
      <w:r w:rsidRPr="005A442F">
        <w:t>The risk to water resources through below-ground pathways for contaminants is</w:t>
      </w:r>
      <w:r w:rsidR="00EC4944" w:rsidRPr="005A442F">
        <w:t xml:space="preserve"> </w:t>
      </w:r>
      <w:r w:rsidRPr="005A442F">
        <w:t xml:space="preserve">generally </w:t>
      </w:r>
      <w:r w:rsidR="00EC4944" w:rsidRPr="005A442F">
        <w:t>low</w:t>
      </w:r>
      <w:r w:rsidR="0005361B" w:rsidRPr="005A442F">
        <w:t xml:space="preserve"> </w:t>
      </w:r>
      <w:r w:rsidR="00671B56" w:rsidRPr="005A442F">
        <w:t>…</w:t>
      </w:r>
      <w:r w:rsidR="0005361B" w:rsidRPr="005A442F">
        <w:t>[however the] most consistently raised concern in all public meetings and submissions was the impact</w:t>
      </w:r>
      <w:r w:rsidR="00C04D09" w:rsidRPr="005A442F">
        <w:t xml:space="preserve"> </w:t>
      </w:r>
      <w:r w:rsidR="0005361B" w:rsidRPr="005A442F">
        <w:t>of hydraulic fracture stimulation and its associated activities on water.</w:t>
      </w:r>
    </w:p>
    <w:p w14:paraId="39554B21" w14:textId="7800DAEC" w:rsidR="00AA165B" w:rsidRPr="005A442F" w:rsidRDefault="00AA165B" w:rsidP="00AA165B">
      <w:pPr>
        <w:pStyle w:val="BodyText"/>
      </w:pPr>
      <w:r w:rsidRPr="005A442F">
        <w:t xml:space="preserve">Finding 76: The global best practice standards for the design, construction and operation of oil and gas wells, including those relating to hydraulic fracture stimulation, are generally sufficient if competently executed and complied with. </w:t>
      </w:r>
    </w:p>
    <w:p w14:paraId="5206D0D4" w14:textId="19559FBF" w:rsidR="00CC6401" w:rsidRPr="005A442F" w:rsidRDefault="00C04D09" w:rsidP="005A12BF">
      <w:pPr>
        <w:pStyle w:val="BodyText"/>
      </w:pPr>
      <w:r w:rsidRPr="005A442F">
        <w:t>T</w:t>
      </w:r>
      <w:r w:rsidR="005A12BF" w:rsidRPr="005A442F">
        <w:t xml:space="preserve">he </w:t>
      </w:r>
      <w:r w:rsidR="00400022">
        <w:t>r</w:t>
      </w:r>
      <w:r w:rsidR="005A12BF" w:rsidRPr="005A442F">
        <w:t>eport identified the opportunity to</w:t>
      </w:r>
      <w:r w:rsidR="007D389F" w:rsidRPr="005A442F">
        <w:t xml:space="preserve"> </w:t>
      </w:r>
      <w:r w:rsidR="005A12BF" w:rsidRPr="005A442F">
        <w:t>further reduce risks with a set of recommendations for additional prescriptive regulation.</w:t>
      </w:r>
      <w:r w:rsidR="00CC6401" w:rsidRPr="005A442F">
        <w:t xml:space="preserve"> </w:t>
      </w:r>
      <w:r w:rsidR="005A12BF" w:rsidRPr="005A442F">
        <w:t>Many of these recommendations are technical or procedural in nature, related to</w:t>
      </w:r>
      <w:r w:rsidR="007D389F" w:rsidRPr="005A442F">
        <w:t xml:space="preserve"> </w:t>
      </w:r>
      <w:r w:rsidR="005A12BF" w:rsidRPr="005A442F">
        <w:t>environmental baselining and monitoring, chemical use, waste and emissions management,</w:t>
      </w:r>
      <w:r w:rsidR="007D389F" w:rsidRPr="005A442F">
        <w:t xml:space="preserve"> </w:t>
      </w:r>
      <w:r w:rsidR="005A12BF" w:rsidRPr="005A442F">
        <w:t xml:space="preserve">separation distances, decommissioning, and rehabilitation. </w:t>
      </w:r>
    </w:p>
    <w:p w14:paraId="3AB94190" w14:textId="576EB44B" w:rsidR="000733DC" w:rsidRPr="005A442F" w:rsidRDefault="005A12BF" w:rsidP="005A12BF">
      <w:pPr>
        <w:pStyle w:val="BodyText"/>
      </w:pPr>
      <w:r w:rsidRPr="005A442F">
        <w:t xml:space="preserve">The </w:t>
      </w:r>
      <w:r w:rsidR="00400022">
        <w:t>r</w:t>
      </w:r>
      <w:r w:rsidRPr="005A442F">
        <w:t>eport recommends that</w:t>
      </w:r>
      <w:r w:rsidR="007D389F" w:rsidRPr="005A442F">
        <w:t xml:space="preserve"> </w:t>
      </w:r>
      <w:r w:rsidRPr="005A442F">
        <w:t>most of these could be given effect through an enforceable Code of Practice. The associated</w:t>
      </w:r>
      <w:r w:rsidR="007D389F" w:rsidRPr="005A442F">
        <w:t xml:space="preserve"> </w:t>
      </w:r>
      <w:r w:rsidRPr="005A442F">
        <w:t>recommendations in this regard directly deliver to the Terms of Reference request for ‘a</w:t>
      </w:r>
      <w:r w:rsidR="007D389F" w:rsidRPr="005A442F">
        <w:t xml:space="preserve"> </w:t>
      </w:r>
      <w:r w:rsidRPr="005A442F">
        <w:t>scientific approach to regulating hydraulic fracture stimulation’.</w:t>
      </w:r>
    </w:p>
    <w:p w14:paraId="6C9BD329"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517816F7" w14:textId="4979349B" w:rsidR="00FA3C6A" w:rsidRDefault="00D25160" w:rsidP="00FA3C6A">
      <w:pPr>
        <w:pStyle w:val="BodyText"/>
      </w:pPr>
      <w:r>
        <w:t xml:space="preserve">A qualitative review of the findings from </w:t>
      </w:r>
      <w:r w:rsidRPr="00CF5AA9">
        <w:t xml:space="preserve">Hatton et al. </w:t>
      </w:r>
      <w:r>
        <w:t>(</w:t>
      </w:r>
      <w:r w:rsidRPr="00CF5AA9">
        <w:t>2018)</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_Ref14708083 \h </w:instrText>
      </w:r>
      <w:r w:rsidR="005A442F" w:rsidRPr="005A442F">
        <w:instrText xml:space="preserve"> \* MERGEFORMAT </w:instrText>
      </w:r>
      <w:r w:rsidRPr="005A442F">
        <w:fldChar w:fldCharType="separate"/>
      </w:r>
      <w:r w:rsidR="00073927">
        <w:t xml:space="preserve">Table </w:t>
      </w:r>
      <w:r w:rsidR="00073927">
        <w:rPr>
          <w:noProof/>
        </w:rPr>
        <w:t>14</w:t>
      </w:r>
      <w:r w:rsidRPr="005A442F">
        <w:fldChar w:fldCharType="end"/>
      </w:r>
      <w:r>
        <w:t>.</w:t>
      </w:r>
      <w:r w:rsidR="00FA3C6A">
        <w:br w:type="page"/>
      </w:r>
    </w:p>
    <w:p w14:paraId="60EEF895" w14:textId="3EF1C10D" w:rsidR="00CF5AA9" w:rsidRDefault="00CF5AA9" w:rsidP="00FA3C6A">
      <w:pPr>
        <w:pStyle w:val="Caption"/>
        <w:keepLines/>
      </w:pPr>
      <w:bookmarkStart w:id="109" w:name="_Ref14708083"/>
      <w:bookmarkStart w:id="110" w:name="_Ref14707327"/>
      <w:bookmarkStart w:id="111" w:name="_Toc36042897"/>
      <w:r>
        <w:t xml:space="preserve">Table </w:t>
      </w:r>
      <w:r>
        <w:fldChar w:fldCharType="begin"/>
      </w:r>
      <w:r>
        <w:instrText>SEQ Table \* ARABIC</w:instrText>
      </w:r>
      <w:r>
        <w:fldChar w:fldCharType="separate"/>
      </w:r>
      <w:r w:rsidR="00073927">
        <w:rPr>
          <w:noProof/>
        </w:rPr>
        <w:t>14</w:t>
      </w:r>
      <w:r>
        <w:fldChar w:fldCharType="end"/>
      </w:r>
      <w:bookmarkEnd w:id="109"/>
      <w:r>
        <w:t xml:space="preserve"> </w:t>
      </w:r>
      <w:r w:rsidRPr="00FD5270">
        <w:t xml:space="preserve">Excerpts from </w:t>
      </w:r>
      <w:r w:rsidRPr="00CF5AA9">
        <w:t xml:space="preserve">Hatton et al. </w:t>
      </w:r>
      <w:r>
        <w:t>(</w:t>
      </w:r>
      <w:r w:rsidRPr="00CF5AA9">
        <w:t>2018)</w:t>
      </w:r>
      <w:r>
        <w:t xml:space="preserve"> </w:t>
      </w:r>
      <w:r w:rsidRPr="00FD5270">
        <w:t>related to each impact mode</w:t>
      </w:r>
      <w:bookmarkEnd w:id="110"/>
      <w:bookmarkEnd w:id="111"/>
    </w:p>
    <w:tbl>
      <w:tblPr>
        <w:tblStyle w:val="TableBAHeaderRow"/>
        <w:tblpPr w:leftFromText="180" w:rightFromText="180" w:vertAnchor="text" w:tblpY="1"/>
        <w:tblOverlap w:val="never"/>
        <w:tblW w:w="9771" w:type="dxa"/>
        <w:tblInd w:w="0" w:type="dxa"/>
        <w:tblLook w:val="04A0" w:firstRow="1" w:lastRow="0" w:firstColumn="1" w:lastColumn="0" w:noHBand="0" w:noVBand="1"/>
      </w:tblPr>
      <w:tblGrid>
        <w:gridCol w:w="444"/>
        <w:gridCol w:w="1891"/>
        <w:gridCol w:w="973"/>
        <w:gridCol w:w="6463"/>
      </w:tblGrid>
      <w:tr w:rsidR="00273D75" w14:paraId="60A28870" w14:textId="77777777" w:rsidTr="00E866A2">
        <w:trPr>
          <w:cnfStyle w:val="100000000000" w:firstRow="1" w:lastRow="0" w:firstColumn="0" w:lastColumn="0" w:oddVBand="0" w:evenVBand="0" w:oddHBand="0" w:evenHBand="0" w:firstRowFirstColumn="0" w:firstRowLastColumn="0" w:lastRowFirstColumn="0" w:lastRowLastColumn="0"/>
          <w:tblHeader/>
        </w:trPr>
        <w:tc>
          <w:tcPr>
            <w:tcW w:w="0" w:type="auto"/>
          </w:tcPr>
          <w:p w14:paraId="73A9F9B5" w14:textId="77777777" w:rsidR="00273D75" w:rsidRPr="00E866A2" w:rsidRDefault="00273D75" w:rsidP="00FA3C6A">
            <w:pPr>
              <w:pStyle w:val="TableHeading"/>
              <w:keepNext/>
              <w:keepLines/>
              <w:rPr>
                <w:b/>
              </w:rPr>
            </w:pPr>
            <w:bookmarkStart w:id="112" w:name="_Hlk14707251"/>
          </w:p>
        </w:tc>
        <w:tc>
          <w:tcPr>
            <w:tcW w:w="0" w:type="auto"/>
          </w:tcPr>
          <w:p w14:paraId="5ADD7EC7" w14:textId="65CA79F5" w:rsidR="00273D75" w:rsidRPr="00E866A2" w:rsidRDefault="00273D75" w:rsidP="00FA3C6A">
            <w:pPr>
              <w:pStyle w:val="TableHeading"/>
              <w:keepNext/>
              <w:keepLines/>
              <w:rPr>
                <w:b/>
              </w:rPr>
            </w:pPr>
            <w:r w:rsidRPr="00E866A2">
              <w:rPr>
                <w:b/>
              </w:rPr>
              <w:t>Impact Mode</w:t>
            </w:r>
          </w:p>
        </w:tc>
        <w:tc>
          <w:tcPr>
            <w:tcW w:w="973" w:type="dxa"/>
          </w:tcPr>
          <w:p w14:paraId="7E557307" w14:textId="77777777" w:rsidR="00273D75" w:rsidRPr="00E866A2" w:rsidRDefault="00273D75" w:rsidP="00FA3C6A">
            <w:pPr>
              <w:pStyle w:val="TableHeading"/>
              <w:keepNext/>
              <w:keepLines/>
              <w:rPr>
                <w:b/>
              </w:rPr>
            </w:pPr>
            <w:r w:rsidRPr="00E866A2">
              <w:rPr>
                <w:b/>
              </w:rPr>
              <w:t>Likelihood score</w:t>
            </w:r>
          </w:p>
        </w:tc>
        <w:tc>
          <w:tcPr>
            <w:tcW w:w="6463" w:type="dxa"/>
          </w:tcPr>
          <w:p w14:paraId="2F2AD279" w14:textId="77BDDB49" w:rsidR="00273D75" w:rsidRPr="00E866A2" w:rsidRDefault="00273D75" w:rsidP="00FA3C6A">
            <w:pPr>
              <w:pStyle w:val="TableHeading"/>
              <w:keepNext/>
              <w:keepLines/>
              <w:rPr>
                <w:b/>
              </w:rPr>
            </w:pPr>
            <w:r w:rsidRPr="00E866A2">
              <w:rPr>
                <w:b/>
              </w:rPr>
              <w:t xml:space="preserve">Key excerpts from: Independent Scientific Panel Inquiry into Hydraulic Fracture Stimulation in Western Australia </w:t>
            </w:r>
            <w:r w:rsidRPr="00E866A2">
              <w:fldChar w:fldCharType="begin" w:fldLock="1"/>
            </w:r>
            <w:r w:rsidRPr="00E866A2">
              <w:rPr>
                <w:b/>
              </w:rPr>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Pr="00E866A2">
              <w:fldChar w:fldCharType="separate"/>
            </w:r>
            <w:r w:rsidRPr="00E866A2">
              <w:rPr>
                <w:b/>
                <w:noProof/>
              </w:rPr>
              <w:t>(Hatton et al., 2018)</w:t>
            </w:r>
            <w:r w:rsidRPr="00E866A2">
              <w:fldChar w:fldCharType="end"/>
            </w:r>
          </w:p>
        </w:tc>
      </w:tr>
      <w:tr w:rsidR="0024219A" w:rsidRPr="00A8172F" w14:paraId="70FE2ED3" w14:textId="77777777" w:rsidTr="0078111C">
        <w:trPr>
          <w:cnfStyle w:val="000000100000" w:firstRow="0" w:lastRow="0" w:firstColumn="0" w:lastColumn="0" w:oddVBand="0" w:evenVBand="0" w:oddHBand="1" w:evenHBand="0" w:firstRowFirstColumn="0" w:firstRowLastColumn="0" w:lastRowFirstColumn="0" w:lastRowLastColumn="0"/>
        </w:trPr>
        <w:tc>
          <w:tcPr>
            <w:tcW w:w="9771" w:type="dxa"/>
            <w:gridSpan w:val="4"/>
          </w:tcPr>
          <w:p w14:paraId="2DB3A916" w14:textId="652DAF60" w:rsidR="0024219A" w:rsidRPr="00FA3C6A" w:rsidRDefault="0024219A" w:rsidP="00FA3C6A">
            <w:pPr>
              <w:pStyle w:val="TableText"/>
              <w:keepNext/>
              <w:keepLines/>
              <w:rPr>
                <w:b/>
              </w:rPr>
            </w:pPr>
            <w:r w:rsidRPr="00FA3C6A">
              <w:rPr>
                <w:b/>
                <w:bCs/>
              </w:rPr>
              <w:t>Hydraulic fracture growth</w:t>
            </w:r>
          </w:p>
        </w:tc>
      </w:tr>
      <w:tr w:rsidR="00273D75" w:rsidRPr="00A8172F" w14:paraId="6C2DBAA0"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62575873" w14:textId="674529FE" w:rsidR="00273D75" w:rsidRPr="00EA63C0" w:rsidRDefault="00273D75" w:rsidP="00FA3C6A">
            <w:pPr>
              <w:pStyle w:val="TableText"/>
              <w:keepNext/>
              <w:keepLines/>
            </w:pPr>
            <w:r>
              <w:t>F.1</w:t>
            </w:r>
          </w:p>
        </w:tc>
        <w:tc>
          <w:tcPr>
            <w:tcW w:w="0" w:type="auto"/>
          </w:tcPr>
          <w:p w14:paraId="4BE92119" w14:textId="4C3F3F42" w:rsidR="00273D75" w:rsidRPr="00A8172F" w:rsidRDefault="00273D75" w:rsidP="00FA3C6A">
            <w:pPr>
              <w:pStyle w:val="TableText"/>
              <w:keepNext/>
              <w:keepLines/>
            </w:pPr>
            <w:r>
              <w:t>Hydraulic fracture growth into aquifer</w:t>
            </w:r>
          </w:p>
        </w:tc>
        <w:tc>
          <w:tcPr>
            <w:tcW w:w="973" w:type="dxa"/>
          </w:tcPr>
          <w:p w14:paraId="49A79672" w14:textId="4473BBED" w:rsidR="00273D75" w:rsidRDefault="00273D75" w:rsidP="00FA3C6A">
            <w:pPr>
              <w:pStyle w:val="TableText"/>
              <w:keepNext/>
              <w:keepLines/>
            </w:pPr>
            <w:r>
              <w:t>Rare</w:t>
            </w:r>
          </w:p>
        </w:tc>
        <w:tc>
          <w:tcPr>
            <w:tcW w:w="6463" w:type="dxa"/>
          </w:tcPr>
          <w:p w14:paraId="428AE418" w14:textId="7D28AB49" w:rsidR="00273D75" w:rsidRDefault="00273D75" w:rsidP="00FA3C6A">
            <w:pPr>
              <w:pStyle w:val="TableText"/>
              <w:keepNext/>
              <w:keepLines/>
            </w:pPr>
            <w:r>
              <w:t>“…hydraulic fracture growth and limits to fracture extent are complex topics that depend on the geology and stress state.” p143</w:t>
            </w:r>
          </w:p>
          <w:p w14:paraId="72D4ABA1" w14:textId="77777777" w:rsidR="00273D75" w:rsidRDefault="00273D75" w:rsidP="00FA3C6A">
            <w:pPr>
              <w:pStyle w:val="TableText"/>
              <w:keepNext/>
              <w:keepLines/>
            </w:pPr>
          </w:p>
          <w:p w14:paraId="21A51BC9" w14:textId="5F82A71B" w:rsidR="00273D75" w:rsidRDefault="00273D75" w:rsidP="00FA3C6A">
            <w:pPr>
              <w:pStyle w:val="TableText"/>
              <w:keepNext/>
              <w:keepLines/>
            </w:pPr>
            <w:r>
              <w:t xml:space="preserve">“… [The] understanding of hydraulic fracture stimulation processes is mature, in that we have a reasonably complete view of the physical processes involved (see review by </w:t>
            </w:r>
            <w:r>
              <w:fldChar w:fldCharType="begin" w:fldLock="1"/>
            </w:r>
            <w:r>
              <w:instrText>ADDIN CSL_CITATION {"citationItems":[{"id":"ITEM-1","itemData":{"DOI":"10.1146/annurev-fluid-010814-014736","ISSN":"0066-4189","abstract":"© Copyright 2016 by Annual Reviews. All rights reserved.Hydraulic fractures represent a particular class of tensile fractures that propagate in solid media under pre-existing compressive stresses as a result of internal pressurization by an injected viscous fluid. The main application of engineered hydraulic fractures is the stimulation of oil and gas wells to increase production. Several physical processes affect the propagation of these fractures, including the flow of viscous fluid, creation of solid surfaces, and leak-off of fracturing fluid. The interplay and the competition between these processes lead to multiple length scales and timescales in the system, which reveal the shifting influence of the far-field stress, viscous dissipation, fracture energy, and leak-off as the fracture propagates.","author":[{"dropping-particle":"","family":"Detournay","given":"Emmanuel","non-dropping-particle":"","parse-names":false,"suffix":""}],"container-title":"Annual Review of Fluid Mechanics","id":"ITEM-1","issue":"1","issued":{"date-parts":[["2016"]]},"page":"311-339","title":"Mechanics of Hydraulic Fractures","type":"article-journal","volume":"48"},"uris":["http://www.mendeley.com/documents/?uuid=6c6f48e7-56bf-45a2-9717-3227c7462e06"]}],"mendeley":{"formattedCitation":"(Detournay, 2016)","manualFormatting":"Detournay (2016)","plainTextFormattedCitation":"(Detournay, 2016)","previouslyFormattedCitation":"(Detournay, 2016)"},"properties":{"noteIndex":0},"schema":"https://github.com/citation-style-language/schema/raw/master/csl-citation.json"}</w:instrText>
            </w:r>
            <w:r>
              <w:fldChar w:fldCharType="separate"/>
            </w:r>
            <w:r w:rsidRPr="00001392">
              <w:rPr>
                <w:noProof/>
              </w:rPr>
              <w:t xml:space="preserve">Detournay </w:t>
            </w:r>
            <w:r>
              <w:rPr>
                <w:noProof/>
              </w:rPr>
              <w:t>(</w:t>
            </w:r>
            <w:r w:rsidRPr="00001392">
              <w:rPr>
                <w:noProof/>
              </w:rPr>
              <w:t>2016)</w:t>
            </w:r>
            <w:r>
              <w:fldChar w:fldCharType="end"/>
            </w:r>
            <w:r>
              <w:rPr>
                <w:rStyle w:val="CommentReference"/>
                <w:rFonts w:ascii="Arial" w:eastAsia="Times" w:hAnsi="Arial"/>
              </w:rPr>
              <w:t>)</w:t>
            </w:r>
            <w:r>
              <w:t>… [however] practical solutions usually involve many simplifications (</w:t>
            </w:r>
            <w:r>
              <w:fldChar w:fldCharType="begin" w:fldLock="1"/>
            </w:r>
            <w:r w:rsidR="00563B8C">
              <w:instrText>ADDIN CSL_CITATION {"citationItems":[{"id":"ITEM-1","itemData":{"DOI":"10.1016/j.jngse.2017.10.012","ISSN":"18755100","abstract":"Development of numerical methods for hydraulic fracture simulation has accelerated in the past two decades. Recent advances in hydraulic fracture modeling and simulation are driven by increased industry and research activity in oil and gas, a drive toward consideration of more complex behaviors associated with layered and naturally-fractured rock formations, and a deepening understanding of the underlying mathematical model and its intrinsic challenges. Here we review the basic approaches being employed. Some of these comprise enhancements of classical methods, while others are imported from other fields of mechanics but are completely new in their application to hydraulic fracturing. After a description of the intrinsic challenges associated with the mechanics of fluid-driven fractures, we discuss both continuum and meso-scales numerical methods as well as engineering models which typically make use of additional assumptions to reduce computational cost. We pay particular attention to the verification and validation of numerical models, which is increasingly enabled by an ever-expanding library of laboratory experiments and analytical solutions for simple geometries in a number of different propagation regimes. A number of challenges remain and are amplified with a drive toward fully-coupled, three-dimensional hydraulic fracture modeling that accounts for host-rock heterogeneity. In the context of such a drive to complex models, we argue that the importance of best-practice development that includes careful verification and validation is vital to ensure progress is constrained by the appropriate underlying physics and mathematics with a constant attention to identifying conditions under which simpler models suffice for the intended modeling purposes.","author":[{"dropping-particle":"","family":"Lecampion","given":"Brice","non-dropping-particle":"","parse-names":false,"suffix":""},{"dropping-particle":"","family":"Bunger","given":"Andrew","non-dropping-particle":"","parse-names":false,"suffix":""},{"dropping-particle":"","family":"Zhang","given":"Xi","non-dropping-particle":"","parse-names":false,"suffix":""}],"container-title":"Journal of Natural Gas Science and Engineering","id":"ITEM-1","issue":"October 2017","issued":{"date-parts":[["2018"]]},"page":"66-83","publisher":"Elsevier","title":"Numerical methods for hydraulic fracture propagation: A review of recent trends","type":"article-journal","volume":"49"},"uris":["http://www.mendeley.com/documents/?uuid=f9412b6d-2657-48de-956f-15ad7c0c0062"]}],"mendeley":{"formattedCitation":"(Lecampion, Bunger and Zhang, 2018)","manualFormatting":"(Lecampion et al., 2018)","plainTextFormattedCitation":"(Lecampion, Bunger and Zhang, 2018)","previouslyFormattedCitation":"(Lecampion, Bunger and Zhang, 2018)"},"properties":{"noteIndex":0},"schema":"https://github.com/citation-style-language/schema/raw/master/csl-citation.json"}</w:instrText>
            </w:r>
            <w:r>
              <w:fldChar w:fldCharType="separate"/>
            </w:r>
            <w:r w:rsidRPr="00001392">
              <w:rPr>
                <w:noProof/>
              </w:rPr>
              <w:t>(Lecampion</w:t>
            </w:r>
            <w:r w:rsidR="004E0C5F">
              <w:rPr>
                <w:noProof/>
              </w:rPr>
              <w:t xml:space="preserve"> et al.,</w:t>
            </w:r>
            <w:r w:rsidRPr="00001392">
              <w:rPr>
                <w:noProof/>
              </w:rPr>
              <w:t xml:space="preserve"> 2018)</w:t>
            </w:r>
            <w:r>
              <w:fldChar w:fldCharType="end"/>
            </w:r>
            <w:r>
              <w:t>).” p143</w:t>
            </w:r>
          </w:p>
          <w:p w14:paraId="4B8DAC22" w14:textId="3D4E1823" w:rsidR="00273D75" w:rsidRDefault="00273D75" w:rsidP="00FA3C6A">
            <w:pPr>
              <w:pStyle w:val="TableText"/>
              <w:keepNext/>
              <w:keepLines/>
            </w:pPr>
          </w:p>
          <w:p w14:paraId="7800C084" w14:textId="540ADCAD" w:rsidR="00273D75" w:rsidRDefault="00273D75" w:rsidP="00FA3C6A">
            <w:pPr>
              <w:pStyle w:val="TableText"/>
              <w:keepNext/>
              <w:keepLines/>
            </w:pPr>
            <w:r>
              <w:t>“Adequate models are based on fundamental physical principles, validated in controlled laboratory experiments and verified</w:t>
            </w:r>
            <w:r w:rsidR="00FD4557">
              <w:t xml:space="preserve"> </w:t>
            </w:r>
            <w:r>
              <w:t>in-situ conditions… The outputs of geomechanical earth models need to include the range of uncertainty, and the models should be regularly updated based on results of drilling fracturing and monitoring. The geomechanical earth model should be fit for purpose, adequately parameterised with data from the local rock formations and the simulations should be conducted and verified by suitably qualified person. Meeting these standards is an essential part of mitigating risk.” p144</w:t>
            </w:r>
          </w:p>
          <w:p w14:paraId="06213FC9" w14:textId="45A33871" w:rsidR="00273D75" w:rsidRDefault="00273D75" w:rsidP="00FA3C6A">
            <w:pPr>
              <w:pStyle w:val="TableText"/>
              <w:keepNext/>
              <w:keepLines/>
            </w:pPr>
          </w:p>
          <w:p w14:paraId="21B91F3E" w14:textId="5657FC03" w:rsidR="00273D75" w:rsidRDefault="00273D75" w:rsidP="00FA3C6A">
            <w:pPr>
              <w:pStyle w:val="TableText"/>
              <w:keepNext/>
              <w:keepLines/>
            </w:pPr>
            <w:r>
              <w:t>“Equally significant is the lack of good data to populate the models. In Western Australia, there is relatively little information collected about either stress state or rock mechanical properties of target formations and overburden rocks.” p144</w:t>
            </w:r>
          </w:p>
          <w:p w14:paraId="4B877823" w14:textId="3BBD9A10" w:rsidR="00273D75" w:rsidRDefault="00273D75" w:rsidP="00FA3C6A">
            <w:pPr>
              <w:pStyle w:val="TableText"/>
              <w:keepNext/>
              <w:keepLines/>
            </w:pPr>
          </w:p>
          <w:p w14:paraId="75F80822" w14:textId="6633E227" w:rsidR="00273D75" w:rsidRDefault="00273D75" w:rsidP="00FA3C6A">
            <w:pPr>
              <w:pStyle w:val="TableText"/>
              <w:keepNext/>
              <w:keepLines/>
              <w:rPr>
                <w:rFonts w:eastAsiaTheme="minorHAnsi" w:cs="Calibri"/>
              </w:rPr>
            </w:pPr>
            <w:r>
              <w:t>“…</w:t>
            </w:r>
            <w:r>
              <w:rPr>
                <w:rFonts w:eastAsiaTheme="minorHAnsi" w:cs="Calibri"/>
              </w:rPr>
              <w:t xml:space="preserve"> a good regulatory environment should encourage data collection, dating sharing and the development and uptake of new </w:t>
            </w:r>
          </w:p>
          <w:p w14:paraId="73CC3A0A" w14:textId="3BC2C362" w:rsidR="00273D75" w:rsidRDefault="00273D75" w:rsidP="00FA3C6A">
            <w:pPr>
              <w:pStyle w:val="TableText"/>
              <w:keepNext/>
              <w:keepLines/>
            </w:pPr>
            <w:r>
              <w:rPr>
                <w:rFonts w:eastAsiaTheme="minorHAnsi" w:cs="Calibri"/>
              </w:rPr>
              <w:t>technologies to further reduce risks.” p144</w:t>
            </w:r>
          </w:p>
          <w:p w14:paraId="6236D2FE" w14:textId="77777777" w:rsidR="00273D75" w:rsidRDefault="00273D75" w:rsidP="00FA3C6A">
            <w:pPr>
              <w:pStyle w:val="TableText"/>
              <w:keepNext/>
              <w:keepLines/>
            </w:pPr>
          </w:p>
          <w:p w14:paraId="18A76085" w14:textId="0D7076FC" w:rsidR="00273D75" w:rsidRDefault="00273D75" w:rsidP="00FA3C6A">
            <w:pPr>
              <w:pStyle w:val="TableText"/>
              <w:keepNext/>
              <w:keepLines/>
            </w:pPr>
            <w:r>
              <w:t>“Knowing the likely maximum lengths of stimulated hydraulic fractures in sedimentary rocks is crucial to decisions on the</w:t>
            </w:r>
            <w:r w:rsidR="00FD4557">
              <w:t xml:space="preserve"> </w:t>
            </w:r>
            <w:r>
              <w:t>safe vertical separation between the depth of stimulation and rock strata not intended for penetration.” P162</w:t>
            </w:r>
          </w:p>
          <w:p w14:paraId="6F12940D" w14:textId="293D7D49" w:rsidR="00273D75" w:rsidRDefault="00273D75" w:rsidP="00FA3C6A">
            <w:pPr>
              <w:pStyle w:val="TableText"/>
              <w:keepNext/>
              <w:keepLines/>
            </w:pPr>
          </w:p>
          <w:p w14:paraId="36FC1E14" w14:textId="3FFBC0D8" w:rsidR="00273D75" w:rsidRDefault="00273D75" w:rsidP="00FA3C6A">
            <w:pPr>
              <w:pStyle w:val="TableText"/>
              <w:keepNext/>
              <w:keepLines/>
            </w:pPr>
            <w:r>
              <w:t>“</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2012)","manualFormatting":"Davies et al. (2012)","plainTextFormattedCitation":"(Davies et al., 2012)","previouslyFormattedCitation":"(Davies &lt;i&gt;et al.&lt;/i&gt;, 2012)"},"properties":{"noteIndex":0},"schema":"https://github.com/citation-style-language/schema/raw/master/csl-citation.json"}</w:instrText>
            </w:r>
            <w:r>
              <w:fldChar w:fldCharType="separate"/>
            </w:r>
            <w:r w:rsidRPr="00001392">
              <w:rPr>
                <w:noProof/>
              </w:rPr>
              <w:t xml:space="preserve">Davies </w:t>
            </w:r>
            <w:r w:rsidRPr="005A442F">
              <w:rPr>
                <w:noProof/>
              </w:rPr>
              <w:t>et al.</w:t>
            </w:r>
            <w:r w:rsidRPr="00001392">
              <w:rPr>
                <w:noProof/>
              </w:rPr>
              <w:t xml:space="preserve"> </w:t>
            </w:r>
            <w:r>
              <w:rPr>
                <w:noProof/>
              </w:rPr>
              <w:t>(</w:t>
            </w:r>
            <w:r w:rsidRPr="00001392">
              <w:rPr>
                <w:noProof/>
              </w:rPr>
              <w:t>2012)</w:t>
            </w:r>
            <w:r>
              <w:fldChar w:fldCharType="end"/>
            </w:r>
            <w:r>
              <w:t>reported that the longest stimulated fracture … was around 600 metres. … they concluded that the probability of a stimulated fracture extending vertically more than 350 metres is about one percent and that very few naturally-occurring fractures or stimulated hydraulic fractures propagate past 500 metres because layered sedimentary rocks of contrasting stiffness provide natural barriers to growth.” P163</w:t>
            </w:r>
          </w:p>
          <w:p w14:paraId="1A58585E" w14:textId="17FD2161" w:rsidR="00273D75" w:rsidRDefault="00273D75" w:rsidP="00FA3C6A">
            <w:pPr>
              <w:pStyle w:val="TableText"/>
              <w:keepNext/>
              <w:keepLines/>
            </w:pPr>
          </w:p>
          <w:p w14:paraId="65B5CAEF" w14:textId="3E048574" w:rsidR="00273D75" w:rsidRDefault="00273D75" w:rsidP="00FA3C6A">
            <w:pPr>
              <w:pStyle w:val="TableText"/>
              <w:keepNext/>
              <w:keepLines/>
            </w:pPr>
            <w:r>
              <w:t>“</w:t>
            </w:r>
            <w:r>
              <w:fldChar w:fldCharType="begin" w:fldLock="1"/>
            </w:r>
            <w:r w:rsidR="001C580C">
              <w:instrText>ADDIN CSL_CITATION {"citationItems":[{"id":"ITEM-1","itemData":{"DOI":"10.1002/grl.50707","ISBN":"0094-8276","ISSN":"00948276","abstract":"The widespread use of hydraulic fracturing (HF) has raised concerns about potential upward migration of HF fluid and brine via induced fractures and faults. We developed a relationship that predicts maximum fracture height as a function of HF fluid volume. These predictions generally bound the vertical extent of microseismicity from over 12,000 HF stimulations across North America. All microseismic events were less than 600 m above well perforations, although most were much closer. Areas of shear displacement (including faults) estimated from microseismic data were comparatively small (radii on the order of 10 m or less). These findings suggest that fracture heights are limited by HF fluid volume regardless of whether the fluid interacts with faults. Direct hydraulic communication between tight formations and shallow groundwater via induced fractures and faults is not a realistic expectation based on the limitations on fracture height growth and potential fault slip.","author":[{"dropping-particle":"","family":"Flewelling","given":"Samuel A.","non-dropping-particle":"","parse-names":false,"suffix":""},{"dropping-particle":"","family":"Tymchak","given":"Matthew P.","non-dropping-particle":"","parse-names":false,"suffix":""},{"dropping-particle":"","family":"Warpinski","given":"Norm","non-dropping-particle":"","parse-names":false,"suffix":""}],"container-title":"Geophysical Research Letters","id":"ITEM-1","issue":"14","issued":{"date-parts":[["2013"]]},"page":"3602-3606","title":"Hydraulic fracture height limits and fault interactions in tight oil and gas formations","type":"article-journal","volume":"40"},"uris":["http://www.mendeley.com/documents/?uuid=a66da44d-9c34-469a-bf67-0f8aae67f7f3"]}],"mendeley":{"formattedCitation":"(Flewelling, Tymchak and Warpinski, 2013)","manualFormatting":"Flewelling et al., (2013)","plainTextFormattedCitation":"(Flewelling, Tymchak and Warpinski, 2013)","previouslyFormattedCitation":"(Flewelling, Tymchak and Warpinski, 2013)"},"properties":{"noteIndex":0},"schema":"https://github.com/citation-style-language/schema/raw/master/csl-citation.json"}</w:instrText>
            </w:r>
            <w:r>
              <w:fldChar w:fldCharType="separate"/>
            </w:r>
            <w:r w:rsidRPr="00D62296">
              <w:rPr>
                <w:noProof/>
              </w:rPr>
              <w:t>Flewelling</w:t>
            </w:r>
            <w:r w:rsidR="004E0C5F">
              <w:rPr>
                <w:noProof/>
              </w:rPr>
              <w:t xml:space="preserve"> et a</w:t>
            </w:r>
            <w:r w:rsidR="009E07F0">
              <w:rPr>
                <w:noProof/>
              </w:rPr>
              <w:t>l</w:t>
            </w:r>
            <w:r w:rsidR="004E0C5F">
              <w:rPr>
                <w:noProof/>
              </w:rPr>
              <w:t>.,</w:t>
            </w:r>
            <w:r>
              <w:rPr>
                <w:noProof/>
              </w:rPr>
              <w:t xml:space="preserve"> (</w:t>
            </w:r>
            <w:r w:rsidRPr="00D62296">
              <w:rPr>
                <w:noProof/>
              </w:rPr>
              <w:t>2013)</w:t>
            </w:r>
            <w:r>
              <w:fldChar w:fldCharType="end"/>
            </w:r>
            <w:r>
              <w:t xml:space="preserve"> reported … modelling constrained by data from 12,000 hydraulic fracture stimulations that the maximum observed vertical fracture length was about 600 metres.” p163</w:t>
            </w:r>
          </w:p>
          <w:p w14:paraId="15450226" w14:textId="77777777" w:rsidR="00273D75" w:rsidRDefault="00273D75" w:rsidP="00FA3C6A">
            <w:pPr>
              <w:pStyle w:val="TableText"/>
              <w:keepNext/>
              <w:keepLines/>
            </w:pPr>
          </w:p>
          <w:p w14:paraId="41E803BE" w14:textId="5C41D5D7" w:rsidR="00273D75" w:rsidRDefault="00273D75" w:rsidP="00FA3C6A">
            <w:pPr>
              <w:pStyle w:val="TableText"/>
              <w:keepNext/>
              <w:keepLines/>
            </w:pPr>
            <w:r>
              <w:t>“</w:t>
            </w:r>
            <w:r>
              <w:fldChar w:fldCharType="begin" w:fldLock="1"/>
            </w:r>
            <w:r w:rsidR="001C580C">
              <w:instrText>ADDIN CSL_CITATION {"citationItems":[{"id":"ITEM-1","itemData":{"DOI":"10.1002/grl.50707","ISBN":"0094-8276","ISSN":"00948276","abstract":"The widespread use of hydraulic fracturing (HF) has raised concerns about potential upward migration of HF fluid and brine via induced fractures and faults. We developed a relationship that predicts maximum fracture height as a function of HF fluid volume. These predictions generally bound the vertical extent of microseismicity from over 12,000 HF stimulations across North America. All microseismic events were less than 600 m above well perforations, although most were much closer. Areas of shear displacement (including faults) estimated from microseismic data were comparatively small (radii on the order of 10 m or less). These findings suggest that fracture heights are limited by HF fluid volume regardless of whether the fluid interacts with faults. Direct hydraulic communication between tight formations and shallow groundwater via induced fractures and faults is not a realistic expectation based on the limitations on fracture height growth and potential fault slip.","author":[{"dropping-particle":"","family":"Flewelling","given":"Samuel A.","non-dropping-particle":"","parse-names":false,"suffix":""},{"dropping-particle":"","family":"Tymchak","given":"Matthew P.","non-dropping-particle":"","parse-names":false,"suffix":""},{"dropping-particle":"","family":"Warpinski","given":"Norm","non-dropping-particle":"","parse-names":false,"suffix":""}],"container-title":"Geophysical Research Letters","id":"ITEM-1","issue":"14","issued":{"date-parts":[["2013"]]},"page":"3602-3606","title":"Hydraulic fracture height limits and fault interactions in tight oil and gas formations","type":"article-journal","volume":"40"},"uris":["http://www.mendeley.com/documents/?uuid=a66da44d-9c34-469a-bf67-0f8aae67f7f3"]}],"mendeley":{"formattedCitation":"(Flewelling, Tymchak and Warpinski, 2013)","manualFormatting":"Flewelling et al., (2013)","plainTextFormattedCitation":"(Flewelling, Tymchak and Warpinski, 2013)","previouslyFormattedCitation":"(Flewelling, Tymchak and Warpinski, 2013)"},"properties":{"noteIndex":0},"schema":"https://github.com/citation-style-language/schema/raw/master/csl-citation.json"}</w:instrText>
            </w:r>
            <w:r>
              <w:fldChar w:fldCharType="separate"/>
            </w:r>
            <w:r w:rsidRPr="00D62296">
              <w:rPr>
                <w:noProof/>
              </w:rPr>
              <w:t>Flewelling</w:t>
            </w:r>
            <w:r w:rsidR="009E07F0">
              <w:rPr>
                <w:noProof/>
              </w:rPr>
              <w:t xml:space="preserve"> et al.,</w:t>
            </w:r>
            <w:r w:rsidRPr="00D62296">
              <w:rPr>
                <w:noProof/>
              </w:rPr>
              <w:t xml:space="preserve"> </w:t>
            </w:r>
            <w:r>
              <w:rPr>
                <w:noProof/>
              </w:rPr>
              <w:t>(</w:t>
            </w:r>
            <w:r w:rsidRPr="00D62296">
              <w:rPr>
                <w:noProof/>
              </w:rPr>
              <w:t>2013)</w:t>
            </w:r>
            <w:r>
              <w:fldChar w:fldCharType="end"/>
            </w:r>
            <w:r>
              <w:t xml:space="preserve"> also reported that it was not physically plausible for induced fractures to create a hydraulic connection between the deep back shales and other tight formations and overlying potable aquifers, since all of the fracturing (in those studies) took place at depths much greater than this limit. They concluded that direct hydraulic communication between tight formations and shallow groundwater via induced fractures and faults is not a realistic expectation based on limitations to fracture height growth and potential fault slip.” p163</w:t>
            </w:r>
          </w:p>
          <w:p w14:paraId="15D32EB5" w14:textId="77777777" w:rsidR="00273D75" w:rsidRDefault="00273D75" w:rsidP="00FA3C6A">
            <w:pPr>
              <w:pStyle w:val="TableText"/>
              <w:keepNext/>
              <w:keepLines/>
            </w:pPr>
          </w:p>
          <w:p w14:paraId="7DC0A55D" w14:textId="4BD77C6F" w:rsidR="00273D75" w:rsidRDefault="00273D75" w:rsidP="00FA3C6A">
            <w:pPr>
              <w:pStyle w:val="TableText"/>
              <w:keepNext/>
              <w:keepLines/>
            </w:pPr>
            <w:r>
              <w:t xml:space="preserve">“Scenarios [modelled for the case of the Bowland Shale in Lancashire in the United Kingdom by </w:t>
            </w:r>
            <w:r>
              <w:fldChar w:fldCharType="begin" w:fldLock="1"/>
            </w:r>
            <w:r>
              <w:instrText>ADDIN CSL_CITATION {"citationItems":[{"id":"ITEM-1","itemData":{"DOI":"10.1002/2017WR021234","ISSN":"19447973","abstract":"Groundwater ﬂow resulting from a proposed hydraulic fracturing (fracking) operation was numerically modeled using 91 scenarios. Scenarios were chosen to be a combination of hydrogeological factors that a priori would control the long-term migration of fracking ﬂuids to the shallow subsurface. These factors were induced fracture extent, cross-basin groundwater ﬂow, deep low hydraulic conductivity strata, deep high hydraulic conductivity strata, fault hydraulic conductivity, and overpressure. The study considered the Bowland Basin, northwest England, with fracking of the Bowland Shale at 2,000 m depth and the shallow aquifer being the Sherwood Sandstone at 300–500 m depth. Of the 91 scenarios, 73 scenarios resulted in tracked particles not reaching the shallow aquifer within 10,000 years and 18 resulted in travel times less than 10,000 years. Four factors proved to have a statistically signiﬁcant impact on reducing travel time to the aquifer: increased induced fracture extent, absence of deep high hydraulic conductivity strata, relatively low fault hydraulic conductivity, and magnitude of overpressure. Modeling suggests that high hydraulic conductivity formations can be more effective barriers to vertical ﬂow than low hydraulic conductivity formations. Furthermore, low hydraulic conductivity faults can result in subsurface pressure compartmentalization, reducing horizontal groundwater ﬂow, and encouraging vertical ﬂuid migration. The modeled worst-case scenario, using unlikely geology and induced fracture lengths, maximum values for strata hydraulic conductivity and with conservative tracer behavior had a particle travel time of 130 years to the base of the shallow aquifer. This study has identiﬁed hydrogeological factors which lead to aquifer vulnerability from shale exploitation.","author":[{"dropping-particle":"","family":"Wilson","given":"M. P.","non-dropping-particle":"","parse-names":false,"suffix":""},{"dropping-particle":"","family":"Worrall","given":"F.","non-dropping-particle":"","parse-names":false,"suffix":""},{"dropping-particle":"","family":"Davies","given":"R. J.","non-dropping-particle":"","parse-names":false,"suffix":""},{"dropping-particle":"","family":"Hart","given":"A.","non-dropping-particle":"","parse-names":false,"suffix":""}],"container-title":"Water Resources Research","id":"ITEM-1","issue":"11","issued":{"date-parts":[["2017"]]},"page":"9922-9940","title":"Shallow Aquifer Vulnerability From Subsurface Fluid Injection at a Proposed Shale Gas Hydraulic Fracturing Site","type":"article-journal","volume":"53"},"uris":["http://www.mendeley.com/documents/?uuid=1b5faeea-1c29-48d7-8e33-cf72e03653f7"]}],"mendeley":{"formattedCitation":"(Wilson &lt;i&gt;et al.&lt;/i&gt;, 2017)","manualFormatting":"Wilson et al. (2017)","plainTextFormattedCitation":"(Wilson et al., 2017)","previouslyFormattedCitation":"(Wilson &lt;i&gt;et al.&lt;/i&gt;, 2017)"},"properties":{"noteIndex":0},"schema":"https://github.com/citation-style-language/schema/raw/master/csl-citation.json"}</w:instrText>
            </w:r>
            <w:r>
              <w:fldChar w:fldCharType="separate"/>
            </w:r>
            <w:r w:rsidRPr="00001392">
              <w:rPr>
                <w:noProof/>
              </w:rPr>
              <w:t xml:space="preserve">Wilson </w:t>
            </w:r>
            <w:r w:rsidRPr="005A442F">
              <w:rPr>
                <w:noProof/>
              </w:rPr>
              <w:t>et al.</w:t>
            </w:r>
            <w:r w:rsidRPr="00001392">
              <w:rPr>
                <w:noProof/>
              </w:rPr>
              <w:t xml:space="preserve"> </w:t>
            </w:r>
            <w:r>
              <w:rPr>
                <w:noProof/>
              </w:rPr>
              <w:t>(</w:t>
            </w:r>
            <w:r w:rsidRPr="00001392">
              <w:rPr>
                <w:noProof/>
              </w:rPr>
              <w:t>2017)</w:t>
            </w:r>
            <w:r>
              <w:fldChar w:fldCharType="end"/>
            </w:r>
            <w:r>
              <w:rPr>
                <w:rFonts w:eastAsiaTheme="minorHAnsi" w:cs="Calibri"/>
              </w:rPr>
              <w:t xml:space="preserve"> showed] </w:t>
            </w:r>
            <w:r>
              <w:t>that lead to leakage from the zone of fracture stimulation into the aquifer within 10,000 years all required modifications of the model away from the most likely hydrogeological configuration towards a ‘worst case’ situation.” p194</w:t>
            </w:r>
          </w:p>
          <w:p w14:paraId="2C278EA7" w14:textId="427FD095" w:rsidR="00273D75" w:rsidRDefault="00273D75" w:rsidP="00FA3C6A">
            <w:pPr>
              <w:pStyle w:val="TableText"/>
              <w:keepNext/>
              <w:keepLines/>
            </w:pPr>
          </w:p>
          <w:p w14:paraId="3C71BF8B" w14:textId="37D2426C" w:rsidR="00273D75" w:rsidRDefault="00273D75" w:rsidP="00FA3C6A">
            <w:pPr>
              <w:pStyle w:val="TableText"/>
              <w:keepNext/>
              <w:keepLines/>
            </w:pPr>
            <w:r>
              <w:t>“</w:t>
            </w:r>
            <w:r w:rsidRPr="00563B8C">
              <w:fldChar w:fldCharType="begin" w:fldLock="1"/>
            </w:r>
            <w:r w:rsidRPr="00563B8C">
              <w:instrText>ADDIN CSL_CITATION {"citationItems":[{"id":"ITEM-1","itemData":{"DOI":"10.2118/189853-MS","ISBN":"978-1-61399-542-6","abstract":"Abstract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approach.","author":[{"dropping-particle":"","family":"Rainbolt","given":"Michael F.","non-dropping-particle":"","parse-names":false,"suffix":""},{"dropping-particle":"","family":"Esco","given":"Jacey","non-dropping-particle":"","parse-names":false,"suffix":""}],"container-title":"SPE Hydraulic Fracturing Technology Conference and Exhibition","id":"ITEM-1","issue":"part I","issued":{"date-parts":[["2018"]]},"title":"Frac Hit Induced Production Losses: Evaluating Root Causes, Damage Location, Possible Prevention Methods and Success of Remediation Treatments, Part II","type":"article-journal","volume":"187192"},"uris":["http://www.mendeley.com/documents/?uuid=cca58434-e7d1-42ed-921c-b5f9b886d31c"]}],"mendeley":{"formattedCitation":"(Rainbolt and Esco, 2018)","manualFormatting":"Westwood, Toon and Cassidy (2017)","plainTextFormattedCitation":"(Rainbolt and Esco, 2018)","previouslyFormattedCitation":"(Rainbolt and Esco, 2018)"},"properties":{"noteIndex":0},"schema":"https://github.com/citation-style-language/schema/raw/master/csl-citation.json"}</w:instrText>
            </w:r>
            <w:r w:rsidRPr="00563B8C">
              <w:fldChar w:fldCharType="separate"/>
            </w:r>
            <w:r w:rsidRPr="00563B8C">
              <w:rPr>
                <w:noProof/>
              </w:rPr>
              <w:t>Westwood, Toon and Cassidy (2017)</w:t>
            </w:r>
            <w:r w:rsidRPr="00563B8C">
              <w:fldChar w:fldCharType="end"/>
            </w:r>
            <w:r w:rsidR="00563B8C" w:rsidRPr="00563B8C">
              <w:t xml:space="preserve"> [</w:t>
            </w:r>
            <w:r w:rsidR="00563B8C" w:rsidRPr="00563B8C">
              <w:fldChar w:fldCharType="begin" w:fldLock="1"/>
            </w:r>
            <w:r w:rsidR="0063453B">
              <w:instrText>ADDIN CSL_CITATION {"citationItems":[{"id":"ITEM-1","itemData":{"DOI":"10.1007/s40948-017-0065-3","ISBN":"0000000163705","ISSN":"23638427","abstract":"Hydraulic fracturing is widely used in the petroleum industry to enhance oil and gas production, especially for the extraction of shale gas from unconventional reservoirs. A good understanding of the vertical distance which should be preserved between hydraulic stimulation and overlying aquifers (potable water) has been demonstrated as being greater than 600 m (2000 feet). However, the effective application of this technique depends on many factors; one of particular importance is the influence of the fracturing process on pre-existing fractures and faults in the reservoir, which, however, to date, has had little analysis. Specifically, the identification of the required respect distance which must be maintained between the hydraulic fracturing location and pre-existing faults is of paramount importance in minimizing the risk of felt, induced seismicity. This must be an important consideration for setting the guidelines for operational procedures by legislative authorities. We investigate the respect distance using a Monte Carlo approach, generating fifty discrete fracture networks for each of three fracture intensities, on which a hydraulic fracturing simulation is run, using FracMan®. The Coulomb stress change of the rock surrounding the simulated injection stage is calculated for three weighted source mechanisms combining inflation, strike-slip and reverse. The lateral respect distance is obtained using values from literature of the amount of stress required to induce movement on a pre-existing fault. We find that the lateral respect distance is dependent on fracture intensity and the failure threshold. However, the weighting of the source mechanism has limited effect on the lateral respect distance.","author":[{"dropping-particle":"","family":"Westwood","given":"Rachel F.","non-dropping-particle":"","parse-names":false,"suffix":""},{"dropping-particle":"","family":"Toon","given":"Samuel M.","non-dropping-particle":"","parse-names":false,"suffix":""},{"dropping-particle":"","family":"Styles","given":"Peter","non-dropping-particle":"","parse-names":false,"suffix":""},{"dropping-particle":"","family":"Cassidy","given":"Nigel J.","non-dropping-particle":"","parse-names":false,"suffix":""}],"container-title":"Geomechanics and Geophysics for Geo-Energy and Geo-Resources","id":"ITEM-1","issue":"4","issued":{"date-parts":[["2017"]]},"number-of-pages":"379-391","title":"Horizontal respect distance for hydraulic fracturing in the vicinity of existing faults in deep geological reservoirs: a review and modelling study","type":"book","volume":"3"},"uris":["http://www.mendeley.com/documents/?uuid=4a4f2ab5-fe7f-4967-b3a6-5e98559436d5"]}],"mendeley":{"formattedCitation":"(Westwood &lt;i&gt;et al.&lt;/i&gt;, 2017)","manualFormatting":"Westwood et al., 2017","plainTextFormattedCitation":"(Westwood et al., 2017)","previouslyFormattedCitation":"(Westwood &lt;i&gt;et al.&lt;/i&gt;, 2017)"},"properties":{"noteIndex":0},"schema":"https://github.com/citation-style-language/schema/raw/master/csl-citation.json"}</w:instrText>
            </w:r>
            <w:r w:rsidR="00563B8C" w:rsidRPr="00563B8C">
              <w:fldChar w:fldCharType="separate"/>
            </w:r>
            <w:r w:rsidR="00563B8C" w:rsidRPr="00563B8C">
              <w:rPr>
                <w:noProof/>
              </w:rPr>
              <w:t>Westwood et al., 2017</w:t>
            </w:r>
            <w:r w:rsidR="00563B8C" w:rsidRPr="00563B8C">
              <w:fldChar w:fldCharType="end"/>
            </w:r>
            <w:r w:rsidR="00563B8C" w:rsidRPr="00563B8C">
              <w:t>]</w:t>
            </w:r>
            <w:r w:rsidRPr="00563B8C">
              <w:t xml:space="preserve"> used a Monte Carlo approach, where multiple different fracture networks were generated in the sealing shale unit that protected an overlying aquifer</w:t>
            </w:r>
            <w:r>
              <w:t xml:space="preserve"> from fracturing operations below. The probability of leakage occurrence was then related to fracture density and the volume of fluid pumped in 50 different simulations. This enabled a safe offset distance from the well to the nearest hydrogeologically significant fault to be estimated probabilistically; in this case it was around 500 metres.” p194</w:t>
            </w:r>
          </w:p>
          <w:p w14:paraId="22AD5E38" w14:textId="132834DA" w:rsidR="00273D75" w:rsidRDefault="00273D75" w:rsidP="00FA3C6A">
            <w:pPr>
              <w:pStyle w:val="TableText"/>
              <w:keepNext/>
              <w:keepLines/>
            </w:pPr>
          </w:p>
          <w:p w14:paraId="08803C75" w14:textId="66094469" w:rsidR="00273D75" w:rsidRDefault="00273D75" w:rsidP="00FA3C6A">
            <w:pPr>
              <w:pStyle w:val="TableText"/>
              <w:keepNext/>
              <w:keepLines/>
            </w:pPr>
            <w:r>
              <w:t xml:space="preserve">“The risk is therefore very low where the target formation is overlain by a substantial thickness of saline formation water in the overlying formations, and separated from near </w:t>
            </w:r>
            <w:r w:rsidRPr="004E7B04">
              <w:t>surface potable aquifers by 1,000</w:t>
            </w:r>
            <w:r w:rsidR="00FD4557">
              <w:t xml:space="preserve"> </w:t>
            </w:r>
            <w:r w:rsidRPr="004E7B04">
              <w:t>m or more. This is generally the case in the Perth Basin</w:t>
            </w:r>
            <w:r>
              <w:t>.” p342</w:t>
            </w:r>
          </w:p>
          <w:p w14:paraId="742F27FA" w14:textId="746C0312" w:rsidR="00273D75" w:rsidRDefault="00273D75" w:rsidP="00FA3C6A">
            <w:pPr>
              <w:pStyle w:val="TableText"/>
              <w:keepNext/>
              <w:keepLines/>
            </w:pPr>
          </w:p>
          <w:p w14:paraId="6EBECEE9" w14:textId="49CF8403" w:rsidR="00273D75" w:rsidRDefault="00273D75" w:rsidP="00FA3C6A">
            <w:pPr>
              <w:pStyle w:val="TableText"/>
              <w:keepNext/>
              <w:keepLines/>
            </w:pPr>
            <w:r>
              <w:t>“Finding 21: The risk of contamination of shallow fresh water aquifers by saline groundwater through hydraulically stimulated fractures is low, because the likelihood of fractures propagating and creating pathways which would contaminate overlying aquifers is very low. In the event that this occurred, the potential consequences are considered to range from insignificant to major, reflecting the importance of water quality in the upper aquifers in the development area.” p343</w:t>
            </w:r>
          </w:p>
          <w:p w14:paraId="3D436F80" w14:textId="316EABC6" w:rsidR="00273D75" w:rsidRDefault="00273D75" w:rsidP="00FA3C6A">
            <w:pPr>
              <w:pStyle w:val="TableText"/>
              <w:keepNext/>
              <w:keepLines/>
            </w:pPr>
          </w:p>
        </w:tc>
      </w:tr>
      <w:tr w:rsidR="00273D75" w:rsidRPr="00A8172F" w14:paraId="7DBE9887"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7F47ABF3" w14:textId="13EE7B1E" w:rsidR="00273D75" w:rsidRDefault="00273D75" w:rsidP="001600C7">
            <w:pPr>
              <w:pStyle w:val="TableText"/>
            </w:pPr>
            <w:r>
              <w:t>F.2</w:t>
            </w:r>
          </w:p>
        </w:tc>
        <w:tc>
          <w:tcPr>
            <w:tcW w:w="0" w:type="auto"/>
          </w:tcPr>
          <w:p w14:paraId="7B9C76D2" w14:textId="3EF5DBFB" w:rsidR="00273D75" w:rsidRDefault="00273D75" w:rsidP="001600C7">
            <w:pPr>
              <w:pStyle w:val="TableText"/>
            </w:pPr>
            <w:r>
              <w:t>Hydraulic fracture growth into well</w:t>
            </w:r>
          </w:p>
        </w:tc>
        <w:tc>
          <w:tcPr>
            <w:tcW w:w="973" w:type="dxa"/>
          </w:tcPr>
          <w:p w14:paraId="3C8745B5" w14:textId="373E6B8A" w:rsidR="00273D75" w:rsidRDefault="00273D75" w:rsidP="001600C7">
            <w:pPr>
              <w:pStyle w:val="TableText"/>
            </w:pPr>
            <w:r>
              <w:t>Rare</w:t>
            </w:r>
          </w:p>
        </w:tc>
        <w:tc>
          <w:tcPr>
            <w:tcW w:w="6463" w:type="dxa"/>
          </w:tcPr>
          <w:p w14:paraId="53B044A3" w14:textId="52199739" w:rsidR="00273D75" w:rsidRDefault="00273D75" w:rsidP="001600C7">
            <w:pPr>
              <w:pStyle w:val="TableText"/>
            </w:pPr>
            <w:r>
              <w:t>“The Report makes a number of recommendations … [including] a minimum separation distance of 2,000 metres</w:t>
            </w:r>
            <w:r>
              <w:rPr>
                <w:rFonts w:ascii="Calibri" w:hAnsi="Calibri" w:cs="Calibri"/>
              </w:rPr>
              <w:t xml:space="preserve"> </w:t>
            </w:r>
            <w:r>
              <w:t>between stimulated oil and gas wells and bores used for public drinking water sources.” p49</w:t>
            </w:r>
          </w:p>
          <w:p w14:paraId="7517B36C" w14:textId="77777777" w:rsidR="00273D75" w:rsidRDefault="00273D75" w:rsidP="001600C7">
            <w:pPr>
              <w:pStyle w:val="TableText"/>
            </w:pPr>
          </w:p>
          <w:p w14:paraId="511BBEE2" w14:textId="1E017899" w:rsidR="00273D75" w:rsidRDefault="00273D75" w:rsidP="001600C7">
            <w:pPr>
              <w:pStyle w:val="TableText"/>
              <w:rPr>
                <w:rFonts w:eastAsiaTheme="minorHAnsi" w:cs="Calibri"/>
              </w:rPr>
            </w:pPr>
            <w:r>
              <w:rPr>
                <w:rFonts w:eastAsiaTheme="minorHAnsi" w:cs="Calibri"/>
              </w:rPr>
              <w:t xml:space="preserve">“A ‘frac hit’, according to King et al. </w:t>
            </w:r>
            <w:r>
              <w:rPr>
                <w:rFonts w:eastAsiaTheme="minorHAnsi" w:cs="Calibri"/>
              </w:rPr>
              <w:fldChar w:fldCharType="begin" w:fldLock="1"/>
            </w:r>
            <w:r>
              <w:rPr>
                <w:rFonts w:eastAsiaTheme="minorHAnsi" w:cs="Calibri"/>
              </w:rPr>
              <w:instrText>ADDIN CSL_CITATION {"citationItems":[{"id":"ITEM-1","itemData":{"DOI":"10.2118/187192-MS","abstract":"Abstract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approach.","author":[{"dropping-particle":"","family":"King","given":"George E.","non-dropping-particle":"","parse-names":false,"suffix":""},{"dropping-particle":"","family":"Rainbolt","given":"Michael F.","non-dropping-particle":"","parse-names":false,"suffix":""},{"dropping-particle":"","family":"Swanson","given":"Cory","non-dropping-particle":"","parse-names":false,"suffix":""}],"container-title":"SPE Annual Technical Conference and Exhibition","id":"ITEM-1","issued":{"date-parts":[["2017","10","9"]]},"publisher":"Society of Petroleum Engineers","title":"Frac Hit Induced Production Losses: Evaluating Root Causes, Damage Location, Possible Prevention Methods and Success of Remedial Treatments","type":"paper-conference"},"uris":["http://www.mendeley.com/documents/?uuid=dfa69f26-991b-4b5f-a5c9-aa0e982483d8"]}],"mendeley":{"formattedCitation":"(King, Rainbolt and Swanson, 2017)","plainTextFormattedCitation":"(King, Rainbolt and Swanson, 2017)","previouslyFormattedCitation":"(King, Rainbolt and Swanson, 2017)"},"properties":{"noteIndex":0},"schema":"https://github.com/citation-style-language/schema/raw/master/csl-citation.json"}</w:instrText>
            </w:r>
            <w:r>
              <w:rPr>
                <w:rFonts w:eastAsiaTheme="minorHAnsi" w:cs="Calibri"/>
              </w:rPr>
              <w:fldChar w:fldCharType="separate"/>
            </w:r>
            <w:r w:rsidRPr="00001392">
              <w:rPr>
                <w:rFonts w:eastAsiaTheme="minorHAnsi" w:cs="Calibri"/>
                <w:noProof/>
              </w:rPr>
              <w:t>(King, Rainbolt and Swanson, 2017)</w:t>
            </w:r>
            <w:r>
              <w:rPr>
                <w:rFonts w:eastAsiaTheme="minorHAnsi" w:cs="Calibri"/>
              </w:rPr>
              <w:fldChar w:fldCharType="end"/>
            </w:r>
            <w:r>
              <w:rPr>
                <w:rFonts w:eastAsiaTheme="minorHAnsi" w:cs="Calibri"/>
              </w:rPr>
              <w:t xml:space="preserve"> is a ‘fracture initiated well to well communication event that occurs when frac energy from a simulated well extends into the drainage area or directly contacts an adjacent or offset well’. While affecting only a small proportion of wells, ‘frac hits’ are seen as an increasing problem in several areas of most intense unconventional oil and gas production </w:t>
            </w:r>
            <w:r>
              <w:rPr>
                <w:rFonts w:eastAsiaTheme="minorHAnsi" w:cs="Calibri"/>
              </w:rPr>
              <w:fldChar w:fldCharType="begin" w:fldLock="1"/>
            </w:r>
            <w:r>
              <w:rPr>
                <w:rFonts w:eastAsiaTheme="minorHAnsi" w:cs="Calibri"/>
              </w:rPr>
              <w:instrText>ADDIN CSL_CITATION {"citationItems":[{"id":"ITEM-1","itemData":{"DOI":"10.2118/0417-0029-jpt","ISSN":"0149-2136","abstract":"In North America’s most active shale fields, the drilling and hydraulic fracturing of new wells is directly placing older adjacent wells at risk of suffering a premature decline in oil and gas production. The underlying issue has been coined as a “frac hit.” And though they have long been a known side effect of hydraulic fracturing, frac hits have never mattered or occurred as much as they have recently, according to several shale experts who say the main culprit is infill drilling. “It is a very common occurrence—almost to the point where it is a routinely expected part of the operations,” said Bob Barree, an industry consultant and president of Colorado-based petroleum engineering firm Barree &amp; Associates. He added that frac hits are also an expensive problem that involve costly downtime to prepare for, remediation efforts after the fact, and lost productivity in the older wells on a pad site. A frac hit is typically described as an interwell communication event where an offset well, often termed a parent well in this setting, is affected by the pumping of a hydraulic fracturing treatment in a new well, called the child well. As the name suggests, frac hits can be a violent affair as they are known to be strong enough to damage production tubing, casing, and even wellheads. Claudio Virues, a senior reservoir engineer with CNOOC Nexen, said frac hits have become a top concern in the shale business because they can affect several wells on a pad, along with those on nearby pads too. Based on his experiences in Canada and in south Texas, the question is no longer if a frac hit will happen, but how bad will it be. “You usually have two scenarios,” he said. “One may be that you have a temporary loss of production, but you will recover to the trend that you had before. The other will be really bad for your production and reserves.” He is alluding to the fact that some wells impacted by frac hits never fully recover and, in the worst cases, permanently stop producing after taking frac hits. The frequency of these outcomes are unknown as there are no publicly available statistics. In a small minority of cases, and in select formation types, frac hits have been known to increase production in the impacted well, but this is unusual.","author":[{"dropping-particle":"","family":"Jacobs","given":"Trent","non-dropping-particle":"","parse-names":false,"suffix":""}],"container-title":"Journal of Petroleum Technology","id":"ITEM-1","issue":"04","issued":{"date-parts":[["2017"]]},"page":"29-34","title":"Oil and Gas Producers Find Frac Hits in Shale Wells a Major Challenge","type":"article-journal","volume":"69"},"uris":["http://www.mendeley.com/documents/?uuid=759bb150-797c-4966-87a7-4723119841ae"]},{"id":"ITEM-2","itemData":{"DOI":"10.2118/1117-0035-jpt","ISSN":"0149-2136","abstract":"Thanks to the advent of high-speed drilling in the US shale sector, the effects of so-called frac hits on production and well economics is becoming more important than ever. It means the clock is running for shale producers to figure out how to mitigate the implications of this well-to-well interference issue before they drill too many wells too close together. Multiple perspectives on the topic were presented at this year’s Unconventional Resources Technology Conference in Austin, Texas. Included among them was a technical paper authored by engineers at Shell that used a simple capital expenditure formula to illustrate the financial risks involved with getting the spacing question wrong. According to the paper’s authors, if a shale producer has an inventory of 2,000 640-acre drilling sections, and each new well costs $5 million, then adding just a single unneeded well to each section would cost the operator $10 billion. In a separate paper also delivered at the conference, Schlumberger highlighted the other downside to suboptimal spacing: poorer than expected production. The company analyzed IHS data from 300 horizontal wells in the Avalon Shale of the Delaware Basin and found that child wells (the youngest wells on a pad site) were almost 30% less productive compared with parent wells. “[Operators] see that the child well does not produce as much as the parent wells—or they see that when the child well is drilled, there is a negative impact on the parent well,” explained Foluke Ajisafe, a production and stimulation engineer at Schlumberger who led the study. The driving factors she cited were how production over time creates stress rotation and leads to pressure depletion zones, known as pressure sinks. The paper describes two types of frac hits: one is a child well fracture that grows within a pressure sink and moves toward the parent well. The other involves a “stress vortex” that “can channel a fracture” as stress orientations change and align.","author":[{"dropping-particle":"","family":"Jacobs","given":"Trent","non-dropping-particle":"","parse-names":false,"suffix":""}],"container-title":"Journal of Petroleum Technology","id":"ITEM-2","issue":"11","issued":{"date-parts":[["2017"]]},"page":"35-38","title":"Frac Hits Reveal Well Spacing May be Too Tight, Completion Volumes Too Large","type":"article-journal","volume":"69"},"uris":["http://www.mendeley.com/documents/?uuid=b355f4f0-489c-4efe-996a-a924cc55c6c5"]}],"mendeley":{"formattedCitation":"(Jacobs, 2017b, 2017a)","plainTextFormattedCitation":"(Jacobs, 2017b, 2017a)","previouslyFormattedCitation":"(Jacobs, 2017b, 2017a)"},"properties":{"noteIndex":0},"schema":"https://github.com/citation-style-language/schema/raw/master/csl-citation.json"}</w:instrText>
            </w:r>
            <w:r>
              <w:rPr>
                <w:rFonts w:eastAsiaTheme="minorHAnsi" w:cs="Calibri"/>
              </w:rPr>
              <w:fldChar w:fldCharType="separate"/>
            </w:r>
            <w:r w:rsidRPr="00D93233">
              <w:rPr>
                <w:rFonts w:eastAsiaTheme="minorHAnsi" w:cs="Calibri"/>
                <w:noProof/>
              </w:rPr>
              <w:t>(Jacobs, 2017b, 2017a)</w:t>
            </w:r>
            <w:r>
              <w:rPr>
                <w:rFonts w:eastAsiaTheme="minorHAnsi" w:cs="Calibri"/>
              </w:rPr>
              <w:fldChar w:fldCharType="end"/>
            </w:r>
            <w:r>
              <w:rPr>
                <w:rFonts w:eastAsiaTheme="minorHAnsi" w:cs="Calibri"/>
              </w:rPr>
              <w:t xml:space="preserve">. The consequences of a ‘frac hit’ are usually restricted to economic impacts on well productivity. However, potentially uncontrolled pressures and flows could occur in the hit well, resulting in material damage or fluid leakage, and therefore steps must be taken to avoid these occurrences, or at least limit inter-well connections to the intended zone of fracture stimulation within the productive zone of the target formation </w:t>
            </w:r>
            <w:r>
              <w:rPr>
                <w:rFonts w:eastAsiaTheme="minorHAnsi" w:cs="Calibri"/>
              </w:rPr>
              <w:fldChar w:fldCharType="begin" w:fldLock="1"/>
            </w:r>
            <w:r>
              <w:rPr>
                <w:rFonts w:eastAsiaTheme="minorHAnsi" w:cs="Calibri"/>
              </w:rPr>
              <w:instrText>ADDIN CSL_CITATION {"citationItems":[{"id":"ITEM-1","itemData":{"DOI":"10.2118/187192-MS","abstract":"Abstract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approach.","author":[{"dropping-particle":"","family":"King","given":"George E.","non-dropping-particle":"","parse-names":false,"suffix":""},{"dropping-particle":"","family":"Rainbolt","given":"Michael F.","non-dropping-particle":"","parse-names":false,"suffix":""},{"dropping-particle":"","family":"Swanson","given":"Cory","non-dropping-particle":"","parse-names":false,"suffix":""}],"container-title":"SPE Annual Technical Conference and Exhibition","id":"ITEM-1","issued":{"date-parts":[["2017","10","9"]]},"publisher":"Society of Petroleum Engineers","title":"Frac Hit Induced Production Losses: Evaluating Root Causes, Damage Location, Possible Prevention Methods and Success of Remedial Treatments","type":"paper-conference"},"uris":["http://www.mendeley.com/documents/?uuid=dfa69f26-991b-4b5f-a5c9-aa0e982483d8"]},{"id":"ITEM-2","itemData":{"DOI":"10.2118/189853-MS","ISBN":"978-1-61399-542-6","abstract":"Abstract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approach.","author":[{"dropping-particle":"","family":"Rainbolt","given":"Michael F.","non-dropping-particle":"","parse-names":false,"suffix":""},{"dropping-particle":"","family":"Esco","given":"Jacey","non-dropping-particle":"","parse-names":false,"suffix":""}],"container-title":"SPE Hydraulic Fracturing Technology Conference and Exhibition","id":"ITEM-2","issue":"part I","issued":{"date-parts":[["2018"]]},"title":"Frac Hit Induced Production Losses: Evaluating Root Causes, Damage Location, Possible Prevention Methods and Success of Remediation Treatments, Part II","type":"article-journal","volume":"187192"},"uris":["http://www.mendeley.com/documents/?uuid=cca58434-e7d1-42ed-921c-b5f9b886d31c"]}],"mendeley":{"formattedCitation":"(King, Rainbolt and Swanson, 2017; Rainbolt and Esco, 2018)","plainTextFormattedCitation":"(King, Rainbolt and Swanson, 2017; Rainbolt and Esco, 2018)","previouslyFormattedCitation":"(King, Rainbolt and Swanson, 2017; Rainbolt and Esco, 2018)"},"properties":{"noteIndex":0},"schema":"https://github.com/citation-style-language/schema/raw/master/csl-citation.json"}</w:instrText>
            </w:r>
            <w:r>
              <w:rPr>
                <w:rFonts w:eastAsiaTheme="minorHAnsi" w:cs="Calibri"/>
              </w:rPr>
              <w:fldChar w:fldCharType="separate"/>
            </w:r>
            <w:r w:rsidRPr="00D93233">
              <w:rPr>
                <w:rFonts w:eastAsiaTheme="minorHAnsi" w:cs="Calibri"/>
                <w:noProof/>
              </w:rPr>
              <w:t>(King, Rainbolt and Swanson, 2017; Rainbolt and Esco, 2018)</w:t>
            </w:r>
            <w:r>
              <w:rPr>
                <w:rFonts w:eastAsiaTheme="minorHAnsi" w:cs="Calibri"/>
              </w:rPr>
              <w:fldChar w:fldCharType="end"/>
            </w:r>
            <w:r>
              <w:rPr>
                <w:rFonts w:eastAsiaTheme="minorHAnsi" w:cs="Calibri"/>
              </w:rPr>
              <w:t>.” p164</w:t>
            </w:r>
          </w:p>
          <w:p w14:paraId="18B442BF" w14:textId="77777777" w:rsidR="00273D75" w:rsidRDefault="00273D75" w:rsidP="001600C7">
            <w:pPr>
              <w:pStyle w:val="TableText"/>
              <w:rPr>
                <w:rFonts w:eastAsiaTheme="minorHAnsi" w:cs="Calibri"/>
              </w:rPr>
            </w:pPr>
          </w:p>
          <w:p w14:paraId="35F3E257" w14:textId="2193ABDB" w:rsidR="00273D75" w:rsidRDefault="00273D75" w:rsidP="001600C7">
            <w:pPr>
              <w:pStyle w:val="TableText"/>
              <w:rPr>
                <w:rFonts w:eastAsiaTheme="minorHAnsi" w:cs="Calibri"/>
              </w:rPr>
            </w:pPr>
            <w:r>
              <w:rPr>
                <w:rFonts w:eastAsiaTheme="minorHAnsi" w:cs="Calibri"/>
              </w:rPr>
              <w:t>“While the various circumstances leading to undesired frac hits - such as close well spacing, multiple companies operating simultaneously in small adjacent exploration blocks, or old wells that may be poorly located or undocumented - are unlikely to arise in Western Australia, the issue should still be a managed risk. The causes and consequences of frac hits are now fairly well known from experiences in areas such as the Barnett and Wolfcamp Shale in the United States, so industry best practices should be formalised in Western Australia and adequately regulated so as to limit the adverse consequences of unplanned inter-well connections.” p164</w:t>
            </w:r>
          </w:p>
          <w:p w14:paraId="490792AB" w14:textId="77777777" w:rsidR="00273D75" w:rsidRDefault="00273D75" w:rsidP="001600C7">
            <w:pPr>
              <w:pStyle w:val="TableText"/>
              <w:rPr>
                <w:rFonts w:eastAsiaTheme="minorHAnsi" w:cs="Calibri"/>
              </w:rPr>
            </w:pPr>
          </w:p>
          <w:p w14:paraId="2C8A0E7E" w14:textId="475349E3" w:rsidR="00273D75" w:rsidRPr="00CE154F" w:rsidRDefault="00273D75" w:rsidP="001600C7">
            <w:pPr>
              <w:pStyle w:val="TableText"/>
              <w:rPr>
                <w:rFonts w:eastAsiaTheme="minorHAnsi" w:cs="Calibri"/>
              </w:rPr>
            </w:pPr>
            <w:r>
              <w:rPr>
                <w:rFonts w:eastAsiaTheme="minorHAnsi" w:cs="Calibri"/>
              </w:rPr>
              <w:t>“</w:t>
            </w:r>
            <w:r w:rsidRPr="007F0C84">
              <w:rPr>
                <w:rFonts w:eastAsiaTheme="minorHAnsi" w:cs="Calibri"/>
              </w:rPr>
              <w:t>Finding 24: The likelihood of hydraulic fracture stimulation intersecting decommissioned</w:t>
            </w:r>
            <w:r>
              <w:rPr>
                <w:rFonts w:eastAsiaTheme="minorHAnsi" w:cs="Calibri"/>
              </w:rPr>
              <w:t xml:space="preserve"> </w:t>
            </w:r>
            <w:r w:rsidRPr="007F0C84">
              <w:rPr>
                <w:rFonts w:eastAsiaTheme="minorHAnsi" w:cs="Calibri"/>
              </w:rPr>
              <w:t>bores and contaminating deep groundwater is low, given the documentation on</w:t>
            </w:r>
            <w:r>
              <w:rPr>
                <w:rFonts w:eastAsiaTheme="minorHAnsi" w:cs="Calibri"/>
              </w:rPr>
              <w:t xml:space="preserve"> </w:t>
            </w:r>
            <w:r w:rsidRPr="007F0C84">
              <w:rPr>
                <w:rFonts w:eastAsiaTheme="minorHAnsi" w:cs="Calibri"/>
              </w:rPr>
              <w:t>decommissioned wells, and provided that adequate separation is made.</w:t>
            </w:r>
            <w:r>
              <w:rPr>
                <w:rFonts w:eastAsiaTheme="minorHAnsi" w:cs="Calibri"/>
              </w:rPr>
              <w:t>” p349</w:t>
            </w:r>
          </w:p>
        </w:tc>
      </w:tr>
      <w:tr w:rsidR="00273D75" w:rsidRPr="00A8172F" w14:paraId="31DAD016"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154A4FC8" w14:textId="326DBC93" w:rsidR="00273D75" w:rsidRDefault="00273D75" w:rsidP="001600C7">
            <w:pPr>
              <w:pStyle w:val="TableText"/>
            </w:pPr>
            <w:r>
              <w:t>F.3</w:t>
            </w:r>
          </w:p>
        </w:tc>
        <w:tc>
          <w:tcPr>
            <w:tcW w:w="0" w:type="auto"/>
          </w:tcPr>
          <w:p w14:paraId="5EE35F0E" w14:textId="36E8326A" w:rsidR="00273D75" w:rsidRDefault="00273D75" w:rsidP="001600C7">
            <w:pPr>
              <w:pStyle w:val="TableText"/>
            </w:pPr>
            <w:r>
              <w:t>Hydraulic fracture growth into fault</w:t>
            </w:r>
          </w:p>
        </w:tc>
        <w:tc>
          <w:tcPr>
            <w:tcW w:w="973" w:type="dxa"/>
          </w:tcPr>
          <w:p w14:paraId="53C28D27" w14:textId="2032AED9" w:rsidR="00273D75" w:rsidRDefault="00273D75" w:rsidP="001600C7">
            <w:pPr>
              <w:pStyle w:val="TableText"/>
            </w:pPr>
            <w:r>
              <w:t xml:space="preserve">Unlikely </w:t>
            </w:r>
          </w:p>
        </w:tc>
        <w:tc>
          <w:tcPr>
            <w:tcW w:w="6463" w:type="dxa"/>
          </w:tcPr>
          <w:p w14:paraId="30567ED4" w14:textId="30D5E489" w:rsidR="00273D75" w:rsidRDefault="00273D75" w:rsidP="001600C7">
            <w:pPr>
              <w:pStyle w:val="TableText"/>
            </w:pPr>
            <w:r>
              <w:t>“To further minimise the risks from unintended hydraulic fracture stimulation outcomes, anomalies such as fault and pre-existing fracture intersections should be avoided:</w:t>
            </w:r>
          </w:p>
          <w:p w14:paraId="6B55B0C3" w14:textId="22B55011" w:rsidR="00273D75" w:rsidRDefault="00273D75" w:rsidP="001600C7">
            <w:pPr>
              <w:pStyle w:val="TableText"/>
            </w:pPr>
            <w:r>
              <w:t>The probability of an adverse event from intersecting a fault or from hitting an existing well should be low;</w:t>
            </w:r>
          </w:p>
          <w:p w14:paraId="14DF01A2" w14:textId="7C39A135" w:rsidR="00273D75" w:rsidRDefault="00273D75" w:rsidP="001600C7">
            <w:pPr>
              <w:pStyle w:val="TableText"/>
            </w:pPr>
            <w:r>
              <w:t>The consequences of leakage resulting from a hydraulic fracture encountering a fault below the seismic resolution should be low;</w:t>
            </w:r>
          </w:p>
          <w:p w14:paraId="3B9B5620" w14:textId="1788E29D" w:rsidR="00273D75" w:rsidRDefault="00273D75" w:rsidP="001600C7">
            <w:pPr>
              <w:pStyle w:val="TableText"/>
            </w:pPr>
            <w:r>
              <w:t>There should be a suitable distance to known or suspected hydrogeologically significant faults; and</w:t>
            </w:r>
          </w:p>
          <w:p w14:paraId="7463ECAA" w14:textId="7D720FF1" w:rsidR="00273D75" w:rsidRDefault="00273D75" w:rsidP="001600C7">
            <w:pPr>
              <w:pStyle w:val="TableText"/>
            </w:pPr>
            <w:r>
              <w:t>If the geophysical imaging and subsurface knowledge based on well density are insufficient to be able to reduce the probability of an anomalous event to a low level then either that region should be avoided, or additional data should be collected.” p164</w:t>
            </w:r>
          </w:p>
          <w:p w14:paraId="597BB69F" w14:textId="77777777" w:rsidR="00273D75" w:rsidRDefault="00273D75" w:rsidP="001600C7">
            <w:pPr>
              <w:pStyle w:val="TableText"/>
            </w:pPr>
          </w:p>
          <w:p w14:paraId="757A52BA" w14:textId="49267EC1" w:rsidR="00273D75" w:rsidRDefault="00273D75" w:rsidP="001600C7">
            <w:pPr>
              <w:pStyle w:val="TableText"/>
            </w:pPr>
            <w:r>
              <w:t>“A hydraulic fracture may intersect a fault (see Section 6.12 and Section 6.12.1), and again the consequences will depend on a number of factors. In the worst case, the fault could be ‘hydrogeologically significant’ and provide a flow pathway towards the surface or to a potable water aquifer. Such faults would be large and detectable by adequate geophysical imaging. Small faults may be imaged by seismic data but not be seen as significant, or else may be below seismic imaging resolution. Typically, if a well or fracture hits such a fault then the consequences will not extend far, but even so, the risk of an adverse event is increased, and therefore steps should be taken to mitigate any consequences (stop drilling or pumping, if necessary reset casing, deviate the well, or abandon the well). If large quantities of fluid enter the region of a fault that is critically stressed, then movement along that fault may be induced (see Section 6.12.3).” p164</w:t>
            </w:r>
          </w:p>
          <w:p w14:paraId="5E41C132" w14:textId="77777777" w:rsidR="00273D75" w:rsidRDefault="00273D75" w:rsidP="001600C7">
            <w:pPr>
              <w:pStyle w:val="TableText"/>
            </w:pPr>
          </w:p>
          <w:p w14:paraId="56AA25D1" w14:textId="7EA38CE5" w:rsidR="00273D75" w:rsidRDefault="00273D75" w:rsidP="001600C7">
            <w:pPr>
              <w:pStyle w:val="TableText"/>
            </w:pPr>
            <w:r>
              <w:t xml:space="preserve">“Therefore, the reactivation of faults is perceived as a geological risk for fluid leakage </w:t>
            </w:r>
            <w:r>
              <w:fldChar w:fldCharType="begin" w:fldLock="1"/>
            </w:r>
            <w:r>
              <w:instrText>ADDIN CSL_CITATION {"citationItems":[{"id":"ITEM-1","itemData":{"author":[{"dropping-particle":"","family":"Langhi","given":"L.","non-dropping-particle":"","parse-names":false,"suffix":""},{"dropping-particle":"","family":"Zhang","given":"Y.","non-dropping-particle":"","parse-names":false,"suffix":""},{"dropping-particle":"","family":"Nicholson","given":"C.","non-dropping-particle":"","parse-names":false,"suffix":""},{"dropping-particle":"","family":"Bernardel","given":"G.","non-dropping-particle":"","parse-names":false,"suffix":""},{"dropping-particle":"","family":"Rollet","given":"N.","non-dropping-particle":"","parse-names":false,"suffix":""},{"dropping-particle":"","family":"Schaubs","given":"P.","non-dropping-particle":"","parse-names":false,"suffix":""},{"dropping-particle":"","family":"Kempton","given":"R.","non-dropping-particle":"","parse-names":false,"suffix":""},{"dropping-particle":"","family":"Kennard","given":"J.","non-dropping-particle":"","parse-names":false,"suffix":""},{"dropping-particle":"","family":"Y.","given":"Zhang","non-dropping-particle":"","parse-names":false,"suffix":""},{"dropping-particle":"","family":"Nicholson","given":"C.","non-dropping-particle":"","parse-names":false,"suffix":""},{"dropping-particle":"","family":"Bernardel","given":"G.","non-dropping-particle":"","parse-names":false,"suffix":""},{"dropping-particle":"","family":"Rollet","given":"N.","non-dropping-particle":"","parse-names":false,"suffix":""},{"dropping-particle":"","family":"Schaubs","given":"P.","non-dropping-particle":"","parse-names":false,"suffix":""},{"dropping-particle":"","family":"Kempton","given":"R.","non-dropping-particle":"","parse-names":false,"suffix":""},{"dropping-particle":"","family":"Kennard","given":"J.","non-dropping-particle":"","parse-names":false,"suffix":""}],"id":"ITEM-1","issue":"March","issued":{"date-parts":[["2012"]]},"number-of-pages":"100","title":"Geomechanical modelling of trap integrity in the northern offshore Perth Basin. CSIRO Open File Report EP12425","type":"report"},"uris":["http://www.mendeley.com/documents/?uuid=ffdc2b92-4f70-4015-b118-3d5133a6ddaf"]},{"id":"ITEM-2","itemData":{"DOI":"10.1016/S0264-8172(98)00070-1","ISSN":"02648172","abstract":"During the latest Miocene and Early Pliocene (~ 5.5. MaBP), the collision of the Australian and Eurasian plates resulted in proto-foreland development and significant structural reactivation in the Timor Sea, north-western Australia. Flexural extension, resulting from the down-warping of the Australian plate into the developing Timor Trough, resulted in the dilatation of the major Jurassic and older extensional faults and the formation of shallow Mio-Pliocene fault arrays. An integrated, multidisciplinary study of hydrocarbon traps from this region using 2-D and 3-D seismic data, stable isotope geochemistry, fluid inclusion measurements and apatite fission track data has revealed that this fault reactivation produced three categories of traps: high (HIT), moderate (MIT) and low (LIT) integrity traps. These have characteristic hydrocarbon fill-spill, fluid flow and thermal histories. In MITs and LITs, the dilatation was moderate to intense respectively, and allowed hot (90-130°C), highly saline (200,000+ ppm salinity) brines from deep Palaeozoic evaporites to migrate up the reactivated faults and chemically and thermally affect the reservoir and shallower intervals. Apatite fission track data suggest that fluid migration lasted for between 100,000 and one million years in the case of the MITs, but for only 10,000-100,000 years in the LITs. This major fluid flow event resulted in the development of a prominent, localised Late Tertiary heating 'spike' in the MITs, which can significantly affect the accuracy of modelled thermal histories. In the LITs, the thermal effect is less marked, due to the more transient nature of the fluid flow event. HITs were largely unreactivated and hence conduits for brine migration from depth were absent. Consequently, these traps are the most representative of the thermal histories of the source rock depocentres. Where MITS or LITs were charged, the associated loss of fault seal integrity facilitated hydrocarbon loss from the Mesozoic reservoirs, which co-migrated with the brines up through the Mio-Pliocene fault network. Upon entering a shallow, clastic aquifer system (the Eocene Grebe Formation), bacterial oxidation of the hydrocarbons liberated CO2 which, in turn, resulted in significant and very isotopically light carbonate cementation. This cementation produces sufficient acoustic impedance with the surrounding uncemented sands that it allows these hydrocarbon-related diagenetic zones (HRDZs) to be mapped seismically. Si…","author":[{"dropping-particle":"","family":"O'Brien","given":"Geoffrey W.","non-dropping-particle":"","parse-names":false,"suffix":""},{"dropping-particle":"","family":"Lisk","given":"Mark","non-dropping-particle":"","parse-names":false,"suffix":""},{"dropping-particle":"","family":"Duddy","given":"Ian R.","non-dropping-particle":"","parse-names":false,"suffix":""},{"dropping-particle":"","family":"Hamilton","given":"Joe","non-dropping-particle":"","parse-names":false,"suffix":""},{"dropping-particle":"","family":"Woods","given":"Phil","non-dropping-particle":"","parse-names":false,"suffix":""},{"dropping-particle":"","family":"Cowley","given":"Robert","non-dropping-particle":"","parse-names":false,"suffix":""}],"container-title":"Marine and Petroleum Geology","id":"ITEM-2","issue":"6","issued":{"date-parts":[["1999"]]},"page":"533-560","title":"Plate convergence, foreland development and fault reactivation: Primary controls on brine migration, thermal histories and trap breach in the Timor Sea, Australia","type":"article-journal","volume":"16"},"uris":["http://www.mendeley.com/documents/?uuid=681c1911-c254-401f-97ea-84482e0bcf15"]}],"mendeley":{"formattedCitation":"(O’Brien &lt;i&gt;et al.&lt;/i&gt;, 1999; Langhi &lt;i&gt;et al.&lt;/i&gt;, 2012)","plainTextFormattedCitation":"(O’Brien et al., 1999; Langhi et al., 2012)","previouslyFormattedCitation":"(O’Brien &lt;i&gt;et al.&lt;/i&gt;, 1999; Langhi &lt;i&gt;et al.&lt;/i&gt;, 2012)"},"properties":{"noteIndex":0},"schema":"https://github.com/citation-style-language/schema/raw/master/csl-citation.json"}</w:instrText>
            </w:r>
            <w:r>
              <w:fldChar w:fldCharType="separate"/>
            </w:r>
            <w:r w:rsidRPr="00C91CDA">
              <w:rPr>
                <w:noProof/>
              </w:rPr>
              <w:t xml:space="preserve">(O’Brien </w:t>
            </w:r>
            <w:r w:rsidRPr="005A442F">
              <w:rPr>
                <w:noProof/>
              </w:rPr>
              <w:t>et al.</w:t>
            </w:r>
            <w:r w:rsidRPr="00C91CDA">
              <w:rPr>
                <w:noProof/>
              </w:rPr>
              <w:t xml:space="preserve">, 1999; Langhi </w:t>
            </w:r>
            <w:r w:rsidRPr="005A442F">
              <w:rPr>
                <w:noProof/>
              </w:rPr>
              <w:t>et al.</w:t>
            </w:r>
            <w:r w:rsidRPr="00C91CDA">
              <w:rPr>
                <w:noProof/>
              </w:rPr>
              <w:t>, 2012)</w:t>
            </w:r>
            <w:r>
              <w:fldChar w:fldCharType="end"/>
            </w:r>
            <w:r>
              <w:t xml:space="preserve"> and may also be an engineering risk </w:t>
            </w:r>
            <w:r>
              <w:fldChar w:fldCharType="begin" w:fldLock="1"/>
            </w:r>
            <w:r>
              <w:instrText>ADDIN CSL_CITATION {"citationItems":[{"id":"ITEM-1","itemData":{"ISBN":"9780511586477","abstract":"This interdisciplinary book encompasses the fields of rock mechanics, structural geo- logy, and petroleum engineering to address a wide range of geomechanical problems that arise during the exploitation of oil and gas reservoirs. Covering the exploration, assessment, and production phases of petroleum reservoir development, the book considers key practical issues such as prediction of pore pres- sure; estimation of hydrocarbon column heights and fault seal potential; determination of optimally stable well trajectories; casing set points and mud weights; changes in reservoir performance during depletion; and production-induced faulting and subsi- dence. The first part of the book establishes the basic principles of geomechanics in away that allows readers from different disciplinary backgrounds to understand the key concepts. It then goes on to introduce practical measurement and experimental techniques before illustrating their successful application, through case studies taken from oil and gas fields around the world, to improve recovery and reduce exploitation costs. Reservoir Geomechanics is a practical reference for geoscientists and engineers in the petroleum and geothermal industries, and for research scientists interested in stress measurements and their application to problems of faulting and fluid flow in the crust.","author":[{"dropping-particle":"","family":"Zoback","given":"Mark D.","non-dropping-particle":"","parse-names":false,"suffix":""}],"id":"ITEM-1","issued":{"date-parts":[["2007"]]},"publisher":"Cambridge University Press","publisher-place":"Cambridge, United Kingdom","title":"Reservoir Geomechanics","type":"book"},"uris":["http://www.mendeley.com/documents/?uuid=607138f6-7f4a-4310-9514-5c15ac7fa931"]}],"mendeley":{"formattedCitation":"(Zoback, 2007)","plainTextFormattedCitation":"(Zoback, 2007)","previouslyFormattedCitation":"(Zoback, 2007)"},"properties":{"noteIndex":0},"schema":"https://github.com/citation-style-language/schema/raw/master/csl-citation.json"}</w:instrText>
            </w:r>
            <w:r>
              <w:fldChar w:fldCharType="separate"/>
            </w:r>
            <w:r w:rsidRPr="00C91CDA">
              <w:rPr>
                <w:noProof/>
              </w:rPr>
              <w:t>(Zoback, 2007)</w:t>
            </w:r>
            <w:r>
              <w:fldChar w:fldCharType="end"/>
            </w:r>
            <w:r>
              <w:t xml:space="preserve"> if human activities change the stress state such that faults can leak owing to reactivation </w:t>
            </w:r>
            <w:r>
              <w:fldChar w:fldCharType="begin" w:fldLock="1"/>
            </w:r>
            <w:r>
              <w:instrText>ADDIN CSL_CITATION {"citationItems":[{"id":"ITEM-1","itemData":{"DOI":"10.1016/j.ijrmms.2008.03.008","ISSN":"13651609","abstract":"This paper investigates fault reactivation tendency within and surrounding reservoirs during fluid injection or production. Induced stress analysis is performed using Eshelby's theory of inclusions for a poroelastic material, and the concept of Coulomb failure stress change is implemented as a criterion for fault reactivation tendency. A methodology is developed to find the range of fault dip angles that tend towards reactivation in either thrust or a normal fault stress regimes. The results demonstrate that, during production from a reservoir in a normal fault stress regime, fault reactivation is likely to occur within the reservoir and adjacent to its flanks. For a thrust-fault stress regime, only faults located in rocks overlying and underlying the reservoir tend towards reactivation. The results for the analogous case of fluid injection are exactly the opposite. Sensitivity analyses show that the locations of the boundaries defining these regions of reactivation (or stabilization) tendency are not highly sensitive to the fault friction coefficient. The use of the proposed methodology is illustrated for a synthetic case study. © 2008 Elsevier Ltd. All rights reserved.","author":[{"dropping-particle":"","family":"Soltanzadeh","given":"Hamidreza","non-dropping-particle":"","parse-names":false,"suffix":""},{"dropping-particle":"","family":"Hawkes","given":"Christopher D.","non-dropping-particle":"","parse-names":false,"suffix":""}],"container-title":"International Journal of Rock Mechanics and Mining Sciences","id":"ITEM-1","issue":"1","issued":{"date-parts":[["2009"]]},"page":"1-7","title":"Assessing fault reactivation tendency within and surrounding porous reservoirs during fluid production or injection","type":"article-journal","volume":"46"},"uris":["http://www.mendeley.com/documents/?uuid=3a7ef004-69f4-4509-a971-f6652da553f4"]}],"mendeley":{"formattedCitation":"(Soltanzadeh and Hawkes, 2009)","plainTextFormattedCitation":"(Soltanzadeh and Hawkes, 2009)","previouslyFormattedCitation":"(Soltanzadeh and Hawkes, 2009)"},"properties":{"noteIndex":0},"schema":"https://github.com/citation-style-language/schema/raw/master/csl-citation.json"}</w:instrText>
            </w:r>
            <w:r>
              <w:fldChar w:fldCharType="separate"/>
            </w:r>
            <w:r w:rsidRPr="00C91CDA">
              <w:rPr>
                <w:noProof/>
              </w:rPr>
              <w:t>(Soltanzadeh and Hawkes, 2009)</w:t>
            </w:r>
            <w:r>
              <w:fldChar w:fldCharType="end"/>
            </w:r>
            <w:r>
              <w:t>, which may cause seismicity or relatively slow slip (undetectable from the surface).” P165</w:t>
            </w:r>
          </w:p>
          <w:p w14:paraId="3B90061B" w14:textId="77777777" w:rsidR="00273D75" w:rsidRDefault="00273D75" w:rsidP="001600C7">
            <w:pPr>
              <w:pStyle w:val="TableText"/>
            </w:pPr>
          </w:p>
          <w:p w14:paraId="2FF4BCA0" w14:textId="7159A3E0" w:rsidR="00273D75" w:rsidRDefault="00273D75" w:rsidP="001600C7">
            <w:pPr>
              <w:pStyle w:val="TableText"/>
            </w:pPr>
            <w:r>
              <w:t xml:space="preserve">“The risk assessment should commence with an analysis of the formation pressures </w:t>
            </w:r>
            <w:r>
              <w:fldChar w:fldCharType="begin" w:fldLock="1"/>
            </w:r>
            <w:r>
              <w:instrText>ADDIN CSL_CITATION {"citationItems":[{"id":"ITEM-1","itemData":{"DOI":"10.1071/aseg2003ab174","ISSN":"2202-0586","author":[{"dropping-particle":"van","family":"Ruth","given":"Peter","non-dropping-particle":"","parse-names":false,"suffix":""},{"dropping-particle":"","family":"Hillis","given":"Richard","non-dropping-particle":"","parse-names":false,"suffix":""},{"dropping-particle":"","family":"Swarbrick","given":"Richard","non-dropping-particle":"","parse-names":false,"suffix":""},{"dropping-particle":"","family":"Tingate","given":"Peter","non-dropping-particle":"","parse-names":false,"suffix":""},{"dropping-particle":"","family":"Midren","given":"Scott","non-dropping-particle":"","parse-names":false,"suffix":""}],"container-title":"ASEG Extended Abstracts","id":"ITEM-1","issue":"2","issued":{"date-parts":[["2013"]]},"page":"1-5","title":"The Origin of Overpressure in the Cooper Basin, Australia","type":"article-journal","volume":"2003"},"uris":["http://www.mendeley.com/documents/?uuid=8005e4df-e8ef-4110-b32f-405568fe5105"]}],"mendeley":{"formattedCitation":"(Ruth &lt;i&gt;et al.&lt;/i&gt;, 2013)","plainTextFormattedCitation":"(Ruth et al., 2013)","previouslyFormattedCitation":"(Ruth &lt;i&gt;et al.&lt;/i&gt;, 2013)"},"properties":{"noteIndex":0},"schema":"https://github.com/citation-style-language/schema/raw/master/csl-citation.json"}</w:instrText>
            </w:r>
            <w:r>
              <w:fldChar w:fldCharType="separate"/>
            </w:r>
            <w:r w:rsidRPr="00C91CDA">
              <w:rPr>
                <w:noProof/>
              </w:rPr>
              <w:t xml:space="preserve">(Ruth </w:t>
            </w:r>
            <w:r w:rsidRPr="005A442F">
              <w:rPr>
                <w:noProof/>
              </w:rPr>
              <w:t>et al.</w:t>
            </w:r>
            <w:r w:rsidRPr="00C91CDA">
              <w:rPr>
                <w:noProof/>
              </w:rPr>
              <w:t>, 2013)</w:t>
            </w:r>
            <w:r>
              <w:fldChar w:fldCharType="end"/>
            </w:r>
            <w:r>
              <w:t xml:space="preserve"> and 3D stress state </w:t>
            </w:r>
            <w:r>
              <w:fldChar w:fldCharType="begin" w:fldLock="1"/>
            </w:r>
            <w:r>
              <w:instrText>ADDIN CSL_CITATION {"citationItems":[{"id":"ITEM-1","itemData":{"DOI":"10.1016/j.ijrmms.2006.10.004","ISSN":"13651609","abstract":"Closure pressures measured during injection tests such as mini-fracs are normally considered an accurate measure of the minimum in situ principal stress magnitude. This paper presents stress, strength and image log data from the Australian Cooper Basin, which suggests that in reservoirs with high in situ stress, high tensile strength and weak geological fabrics, interpreted closure pressures may be significantly greater than the minimum principal stress. Closure pressures interpreted from mini-frac injection tests in the Cooper Basin, suggest the minimum principal stress varies from 12.4-27.2 MPa/km (0.55-1.2 psi/ft). To better understand the reasons for this variation in closure pressure, image logs and mini-frac data from 13 treatment zones, and core from seven of these treatment zones, were analysed. The analysis revealed that treatment zones with high measured closure pressures (≥18.1 MPa/km; 0.8 psi/ft), high treating pressures (&gt;31.6 MPa/km; 1.4 psi/ft) and high measured hydraulic fracture complexity existed in reservoirs with high tensile rock strength (&gt;7 MPa; 1015 psi) and geological fabrics (planes of weakness) including natural fractures. Conversely, treatment zones with lower measured closure stress (≤19 MPa/km; 0.84 psi/ft) and low hydraulic fracture complexity occurred in reservoirs with lower tensile strength and/or no geological fabrics. We suggest that closure pressures in rocks with high tensile strength and weak geological fabrics may not be representative of the minimum principal stress magnitude in the Cooper Basin where they are associated with hydraulic fracture complexity. Rather, they reflect the normal stress incident on pre-existing weaknesses that are exploited by hydraulic fluid during the mini-frac injection. © 2007 Elsevier Ltd. All rights reserved.","author":[{"dropping-particle":"","family":"Nelson","given":"Emma J.","non-dropping-particle":"","parse-names":false,"suffix":""},{"dropping-particle":"","family":"Chipperfield","given":"Simon T.","non-dropping-particle":"","parse-names":false,"suffix":""},{"dropping-particle":"","family":"Hillis","given":"Richard R.","non-dropping-particle":"","parse-names":false,"suffix":""},{"dropping-particle":"","family":"Gilbert","given":"John","non-dropping-particle":"","parse-names":false,"suffix":""},{"dropping-particle":"","family":"McGowen","given":"Jim","non-dropping-particle":"","parse-names":false,"suffix":""},{"dropping-particle":"","family":"Mildren","given":"Scott D.","non-dropping-particle":"","parse-names":false,"suffix":""}],"container-title":"International Journal of Rock Mechanics and Mining Sciences","id":"ITEM-1","issue":"5","issued":{"date-parts":[["2007"]]},"page":"787-801","title":"The relationship between closure pressures from fluid injection tests and the minimum principal stress in strong rocks","type":"article-journal","volume":"44"},"uris":["http://www.mendeley.com/documents/?uuid=17f514ba-99c7-4747-8863-ef054dbfeac3"]},{"id":"ITEM-2","itemData":{"DOI":"10.1016/j.tecto.2005.12.005","ISSN":"00401951","abstract":"The magnitude of the in situ stresses in the Cooper-Eromanga Basins have been determined using an extensive petroleum exploration database from over 40 years of drilling. The magnitude of the vertical stress (Sv) was calculated based on density and velocity checkshot data in 24 wells. Upper and lower bound values of the vertical stress magnitude are approximated by Sv= 14.39 × Z)1.12 and Sv = (11.67 × Z)1.15 functions respectively (where Z is depth in km and Sv is in MPa). Leak-off test data from the two basins constrain the lower bound estimate for the minimum horizontal stress (Shmin) magnitude to 15.5 MPa/km. Closure pressures from a large number of minifrac tests indicate considerable scatter in the minimum horizontal stress magnitude, with values approaching the magnitude of the vertical stress in some areas. The magnitude of the maximum horizontal stress (SHmax) was constrained by the frictional limits to stress beyond which faulting occurs and by the presence of drilling-induced tensile fractures in some wells. The maximum horizontal stress magnitude can only be loosely constrained regionally using frictional limits, due to the variability of both the minimum horizontal stress and vertical stress estimates. However, the maximum horizontal stress and thus the full stress tensor can be better constrained at individual well locations, as demonstrated in Bulyeroo-1 and Dullingari North-8, where the necessary data (i.e. image logs, minifrac tests and density logs) are available. The stress magnitudes determined indicate a predominantly strike-slip fault stress regime (SHmax &gt; Sv &gt; Shmin) at a depth of between 1 and 3 km in the Cooper-Eromanga Basins. However, some areas of the basin are transitional between strike-slip and reverse fault stress regimes (SHmax &gt; Sv ≈ Shmin). Large differential stresses in the Cooper-Eromanga Basins indicate a high upper crustal strength for the region, consistent with other intraplate regions. We propose that the in situ stress field in the Cooper-Eromanga Basins is a direct result of the complex interaction of tectonic stresses from the convergent plate boundaries surrounding the Indo-Australian plate that are transmitted into the center of the plate through a high-strength upper crust. © 2006 Elsevier B.V. All rights reserved.","author":[{"dropping-particle":"","family":"Reynolds","given":"Scott D.","non-dropping-particle":"","parse-names":false,"suffix":""},{"dropping-particle":"","family":"Mildren","given":"Scott D.","non-dropping-particle":"","parse-names":false,"suffix":""},{"dropping-particle":"","family":"Hillis","given":"Richard R.","non-dropping-particle":"","parse-names":false,"suffix":""},{"dropping-particle":"","family":"Meyer","given":"Jeremy J.","non-dropping-particle":"","parse-names":false,"suffix":""}],"container-title":"Tectonophysics","id":"ITEM-2","issue":"1-4","issued":{"date-parts":[["2006"]]},"page":"123-140","title":"Constraining stress magnitudes using petroleum exploration data in the Cooper-Eromanga Basins, Australia","type":"article-journal","volume":"415"},"uris":["http://www.mendeley.com/documents/?uuid=b326110f-286b-44f5-80a5-643024c787e7"]}],"mendeley":{"formattedCitation":"(Reynolds &lt;i&gt;et al.&lt;/i&gt;, 2006; Nelson &lt;i&gt;et al.&lt;/i&gt;, 2007)","plainTextFormattedCitation":"(Reynolds et al., 2006; Nelson et al., 2007)","previouslyFormattedCitation":"(Reynolds &lt;i&gt;et al.&lt;/i&gt;, 2006; Nelson &lt;i&gt;et al.&lt;/i&gt;, 2007)"},"properties":{"noteIndex":0},"schema":"https://github.com/citation-style-language/schema/raw/master/csl-citation.json"}</w:instrText>
            </w:r>
            <w:r>
              <w:fldChar w:fldCharType="separate"/>
            </w:r>
            <w:r w:rsidRPr="00905FE2">
              <w:rPr>
                <w:noProof/>
              </w:rPr>
              <w:t xml:space="preserve">(Reynolds </w:t>
            </w:r>
            <w:r w:rsidRPr="005A442F">
              <w:rPr>
                <w:noProof/>
              </w:rPr>
              <w:t>et al.</w:t>
            </w:r>
            <w:r w:rsidRPr="00905FE2">
              <w:rPr>
                <w:noProof/>
              </w:rPr>
              <w:t xml:space="preserve">, 2006; Nelson </w:t>
            </w:r>
            <w:r w:rsidRPr="005A442F">
              <w:rPr>
                <w:noProof/>
              </w:rPr>
              <w:t>et al.</w:t>
            </w:r>
            <w:r w:rsidRPr="00905FE2">
              <w:rPr>
                <w:noProof/>
              </w:rPr>
              <w:t>, 2007)</w:t>
            </w:r>
            <w:r>
              <w:fldChar w:fldCharType="end"/>
            </w:r>
            <w:r>
              <w:t xml:space="preserve">, and proceed to analysing: </w:t>
            </w:r>
          </w:p>
          <w:p w14:paraId="08A86F08" w14:textId="36DBF938" w:rsidR="00273D75" w:rsidRDefault="00273D75" w:rsidP="001600C7">
            <w:pPr>
              <w:pStyle w:val="TableText"/>
            </w:pPr>
            <w:r>
              <w:t>Turn slip tendency for planes of weakness;</w:t>
            </w:r>
          </w:p>
          <w:p w14:paraId="7983737B" w14:textId="5982C040" w:rsidR="00273D75" w:rsidRDefault="00273D75" w:rsidP="001600C7">
            <w:pPr>
              <w:pStyle w:val="TableText"/>
            </w:pPr>
            <w:r>
              <w:t>Fracture stability with respect to renewed movement with and without cohesion on the slip plane; and</w:t>
            </w:r>
          </w:p>
          <w:p w14:paraId="20D260C1" w14:textId="748CA33E" w:rsidR="00273D75" w:rsidRDefault="00273D75" w:rsidP="001600C7">
            <w:pPr>
              <w:pStyle w:val="TableText"/>
            </w:pPr>
            <w:r>
              <w:t xml:space="preserve">Dilation tendency for fault planes to become permeable during reactivation </w:t>
            </w:r>
            <w:r>
              <w:fldChar w:fldCharType="begin" w:fldLock="1"/>
            </w:r>
            <w:r w:rsidR="00563B8C">
              <w:instrText>ADDIN CSL_CITATION {"citationItems":[{"id":"ITEM-1","itemData":{"DOI":"10.1080/08120099.2016.1212925","ISSN":"14400952","abstract":"© 2016 Geological Society of Australia. The Australian Cooper Basin is a structurally complex intra-cratonic basin with large unconventional hydrocarbon potential. Fracture stimulation treatments are used extensively in this basin to improve the economic feasibility; however, such treatments may induce fault activity and risk the integrity of hydrocarbon accumulations. Fault reactivation may not only encourage tertiary fluid migration but also decrease porosity through cataclasis and potentially compartmentalise the reservoir. Relatively new depth-converted three-dimensional seismic surveys covering the Dullingari and Swan Lake 3D seismic surveys were structurally interpreted and geomechanically modelled to constrain the slip tendency, dilation tendency and fracture stability of faults under the present-day stress. A field-scale pore pressure study found a maximum pressure gradient of 11.31 kPa/m within the Dullingari 3D seismic survey, and 11.14 kPa/m within the Swan Lake 3D seismic survey. The present-day stress tensor was taken from previously published work, and combined with local pore pressure gradients and depth-converted field-scale fault geometries, to conclude that SE–NW-striking strike-slip faults are optimally oriented to reactivate and dilate. High-angle faults striking approximately E–W appear most likely to dilate, and act as fluid conduits irrespective of being modelled under a strike-slip or compressional stress regime. Near-vertical SE–NW and NE–SW-striking faults were modelled to be preferentially oriented to slip and reactivate under a strike-slip stress regime. Considering that SE–NW-striking strike-slip faults have only recently been interpreted in the literature, it is possible that many reservoir simulations and development plans have overlooked or underestimated the effect that fault reactivation may have on reservoir properties. Future work investigating the likelihood that fracture stimulation treatments may be interacting, and reactivating, pre-existing faults and fractures would benefit field development programs utilising high-pressure hydraulic fracture stimulation treatments.","author":[{"dropping-particle":"","family":"Kulikowski","given":"D.","non-dropping-particle":"","parse-names":false,"suffix":""},{"dropping-particle":"","family":"Amrouch","given":"K.","non-dropping-particle":"","parse-names":false,"suffix":""},{"dropping-particle":"","family":"Cooke","given":"D.","non-dropping-particle":"","parse-names":false,"suffix":""}],"container-title":"Australian Journal of Earth Sciences","id":"ITEM-1","issue":"3","issued":{"date-parts":[["2016"]]},"page":"295-314","publisher":"Taylor &amp; Francis","title":"Geomechanical modelling of fault reactivation in the Cooper Basin, Australia","type":"article-journal","volume":"63"},"uris":["http://www.mendeley.com/documents/?uuid=9afd155c-f801-4842-818b-7621f5bad258"]}],"mendeley":{"formattedCitation":"(Kulikowski, Amrouch and Cooke, 2016)","manualFormatting":"(Kulikowski et al., 2016)","plainTextFormattedCitation":"(Kulikowski, Amrouch and Cooke, 2016)","previouslyFormattedCitation":"(Kulikowski, Amrouch and Cooke, 2016)"},"properties":{"noteIndex":0},"schema":"https://github.com/citation-style-language/schema/raw/master/csl-citation.json"}</w:instrText>
            </w:r>
            <w:r>
              <w:fldChar w:fldCharType="separate"/>
            </w:r>
            <w:r w:rsidRPr="00905FE2">
              <w:rPr>
                <w:noProof/>
              </w:rPr>
              <w:t>(Kulikowski</w:t>
            </w:r>
            <w:r w:rsidR="004E0C5F">
              <w:rPr>
                <w:noProof/>
              </w:rPr>
              <w:t xml:space="preserve"> et al.</w:t>
            </w:r>
            <w:r w:rsidRPr="00905FE2">
              <w:rPr>
                <w:noProof/>
              </w:rPr>
              <w:t>, 2016)</w:t>
            </w:r>
            <w:r>
              <w:fldChar w:fldCharType="end"/>
            </w:r>
            <w:r>
              <w:t>.” p192</w:t>
            </w:r>
          </w:p>
          <w:p w14:paraId="59296D11" w14:textId="77777777" w:rsidR="00273D75" w:rsidRDefault="00273D75" w:rsidP="001600C7">
            <w:pPr>
              <w:pStyle w:val="TableText"/>
            </w:pPr>
          </w:p>
          <w:p w14:paraId="21A8191C" w14:textId="57751B67" w:rsidR="00273D75" w:rsidRDefault="00273D75" w:rsidP="001600C7">
            <w:pPr>
              <w:pStyle w:val="TableText"/>
            </w:pPr>
            <w:r>
              <w:t>“…geomechanical data collection, understanding of the stress field from well measurements, mapping of faults and fracture zones geomechanically with analytical methods (such as slip tendency analysis), and numerical models are a prerequisite in order to plan and conduct with a reasonable factor of safety, the various stages of engineering operations from exploration drilling, through well stimulation to production.” p194</w:t>
            </w:r>
          </w:p>
          <w:p w14:paraId="0138C692" w14:textId="77777777" w:rsidR="00273D75" w:rsidRDefault="00273D75" w:rsidP="001600C7">
            <w:pPr>
              <w:pStyle w:val="TableText"/>
            </w:pPr>
          </w:p>
          <w:p w14:paraId="40BAAF00" w14:textId="3DD113C8" w:rsidR="00273D75" w:rsidRDefault="00273D75" w:rsidP="001600C7">
            <w:pPr>
              <w:pStyle w:val="TableText"/>
            </w:pPr>
            <w:r>
              <w:t>“The Inquiry was not made aware of, through submissions or otherwise, any studies that show an enhanced risk of fault reactivation, fault leakage or induced seismicity in any part of the Canning Basin. However, the risks from the geomechanical consequences of wells intersecting faults or hydraulic fracture stimulation inducing fault movements and leakage, was raised as a general concern at community consultations in Broome and in Perth, and companies were criticised for not providing detailed information about any wells that had intersected faults during drilling.” p253</w:t>
            </w:r>
          </w:p>
          <w:p w14:paraId="735B5B0E" w14:textId="77777777" w:rsidR="00273D75" w:rsidRDefault="00273D75" w:rsidP="001600C7">
            <w:pPr>
              <w:pStyle w:val="TableText"/>
            </w:pPr>
          </w:p>
          <w:p w14:paraId="652C8CCC" w14:textId="3D02E22C" w:rsidR="00273D75" w:rsidRDefault="00273D75" w:rsidP="001600C7">
            <w:pPr>
              <w:pStyle w:val="TableText"/>
            </w:pPr>
            <w:r>
              <w:t>“While we consider the risks of impacts to land from seismicity (induced by hydraulic fracturing stimulation) to be low, we note that tremors significantly larger than the usual size of microseismic events can occur, indicating that a pre-existing fault plane has been influenced by fluid pressure and/or stress changes.” p262</w:t>
            </w:r>
          </w:p>
          <w:p w14:paraId="259A4BFB" w14:textId="77777777" w:rsidR="00273D75" w:rsidRDefault="00273D75" w:rsidP="001600C7">
            <w:pPr>
              <w:pStyle w:val="TableText"/>
            </w:pPr>
          </w:p>
          <w:p w14:paraId="660267C2" w14:textId="77777777" w:rsidR="00273D75" w:rsidRDefault="00273D75" w:rsidP="001600C7">
            <w:pPr>
              <w:pStyle w:val="TableText"/>
            </w:pPr>
            <w:r>
              <w:t>While there is evidence of faults as lateral barriers to groundwater flow, proving or disproving vertical flow is likely to be very difficult. The low permeability of fault zones mean that a considerable time would be needed to transfer significant quantities of fluid.</w:t>
            </w:r>
          </w:p>
          <w:p w14:paraId="7C690D44" w14:textId="77777777" w:rsidR="00273D75" w:rsidRDefault="00273D75" w:rsidP="001600C7">
            <w:pPr>
              <w:pStyle w:val="TableText"/>
            </w:pPr>
          </w:p>
          <w:p w14:paraId="4A11215B" w14:textId="37161FC8" w:rsidR="00273D75" w:rsidRDefault="00273D75" w:rsidP="001600C7">
            <w:pPr>
              <w:pStyle w:val="TableText"/>
            </w:pPr>
            <w:r>
              <w:t>[When monitoring for fault movement during hydraulic fracturing]“… micro-seismic monitoring can only detect brittle rupture episodes and not slower ductile deformation that may accompany renewed faulting and fracturing in softer shales.” p345</w:t>
            </w:r>
          </w:p>
          <w:p w14:paraId="18986076" w14:textId="77777777" w:rsidR="00273D75" w:rsidRDefault="00273D75" w:rsidP="001600C7">
            <w:pPr>
              <w:pStyle w:val="TableText"/>
            </w:pPr>
          </w:p>
          <w:p w14:paraId="69ADEEAD" w14:textId="201C727D" w:rsidR="00273D75" w:rsidRDefault="00273D75" w:rsidP="001600C7">
            <w:pPr>
              <w:pStyle w:val="TableText"/>
            </w:pPr>
            <w:r>
              <w:t>“Finding 22: The risk of contamination of shallow fresh water aquifers by saline groundwater through hydrogeological faults is moderate, however where activities are undertaken such that faults are avoided, the risk is considered to be low. This is based on the likelihood that the presence of these permeable faults to propagate and create pathways which could contaminate overlying aquifers is rare. Should this event occur, the potential consequences are considered to range from insignificant to major, reflecting the importance of preserving water quality in the upper aquifers in the development area.” p346</w:t>
            </w:r>
          </w:p>
        </w:tc>
      </w:tr>
      <w:tr w:rsidR="0024219A" w:rsidRPr="00A8172F" w14:paraId="6D553CFB" w14:textId="77777777" w:rsidTr="0078111C">
        <w:trPr>
          <w:cnfStyle w:val="000000100000" w:firstRow="0" w:lastRow="0" w:firstColumn="0" w:lastColumn="0" w:oddVBand="0" w:evenVBand="0" w:oddHBand="1" w:evenHBand="0" w:firstRowFirstColumn="0" w:firstRowLastColumn="0" w:lastRowFirstColumn="0" w:lastRowLastColumn="0"/>
        </w:trPr>
        <w:tc>
          <w:tcPr>
            <w:tcW w:w="9771" w:type="dxa"/>
            <w:gridSpan w:val="4"/>
          </w:tcPr>
          <w:p w14:paraId="2E361F23" w14:textId="61401010" w:rsidR="0024219A" w:rsidRPr="00FA3C6A" w:rsidRDefault="0024219A" w:rsidP="001600C7">
            <w:pPr>
              <w:pStyle w:val="TableText"/>
              <w:rPr>
                <w:b/>
              </w:rPr>
            </w:pPr>
            <w:r w:rsidRPr="00FA3C6A">
              <w:rPr>
                <w:b/>
                <w:bCs/>
              </w:rPr>
              <w:t>Compromised well integrity</w:t>
            </w:r>
          </w:p>
        </w:tc>
      </w:tr>
      <w:tr w:rsidR="00273D75" w:rsidRPr="00A8172F" w14:paraId="58654234"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430F9DF5" w14:textId="77777777" w:rsidR="00273D75" w:rsidRDefault="00273D75" w:rsidP="001600C7">
            <w:pPr>
              <w:pStyle w:val="TableText"/>
            </w:pPr>
          </w:p>
        </w:tc>
        <w:tc>
          <w:tcPr>
            <w:tcW w:w="0" w:type="auto"/>
          </w:tcPr>
          <w:p w14:paraId="492BA130" w14:textId="42FA5FB0" w:rsidR="00273D75" w:rsidRDefault="00273D75" w:rsidP="001600C7">
            <w:pPr>
              <w:pStyle w:val="TableText"/>
            </w:pPr>
          </w:p>
        </w:tc>
        <w:tc>
          <w:tcPr>
            <w:tcW w:w="973" w:type="dxa"/>
          </w:tcPr>
          <w:p w14:paraId="29D37878" w14:textId="77777777" w:rsidR="00273D75" w:rsidRDefault="00273D75" w:rsidP="001600C7">
            <w:pPr>
              <w:pStyle w:val="TableText"/>
            </w:pPr>
          </w:p>
        </w:tc>
        <w:tc>
          <w:tcPr>
            <w:tcW w:w="6463" w:type="dxa"/>
          </w:tcPr>
          <w:p w14:paraId="333CEC6D" w14:textId="56F10465" w:rsidR="00273D75" w:rsidRDefault="00273D75" w:rsidP="001600C7">
            <w:pPr>
              <w:pStyle w:val="TableText"/>
            </w:pPr>
            <w:r>
              <w:t>“Critical to well integrity is the specification of appropriate materials and components for casing and cementing the well,</w:t>
            </w:r>
            <w:r w:rsidR="00BC68CE">
              <w:t xml:space="preserve"> </w:t>
            </w:r>
            <w:r>
              <w:t xml:space="preserve">during the hydraulic fracture stimulation process and over the well’s lifetime. The design for the sizes and lengths of casing, and the depths at which different casings are used depend upon the geology and the required isolation of rock layers and aquifers, the geochemical environment through which the well passes, the importance or sensitivity of the groundwater that the well penetrates, and the purpose of the well with its associated operational stresses and requirements </w:t>
            </w:r>
            <w:r>
              <w:fldChar w:fldCharType="begin" w:fldLock="1"/>
            </w:r>
            <w: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integrity","type":"report"},"uris":["http://www.mendeley.com/documents/?uuid=986f57a7-eb4a-41bf-9996-fef1698b83ef"]},{"id":"ITEM-2","itemData":{"DOI":"10.2118/136884-ms","abstract":"Abstract Zonal isolation and long-term cement integrity in the high-pressure/high-temperature (HP/HT) environment are critical to optimizing production and minimizing future well intervention and replacement. In addition, the well stresses vary over a large amplitude during construction, testing, and production of such wells. There is, therefore, significant value in avoiding failure of the cement sheath. In 2007, Total E&amp;P Borneo commenced an HP/HT caMPaign in Block B offshore Brunei to drill development wells with deeper exploration sections. These HP/HT wells are the most technically challenging for well cementing in terms of preserving long-term well integrity; these wells are exposed to high temperatures exceeding 165°C, pressures exceeding 69 MPa resulting from different operations, including production. Cementing these wells using conventional cement and practices has proven not to be effective. This leads to the introduction of new technologies and newer cementing techniques to ensure long-term seal of these wells. This study identifies first the risks associated with cement sheath failure under downhole stresses. Then it discusses the successful implementation of a solution that ensures a complete zonal isolation of these HP/HT wells, consequently avoiding unnecessary and costly well intervention. Introduction HP/HT development presents challenges at every stage, from planning through drilling, to evaluation, completion, and intervention. Each HP/HT hydrocarbon province has unique challenges associated with specific environmental conditions. An HP/HT environment is defined as any well in which the undisturbed bottomhole temperature is 150ºC or greater and either the pore pressure exceeds 18 kPa/m or pressure control equipment greater than 68.9 MPa rated working pressure is required. Drilling the HP/HT wells can be challenging because of the narrow margin between the pore pressure and fracture gradient. Equivalent circulating density (ECD) monitoring and control during drilling and cementing is crucial to avoid inducing fractures, which will lead to losses, or increasing the probability of the occurrence of kicks and blowouts due to underbalance. As the total vertical depth increases, there is an increase of the bottomhole temperature, as well as an increase in the formation pore pressure. These two factors have opposing effects on bottomhole density. The increased hydrostatic head causes increase in pressure at the bottom. The increase in tempe…","author":[{"dropping-particle":"","family":"Taoutaou","given":"Salim","non-dropping-particle":"","parse-names":false,"suffix":""},{"dropping-particle":"","family":"Bonnecaze","given":"Alanh Luangkhot","non-dropping-particle":"","parse-names":false,"suffix":""},{"dropping-particle":"","family":"Dondale","given":"Aaron Thane","non-dropping-particle":"","parse-names":false,"suffix":""},{"dropping-particle":"","family":"Jain","given":"Bipin","non-dropping-particle":"","parse-names":false,"suffix":""},{"dropping-particle":"","family":"Abdullah","given":"Nazri","non-dropping-particle":"","parse-names":false,"suffix":""}],"id":"ITEM-2","issue":"November 2008","issued":{"date-parts":[["2010"]]},"page":"1-11","title":"Ensuring Well Integrity in HP/HT Wells: Brunei Case Study","type":"article-journal"},"uris":["http://www.mendeley.com/documents/?uuid=fb059371-c922-41fc-ad79-8ad346c500c4"]}],"mendeley":{"formattedCitation":"(Taoutaou &lt;i&gt;et al.&lt;/i&gt;, 2010; Huddlestone-Holmes &lt;i&gt;et al.&lt;/i&gt;, 2017)","plainTextFormattedCitation":"(Taoutaou et al., 2010; Huddlestone-Holmes et al., 2017)","previouslyFormattedCitation":"(Taoutaou &lt;i&gt;et al.&lt;/i&gt;, 2010; Huddlestone-Holmes &lt;i&gt;et al.&lt;/i&gt;, 2017)"},"properties":{"noteIndex":0},"schema":"https://github.com/citation-style-language/schema/raw/master/csl-citation.json"}</w:instrText>
            </w:r>
            <w:r>
              <w:fldChar w:fldCharType="separate"/>
            </w:r>
            <w:r w:rsidRPr="00905FE2">
              <w:rPr>
                <w:noProof/>
              </w:rPr>
              <w:t xml:space="preserve">(Taoutaou </w:t>
            </w:r>
            <w:r w:rsidRPr="005A442F">
              <w:rPr>
                <w:noProof/>
              </w:rPr>
              <w:t>et al.</w:t>
            </w:r>
            <w:r w:rsidRPr="00905FE2">
              <w:rPr>
                <w:noProof/>
              </w:rPr>
              <w:t xml:space="preserve">, 2010; Huddlestone-Holmes </w:t>
            </w:r>
            <w:r w:rsidRPr="005A442F">
              <w:rPr>
                <w:noProof/>
              </w:rPr>
              <w:t>et al.</w:t>
            </w:r>
            <w:r w:rsidRPr="00905FE2">
              <w:rPr>
                <w:noProof/>
              </w:rPr>
              <w:t>, 2017)</w:t>
            </w:r>
            <w:r>
              <w:fldChar w:fldCharType="end"/>
            </w:r>
            <w:r>
              <w:t>.” p153</w:t>
            </w:r>
          </w:p>
          <w:p w14:paraId="25761126" w14:textId="77777777" w:rsidR="00273D75" w:rsidRDefault="00273D75" w:rsidP="001600C7">
            <w:pPr>
              <w:pStyle w:val="TableText"/>
            </w:pPr>
          </w:p>
          <w:p w14:paraId="514F2EA2" w14:textId="5B4434D8" w:rsidR="00273D75" w:rsidRDefault="00273D75" w:rsidP="001600C7">
            <w:pPr>
              <w:pStyle w:val="TableText"/>
              <w:rPr>
                <w:rFonts w:eastAsiaTheme="minorHAnsi" w:cs="Calibri"/>
              </w:rPr>
            </w:pPr>
            <w:r>
              <w:rPr>
                <w:rFonts w:eastAsiaTheme="minorHAnsi" w:cs="Calibri"/>
              </w:rPr>
              <w:t xml:space="preserve">“The well integrity ultimately achieved depends on the appropriate specification and application of the steel (International Standards Organisation 2014) and cement (International Standards Organisation 2017) to meet the design requirements, the quality and preparation of the bore (the drilled hole through the rock) and the positioning of casings within the bore relative to the stresses, fluid pressures and rock types being drilled through </w:t>
            </w:r>
            <w:r>
              <w:rPr>
                <w:rFonts w:eastAsiaTheme="minorHAnsi" w:cs="Calibri"/>
              </w:rPr>
              <w:fldChar w:fldCharType="begin" w:fldLock="1"/>
            </w:r>
            <w:r>
              <w:rPr>
                <w:rFonts w:eastAsiaTheme="minorHAnsi" w:cs="Calibri"/>
              </w:rP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2017)","plainTextFormattedCitation":"(Huddlestone-Holmes et al., 2017)","previouslyFormattedCitation":"(Huddlestone-Holmes &lt;i&gt;et al.&lt;/i&gt;, 2017)"},"properties":{"noteIndex":0},"schema":"https://github.com/citation-style-language/schema/raw/master/csl-citation.json"}</w:instrText>
            </w:r>
            <w:r>
              <w:rPr>
                <w:rFonts w:eastAsiaTheme="minorHAnsi" w:cs="Calibri"/>
              </w:rPr>
              <w:fldChar w:fldCharType="separate"/>
            </w:r>
            <w:r w:rsidRPr="00905FE2">
              <w:rPr>
                <w:rFonts w:eastAsiaTheme="minorHAnsi" w:cs="Calibri"/>
                <w:noProof/>
              </w:rPr>
              <w:t xml:space="preserve">(Huddlestone-Holmes </w:t>
            </w:r>
            <w:r w:rsidRPr="005A442F">
              <w:rPr>
                <w:rFonts w:eastAsiaTheme="minorHAnsi" w:cs="Calibri"/>
                <w:noProof/>
              </w:rPr>
              <w:t>et al.</w:t>
            </w:r>
            <w:r w:rsidRPr="00905FE2">
              <w:rPr>
                <w:rFonts w:eastAsiaTheme="minorHAnsi" w:cs="Calibri"/>
                <w:noProof/>
              </w:rPr>
              <w:t>, 2017)</w:t>
            </w:r>
            <w:r>
              <w:rPr>
                <w:rFonts w:eastAsiaTheme="minorHAnsi" w:cs="Calibri"/>
              </w:rPr>
              <w:fldChar w:fldCharType="end"/>
            </w:r>
            <w:r>
              <w:rPr>
                <w:rFonts w:eastAsiaTheme="minorHAnsi" w:cs="Calibri"/>
              </w:rPr>
              <w:t xml:space="preserve">. Poor well construction can mean these multiple barriers fail to contain fluids and thus provide a pathway for pollution </w:t>
            </w:r>
            <w:r>
              <w:rPr>
                <w:rFonts w:eastAsiaTheme="minorHAnsi" w:cs="Calibri"/>
              </w:rPr>
              <w:fldChar w:fldCharType="begin" w:fldLock="1"/>
            </w:r>
            <w:r>
              <w:rPr>
                <w:rFonts w:eastAsiaTheme="minorHAnsi" w:cs="Calibri"/>
              </w:rP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2012)","plainTextFormattedCitation":"(King, 2012)","previouslyFormattedCitation":"(King, 2012)"},"properties":{"noteIndex":0},"schema":"https://github.com/citation-style-language/schema/raw/master/csl-citation.json"}</w:instrText>
            </w:r>
            <w:r>
              <w:rPr>
                <w:rFonts w:eastAsiaTheme="minorHAnsi" w:cs="Calibri"/>
              </w:rPr>
              <w:fldChar w:fldCharType="separate"/>
            </w:r>
            <w:r w:rsidRPr="00905FE2">
              <w:rPr>
                <w:rFonts w:eastAsiaTheme="minorHAnsi" w:cs="Calibri"/>
                <w:noProof/>
              </w:rPr>
              <w:t>(King, 2012)</w:t>
            </w:r>
            <w:r>
              <w:rPr>
                <w:rFonts w:eastAsiaTheme="minorHAnsi" w:cs="Calibri"/>
              </w:rPr>
              <w:fldChar w:fldCharType="end"/>
            </w:r>
            <w:r>
              <w:rPr>
                <w:rFonts w:eastAsiaTheme="minorHAnsi" w:cs="Calibri"/>
              </w:rPr>
              <w:t>.” p155</w:t>
            </w:r>
          </w:p>
          <w:p w14:paraId="3D885ABA" w14:textId="77777777" w:rsidR="00273D75" w:rsidRDefault="00273D75" w:rsidP="001600C7">
            <w:pPr>
              <w:pStyle w:val="TableText"/>
              <w:rPr>
                <w:rFonts w:eastAsiaTheme="minorHAnsi" w:cs="Calibri"/>
              </w:rPr>
            </w:pPr>
          </w:p>
          <w:p w14:paraId="6BCEA619" w14:textId="380CEF5C" w:rsidR="00273D75" w:rsidRDefault="00273D75" w:rsidP="001600C7">
            <w:pPr>
              <w:pStyle w:val="TableText"/>
              <w:rPr>
                <w:rFonts w:eastAsiaTheme="minorHAnsi" w:cs="Calibri"/>
              </w:rPr>
            </w:pPr>
            <w:r>
              <w:rPr>
                <w:rFonts w:eastAsiaTheme="minorHAnsi" w:cs="Calibri"/>
              </w:rPr>
              <w:t xml:space="preserve">“The successful cementation of all the casing layers in place is verified by pressure testing the well and by the use of downhole tools such as the cement bond log that use acoustic, density sensing or electromagnetic methods to sense any voids or poor contact between the cement, the casing strings and the rock formation </w:t>
            </w:r>
            <w:r>
              <w:rPr>
                <w:rFonts w:eastAsiaTheme="minorHAnsi" w:cs="Calibri"/>
              </w:rPr>
              <w:fldChar w:fldCharType="begin" w:fldLock="1"/>
            </w:r>
            <w:r>
              <w:rPr>
                <w:rFonts w:eastAsiaTheme="minorHAnsi" w:cs="Calibri"/>
              </w:rPr>
              <w:instrText>ADDIN CSL_CITATION {"citationItems":[{"id":"ITEM-1","itemData":{"DOI":"10.2523/iptc-18538-ms","ISBN":"1972952943","author":[{"dropping-particle":"","family":"Kyi","given":"Ko Ko","non-dropping-particle":"","parse-names":false,"suffix":""},{"dropping-particle":"","family":"Wang","given":"Arthur Goh Jin","non-dropping-particle":"","parse-names":false,"suffix":""}],"id":"ITEM-1","issue":"December 2015","issued":{"date-parts":[["2015"]]},"title":"Issues with Cement Bond and Cement Evaluation Logs - Case Studies from Offshore Malaysia","type":"article-journal"},"uris":["http://www.mendeley.com/documents/?uuid=2f56a957-509f-479f-a4a7-153b9899acef"]}],"mendeley":{"formattedCitation":"(Kyi and Wang, 2015)","plainTextFormattedCitation":"(Kyi and Wang, 2015)","previouslyFormattedCitation":"(Kyi and Wang, 2015)"},"properties":{"noteIndex":0},"schema":"https://github.com/citation-style-language/schema/raw/master/csl-citation.json"}</w:instrText>
            </w:r>
            <w:r>
              <w:rPr>
                <w:rFonts w:eastAsiaTheme="minorHAnsi" w:cs="Calibri"/>
              </w:rPr>
              <w:fldChar w:fldCharType="separate"/>
            </w:r>
            <w:r w:rsidRPr="00D17D34">
              <w:rPr>
                <w:rFonts w:eastAsiaTheme="minorHAnsi" w:cs="Calibri"/>
                <w:noProof/>
              </w:rPr>
              <w:t>(Kyi and Wang, 2015)</w:t>
            </w:r>
            <w:r>
              <w:rPr>
                <w:rFonts w:eastAsiaTheme="minorHAnsi" w:cs="Calibri"/>
              </w:rPr>
              <w:fldChar w:fldCharType="end"/>
            </w:r>
            <w:r>
              <w:rPr>
                <w:rFonts w:eastAsiaTheme="minorHAnsi" w:cs="Calibri"/>
              </w:rPr>
              <w:t>. As the proper placement and curing of the cement all around the well annulus is critical, tools that can image the entire circumference of the well (for example, with ultrasonics) provide a much better verification that zonal isolation in meeting specifications.” p156</w:t>
            </w:r>
          </w:p>
          <w:p w14:paraId="791D3DAB" w14:textId="77777777" w:rsidR="00273D75" w:rsidRDefault="00273D75" w:rsidP="001600C7">
            <w:pPr>
              <w:pStyle w:val="TableText"/>
              <w:rPr>
                <w:rFonts w:eastAsiaTheme="minorHAnsi" w:cs="Calibri"/>
              </w:rPr>
            </w:pPr>
          </w:p>
          <w:p w14:paraId="7E5549D6" w14:textId="3AB30E55" w:rsidR="00273D75" w:rsidRDefault="00273D75" w:rsidP="001600C7">
            <w:pPr>
              <w:pStyle w:val="TableText"/>
              <w:rPr>
                <w:rFonts w:eastAsiaTheme="minorHAnsi" w:cs="Calibri"/>
              </w:rPr>
            </w:pPr>
            <w:r>
              <w:rPr>
                <w:rFonts w:eastAsiaTheme="minorHAnsi" w:cs="Calibri"/>
              </w:rPr>
              <w:t>“A conventional gas well is ‘completed’ once all the components determining the well’s integrity have been verified and the necessary instrumentation of hardware to control gas production is in place.” p156</w:t>
            </w:r>
          </w:p>
          <w:p w14:paraId="1B545494" w14:textId="77777777" w:rsidR="00273D75" w:rsidRDefault="00273D75" w:rsidP="001600C7">
            <w:pPr>
              <w:pStyle w:val="TableText"/>
              <w:rPr>
                <w:rFonts w:eastAsiaTheme="minorHAnsi" w:cs="Calibri"/>
              </w:rPr>
            </w:pPr>
          </w:p>
          <w:p w14:paraId="6DE43FC9" w14:textId="0E5475A7" w:rsidR="00273D75" w:rsidRDefault="00273D75" w:rsidP="001600C7">
            <w:pPr>
              <w:pStyle w:val="TableText"/>
              <w:rPr>
                <w:rFonts w:eastAsiaTheme="minorHAnsi" w:cs="Calibri"/>
              </w:rPr>
            </w:pPr>
            <w:r>
              <w:rPr>
                <w:rFonts w:eastAsiaTheme="minorHAnsi" w:cs="Calibri"/>
              </w:rPr>
              <w:t>“</w:t>
            </w:r>
            <w:r w:rsidRPr="00D125E1">
              <w:rPr>
                <w:rFonts w:eastAsiaTheme="minorHAnsi" w:cs="Calibri"/>
              </w:rPr>
              <w:t>Poor well construction techniques are considered the most significant cause of well integrity</w:t>
            </w:r>
            <w:r>
              <w:rPr>
                <w:rFonts w:eastAsiaTheme="minorHAnsi" w:cs="Calibri"/>
              </w:rPr>
              <w:t xml:space="preserve"> </w:t>
            </w:r>
            <w:r w:rsidRPr="00D125E1">
              <w:rPr>
                <w:rFonts w:eastAsiaTheme="minorHAnsi" w:cs="Calibri"/>
              </w:rPr>
              <w:t xml:space="preserve">failure by a number of the reviewed reports </w:t>
            </w:r>
            <w:r>
              <w:rPr>
                <w:rFonts w:eastAsiaTheme="minorHAnsi" w:cs="Calibri"/>
              </w:rPr>
              <w:fldChar w:fldCharType="begin" w:fldLock="1"/>
            </w:r>
            <w:r>
              <w:rPr>
                <w:rFonts w:eastAsiaTheme="minorHAnsi" w:cs="Calibri"/>
              </w:rPr>
              <w:instrText>ADDIN CSL_CITATION {"citationItems":[{"id":"ITEM-1","itemData":{"author":[{"dropping-particle":"","family":"Sinclair Knight Merz Pty Ltd","given":"","non-dropping-particle":"","parse-names":false,"suffix":""}],"id":"ITEM-1","issue":"June","issued":{"date-parts":[["2014"]]},"title":"Background review - Bore integrity","type":"report"},"uris":["http://www.mendeley.com/documents/?uuid=31d4afc2-0d31-4fad-8446-79b34e2c0397"]},{"id":"ITEM-2","itemData":{"abstract":"www.dec.ny.gov Pursuant to Article 8 of the Environmental Conservation Law, the State Environmental Quality Review Act (SEQRA), and its implementing regulations set forth at 6 NYCRR Part 617, the New York State Department of Environmental Conservation makes the following findings: Description of Action: High-volume hydraulic fracturing, which is often used in conjunction with horizontal drilling and multi-well pad development, is an approach to extracting natural gas that raises new and significant adverse impacts not studied in 1992 in the NYSDEC's previous Generic Environmental Impact Statement on the Oil, Gas and Solution Mining Regulatory Program (GEIS). DEC prepared a Supplemental Generic Environmental Impact Statement (SGEIS) to satisfy the requirements of SEQRA by studying the high-volume hydraulic fracturing technique, identifying significant adverse impacts for these anticipated operations that were not identified in the GEIS, and identifying mitigation measures to minimize adverse environmental impacts.","author":[{"dropping-particle":"","family":"New York State Department of Environmental Conservation","given":"","non-dropping-particle":"","parse-names":false,"suffix":""}],"id":"ITEM-2","issue":"518","issued":{"date-parts":[["2015"]]},"title":"Final supplemental generic environmental impact statement on the oil, gas and solution mining regulatory program","type":"article-journal","volume":"L"},"uris":["http://www.mendeley.com/documents/?uuid=7f2d9f8d-d8df-4607-9df7-3f271987f8c0"]},{"id":"ITEM-3","itemData":{"author":[{"dropping-particle":"","family":"Gosine","given":"Ray","non-dropping-particle":"","parse-names":false,"suffix":""},{"dropping-particle":"","family":"Dusseault","given":"Maurice","non-dropping-particle":"","parse-names":false,"suffix":""},{"dropping-particle":"","family":"Gagnon","given":"Graham","non-dropping-particle":"","parse-names":false,"suffix":""},{"dropping-particle":"","family":"Keough","given":"Kevin","non-dropping-particle":"","parse-names":false,"suffix":""},{"dropping-particle":"","family":"Locke","given":"Wade","non-dropping-particle":"","parse-names":false,"suffix":""}],"id":"ITEM-3","issued":{"date-parts":[["2016"]]},"title":"Newfoundland &amp; Labrador Hydraulic Fracturing Review Panel","type":"article-journal"},"uris":["http://www.mendeley.com/documents/?uuid=e918a818-c5f2-4396-a150-f80fb22f54bb"]}],"mendeley":{"formattedCitation":"(Sinclair Knight Merz Pty Ltd, 2014; New York State Department of Environmental Conservation, 2015; Gosine &lt;i&gt;et al.&lt;/i&gt;, 2016)","plainTextFormattedCitation":"(Sinclair Knight Merz Pty Ltd, 2014; New York State Department of Environmental Conservation, 2015; Gosine et al., 2016)","previouslyFormattedCitation":"(Sinclair Knight Merz Pty Ltd, 2014; New York State Department of Environmental Conservation, 2015; Gosine &lt;i&gt;et al.&lt;/i&gt;, 2016)"},"properties":{"noteIndex":0},"schema":"https://github.com/citation-style-language/schema/raw/master/csl-citation.json"}</w:instrText>
            </w:r>
            <w:r>
              <w:rPr>
                <w:rFonts w:eastAsiaTheme="minorHAnsi" w:cs="Calibri"/>
              </w:rPr>
              <w:fldChar w:fldCharType="separate"/>
            </w:r>
            <w:r w:rsidRPr="00D17D34">
              <w:rPr>
                <w:rFonts w:eastAsiaTheme="minorHAnsi" w:cs="Calibri"/>
                <w:noProof/>
              </w:rPr>
              <w:t xml:space="preserve">(Sinclair Knight Merz Pty Ltd, 2014; New York State Department of Environmental Conservation, 2015; Gosine </w:t>
            </w:r>
            <w:r w:rsidRPr="005A442F">
              <w:rPr>
                <w:rFonts w:eastAsiaTheme="minorHAnsi" w:cs="Calibri"/>
                <w:noProof/>
              </w:rPr>
              <w:t>et al.</w:t>
            </w:r>
            <w:r w:rsidRPr="00D17D34">
              <w:rPr>
                <w:rFonts w:eastAsiaTheme="minorHAnsi" w:cs="Calibri"/>
                <w:noProof/>
              </w:rPr>
              <w:t>, 2016)</w:t>
            </w:r>
            <w:r>
              <w:rPr>
                <w:rFonts w:eastAsiaTheme="minorHAnsi" w:cs="Calibri"/>
              </w:rPr>
              <w:fldChar w:fldCharType="end"/>
            </w:r>
            <w:r>
              <w:rPr>
                <w:rFonts w:eastAsiaTheme="minorHAnsi" w:cs="Calibri"/>
              </w:rPr>
              <w:t>.” p157</w:t>
            </w:r>
          </w:p>
          <w:p w14:paraId="403BB8B5" w14:textId="7E5B3C1B" w:rsidR="00273D75" w:rsidRDefault="00273D75" w:rsidP="001600C7">
            <w:pPr>
              <w:pStyle w:val="TableText"/>
              <w:rPr>
                <w:rFonts w:eastAsiaTheme="minorHAnsi" w:cs="Calibri"/>
              </w:rPr>
            </w:pPr>
          </w:p>
          <w:p w14:paraId="0D1DC1D6" w14:textId="4EB981E4" w:rsidR="00273D75" w:rsidRDefault="00273D75" w:rsidP="001600C7">
            <w:pPr>
              <w:pStyle w:val="TableText"/>
              <w:rPr>
                <w:rFonts w:eastAsiaTheme="minorHAnsi" w:cs="Calibri"/>
              </w:rPr>
            </w:pPr>
            <w:r>
              <w:rPr>
                <w:rFonts w:eastAsiaTheme="minorHAnsi" w:cs="Calibri"/>
              </w:rPr>
              <w:t>“</w:t>
            </w:r>
            <w:r w:rsidRPr="00C532C8">
              <w:rPr>
                <w:rFonts w:eastAsiaTheme="minorHAnsi" w:cs="Calibri"/>
              </w:rPr>
              <w:t>High fluid overpressures in a rock layer penetrated by a well is a significant contributor to</w:t>
            </w:r>
            <w:r>
              <w:rPr>
                <w:rFonts w:eastAsiaTheme="minorHAnsi" w:cs="Calibri"/>
              </w:rPr>
              <w:t xml:space="preserve"> </w:t>
            </w:r>
            <w:r w:rsidRPr="00C532C8">
              <w:rPr>
                <w:rFonts w:eastAsiaTheme="minorHAnsi" w:cs="Calibri"/>
              </w:rPr>
              <w:t xml:space="preserve">well integrity. </w:t>
            </w:r>
            <w:r>
              <w:rPr>
                <w:rFonts w:eastAsiaTheme="minorHAnsi" w:cs="Calibri"/>
              </w:rPr>
              <w:t>…</w:t>
            </w:r>
            <w:r w:rsidRPr="00C532C8">
              <w:rPr>
                <w:rFonts w:eastAsiaTheme="minorHAnsi" w:cs="Calibri"/>
              </w:rPr>
              <w:t xml:space="preserve"> overpressured formations are not common in the</w:t>
            </w:r>
            <w:r>
              <w:rPr>
                <w:rFonts w:eastAsiaTheme="minorHAnsi" w:cs="Calibri"/>
              </w:rPr>
              <w:t xml:space="preserve"> </w:t>
            </w:r>
            <w:r w:rsidRPr="00C532C8">
              <w:rPr>
                <w:rFonts w:eastAsiaTheme="minorHAnsi" w:cs="Calibri"/>
              </w:rPr>
              <w:t>rock formations overlying unconventional oil and gas resources</w:t>
            </w:r>
            <w:r>
              <w:rPr>
                <w:rFonts w:eastAsiaTheme="minorHAnsi" w:cs="Calibri"/>
              </w:rPr>
              <w:t>…” p171</w:t>
            </w:r>
          </w:p>
          <w:p w14:paraId="04269105" w14:textId="2E862810" w:rsidR="00273D75" w:rsidRDefault="00273D75" w:rsidP="001600C7">
            <w:pPr>
              <w:pStyle w:val="TableText"/>
              <w:rPr>
                <w:rFonts w:eastAsiaTheme="minorHAnsi" w:cs="Calibri"/>
              </w:rPr>
            </w:pPr>
          </w:p>
          <w:p w14:paraId="6BBBBF2F" w14:textId="6A3773CC" w:rsidR="00273D75" w:rsidRDefault="00273D75" w:rsidP="001600C7">
            <w:pPr>
              <w:pStyle w:val="TableText"/>
              <w:rPr>
                <w:rFonts w:eastAsiaTheme="minorHAnsi" w:cs="Calibri"/>
              </w:rPr>
            </w:pPr>
            <w:r>
              <w:rPr>
                <w:rFonts w:eastAsiaTheme="minorHAnsi" w:cs="Calibri"/>
              </w:rPr>
              <w:t>“Even in the absence of overpressure in the formation, natural gas (predominantly methane) is both more buoyant and less viscous than water, and is thus more likely to move vertically through any available pathways, natural or otherwise, towards the surface.” p171</w:t>
            </w:r>
          </w:p>
          <w:p w14:paraId="6F1D91B5" w14:textId="7EEEC255" w:rsidR="00273D75" w:rsidRDefault="00273D75" w:rsidP="001600C7">
            <w:pPr>
              <w:pStyle w:val="TableText"/>
              <w:rPr>
                <w:rFonts w:eastAsiaTheme="minorHAnsi" w:cs="Calibri"/>
              </w:rPr>
            </w:pPr>
          </w:p>
          <w:p w14:paraId="28A23356" w14:textId="2B0748DC" w:rsidR="00273D75" w:rsidRDefault="00273D75" w:rsidP="001600C7">
            <w:pPr>
              <w:pStyle w:val="TableText"/>
              <w:rPr>
                <w:rFonts w:eastAsiaTheme="minorHAnsi" w:cs="Calibri"/>
              </w:rPr>
            </w:pPr>
            <w:r>
              <w:rPr>
                <w:rFonts w:eastAsiaTheme="minorHAnsi" w:cs="Calibri"/>
              </w:rPr>
              <w:t>“Patel, Webster and Jonasson (2015) reviewed 1,035 of the approximately 1,060 oil and gas wells in Western Australia that had not yet been decommissioned (both onshore and in State waters), and found 122 of them (about 12 percent) to have had some form of failure. The majority (8.3 percent) were tubing failures that did not imply a loss of containment to the environment, but 22 wells (two percent) had casing failures, with the primary cause being corrosion. A further 14 wells (one percent) had failure of the above-ground assembly of valves and fittings (the ‘Christmas tree’). The authors reported that none of the 122 failures resulted in any leakage to the environment, including any methane emissions, but it was not stated how this was determined or if it was only inferred.” p173</w:t>
            </w:r>
          </w:p>
          <w:p w14:paraId="04E09ACA" w14:textId="77777777" w:rsidR="00273D75" w:rsidRDefault="00273D75" w:rsidP="001600C7">
            <w:pPr>
              <w:pStyle w:val="TableText"/>
              <w:rPr>
                <w:rFonts w:eastAsiaTheme="minorHAnsi" w:cs="Calibri"/>
              </w:rPr>
            </w:pPr>
          </w:p>
          <w:p w14:paraId="13F65AA2" w14:textId="50F6E0EB" w:rsidR="00273D75" w:rsidRDefault="00273D75" w:rsidP="001600C7">
            <w:pPr>
              <w:pStyle w:val="TableText"/>
              <w:rPr>
                <w:rFonts w:eastAsiaTheme="minorHAnsi" w:cs="Calibri"/>
              </w:rPr>
            </w:pPr>
            <w:r>
              <w:rPr>
                <w:rFonts w:eastAsiaTheme="minorHAnsi" w:cs="Calibri"/>
              </w:rPr>
              <w:t>“The available publications illustrate that barrier and well failures do occur, but instances of loss of well integrity (that is, failure of multiple barriers) resulting in leakage or in blow-outs are very rare, with many basins having no incidents reported to authorities.” p174</w:t>
            </w:r>
          </w:p>
          <w:p w14:paraId="30C158C1" w14:textId="23C10DD0" w:rsidR="00273D75" w:rsidRPr="00AA11CA" w:rsidRDefault="00273D75" w:rsidP="001600C7">
            <w:pPr>
              <w:pStyle w:val="TableText"/>
              <w:rPr>
                <w:rFonts w:eastAsiaTheme="minorHAnsi" w:cs="Calibri"/>
              </w:rPr>
            </w:pPr>
          </w:p>
        </w:tc>
      </w:tr>
      <w:tr w:rsidR="00273D75" w:rsidRPr="00A8172F" w14:paraId="6CBE9DB2"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2A9738AA" w14:textId="67B4AC93" w:rsidR="00273D75" w:rsidRDefault="00273D75" w:rsidP="001600C7">
            <w:pPr>
              <w:pStyle w:val="TableText"/>
            </w:pPr>
            <w:r>
              <w:t>W.1</w:t>
            </w:r>
          </w:p>
        </w:tc>
        <w:tc>
          <w:tcPr>
            <w:tcW w:w="0" w:type="auto"/>
          </w:tcPr>
          <w:p w14:paraId="066594AC" w14:textId="194D676F" w:rsidR="00273D75" w:rsidRPr="00D646E6" w:rsidRDefault="00273D75" w:rsidP="001600C7">
            <w:pPr>
              <w:pStyle w:val="TableText"/>
              <w:rPr>
                <w:bCs/>
              </w:rPr>
            </w:pPr>
            <w:r>
              <w:t xml:space="preserve">Well rupture or failure across barriers </w:t>
            </w:r>
          </w:p>
        </w:tc>
        <w:tc>
          <w:tcPr>
            <w:tcW w:w="973" w:type="dxa"/>
          </w:tcPr>
          <w:p w14:paraId="020545D5" w14:textId="0C09B2A3" w:rsidR="00273D75" w:rsidRDefault="00273D75" w:rsidP="001600C7">
            <w:pPr>
              <w:pStyle w:val="TableText"/>
            </w:pPr>
            <w:r>
              <w:t>Rare</w:t>
            </w:r>
          </w:p>
        </w:tc>
        <w:tc>
          <w:tcPr>
            <w:tcW w:w="6463" w:type="dxa"/>
          </w:tcPr>
          <w:p w14:paraId="76439E39" w14:textId="5EFB4E82" w:rsidR="00273D75" w:rsidRDefault="00273D75" w:rsidP="001600C7">
            <w:pPr>
              <w:pStyle w:val="TableText"/>
              <w:rPr>
                <w:rFonts w:eastAsiaTheme="minorHAnsi" w:cs="Calibri"/>
              </w:rPr>
            </w:pPr>
            <w:r>
              <w:rPr>
                <w:rFonts w:eastAsiaTheme="minorHAnsi" w:cs="Calibri"/>
              </w:rPr>
              <w:t xml:space="preserve">“Well performance is monitored during fracturing, and so there is some experience in the literature with this risk. A well integrity failure resulting from fracture stimulations was reported for the Franchuk 44-20 SWH well in North Dakota </w:t>
            </w:r>
            <w:r>
              <w:rPr>
                <w:rFonts w:eastAsiaTheme="minorHAnsi" w:cs="Calibri"/>
              </w:rPr>
              <w:fldChar w:fldCharType="begin" w:fldLock="1"/>
            </w:r>
            <w:r>
              <w:rPr>
                <w:rFonts w:eastAsiaTheme="minorHAnsi" w:cs="Calibri"/>
              </w:rPr>
              <w:instrText>ADDIN CSL_CITATION {"citationItems":[{"id":"ITEM-1","itemData":{"abstract":"PDF of Killdeer, North Dakota retrospective case study report","author":[{"dropping-particle":"","family":"US EPA","given":"","non-dropping-particle":"","parse-names":false,"suffix":""}],"id":"ITEM-1","issue":"May","issued":{"date-parts":[["2015"]]},"title":"Report: retrospective case study in Killdeer, North Dakota","title-short":"US EPA 2015","type":"report"},"uris":["http://www.mendeley.com/documents/?uuid=f9062016-f3b6-48f8-a26d-468145c6ff74"]}],"mendeley":{"formattedCitation":"(US EPA, 2015)","plainTextFormattedCitation":"(US EPA, 2015)","previouslyFormattedCitation":"(US EPA, 2015)"},"properties":{"noteIndex":0},"schema":"https://github.com/citation-style-language/schema/raw/master/csl-citation.json"}</w:instrText>
            </w:r>
            <w:r>
              <w:rPr>
                <w:rFonts w:eastAsiaTheme="minorHAnsi" w:cs="Calibri"/>
              </w:rPr>
              <w:fldChar w:fldCharType="separate"/>
            </w:r>
            <w:r w:rsidRPr="00714C44">
              <w:rPr>
                <w:rFonts w:eastAsiaTheme="minorHAnsi" w:cs="Calibri"/>
                <w:noProof/>
              </w:rPr>
              <w:t>(US EPA, 2015)</w:t>
            </w:r>
            <w:r>
              <w:rPr>
                <w:rFonts w:eastAsiaTheme="minorHAnsi" w:cs="Calibri"/>
              </w:rPr>
              <w:fldChar w:fldCharType="end"/>
            </w:r>
            <w:r>
              <w:rPr>
                <w:rFonts w:eastAsiaTheme="minorHAnsi" w:cs="Calibri"/>
              </w:rPr>
              <w:t>.” p171</w:t>
            </w:r>
          </w:p>
          <w:p w14:paraId="5B075B8C" w14:textId="77777777" w:rsidR="00273D75" w:rsidRDefault="00273D75" w:rsidP="001600C7">
            <w:pPr>
              <w:pStyle w:val="TableText"/>
              <w:rPr>
                <w:rFonts w:eastAsiaTheme="minorHAnsi" w:cs="Calibri"/>
              </w:rPr>
            </w:pPr>
          </w:p>
          <w:p w14:paraId="18B48883" w14:textId="79214B43" w:rsidR="00273D75" w:rsidRDefault="00273D75" w:rsidP="001600C7">
            <w:pPr>
              <w:pStyle w:val="TableText"/>
              <w:rPr>
                <w:rFonts w:eastAsiaTheme="minorHAnsi" w:cs="Calibri"/>
              </w:rPr>
            </w:pPr>
            <w:r>
              <w:rPr>
                <w:rFonts w:eastAsiaTheme="minorHAnsi" w:cs="Calibri"/>
              </w:rPr>
              <w:t>“A submission by the Australian Department of Primary Industry and Resources to the Scientific Inquiry into Hydraulic Fracturing in the Northern Territory, referred to a well shallow casing failure (barrier failure) during a hydraulic fracture stimulation in 2012, but because the well (the Baldwin 2HST-a) had multiple casings, the shallow aquifer was apparently protected. The well was subsequently abandoned.” p171</w:t>
            </w:r>
          </w:p>
          <w:p w14:paraId="648DD09F" w14:textId="77777777" w:rsidR="00273D75" w:rsidRDefault="00273D75" w:rsidP="001600C7">
            <w:pPr>
              <w:pStyle w:val="TableText"/>
              <w:rPr>
                <w:rFonts w:eastAsiaTheme="minorHAnsi" w:cs="Calibri"/>
              </w:rPr>
            </w:pPr>
          </w:p>
          <w:p w14:paraId="07820438" w14:textId="78E60144" w:rsidR="00273D75" w:rsidRDefault="00273D75" w:rsidP="001600C7">
            <w:pPr>
              <w:pStyle w:val="TableText"/>
              <w:rPr>
                <w:rFonts w:eastAsiaTheme="minorHAnsi" w:cs="Calibri"/>
              </w:rPr>
            </w:pPr>
            <w:r>
              <w:rPr>
                <w:rFonts w:eastAsiaTheme="minorHAnsi" w:cs="Calibri"/>
              </w:rPr>
              <w:t>“The documented well integrity failure rates from these [depths and in geological conditions comparable to those likely to be</w:t>
            </w:r>
          </w:p>
          <w:p w14:paraId="1F54AA76" w14:textId="4205D67F" w:rsidR="00273D75" w:rsidRPr="00B37A9F" w:rsidRDefault="00273D75" w:rsidP="001600C7">
            <w:pPr>
              <w:pStyle w:val="TableText"/>
              <w:rPr>
                <w:rFonts w:eastAsiaTheme="minorHAnsi" w:cs="Calibri"/>
              </w:rPr>
            </w:pPr>
            <w:r>
              <w:rPr>
                <w:rFonts w:eastAsiaTheme="minorHAnsi" w:cs="Calibri"/>
              </w:rPr>
              <w:t>encountered in Western Australia] studies, that is, statistics related to notifiable and reported well blow-outs or release to the surface or to groundwater, ranged from zero (four cases) up to 1.27 percent.” p173</w:t>
            </w:r>
          </w:p>
        </w:tc>
      </w:tr>
      <w:tr w:rsidR="00273D75" w:rsidRPr="00A8172F" w14:paraId="6E97FA33"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3C5F984F" w14:textId="57666665" w:rsidR="00273D75" w:rsidRDefault="00273D75" w:rsidP="001600C7">
            <w:pPr>
              <w:pStyle w:val="TableText"/>
            </w:pPr>
            <w:r>
              <w:t>W.2</w:t>
            </w:r>
          </w:p>
        </w:tc>
        <w:tc>
          <w:tcPr>
            <w:tcW w:w="0" w:type="auto"/>
          </w:tcPr>
          <w:p w14:paraId="3A62D309" w14:textId="0E7311E0" w:rsidR="00273D75" w:rsidRDefault="00273D75" w:rsidP="001600C7">
            <w:pPr>
              <w:pStyle w:val="TableText"/>
            </w:pPr>
            <w:r>
              <w:t>Migration along casing from reservoir</w:t>
            </w:r>
          </w:p>
        </w:tc>
        <w:tc>
          <w:tcPr>
            <w:tcW w:w="973" w:type="dxa"/>
          </w:tcPr>
          <w:p w14:paraId="7C46CCEB" w14:textId="1B686670" w:rsidR="00273D75" w:rsidRDefault="00273D75" w:rsidP="001600C7">
            <w:pPr>
              <w:pStyle w:val="TableText"/>
            </w:pPr>
            <w:r>
              <w:t>Not assessed</w:t>
            </w:r>
          </w:p>
        </w:tc>
        <w:tc>
          <w:tcPr>
            <w:tcW w:w="6463" w:type="dxa"/>
          </w:tcPr>
          <w:p w14:paraId="43304C9B" w14:textId="6B531DB0" w:rsidR="00273D75" w:rsidRPr="002D4209" w:rsidRDefault="00273D75" w:rsidP="001600C7">
            <w:pPr>
              <w:pStyle w:val="TableText"/>
              <w:rPr>
                <w:rFonts w:eastAsiaTheme="minorHAnsi" w:cs="Calibri"/>
              </w:rPr>
            </w:pPr>
            <w:r>
              <w:rPr>
                <w:rFonts w:eastAsiaTheme="minorHAnsi" w:cs="Calibri"/>
              </w:rPr>
              <w:t>“</w:t>
            </w:r>
            <w:r w:rsidRPr="00A14134">
              <w:rPr>
                <w:rFonts w:eastAsiaTheme="minorHAnsi" w:cs="Calibri"/>
              </w:rPr>
              <w:t>The</w:t>
            </w:r>
            <w:r>
              <w:rPr>
                <w:rFonts w:eastAsiaTheme="minorHAnsi" w:cs="Calibri"/>
              </w:rPr>
              <w:t xml:space="preserve"> </w:t>
            </w:r>
            <w:r w:rsidRPr="00A14134">
              <w:rPr>
                <w:rFonts w:eastAsiaTheme="minorHAnsi" w:cs="Calibri"/>
              </w:rPr>
              <w:t>pathway potentially presented by a well with failed integrity will depend on the size and</w:t>
            </w:r>
            <w:r>
              <w:rPr>
                <w:rFonts w:eastAsiaTheme="minorHAnsi" w:cs="Calibri"/>
              </w:rPr>
              <w:t xml:space="preserve"> </w:t>
            </w:r>
            <w:r w:rsidRPr="00A14134">
              <w:rPr>
                <w:rFonts w:eastAsiaTheme="minorHAnsi" w:cs="Calibri"/>
              </w:rPr>
              <w:t>continuity of the breach. If a pathway from the target (stimulated) formation extends to the</w:t>
            </w:r>
            <w:r>
              <w:rPr>
                <w:rFonts w:eastAsiaTheme="minorHAnsi" w:cs="Calibri"/>
              </w:rPr>
              <w:t xml:space="preserve"> </w:t>
            </w:r>
            <w:r w:rsidRPr="00A14134">
              <w:rPr>
                <w:rFonts w:eastAsiaTheme="minorHAnsi" w:cs="Calibri"/>
              </w:rPr>
              <w:t>surface (for instance, resulting from poorly-constructed or damaged cement sheath</w:t>
            </w:r>
            <w:r>
              <w:rPr>
                <w:rFonts w:eastAsiaTheme="minorHAnsi" w:cs="Calibri"/>
              </w:rPr>
              <w:t xml:space="preserve"> </w:t>
            </w:r>
            <w:r w:rsidRPr="00A14134">
              <w:rPr>
                <w:rFonts w:eastAsiaTheme="minorHAnsi" w:cs="Calibri"/>
              </w:rPr>
              <w:t>between the outer casing and the surrounding rock), then formation fluids (particularly gas</w:t>
            </w:r>
            <w:r>
              <w:rPr>
                <w:rFonts w:eastAsiaTheme="minorHAnsi" w:cs="Calibri"/>
              </w:rPr>
              <w:t xml:space="preserve"> </w:t>
            </w:r>
            <w:r w:rsidRPr="00A14134">
              <w:rPr>
                <w:rFonts w:eastAsiaTheme="minorHAnsi" w:cs="Calibri"/>
              </w:rPr>
              <w:t>due to its buoyancy and low viscosity) may escape into the wider environment. In summary,</w:t>
            </w:r>
            <w:r>
              <w:rPr>
                <w:rFonts w:eastAsiaTheme="minorHAnsi" w:cs="Calibri"/>
              </w:rPr>
              <w:t xml:space="preserve"> </w:t>
            </w:r>
            <w:r w:rsidRPr="00A14134">
              <w:rPr>
                <w:rFonts w:eastAsiaTheme="minorHAnsi" w:cs="Calibri"/>
              </w:rPr>
              <w:t>well integrity is crucial to ensure a pathway is not created through which fluids, including</w:t>
            </w:r>
            <w:r>
              <w:rPr>
                <w:rFonts w:eastAsiaTheme="minorHAnsi" w:cs="Calibri"/>
              </w:rPr>
              <w:t xml:space="preserve"> </w:t>
            </w:r>
            <w:r w:rsidRPr="00A14134">
              <w:rPr>
                <w:rFonts w:eastAsiaTheme="minorHAnsi" w:cs="Calibri"/>
              </w:rPr>
              <w:t>gas, can travel upwards into protected formations (for example, water supply aquifers) or to</w:t>
            </w:r>
            <w:r>
              <w:rPr>
                <w:rFonts w:eastAsiaTheme="minorHAnsi" w:cs="Calibri"/>
              </w:rPr>
              <w:t xml:space="preserve"> </w:t>
            </w:r>
            <w:r w:rsidRPr="00A14134">
              <w:rPr>
                <w:rFonts w:eastAsiaTheme="minorHAnsi" w:cs="Calibri"/>
              </w:rPr>
              <w:t>the surface and atmosphere.</w:t>
            </w:r>
            <w:r>
              <w:rPr>
                <w:rFonts w:eastAsiaTheme="minorHAnsi" w:cs="Calibri"/>
              </w:rPr>
              <w:t>” p171</w:t>
            </w:r>
          </w:p>
        </w:tc>
      </w:tr>
      <w:tr w:rsidR="00273D75" w:rsidRPr="00A8172F" w14:paraId="16F977E6"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07836EDF" w14:textId="7B797ED4" w:rsidR="00273D75" w:rsidRDefault="00273D75" w:rsidP="001600C7">
            <w:pPr>
              <w:pStyle w:val="TableText"/>
            </w:pPr>
            <w:r>
              <w:t>W.3</w:t>
            </w:r>
          </w:p>
        </w:tc>
        <w:tc>
          <w:tcPr>
            <w:tcW w:w="0" w:type="auto"/>
          </w:tcPr>
          <w:p w14:paraId="58410C65" w14:textId="7F0387C5" w:rsidR="00273D75" w:rsidRDefault="00273D75" w:rsidP="001600C7">
            <w:pPr>
              <w:pStyle w:val="TableText"/>
            </w:pPr>
            <w:r>
              <w:t>Migration along casing between rock layers</w:t>
            </w:r>
          </w:p>
        </w:tc>
        <w:tc>
          <w:tcPr>
            <w:tcW w:w="973" w:type="dxa"/>
          </w:tcPr>
          <w:p w14:paraId="52855F0C" w14:textId="3A8AECB4" w:rsidR="00273D75" w:rsidRDefault="00273D75" w:rsidP="001600C7">
            <w:pPr>
              <w:pStyle w:val="TableText"/>
            </w:pPr>
            <w:r>
              <w:t>Rare</w:t>
            </w:r>
          </w:p>
        </w:tc>
        <w:tc>
          <w:tcPr>
            <w:tcW w:w="6463" w:type="dxa"/>
          </w:tcPr>
          <w:p w14:paraId="4E6C5F1A" w14:textId="12497B18" w:rsidR="00273D75" w:rsidRDefault="00273D75" w:rsidP="001600C7">
            <w:pPr>
              <w:pStyle w:val="TableText"/>
              <w:rPr>
                <w:rFonts w:eastAsiaTheme="minorHAnsi" w:cs="Calibri"/>
              </w:rPr>
            </w:pPr>
            <w:r>
              <w:rPr>
                <w:rFonts w:eastAsiaTheme="minorHAnsi" w:cs="Calibri"/>
              </w:rPr>
              <w:t>“</w:t>
            </w:r>
            <w:r w:rsidRPr="003C351E">
              <w:rPr>
                <w:rFonts w:eastAsiaTheme="minorHAnsi" w:cs="Calibri"/>
              </w:rPr>
              <w:t>Recommendation 5: That baseline and routine surveillance groundwater quality</w:t>
            </w:r>
            <w:r>
              <w:rPr>
                <w:rFonts w:eastAsiaTheme="minorHAnsi" w:cs="Calibri"/>
              </w:rPr>
              <w:t xml:space="preserve"> </w:t>
            </w:r>
            <w:r w:rsidRPr="003C351E">
              <w:rPr>
                <w:rFonts w:eastAsiaTheme="minorHAnsi" w:cs="Calibri"/>
              </w:rPr>
              <w:t>monitoring, including methane concentrations, should be included in an enforceable Code</w:t>
            </w:r>
            <w:r>
              <w:rPr>
                <w:rFonts w:eastAsiaTheme="minorHAnsi" w:cs="Calibri"/>
              </w:rPr>
              <w:t xml:space="preserve"> </w:t>
            </w:r>
            <w:r w:rsidRPr="003C351E">
              <w:rPr>
                <w:rFonts w:eastAsiaTheme="minorHAnsi" w:cs="Calibri"/>
              </w:rPr>
              <w:t>of Practice and results made publicly available before commencement of drilling operations</w:t>
            </w:r>
            <w:r>
              <w:rPr>
                <w:rFonts w:eastAsiaTheme="minorHAnsi" w:cs="Calibri"/>
              </w:rPr>
              <w:t xml:space="preserve"> </w:t>
            </w:r>
            <w:r w:rsidRPr="003C351E">
              <w:rPr>
                <w:rFonts w:eastAsiaTheme="minorHAnsi" w:cs="Calibri"/>
              </w:rPr>
              <w:t>and thereafter.</w:t>
            </w:r>
            <w:r>
              <w:rPr>
                <w:rFonts w:eastAsiaTheme="minorHAnsi" w:cs="Calibri"/>
              </w:rPr>
              <w:t>” p321</w:t>
            </w:r>
          </w:p>
          <w:p w14:paraId="2E893BEB" w14:textId="77777777" w:rsidR="00273D75" w:rsidRDefault="00273D75" w:rsidP="001600C7">
            <w:pPr>
              <w:pStyle w:val="TableText"/>
              <w:rPr>
                <w:rFonts w:eastAsiaTheme="minorHAnsi" w:cs="Calibri"/>
              </w:rPr>
            </w:pPr>
          </w:p>
          <w:p w14:paraId="61CC672F" w14:textId="47E54EBC" w:rsidR="00273D75" w:rsidRDefault="00273D75" w:rsidP="001600C7">
            <w:pPr>
              <w:pStyle w:val="TableText"/>
              <w:rPr>
                <w:rFonts w:eastAsiaTheme="minorHAnsi" w:cs="Calibri"/>
              </w:rPr>
            </w:pPr>
            <w:r>
              <w:rPr>
                <w:rFonts w:ascii="Calibri-Bold" w:eastAsiaTheme="minorHAnsi" w:hAnsi="Calibri-Bold" w:cs="Calibri-Bold"/>
                <w:bCs/>
              </w:rPr>
              <w:t>"</w:t>
            </w:r>
            <w:r w:rsidRPr="002D4209">
              <w:rPr>
                <w:rFonts w:ascii="Calibri-Bold" w:eastAsiaTheme="minorHAnsi" w:hAnsi="Calibri-Bold" w:cs="Calibri-Bold"/>
                <w:bCs/>
              </w:rPr>
              <w:t>Finding 25</w:t>
            </w:r>
            <w:r>
              <w:rPr>
                <w:rFonts w:eastAsiaTheme="minorHAnsi" w:cs="Calibri"/>
              </w:rPr>
              <w:t>: The risk of contamination of shallow fresh water aquifers by saline groundwater and chemicals used in hydraulic fracture stimulation from well integrity failure is low. This is based on the likelihood of well failure occurring such that aquifers are interconnected in the study area being determined to be rare. Should this event occur, the potential consequences are considered to range from insignificant to major, reflecting the importance of water quality in the upper aquifers in the development area.” p352</w:t>
            </w:r>
          </w:p>
          <w:p w14:paraId="619C3FD3" w14:textId="77777777" w:rsidR="00273D75" w:rsidRDefault="00273D75" w:rsidP="001600C7">
            <w:pPr>
              <w:pStyle w:val="TableText"/>
            </w:pPr>
          </w:p>
        </w:tc>
      </w:tr>
      <w:tr w:rsidR="00273D75" w:rsidRPr="00A8172F" w14:paraId="246F7AB4"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19ADB3E3" w14:textId="63C30CBA" w:rsidR="00273D75" w:rsidRDefault="00273D75" w:rsidP="001600C7">
            <w:pPr>
              <w:pStyle w:val="TableText"/>
            </w:pPr>
            <w:r>
              <w:t>W.4</w:t>
            </w:r>
          </w:p>
        </w:tc>
        <w:tc>
          <w:tcPr>
            <w:tcW w:w="0" w:type="auto"/>
          </w:tcPr>
          <w:p w14:paraId="37DAD1AC" w14:textId="4CCC2465" w:rsidR="00273D75" w:rsidRDefault="00273D75" w:rsidP="001600C7">
            <w:pPr>
              <w:pStyle w:val="TableText"/>
            </w:pPr>
            <w:r>
              <w:t>Migration along decommissioned / abandoned wells</w:t>
            </w:r>
          </w:p>
        </w:tc>
        <w:tc>
          <w:tcPr>
            <w:tcW w:w="973" w:type="dxa"/>
          </w:tcPr>
          <w:p w14:paraId="60AA94E4" w14:textId="5DEB3E02" w:rsidR="00273D75" w:rsidRDefault="00273D75" w:rsidP="001600C7">
            <w:pPr>
              <w:pStyle w:val="TableText"/>
            </w:pPr>
            <w:r>
              <w:t>Unlikely</w:t>
            </w:r>
          </w:p>
        </w:tc>
        <w:tc>
          <w:tcPr>
            <w:tcW w:w="6463" w:type="dxa"/>
          </w:tcPr>
          <w:p w14:paraId="5CE1C480" w14:textId="09E0CF2C" w:rsidR="00273D75" w:rsidRDefault="00273D75" w:rsidP="001600C7">
            <w:pPr>
              <w:pStyle w:val="TableText"/>
            </w:pPr>
            <w:r>
              <w:t>“Inquiry finding: Site rehabilitation and the long-term environmental performance of wells is the clear responsibility of the operator. Appropriate financial assurance is required to ensure that any necessary remediation of impacts to the environment can be funded. Additionally, industry contributions to fund the remediation of legacy issues associated with the industry would further protect the State from future liability.” p51, p352 &amp; p526</w:t>
            </w:r>
          </w:p>
          <w:p w14:paraId="7B072B51" w14:textId="77777777" w:rsidR="00273D75" w:rsidRDefault="00273D75" w:rsidP="001600C7">
            <w:pPr>
              <w:pStyle w:val="TableText"/>
            </w:pPr>
          </w:p>
          <w:p w14:paraId="48881AEF" w14:textId="16B42180" w:rsidR="00273D75" w:rsidRDefault="00273D75" w:rsidP="001600C7">
            <w:pPr>
              <w:pStyle w:val="TableText"/>
            </w:pPr>
            <w:r>
              <w:t xml:space="preserve">“Wu et al. </w:t>
            </w:r>
            <w:r>
              <w:fldChar w:fldCharType="begin" w:fldLock="1"/>
            </w:r>
            <w:r w:rsidR="00563B8C">
              <w:instrText>ADDIN CSL_CITATION {"citationItems":[{"id":"ITEM-1","itemData":{"DOI":"10.4225/08/5997394464ce0","author":[{"dropping-particle":"","family":"Wu","given":"Bailin","non-dropping-particle":"","parse-names":false,"suffix":""},{"dropping-particle":"","family":"Doble","given":"R","non-dropping-particle":"","parse-names":false,"suffix":""},{"dropping-particle":"","family":"Turnadge","given":"C","non-dropping-particle":"","parse-names":false,"suffix":""},{"dropping-particle":"","family":"Mallants","given":"Dirk","non-dropping-particle":"","parse-names":false,"suffix":""}],"id":"ITEM-1","issued":{"date-parts":[["2016"]]},"page":"78","publisher-place":"Canberra","title":"Bore and well induced inter-aquifer connectivity: a review of literature on failure mechanisms and conceptualisation of hydrocarbon reservoir - aquifer failure pathways","type":"article-journal"},"uris":["http://www.mendeley.com/documents/?uuid=efbabcfc-7095-4afe-bcb9-ca62382793eb"]}],"mendeley":{"formattedCitation":"(Wu &lt;i&gt;et al.&lt;/i&gt;, 2016)","manualFormatting":"(2016)","plainTextFormattedCitation":"(Wu et al., 2016)","previouslyFormattedCitation":"(Wu &lt;i&gt;et al.&lt;/i&gt;, 2016)"},"properties":{"noteIndex":0},"schema":"https://github.com/citation-style-language/schema/raw/master/csl-citation.json"}</w:instrText>
            </w:r>
            <w:r>
              <w:fldChar w:fldCharType="separate"/>
            </w:r>
            <w:r w:rsidRPr="00714C44">
              <w:rPr>
                <w:noProof/>
              </w:rPr>
              <w:t>(2016)</w:t>
            </w:r>
            <w:r>
              <w:fldChar w:fldCharType="end"/>
            </w:r>
            <w:r>
              <w:t xml:space="preserve"> note that occurrence of the above failure mechanisms for a particular well does not necessarily lead to lost integrity of the well, that is, a hydrological or environmental breach. This would depend on the extent of the failure mechanisms along the well and specific geological conditions.” p168</w:t>
            </w:r>
          </w:p>
          <w:p w14:paraId="45AC8F19" w14:textId="77777777" w:rsidR="00273D75" w:rsidRDefault="00273D75" w:rsidP="001600C7">
            <w:pPr>
              <w:pStyle w:val="TableText"/>
            </w:pPr>
          </w:p>
          <w:p w14:paraId="4C24BDF3" w14:textId="29F16C44" w:rsidR="00273D75" w:rsidRDefault="00273D75" w:rsidP="001600C7">
            <w:pPr>
              <w:pStyle w:val="TableText"/>
            </w:pPr>
            <w:r>
              <w:t>“There is, worldwide, an historic legacy of abandoned wells not properly decommissioned and plugged, with resultant pollutions of groundwater. Most of these wells predate the use of hydraulic fracture stimulation and were a feature of poor regulation and practice.” p168</w:t>
            </w:r>
          </w:p>
          <w:p w14:paraId="4FFED293" w14:textId="77777777" w:rsidR="00273D75" w:rsidRDefault="00273D75" w:rsidP="001600C7">
            <w:pPr>
              <w:pStyle w:val="TableText"/>
            </w:pPr>
          </w:p>
          <w:p w14:paraId="58DD43D0" w14:textId="2A108157" w:rsidR="00273D75" w:rsidRDefault="00273D75" w:rsidP="001600C7">
            <w:pPr>
              <w:pStyle w:val="TableText"/>
              <w:rPr>
                <w:rFonts w:eastAsiaTheme="minorHAnsi" w:cs="Calibri"/>
              </w:rPr>
            </w:pPr>
            <w:r>
              <w:rPr>
                <w:rFonts w:eastAsiaTheme="minorHAnsi" w:cs="Calibri"/>
              </w:rPr>
              <w:t>“The performance of an abandoned well to continue to contain potential leakage of fluids or mixing of formation fluids between rock layers depends on the very same criteria for operational well integrity: effective containment by the casings and cement layers of the well (including the cement plug), and between the well and surrounding rock.” p168</w:t>
            </w:r>
          </w:p>
          <w:p w14:paraId="4969988C" w14:textId="77777777" w:rsidR="00273D75" w:rsidRDefault="00273D75" w:rsidP="001600C7">
            <w:pPr>
              <w:pStyle w:val="TableText"/>
            </w:pPr>
          </w:p>
          <w:p w14:paraId="1F1CDC29" w14:textId="598D3325" w:rsidR="00273D75" w:rsidRDefault="00273D75" w:rsidP="001600C7">
            <w:pPr>
              <w:pStyle w:val="TableText"/>
            </w:pPr>
            <w:r>
              <w:t xml:space="preserve">“No studies were available on the long-term durability of the cements used to plug wells in shale in Australia, noting that Huddlestone-Holmes et al. </w:t>
            </w:r>
            <w:r>
              <w:fldChar w:fldCharType="begin" w:fldLock="1"/>
            </w:r>
            <w: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2017)","plainTextFormattedCitation":"(Huddlestone-Holmes et al., 2017)","previouslyFormattedCitation":"(Huddlestone-Holmes &lt;i&gt;et al.&lt;/i&gt;, 2017)"},"properties":{"noteIndex":0},"schema":"https://github.com/citation-style-language/schema/raw/master/csl-citation.json"}</w:instrText>
            </w:r>
            <w:r>
              <w:fldChar w:fldCharType="separate"/>
            </w:r>
            <w:r w:rsidRPr="00714C44">
              <w:rPr>
                <w:noProof/>
              </w:rPr>
              <w:t xml:space="preserve">(Huddlestone-Holmes </w:t>
            </w:r>
            <w:r w:rsidRPr="005A442F">
              <w:rPr>
                <w:noProof/>
              </w:rPr>
              <w:t>et al.</w:t>
            </w:r>
            <w:r w:rsidRPr="00714C44">
              <w:rPr>
                <w:noProof/>
              </w:rPr>
              <w:t>, 2017)</w:t>
            </w:r>
            <w:r>
              <w:fldChar w:fldCharType="end"/>
            </w:r>
            <w:r>
              <w:t xml:space="preserve"> concluded that the geochemical conditions of … [studies focused on relatively harsh (acidic) geochemical environments]… are much  more corrosive than found in a shale gas basin, with methane under pressure less corrosive than carbon dioxide </w:t>
            </w:r>
            <w:r>
              <w:fldChar w:fldCharType="begin" w:fldLock="1"/>
            </w:r>
            <w:r w:rsidR="006E4B84">
              <w:instrText>ADDIN CSL_CITATION {"citationItems":[{"id":"ITEM-1","itemData":{"DOI":"10.1186/2228-5547-4-35","ISBN":"10.1186/2228-5547-4-35","ISSN":"2228-5547","abstract":"In order to ensure smooth and uninterrupted flow of oil and gas to the end users, it is imperative for the field operators, pipeline engineers, and designers to be corrosion conscious as the lines and their component fittings would undergo material degradations due to corrosion. This paper gives a comprehensive review of corrosion problems during oil and gas production and its mitigation. The chemistry of corrosion mechanism had been examined with the various types of corrosion and associated corroding agents in the oil and gas industry. Factors affecting each of the various forms of corrosion were also presented. Ways of mitigating this menace with current technology of low costs had been discussed. It was noticed that the principles of corrosion must be understood in order to effectively select materials and to design, fabricate, and utilize metal structures for the optimum economic life of facilities and safety in oil and gas operations. Also, oil and gas materials last longer when both inhibitors and protective coatings are used together than when only batch inhibition was used. However, it is recommended that consultations with process, operations, materials, and corrosion engineers are necessary in the fitness of things to save billions of dollars wasted on corrosion in the oil and gas industries.","author":[{"dropping-particle":"","family":"Popoola","given":"Lekan","non-dropping-particle":"","parse-names":false,"suffix":""},{"dropping-particle":"","family":"Grema","given":"Alhaji","non-dropping-particle":"","parse-names":false,"suffix":""},{"dropping-particle":"","family":"Latinwo","given":"Ganiyu","non-dropping-particle":"","parse-names":false,"suffix":""},{"dropping-particle":"","family":"Gutti","given":"Babagana","non-dropping-particle":"","parse-names":false,"suffix":""},{"dropping-particle":"","family":"Balogun","given":"Adebori","non-dropping-particle":"","parse-names":false,"suffix":""}],"container-title":"International Journal of Industrial Chemistry","id":"ITEM-1","issue":"1","issued":{"date-parts":[["2013"]]},"page":"35","title":"Corrosion problems during oil and gas production and its mitigation","title-short":"Popoola et al. 2013","type":"article-journal","volume":"4"},"uris":["http://www.mendeley.com/documents/?uuid=dec19b99-9cdc-4d5c-94a7-61037e45c4e7"]}],"mendeley":{"formattedCitation":"(Popoola &lt;i&gt;et al.&lt;/i&gt;, 2013)","plainTextFormattedCitation":"(Popoola et al., 2013)","previouslyFormattedCitation":"(Popoola &lt;i&gt;et al.&lt;/i&gt;, 2013)"},"properties":{"noteIndex":0},"schema":"https://github.com/citation-style-language/schema/raw/master/csl-citation.json"}</w:instrText>
            </w:r>
            <w:r>
              <w:fldChar w:fldCharType="separate"/>
            </w:r>
            <w:r w:rsidRPr="00714C44">
              <w:rPr>
                <w:noProof/>
              </w:rPr>
              <w:t xml:space="preserve">(Popoola </w:t>
            </w:r>
            <w:r w:rsidRPr="005A442F">
              <w:rPr>
                <w:noProof/>
              </w:rPr>
              <w:t>et al.</w:t>
            </w:r>
            <w:r w:rsidRPr="00714C44">
              <w:rPr>
                <w:noProof/>
              </w:rPr>
              <w:t>, 2013)</w:t>
            </w:r>
            <w:r>
              <w:fldChar w:fldCharType="end"/>
            </w:r>
            <w:r>
              <w:t>.” p168</w:t>
            </w:r>
          </w:p>
          <w:p w14:paraId="1A4E9FE0" w14:textId="77777777" w:rsidR="00273D75" w:rsidRDefault="00273D75" w:rsidP="001600C7">
            <w:pPr>
              <w:pStyle w:val="TableText"/>
            </w:pPr>
          </w:p>
          <w:p w14:paraId="4DBE4DCB" w14:textId="524CDD8A" w:rsidR="00273D75" w:rsidRDefault="00273D75" w:rsidP="001600C7">
            <w:pPr>
              <w:pStyle w:val="TableText"/>
              <w:rPr>
                <w:rFonts w:eastAsiaTheme="minorHAnsi" w:cs="Calibri"/>
              </w:rPr>
            </w:pPr>
            <w:r>
              <w:rPr>
                <w:rFonts w:eastAsiaTheme="minorHAnsi" w:cs="Calibri"/>
              </w:rPr>
              <w:t>“A low level of trust was expressed by participants concerning the adequacy of regulations, observance by petroleum companies, and the ability of government to enforce them both during operations and over the long term, post-abandonment.” p267</w:t>
            </w:r>
          </w:p>
          <w:p w14:paraId="3FF01EB8" w14:textId="77777777" w:rsidR="00273D75" w:rsidRDefault="00273D75" w:rsidP="001600C7">
            <w:pPr>
              <w:pStyle w:val="TableText"/>
              <w:rPr>
                <w:rFonts w:eastAsiaTheme="minorHAnsi" w:cs="Calibri"/>
              </w:rPr>
            </w:pPr>
          </w:p>
          <w:p w14:paraId="0B1ECDC4" w14:textId="218DEB63" w:rsidR="00273D75" w:rsidRPr="007669F4" w:rsidRDefault="00273D75" w:rsidP="001600C7">
            <w:pPr>
              <w:pStyle w:val="TableText"/>
              <w:rPr>
                <w:rFonts w:eastAsiaTheme="minorHAnsi" w:cs="Calibri"/>
              </w:rPr>
            </w:pPr>
            <w:r>
              <w:rPr>
                <w:rFonts w:eastAsiaTheme="minorHAnsi" w:cs="Calibri"/>
              </w:rPr>
              <w:t>“</w:t>
            </w:r>
            <w:r w:rsidRPr="00A3459C">
              <w:rPr>
                <w:rFonts w:eastAsiaTheme="minorHAnsi" w:cs="Calibri"/>
              </w:rPr>
              <w:t>Finding 37: It is essential that well abandonment includes sealing designed for long-term</w:t>
            </w:r>
            <w:r>
              <w:rPr>
                <w:rFonts w:eastAsiaTheme="minorHAnsi" w:cs="Calibri"/>
              </w:rPr>
              <w:t xml:space="preserve"> </w:t>
            </w:r>
            <w:r w:rsidRPr="00A3459C">
              <w:rPr>
                <w:rFonts w:eastAsiaTheme="minorHAnsi" w:cs="Calibri"/>
              </w:rPr>
              <w:t>containment and that such sealing is tested for effectiveness and remedied if not effective.</w:t>
            </w:r>
            <w:r>
              <w:rPr>
                <w:rFonts w:eastAsiaTheme="minorHAnsi" w:cs="Calibri"/>
              </w:rPr>
              <w:t>” p381</w:t>
            </w:r>
          </w:p>
        </w:tc>
      </w:tr>
      <w:tr w:rsidR="00273D75" w:rsidRPr="00A8172F" w14:paraId="41B6BE56"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70EC6E42" w14:textId="1AB0D105" w:rsidR="00273D75" w:rsidRDefault="00273D75" w:rsidP="001600C7">
            <w:pPr>
              <w:pStyle w:val="TableText"/>
            </w:pPr>
            <w:r>
              <w:t>W.5</w:t>
            </w:r>
          </w:p>
        </w:tc>
        <w:tc>
          <w:tcPr>
            <w:tcW w:w="0" w:type="auto"/>
          </w:tcPr>
          <w:p w14:paraId="394ED888" w14:textId="0C4F7640" w:rsidR="00273D75" w:rsidRDefault="00273D75" w:rsidP="001600C7">
            <w:pPr>
              <w:pStyle w:val="TableText"/>
            </w:pPr>
            <w:r>
              <w:t>Loss of well control</w:t>
            </w:r>
          </w:p>
        </w:tc>
        <w:tc>
          <w:tcPr>
            <w:tcW w:w="973" w:type="dxa"/>
          </w:tcPr>
          <w:p w14:paraId="20D5AB4E" w14:textId="298BC356" w:rsidR="00273D75" w:rsidRDefault="00273D75" w:rsidP="001600C7">
            <w:pPr>
              <w:pStyle w:val="TableText"/>
            </w:pPr>
            <w:r>
              <w:t>Not assessed</w:t>
            </w:r>
          </w:p>
        </w:tc>
        <w:tc>
          <w:tcPr>
            <w:tcW w:w="6463" w:type="dxa"/>
          </w:tcPr>
          <w:p w14:paraId="40199744" w14:textId="77777777" w:rsidR="00273D75" w:rsidRDefault="00273D75" w:rsidP="001600C7">
            <w:pPr>
              <w:pStyle w:val="TableText"/>
            </w:pPr>
          </w:p>
        </w:tc>
      </w:tr>
      <w:bookmarkEnd w:id="112"/>
    </w:tbl>
    <w:p w14:paraId="30A4EB9C" w14:textId="56202561" w:rsidR="00273D75" w:rsidRDefault="00273D75" w:rsidP="00985B69">
      <w:pPr>
        <w:pStyle w:val="BodyText"/>
      </w:pPr>
    </w:p>
    <w:p w14:paraId="2A46DFC5" w14:textId="77777777" w:rsidR="00273D75" w:rsidRDefault="00273D75" w:rsidP="00985B69">
      <w:pPr>
        <w:pStyle w:val="BodyText"/>
      </w:pPr>
      <w:r>
        <w:br w:type="page"/>
      </w:r>
    </w:p>
    <w:p w14:paraId="5E3A3826" w14:textId="2515CC9E" w:rsidR="00273D75" w:rsidRDefault="00273D75" w:rsidP="00273D75">
      <w:pPr>
        <w:pStyle w:val="Heading5notnumbered"/>
      </w:pPr>
      <w:r>
        <w:t>References contained within</w:t>
      </w:r>
      <w:r w:rsidRPr="002F7982">
        <w:t xml:space="preserve"> </w:t>
      </w:r>
      <w:r>
        <w:fldChar w:fldCharType="begin"/>
      </w:r>
      <w:r>
        <w:instrText xml:space="preserve"> REF _Ref14707327 \h  \* MERGEFORMAT </w:instrText>
      </w:r>
      <w:r>
        <w:fldChar w:fldCharType="separate"/>
      </w:r>
      <w:r w:rsidR="00073927">
        <w:t xml:space="preserve">Table </w:t>
      </w:r>
      <w:r w:rsidR="00073927">
        <w:rPr>
          <w:noProof/>
        </w:rPr>
        <w:t>14</w:t>
      </w:r>
      <w:r w:rsidR="00073927">
        <w:t xml:space="preserve"> </w:t>
      </w:r>
      <w:r w:rsidR="00073927" w:rsidRPr="00FD5270">
        <w:t xml:space="preserve">Excerpts from </w:t>
      </w:r>
      <w:r w:rsidR="00073927" w:rsidRPr="00CF5AA9">
        <w:t xml:space="preserve">Hatton et al. </w:t>
      </w:r>
      <w:r w:rsidR="00073927">
        <w:t>(</w:t>
      </w:r>
      <w:r w:rsidR="00073927" w:rsidRPr="00CF5AA9">
        <w:t>2018)</w:t>
      </w:r>
      <w:r w:rsidR="00073927">
        <w:t xml:space="preserve"> </w:t>
      </w:r>
      <w:r w:rsidR="00073927" w:rsidRPr="00FD5270">
        <w:t>related to each impact mode</w:t>
      </w:r>
      <w:r>
        <w:fldChar w:fldCharType="end"/>
      </w:r>
    </w:p>
    <w:p w14:paraId="6F964D2A" w14:textId="30D25FD7" w:rsidR="00273D75" w:rsidRDefault="00273D75" w:rsidP="00464065">
      <w:pPr>
        <w:pStyle w:val="References"/>
      </w:pPr>
      <w:r>
        <w:t xml:space="preserve">Davies, R. J., Mathias, S. a., Moss, J., Hustoft, S., &amp; Newport, L. (2012). Hydraulic fractures: How far can they go? Marine and Petroleum Geology, 37(1), 1–6. </w:t>
      </w:r>
    </w:p>
    <w:p w14:paraId="741B3313" w14:textId="44929C4A" w:rsidR="00273D75" w:rsidRDefault="00273D75" w:rsidP="00464065">
      <w:pPr>
        <w:pStyle w:val="References"/>
      </w:pPr>
      <w:r>
        <w:t>Detournay, E. (2016). Mechanics of Hydraulic Fractures. Annual Review of Fluid Mechanics, 48(1), 311–339.</w:t>
      </w:r>
    </w:p>
    <w:p w14:paraId="5283529E" w14:textId="0F39D15E" w:rsidR="00273D75" w:rsidRDefault="00273D75" w:rsidP="00464065">
      <w:pPr>
        <w:pStyle w:val="References"/>
      </w:pPr>
      <w:r>
        <w:t xml:space="preserve">Flewelling, S. A., Tymchak, M. P., &amp; Warpinski, N. (2013). Hydraulic fracture height limits and fault interactions in tight oil and gas formations. Geophysical Research Letters, 40(14), 3602–3606. </w:t>
      </w:r>
    </w:p>
    <w:p w14:paraId="130554D6" w14:textId="50579FF1" w:rsidR="00273D75" w:rsidRDefault="00273D75" w:rsidP="00464065">
      <w:pPr>
        <w:pStyle w:val="References"/>
      </w:pPr>
      <w:r>
        <w:t xml:space="preserve">Gosine, R., Dusseault, M., Gagnon, G., Keough, K., &amp; Locke, W. (2016). Newfoundland &amp; Labrador Hydraulic Fracturing Review Panel. </w:t>
      </w:r>
      <w:r w:rsidR="00C32285">
        <w:t xml:space="preserve">Viewed 24 July 2019, </w:t>
      </w:r>
      <w:hyperlink r:id="rId50" w:history="1">
        <w:r w:rsidR="00464065" w:rsidRPr="00EF72E0">
          <w:rPr>
            <w:rStyle w:val="Hyperlink"/>
          </w:rPr>
          <w:t>http://nlhfrp.ca/wp-content/uploads/2016/06/Final-Report-June-2016.pdf</w:t>
        </w:r>
      </w:hyperlink>
      <w:r w:rsidR="00464065">
        <w:t xml:space="preserve"> </w:t>
      </w:r>
      <w:r w:rsidR="00C32285">
        <w:t xml:space="preserve"> </w:t>
      </w:r>
    </w:p>
    <w:p w14:paraId="2CB23986" w14:textId="4C9FB286" w:rsidR="00273D75" w:rsidRDefault="00273D75" w:rsidP="00464065">
      <w:pPr>
        <w:pStyle w:val="References"/>
      </w:pPr>
      <w:r>
        <w:t xml:space="preserve">Huddlestone-Holmes, C. R., Wu, B., Kear, J., &amp; Pandurangan, R. (2017). Report into The shale gas well life cycle and well integrity. </w:t>
      </w:r>
      <w:hyperlink r:id="rId51" w:history="1">
        <w:r w:rsidR="00C32285" w:rsidRPr="00464065">
          <w:rPr>
            <w:rStyle w:val="Hyperlink"/>
          </w:rPr>
          <w:t>https://doi.org/10.4225/08/5a3802273ed86</w:t>
        </w:r>
      </w:hyperlink>
      <w:r w:rsidR="00C32285">
        <w:t xml:space="preserve"> </w:t>
      </w:r>
    </w:p>
    <w:p w14:paraId="4C558386" w14:textId="6D698939" w:rsidR="00273D75" w:rsidRDefault="00273D75" w:rsidP="00464065">
      <w:pPr>
        <w:pStyle w:val="References"/>
      </w:pPr>
      <w:r>
        <w:t>Jacobs, T. (2017a). Frac Hits Reveal Well Spacing May be Too Tight, Completion Volumes Too Large. Journal of Petroleum Technology, 69(11), 35–38.</w:t>
      </w:r>
      <w:r w:rsidR="00C32285">
        <w:t xml:space="preserve"> </w:t>
      </w:r>
    </w:p>
    <w:p w14:paraId="07A38E37" w14:textId="7E8D60DE" w:rsidR="00273D75" w:rsidRDefault="00273D75" w:rsidP="00464065">
      <w:pPr>
        <w:pStyle w:val="References"/>
      </w:pPr>
      <w:r>
        <w:t>Jacobs, T. (2017b). Oil and Gas Producers Find Frac Hits in Shale Wells a Major Challenge. Journal of Petroleum Technology, 69(04), 29–34.</w:t>
      </w:r>
    </w:p>
    <w:p w14:paraId="289381FD" w14:textId="7C420D43" w:rsidR="00273D75" w:rsidRDefault="00273D75" w:rsidP="00464065">
      <w:pPr>
        <w:pStyle w:val="References"/>
      </w:pPr>
      <w:r>
        <w:t xml:space="preserve">King, G. (2012). Hydraulic Fracturing 101: What Every Representative, Environmentalist, Regulator, Reporter, Investor, University Researcher, Neighbor and Engineer Should Know. SPE Hydraulic Fracturing Technology Conference, 1–80. </w:t>
      </w:r>
    </w:p>
    <w:p w14:paraId="3DEE8E9E" w14:textId="33EAED8C" w:rsidR="00273D75" w:rsidRDefault="00273D75" w:rsidP="00464065">
      <w:pPr>
        <w:pStyle w:val="References"/>
      </w:pPr>
      <w:r>
        <w:t xml:space="preserve">King, G. E., Rainbolt, M. F., &amp; Swanson, C. (2017). Frac Hit Induced Production Losses: Evaluating Root Causes, Damage Location, Possible Prevention Methods and Success of Remedial Treatments. In SPE Annual Technical Conference and Exhibition. Society of Petroleum Engineers. </w:t>
      </w:r>
    </w:p>
    <w:p w14:paraId="03E216B9" w14:textId="759F7268" w:rsidR="00273D75" w:rsidRDefault="00273D75" w:rsidP="00464065">
      <w:pPr>
        <w:pStyle w:val="References"/>
      </w:pPr>
      <w:r>
        <w:t xml:space="preserve">Kulikowski, D., Amrouch, K., &amp; Cooke, D. (2016). Geomechanical modelling of fault reactivation in the Cooper Basin, Australia. Australian Journal of Earth Sciences, 63(3), 295–314. </w:t>
      </w:r>
    </w:p>
    <w:p w14:paraId="138E6A16" w14:textId="25908D95" w:rsidR="00273D75" w:rsidRDefault="00273D75" w:rsidP="00464065">
      <w:pPr>
        <w:pStyle w:val="References"/>
      </w:pPr>
      <w:r>
        <w:t>Kyi, K. K., &amp; Wang, A. G. J. (2015). Issues with Cement Bond and Cement Evaluation Logs - Case Studies from Offshore Malaysia, (December 2015).</w:t>
      </w:r>
      <w:r w:rsidR="00C32285">
        <w:t xml:space="preserve"> Viewed 24 July 2019</w:t>
      </w:r>
      <w:r>
        <w:t xml:space="preserve"> </w:t>
      </w:r>
      <w:hyperlink r:id="rId52" w:history="1">
        <w:r w:rsidR="00C32285" w:rsidRPr="00464065">
          <w:rPr>
            <w:rStyle w:val="Hyperlink"/>
          </w:rPr>
          <w:t>https://doi.org/10.2523/iptc-18538-ms</w:t>
        </w:r>
      </w:hyperlink>
      <w:r w:rsidR="00C32285">
        <w:t xml:space="preserve"> </w:t>
      </w:r>
    </w:p>
    <w:p w14:paraId="59888E48" w14:textId="35944ADF" w:rsidR="00273D75" w:rsidRDefault="00273D75" w:rsidP="00464065">
      <w:pPr>
        <w:pStyle w:val="References"/>
      </w:pPr>
      <w:r>
        <w:t xml:space="preserve">Langhi, L., Zhang, Y., Nicholson, C., Bernardel, G., Rollet, N., Schaubs, P., </w:t>
      </w:r>
      <w:r w:rsidR="00840CB2">
        <w:t>Kempton, R.</w:t>
      </w:r>
      <w:r w:rsidR="00690973">
        <w:t xml:space="preserve">, &amp; </w:t>
      </w:r>
      <w:r>
        <w:t xml:space="preserve">Kennard, J. (2012). Geomechanical modelling of trap integrity in the northern offshore Perth Basin. CSIRO Open File Report EP12425. Retrieved from </w:t>
      </w:r>
      <w:hyperlink r:id="rId53" w:history="1">
        <w:r w:rsidR="00C32285" w:rsidRPr="00464065">
          <w:rPr>
            <w:rStyle w:val="Hyperlink"/>
          </w:rPr>
          <w:t>https://publications.csiro.au/rpr/download?pid=csiro:EP12425&amp;dsid=DS4</w:t>
        </w:r>
      </w:hyperlink>
      <w:r w:rsidR="00C32285">
        <w:t xml:space="preserve"> </w:t>
      </w:r>
    </w:p>
    <w:p w14:paraId="66C73426" w14:textId="5DE8E6FA" w:rsidR="00273D75" w:rsidRDefault="00273D75" w:rsidP="00464065">
      <w:pPr>
        <w:pStyle w:val="References"/>
      </w:pPr>
      <w:r>
        <w:t>Lecampion, B., Bunger, A., &amp; Zhang, X. (2018). Numerical methods for hydraulic fracture propagation: A review of recent trends. Journal of Natural Gas Science and Engineering, 49(October 2017), 66–83</w:t>
      </w:r>
      <w:r w:rsidR="00C32285">
        <w:t>.</w:t>
      </w:r>
    </w:p>
    <w:p w14:paraId="03288766" w14:textId="0BCC9406" w:rsidR="00273D75" w:rsidRDefault="00273D75" w:rsidP="00464065">
      <w:pPr>
        <w:pStyle w:val="References"/>
      </w:pPr>
      <w:r>
        <w:t>Nelson, E. J., Chipperfield, S. T., Hillis, R. R., Gilbert, J., McGowen, J., &amp; Mildren, S. D. (2007). The relationship between closure pressures from fluid injection tests and the minimum principal stress in strong rocks. International Journal of Rock Mechanics and Mining Sciences, 44(5), 787–801.</w:t>
      </w:r>
    </w:p>
    <w:p w14:paraId="44DF159E" w14:textId="0DF7982C" w:rsidR="00273D75" w:rsidRDefault="00273D75" w:rsidP="00464065">
      <w:pPr>
        <w:pStyle w:val="References"/>
      </w:pPr>
      <w:r>
        <w:t xml:space="preserve">New York State Department of Environmental Conservation. (2015). Final supplemental generic environmental impact statement on the oil, gas and solution mining regulatory program, L(518). </w:t>
      </w:r>
    </w:p>
    <w:p w14:paraId="3D4D25C5" w14:textId="795F9D80" w:rsidR="00273D75" w:rsidRDefault="00273D75" w:rsidP="00464065">
      <w:pPr>
        <w:pStyle w:val="References"/>
      </w:pPr>
      <w:r>
        <w:t>O’Brien, G. W., Lisk, M., Duddy, I. R., Hamilton, J., Woods, P., &amp; Cowley, R. (1999). Plate convergence, foreland development and fault reactivation: Primary controls on brine migration, thermal histories and trap breach in the Timor Sea, Australia. Marine and Petroleum Geology, 16(6), 533–560.</w:t>
      </w:r>
    </w:p>
    <w:p w14:paraId="79265B93" w14:textId="15091A44" w:rsidR="00563B8C" w:rsidRDefault="00563B8C" w:rsidP="00464065">
      <w:pPr>
        <w:pStyle w:val="References"/>
      </w:pPr>
      <w:r w:rsidRPr="00563B8C">
        <w:t>Patel, S., Webster, S. and Jonasson, K. (2015) ‘Review of well integrity in Western Australia’, Petroleum in Western Australia</w:t>
      </w:r>
      <w:r w:rsidR="00B02B61">
        <w:t xml:space="preserve"> - April 2015. Viewed 24 July 2019 </w:t>
      </w:r>
      <w:hyperlink r:id="rId54" w:history="1">
        <w:r w:rsidR="00B02B61" w:rsidRPr="00464065">
          <w:rPr>
            <w:rStyle w:val="Hyperlink"/>
          </w:rPr>
          <w:t>https://www.dmp.wa.gov.au/Documents/Petroleum/PD-RES-PUB-134D.pdf</w:t>
        </w:r>
      </w:hyperlink>
      <w:r w:rsidR="00B02B61">
        <w:t xml:space="preserve"> </w:t>
      </w:r>
    </w:p>
    <w:p w14:paraId="53AEB91A" w14:textId="69EE61AF" w:rsidR="00273D75" w:rsidRDefault="00273D75" w:rsidP="00464065">
      <w:pPr>
        <w:pStyle w:val="References"/>
      </w:pPr>
      <w:r>
        <w:t>Popoola, L., Grema, A., Latinwo, G., Gutti, B., &amp; Balogun, A. (2013). Corrosion problems during oil and gas production and its mitigation. International Journal of Industrial Chemistry, 4(1), 35.</w:t>
      </w:r>
    </w:p>
    <w:p w14:paraId="70FFFFAC" w14:textId="7105412D" w:rsidR="00273D75" w:rsidRDefault="00273D75" w:rsidP="00464065">
      <w:pPr>
        <w:pStyle w:val="References"/>
      </w:pPr>
      <w:r>
        <w:t>Rainbolt, M. F., &amp; Esco, J. (2018). Frac Hit Induced Production Losses: Evaluating Root Causes, Damage Location, Possible Prevention Methods and Success of Remediation Treatments, Part II. SPE Hydraulic Fracturing Technology Conference and Exhibition, 187192(part I).</w:t>
      </w:r>
    </w:p>
    <w:p w14:paraId="28005289" w14:textId="4DE2F191" w:rsidR="00273D75" w:rsidRDefault="00273D75" w:rsidP="00464065">
      <w:pPr>
        <w:pStyle w:val="References"/>
      </w:pPr>
      <w:r>
        <w:t xml:space="preserve">Reynolds, S. D., Mildren, S. D., Hillis, R. R., &amp; Meyer, J. J. (2006). Constraining stress magnitudes using petroleum exploration data in the Cooper-Eromanga Basins, Australia. Tectonophysics, 415(1–4), 123–140. </w:t>
      </w:r>
    </w:p>
    <w:p w14:paraId="2F6B1EB9" w14:textId="256CBA13" w:rsidR="00273D75" w:rsidRDefault="00273D75" w:rsidP="00464065">
      <w:pPr>
        <w:pStyle w:val="References"/>
      </w:pPr>
      <w:r>
        <w:t>Ruth, P. van, Hillis, R., Swarbrick, R., Tingate, P., &amp; Midren, S. (2013). The Origin of Overpressure in the Cooper Basin, Australia. ASEG Extended Abstracts, 2003(2), 1–5.</w:t>
      </w:r>
    </w:p>
    <w:p w14:paraId="3B866797" w14:textId="77777777" w:rsidR="00273D75" w:rsidRDefault="00273D75" w:rsidP="00464065">
      <w:pPr>
        <w:pStyle w:val="References"/>
      </w:pPr>
      <w:r>
        <w:t>Sinclair Knight Merz Pty Ltd. (2014). Background review - Bore integrity.</w:t>
      </w:r>
    </w:p>
    <w:p w14:paraId="2E40D12A" w14:textId="21EF7454" w:rsidR="00273D75" w:rsidRDefault="00273D75" w:rsidP="00464065">
      <w:pPr>
        <w:pStyle w:val="References"/>
      </w:pPr>
      <w:r>
        <w:t xml:space="preserve">Soltanzadeh, H., &amp; Hawkes, C. D. (2009). Assessing fault reactivation tendency within and surrounding porous reservoirs during fluid production or injection. International Journal of Rock Mechanics and Mining Sciences, 46(1), 1–7. </w:t>
      </w:r>
    </w:p>
    <w:p w14:paraId="07A512C6" w14:textId="19416099" w:rsidR="00273D75" w:rsidRDefault="00273D75" w:rsidP="00464065">
      <w:pPr>
        <w:pStyle w:val="References"/>
      </w:pPr>
      <w:r>
        <w:t xml:space="preserve">Taoutaou, S., Bonnecaze, A. L., Dondale, A. T., Jain, B., &amp; Abdullah, N. (2010). Ensuring Well Integrity in HP/HT Wells: Brunei Case Study, (November 2008), 1–11. </w:t>
      </w:r>
      <w:r w:rsidR="009A75B9">
        <w:t xml:space="preserve">Viewed 24 July 2019 </w:t>
      </w:r>
      <w:hyperlink r:id="rId55" w:history="1">
        <w:r w:rsidR="009A75B9" w:rsidRPr="00464065">
          <w:rPr>
            <w:rStyle w:val="Hyperlink"/>
          </w:rPr>
          <w:t>https://doi.org/10.2118/136884-ms</w:t>
        </w:r>
      </w:hyperlink>
      <w:r w:rsidR="009A75B9">
        <w:t xml:space="preserve"> </w:t>
      </w:r>
    </w:p>
    <w:p w14:paraId="62CDF997" w14:textId="7C238267" w:rsidR="00273D75" w:rsidRDefault="00273D75" w:rsidP="00464065">
      <w:pPr>
        <w:pStyle w:val="References"/>
      </w:pPr>
      <w:r>
        <w:t xml:space="preserve">US EPA. (2015). Report: retrospective case study in Killdeer, North Dakota. </w:t>
      </w:r>
      <w:r w:rsidR="009A75B9">
        <w:t xml:space="preserve">Viewed 23 July 2018 </w:t>
      </w:r>
      <w:hyperlink r:id="rId56" w:history="1">
        <w:r w:rsidR="009A75B9" w:rsidRPr="00464065">
          <w:rPr>
            <w:rStyle w:val="Hyperlink"/>
          </w:rPr>
          <w:t>https://www.epa.gov/hfstudy/report-retrospective-case-study-killdeer-north-dakota-pdf</w:t>
        </w:r>
      </w:hyperlink>
      <w:r w:rsidR="009A75B9">
        <w:t xml:space="preserve"> </w:t>
      </w:r>
    </w:p>
    <w:p w14:paraId="2EDBA143" w14:textId="6D4A9EAE" w:rsidR="003A68A6" w:rsidRDefault="003A68A6" w:rsidP="00464065">
      <w:pPr>
        <w:pStyle w:val="References"/>
      </w:pPr>
      <w:r w:rsidRPr="003A68A6">
        <w:t>Westwood, R. F., Toon, S. M., Styles, P. and Cassidy, N. J. (2017) Horizontal respect distance for hydraulic fracturing in the vicinity of existing faults in deep geological reservoirs: a review and modelling study, Geomechanics and Geophysics for Geo-Energy and Geo-Resources. doi: 10.1007/s40948-017-0065-3.</w:t>
      </w:r>
    </w:p>
    <w:p w14:paraId="12ECF086" w14:textId="729A91E3" w:rsidR="00273D75" w:rsidRDefault="00273D75" w:rsidP="00464065">
      <w:pPr>
        <w:pStyle w:val="References"/>
      </w:pPr>
      <w:r>
        <w:t xml:space="preserve">Wilson, M. P., Worrall, F., Davies, R. J., &amp; Hart, A. (2017). Shallow Aquifer Vulnerability From Subsurface Fluid Injection at a Proposed Shale Gas Hydraulic Fracturing Site. Water Resources Research, 53(11), 9922–9940. </w:t>
      </w:r>
    </w:p>
    <w:p w14:paraId="574DC978" w14:textId="77777777" w:rsidR="009A75B9" w:rsidRDefault="00273D75" w:rsidP="00464065">
      <w:pPr>
        <w:pStyle w:val="References"/>
      </w:pPr>
      <w:r>
        <w:t>Wu, B., Doble, R., Turnadge, C., &amp; Mallants, D. (2016). Bore and well induced inter-aquifer connectivity: a review of literature on failure mechanisms and conceptualisation of hydrocarbon reservoir - aquifer failure pathways.</w:t>
      </w:r>
    </w:p>
    <w:p w14:paraId="583123F1" w14:textId="77777777" w:rsidR="00526EAF" w:rsidRDefault="00273D75" w:rsidP="00464065">
      <w:pPr>
        <w:pStyle w:val="References"/>
        <w:sectPr w:rsidR="00526EAF" w:rsidSect="00A2118F">
          <w:headerReference w:type="even" r:id="rId57"/>
          <w:headerReference w:type="default" r:id="rId58"/>
          <w:footerReference w:type="even" r:id="rId59"/>
          <w:footerReference w:type="default" r:id="rId60"/>
          <w:pgSz w:w="11906" w:h="16838" w:code="9"/>
          <w:pgMar w:top="1247" w:right="1134" w:bottom="1134" w:left="1134" w:header="510" w:footer="624" w:gutter="0"/>
          <w:cols w:space="284"/>
          <w:docGrid w:linePitch="360"/>
        </w:sectPr>
      </w:pPr>
      <w:r>
        <w:t>Zoback, M. D. (2007). Reservoir Geomechanics. Cambridge, United Kingdom: Cambridge University Press.</w:t>
      </w:r>
    </w:p>
    <w:p w14:paraId="47C4D488" w14:textId="067DE415" w:rsidR="000614AE" w:rsidRPr="005A442F" w:rsidRDefault="000614AE" w:rsidP="000614AE">
      <w:pPr>
        <w:pStyle w:val="Heading2notnumbered"/>
      </w:pPr>
      <w:bookmarkStart w:id="113" w:name="_Toc5272804"/>
      <w:bookmarkStart w:id="114" w:name="_Toc36042866"/>
      <w:bookmarkStart w:id="115" w:name="_Toc369079396"/>
      <w:bookmarkStart w:id="116" w:name="_Toc5272821"/>
      <w:r>
        <w:t xml:space="preserve">Cooper </w:t>
      </w:r>
      <w:r w:rsidR="0033174C">
        <w:t>a</w:t>
      </w:r>
      <w:r>
        <w:t>ddendum</w:t>
      </w:r>
      <w:bookmarkEnd w:id="113"/>
      <w:bookmarkEnd w:id="114"/>
    </w:p>
    <w:p w14:paraId="651A4876" w14:textId="77777777" w:rsidR="000614AE" w:rsidRPr="0073617F" w:rsidRDefault="000614AE" w:rsidP="0073617F">
      <w:pPr>
        <w:pStyle w:val="Heading3notnumbered"/>
        <w:rPr>
          <w:i w:val="0"/>
        </w:rPr>
      </w:pPr>
      <w:bookmarkStart w:id="117" w:name="_Toc36042867"/>
      <w:r w:rsidRPr="0073617F">
        <w:rPr>
          <w:i w:val="0"/>
        </w:rPr>
        <w:t>Hydraulic fracturing impact mode review for the Cooper GBA region</w:t>
      </w:r>
      <w:bookmarkEnd w:id="117"/>
    </w:p>
    <w:p w14:paraId="3C5AB5A7" w14:textId="3D10FF2B" w:rsidR="000614AE" w:rsidRPr="005A442F" w:rsidRDefault="000614AE" w:rsidP="000614AE">
      <w:pPr>
        <w:pStyle w:val="BodyText"/>
      </w:pPr>
      <w:r w:rsidRPr="005A442F">
        <w:t>The first hydraulic fracturing for stimulation in Australia was carried out in the Cooper Basin of S</w:t>
      </w:r>
      <w:r w:rsidR="002A45A3">
        <w:t>A</w:t>
      </w:r>
      <w:r w:rsidRPr="005A442F">
        <w:t xml:space="preserve"> in 1969 in a tight gas reservoir </w:t>
      </w:r>
      <w:r w:rsidRPr="005A442F">
        <w:fldChar w:fldCharType="begin" w:fldLock="1"/>
      </w:r>
      <w:r w:rsidR="00563B8C">
        <w:instrText>ADDIN CSL_CITATION {"citationItems":[{"id":"ITEM-1","itemData":{"author":[{"dropping-particle":"","family":"McGowen","given":"J.M.","non-dropping-particle":"","parse-names":false,"suffix":""},{"dropping-particle":"","family":"Gilbert","given":"J.V.","non-dropping-particle":"","parse-names":false,"suffix":""},{"dropping-particle":"","family":"Samari","given":"E","non-dropping-particle":"","parse-names":false,"suffix":""}],"container-title":"SPE Hydraulic Fracturing Technology Conference","id":"ITEM-1","issued":{"date-parts":[["2007"]]},"publisher-place":"College Station, Texas","title":"Hydraulic fracturing down under","type":"paper-conference"},"uris":["http://www.mendeley.com/documents/?uuid=c4a407e2-5888-4ec7-bd8e-d6e84def4b11"]}],"mendeley":{"formattedCitation":"(McGowen, Gilbert and Samari, 2007)","manualFormatting":"(McGowen et al., 2007)","plainTextFormattedCitation":"(McGowen, Gilbert and Samari, 2007)","previouslyFormattedCitation":"(McGowen, Gilbert and Samari, 2007)"},"properties":{"noteIndex":0},"schema":"https://github.com/citation-style-language/schema/raw/master/csl-citation.json"}</w:instrText>
      </w:r>
      <w:r w:rsidRPr="005A442F">
        <w:fldChar w:fldCharType="separate"/>
      </w:r>
      <w:r w:rsidRPr="005A442F">
        <w:rPr>
          <w:noProof/>
        </w:rPr>
        <w:t>(McGowen</w:t>
      </w:r>
      <w:r w:rsidR="004E0C5F">
        <w:rPr>
          <w:noProof/>
        </w:rPr>
        <w:t xml:space="preserve"> et al.,</w:t>
      </w:r>
      <w:r w:rsidRPr="005A442F">
        <w:rPr>
          <w:noProof/>
        </w:rPr>
        <w:t xml:space="preserve"> 2007)</w:t>
      </w:r>
      <w:r w:rsidRPr="005A442F">
        <w:fldChar w:fldCharType="end"/>
      </w:r>
      <w:r w:rsidRPr="005A442F">
        <w:t xml:space="preserve"> and hydraulic fracturing has been used to stimulate conventional oil, conventional gas and unconventional gas reservoirs in the Cooper GBA region over the past 50 years. There are significant differences in the extraction techniques for the different forms of unconventional gas:</w:t>
      </w:r>
    </w:p>
    <w:p w14:paraId="7EF798E3" w14:textId="77777777" w:rsidR="000614AE" w:rsidRPr="005A442F" w:rsidRDefault="000614AE" w:rsidP="000614AE">
      <w:pPr>
        <w:pStyle w:val="ListBullet"/>
        <w:tabs>
          <w:tab w:val="num" w:pos="567"/>
        </w:tabs>
        <w:ind w:left="567" w:hanging="283"/>
      </w:pPr>
      <w:r w:rsidRPr="005A442F">
        <w:t>Shale gas: Extraction of gas from shale always requires hydraulic fracturing. Only a portion of the water that is used in the hydraulic fracturing process is returned to the surface. Horizontal drilling is most common.</w:t>
      </w:r>
    </w:p>
    <w:p w14:paraId="7BB138C4" w14:textId="77777777" w:rsidR="000614AE" w:rsidRPr="005A442F" w:rsidRDefault="000614AE" w:rsidP="000614AE">
      <w:pPr>
        <w:pStyle w:val="ListBullet"/>
        <w:tabs>
          <w:tab w:val="num" w:pos="567"/>
        </w:tabs>
        <w:ind w:left="567" w:hanging="283"/>
      </w:pPr>
      <w:r w:rsidRPr="005A442F">
        <w:t>Tight gas: Porosity and permeabilities are so low that hydraulic fracturing is necessary to allow the trapped gas to be produced at economic rates, but unlike coal seam gas, it does not need to remove large quantities of existing groundwater for gas to be produced. On the contrary, large amounts of water are required for hydraulic fracturing fluids. Only a portion of the water that is used in the hydraulic fracturing process is returned to the surface. Vertical wells are most common for tight gas extraction.</w:t>
      </w:r>
    </w:p>
    <w:p w14:paraId="58DBC497" w14:textId="77777777" w:rsidR="000614AE" w:rsidRPr="005A442F" w:rsidRDefault="000614AE" w:rsidP="000614AE">
      <w:pPr>
        <w:pStyle w:val="ListBullet"/>
        <w:tabs>
          <w:tab w:val="num" w:pos="567"/>
        </w:tabs>
        <w:ind w:left="567" w:hanging="283"/>
      </w:pPr>
      <w:r w:rsidRPr="005A442F">
        <w:t>Deep coals: Deep coals require hydraulic fracturing to extract gas from the generally dry porous coals, oversaturated with gas. If layers have a mixed lithology it can result in complex hydraulic fracture geometry.</w:t>
      </w:r>
    </w:p>
    <w:p w14:paraId="0211CBC5" w14:textId="61486605" w:rsidR="000614AE" w:rsidRPr="005A442F" w:rsidRDefault="00633194" w:rsidP="000614AE">
      <w:pPr>
        <w:pStyle w:val="BodyText"/>
      </w:pPr>
      <w:r>
        <w:t xml:space="preserve">From </w:t>
      </w:r>
      <w:r w:rsidR="000614AE" w:rsidRPr="005A442F">
        <w:t>1969</w:t>
      </w:r>
      <w:r>
        <w:t xml:space="preserve">, </w:t>
      </w:r>
      <w:r w:rsidR="000614AE" w:rsidRPr="005A442F">
        <w:t xml:space="preserve">over </w:t>
      </w:r>
      <w:r>
        <w:t>815</w:t>
      </w:r>
      <w:r w:rsidR="000614AE" w:rsidRPr="005A442F">
        <w:t xml:space="preserve"> </w:t>
      </w:r>
      <w:r>
        <w:t xml:space="preserve">petroleum </w:t>
      </w:r>
      <w:r w:rsidR="000614AE" w:rsidRPr="005A442F">
        <w:t xml:space="preserve">wells </w:t>
      </w:r>
      <w:r>
        <w:t xml:space="preserve">have been </w:t>
      </w:r>
      <w:r w:rsidR="000614AE" w:rsidRPr="005A442F">
        <w:t xml:space="preserve">stimulated with hydraulic fracturing in the </w:t>
      </w:r>
      <w:r>
        <w:t xml:space="preserve">Cooper GBA region </w:t>
      </w:r>
      <w:r w:rsidR="00BD006D">
        <w:t xml:space="preserve">(South Australian Department for Energy and Mining (2018) and State of Queensland (2018)) </w:t>
      </w:r>
      <w:r w:rsidR="000614AE" w:rsidRPr="005A442F">
        <w:t xml:space="preserve">as shown in </w:t>
      </w:r>
      <w:r w:rsidR="000614AE" w:rsidRPr="005A442F">
        <w:fldChar w:fldCharType="begin"/>
      </w:r>
      <w:r w:rsidR="000614AE" w:rsidRPr="005A442F">
        <w:instrText xml:space="preserve"> REF _Ref528242072 \h  \* MERGEFORMAT </w:instrText>
      </w:r>
      <w:r w:rsidR="000614AE" w:rsidRPr="005A442F">
        <w:fldChar w:fldCharType="separate"/>
      </w:r>
      <w:r w:rsidR="00073927" w:rsidRPr="005A442F">
        <w:t xml:space="preserve">Figure </w:t>
      </w:r>
      <w:r w:rsidR="00073927">
        <w:rPr>
          <w:noProof/>
        </w:rPr>
        <w:t>1</w:t>
      </w:r>
      <w:r w:rsidR="000614AE" w:rsidRPr="005A442F">
        <w:fldChar w:fldCharType="end"/>
      </w:r>
      <w:r w:rsidR="000614AE" w:rsidRPr="005A442F">
        <w:t>. Approximately 720 of these hydraulically fractured wells were gas wells in the Cooper GBA region and were completed primarily in the Nappamerri and Patchawarra troughs.</w:t>
      </w:r>
    </w:p>
    <w:p w14:paraId="7FC30227" w14:textId="1171B05A" w:rsidR="000614AE" w:rsidRPr="005A442F" w:rsidRDefault="00764406" w:rsidP="00FA3C6A">
      <w:pPr>
        <w:pStyle w:val="Figures"/>
      </w:pPr>
      <w:r>
        <w:rPr>
          <w:noProof/>
        </w:rPr>
        <w:drawing>
          <wp:inline distT="0" distB="0" distL="0" distR="0" wp14:anchorId="235C21D3" wp14:editId="03AB23C5">
            <wp:extent cx="6120130" cy="72623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a:extLst>
                        <a:ext uri="{28A0092B-C50C-407E-A947-70E740481C1C}">
                          <a14:useLocalDpi xmlns:a14="http://schemas.microsoft.com/office/drawing/2010/main" val="0"/>
                        </a:ext>
                      </a:extLst>
                    </a:blip>
                    <a:srcRect b="3723"/>
                    <a:stretch/>
                  </pic:blipFill>
                  <pic:spPr bwMode="auto">
                    <a:xfrm>
                      <a:off x="0" y="0"/>
                      <a:ext cx="6120130" cy="7262345"/>
                    </a:xfrm>
                    <a:prstGeom prst="rect">
                      <a:avLst/>
                    </a:prstGeom>
                    <a:noFill/>
                    <a:ln>
                      <a:noFill/>
                    </a:ln>
                    <a:extLst>
                      <a:ext uri="{53640926-AAD7-44D8-BBD7-CCE9431645EC}">
                        <a14:shadowObscured xmlns:a14="http://schemas.microsoft.com/office/drawing/2010/main"/>
                      </a:ext>
                    </a:extLst>
                  </pic:spPr>
                </pic:pic>
              </a:graphicData>
            </a:graphic>
          </wp:inline>
        </w:drawing>
      </w:r>
    </w:p>
    <w:p w14:paraId="77369E35" w14:textId="4AEFB975" w:rsidR="000614AE" w:rsidRPr="005A442F" w:rsidRDefault="000614AE" w:rsidP="000614AE">
      <w:pPr>
        <w:pStyle w:val="Caption"/>
      </w:pPr>
      <w:bookmarkStart w:id="118" w:name="_Ref528242072"/>
      <w:bookmarkStart w:id="119" w:name="_Toc524088242"/>
      <w:bookmarkStart w:id="120" w:name="_Toc528329196"/>
      <w:bookmarkStart w:id="121" w:name="_Toc528588911"/>
      <w:bookmarkStart w:id="122" w:name="_Toc528594098"/>
      <w:bookmarkStart w:id="123" w:name="_Toc36042877"/>
      <w:bookmarkStart w:id="124" w:name="_Toc524077155"/>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1</w:t>
      </w:r>
      <w:r w:rsidRPr="005A442F">
        <w:rPr>
          <w:noProof/>
        </w:rPr>
        <w:fldChar w:fldCharType="end"/>
      </w:r>
      <w:bookmarkEnd w:id="118"/>
      <w:r w:rsidRPr="005A442F">
        <w:t xml:space="preserve"> </w:t>
      </w:r>
      <w:bookmarkStart w:id="125" w:name="_Hlk22743746"/>
      <w:r w:rsidR="00764406" w:rsidRPr="00764406">
        <w:t>Map of</w:t>
      </w:r>
      <w:r w:rsidR="00764406">
        <w:t xml:space="preserve"> 817 hydraulically fractured </w:t>
      </w:r>
      <w:r w:rsidR="00764406" w:rsidRPr="00764406">
        <w:t xml:space="preserve">petroleum wells in the </w:t>
      </w:r>
      <w:r w:rsidR="00764406">
        <w:t xml:space="preserve">Cooper </w:t>
      </w:r>
      <w:r w:rsidR="00764406" w:rsidRPr="00764406">
        <w:t>GBA region</w:t>
      </w:r>
      <w:bookmarkEnd w:id="119"/>
      <w:bookmarkEnd w:id="120"/>
      <w:bookmarkEnd w:id="121"/>
      <w:bookmarkEnd w:id="122"/>
      <w:bookmarkEnd w:id="123"/>
      <w:bookmarkEnd w:id="125"/>
    </w:p>
    <w:bookmarkEnd w:id="124"/>
    <w:p w14:paraId="05605AC2" w14:textId="28717007" w:rsidR="000614AE" w:rsidRPr="005A442F" w:rsidRDefault="000614AE" w:rsidP="00FA3C6A">
      <w:pPr>
        <w:pStyle w:val="SourceornoteforTableorFigure"/>
      </w:pPr>
      <w:r w:rsidRPr="005A442F">
        <w:t>Data: South Australian Department for Energy and Mining (2018)</w:t>
      </w:r>
      <w:r w:rsidR="00764406">
        <w:t xml:space="preserve"> and </w:t>
      </w:r>
      <w:r w:rsidR="009F7490" w:rsidRPr="009F7490">
        <w:t>State of Queensland (2018)</w:t>
      </w:r>
      <w:r w:rsidRPr="005A442F">
        <w:br/>
        <w:t>Element: GBA-COO-2-316</w:t>
      </w:r>
    </w:p>
    <w:p w14:paraId="5C866F8F" w14:textId="3FE56A7C" w:rsidR="000614AE" w:rsidRPr="005A442F" w:rsidRDefault="000614AE" w:rsidP="000614AE">
      <w:pPr>
        <w:pStyle w:val="BodyText"/>
      </w:pPr>
      <w:r w:rsidRPr="005A442F">
        <w:t>Since 1995 in the South Australia section of the Cooper GBA region, the volume of hydraulic fracturing fluid used per successful hydraulic fracturing stage has averaged ~212,000 L and ~57,000 L for gas and oil wells respectively. It is anticipated that future developments in the Cooper GBA region will use higher volumes of hydraulic fracture fluid in order to target new unconventional hydrocarbon</w:t>
      </w:r>
      <w:r w:rsidR="00D36394">
        <w:t>-</w:t>
      </w:r>
      <w:r w:rsidRPr="005A442F">
        <w:t>bearing formations. It is expected that most unconventional and tight gas stimulation will require between 0.4</w:t>
      </w:r>
      <w:r w:rsidR="0046419F">
        <w:t xml:space="preserve"> </w:t>
      </w:r>
      <w:r w:rsidRPr="005A442F">
        <w:t>and 1.2 ML per fracture stage for an approximate total of 5.7 ML required per unconventional well stimulation, 1.6 ML per conventional gas well stimulation and 0.5</w:t>
      </w:r>
      <w:r w:rsidR="0046419F">
        <w:t xml:space="preserve"> </w:t>
      </w:r>
      <w:r w:rsidRPr="005A442F">
        <w:t xml:space="preserve">ML per conventional oil well stimulation </w:t>
      </w:r>
      <w:r w:rsidRPr="005A442F">
        <w:fldChar w:fldCharType="begin" w:fldLock="1"/>
      </w:r>
      <w:r w:rsidRPr="005A442F">
        <w:instrText>ADDIN CSL_CITATION {"citationItems":[{"id":"ITEM-1","itemData":{"author":[{"dropping-particle":"","family":"Santos","given":"","non-dropping-particle":"","parse-names":false,"suffix":""}],"id":"ITEM-1","issue":"November","issued":{"date-parts":[["2015"]]},"title":"South Australian Cooper Basin Environmental Impact Report: Drilling and Completions and Well Operations","type":"report"},"uris":["http://www.mendeley.com/documents/?uuid=8a5fc2a1-0b48-49ae-adc6-3e9fb14c7e76","http://www.mendeley.com/documents/?uuid=9510d88c-1300-42ab-8208-06999a8b0550"]}],"mendeley":{"formattedCitation":"(Santos, 2015)","plainTextFormattedCitation":"(Santos, 2015)","previouslyFormattedCitation":"(Santos, 2015)"},"properties":{"noteIndex":0},"schema":"https://github.com/citation-style-language/schema/raw/master/csl-citation.json"}</w:instrText>
      </w:r>
      <w:r w:rsidRPr="005A442F">
        <w:fldChar w:fldCharType="separate"/>
      </w:r>
      <w:r w:rsidRPr="005A442F">
        <w:rPr>
          <w:noProof/>
        </w:rPr>
        <w:t>(Santos, 2015)</w:t>
      </w:r>
      <w:r w:rsidRPr="005A442F">
        <w:fldChar w:fldCharType="end"/>
      </w:r>
      <w:r w:rsidRPr="005A442F">
        <w:t>. This reflects both the greater stimulated reservoir volumes needed for economic gas flow in unconventional gas resources and the design of horizontal wells where larger scale lateral propagation of fractures is desired.</w:t>
      </w:r>
    </w:p>
    <w:p w14:paraId="2C72ABCC" w14:textId="174F8543" w:rsidR="000614AE" w:rsidRPr="005A442F" w:rsidRDefault="000614AE" w:rsidP="000614AE">
      <w:pPr>
        <w:pStyle w:val="BodyText"/>
      </w:pPr>
      <w:r w:rsidRPr="005A442F">
        <w:t xml:space="preserve">Each hydraulic fracturing stage comprises of injecting fluid into one or more perforated intervals isolated from the rest of the well by equipment such as packers or bridge plugs. Vertical wells (if installed) in the Cooper are expected to </w:t>
      </w:r>
      <w:r w:rsidR="00633194">
        <w:t xml:space="preserve">be hydraulically </w:t>
      </w:r>
      <w:r w:rsidRPr="005A442F">
        <w:t xml:space="preserve">fractured in 3-5 stages while horizontal wells (the most likely scenario) </w:t>
      </w:r>
      <w:r w:rsidR="00633194">
        <w:t>are likely to</w:t>
      </w:r>
      <w:r w:rsidRPr="005A442F">
        <w:t xml:space="preserve"> be hydraulic fractured in </w:t>
      </w:r>
      <w:r w:rsidR="009C7299">
        <w:t>ten</w:t>
      </w:r>
      <w:r w:rsidRPr="005A442F">
        <w:t xml:space="preserve"> or more stages over a 500-3000 m horizontal length. As drilling technology evolves, the typical length of the horizontal well sections is expected to increase. Hydraulic fracture stimulation of these longer horizontal well sections will likely involve a larger number of fractured stages. </w:t>
      </w:r>
      <w:r w:rsidRPr="005A442F">
        <w:fldChar w:fldCharType="begin" w:fldLock="1"/>
      </w:r>
      <w:r w:rsidR="0057362C">
        <w:instrText>ADDIN CSL_CITATION {"citationItems":[{"id":"ITEM-1","itemData":{"author":[{"dropping-particle":"","family":"Gilbert","given":"J","non-dropping-particle":"","parse-names":false,"suffix":""},{"dropping-particle":"","family":"Greenstreet","given":"C","non-dropping-particle":"","parse-names":false,"suffix":""}],"container-title":"SPE Annual Technical Conference and Exhibition","id":"ITEM-1","issued":{"date-parts":[["2005"]]},"page":"1-10","title":"Applications of Pinpoint Fracturing in the Cooper Basin , Australia (SPE 97004)","type":"article-journal"},"uris":["http://www.mendeley.com/documents/?uuid=1f536dec-9af6-4e96-b1f1-c3bf38feffbc","http://www.mendeley.com/documents/?uuid=3e610128-e1bc-4378-b1cd-35aaf24e45ff"]}],"mendeley":{"formattedCitation":"(Gilbert and Greenstreet, 2005)","manualFormatting":"Gilbert and Greenstreet (2005)","plainTextFormattedCitation":"(Gilbert and Greenstreet, 2005)","previouslyFormattedCitation":"(Gilbert and Greenstreet, 2005)"},"properties":{"noteIndex":0},"schema":"https://github.com/citation-style-language/schema/raw/master/csl-citation.json"}</w:instrText>
      </w:r>
      <w:r w:rsidRPr="005A442F">
        <w:fldChar w:fldCharType="separate"/>
      </w:r>
      <w:r w:rsidRPr="005A442F">
        <w:rPr>
          <w:noProof/>
        </w:rPr>
        <w:t>Gilbert and Greenstreet (2005)</w:t>
      </w:r>
      <w:r w:rsidRPr="005A442F">
        <w:fldChar w:fldCharType="end"/>
      </w:r>
      <w:r w:rsidRPr="005A442F">
        <w:t xml:space="preserve"> found that treating perforated intervals individually in the Cooper GBA region yielded better results than treating multiple perforated intervals at once. This technique is sometimes referred to as pinpoint hydraulic fracturing or PPX. PPX fracturing has used an average of 175,000 L of hydraulic fracturing fluid across 271 completed successful stages in the Cooper GBA region.</w:t>
      </w:r>
    </w:p>
    <w:p w14:paraId="46358BB3" w14:textId="4F4B0C11" w:rsidR="000614AE" w:rsidRPr="005A442F" w:rsidRDefault="00633194" w:rsidP="000614AE">
      <w:pPr>
        <w:pStyle w:val="BodyText"/>
      </w:pPr>
      <w:r>
        <w:t xml:space="preserve">Monitoring of hydraulic fracture growth is possible </w:t>
      </w:r>
      <w:r w:rsidR="009F4C6F">
        <w:t>by installing an array of geophones which record the noise emitted by the surrounding rock as the hydraulic fracture grows. This microseismic monitoring is not always conducted however in the Cooper and Eromanga basins, a dataset of microseismic monitoring of 34 wells is available (</w:t>
      </w:r>
      <w:r w:rsidR="000614AE" w:rsidRPr="005A442F">
        <w:t xml:space="preserve">summarised in </w:t>
      </w:r>
      <w:r w:rsidR="000614AE" w:rsidRPr="005A442F">
        <w:fldChar w:fldCharType="begin"/>
      </w:r>
      <w:r w:rsidR="000614AE" w:rsidRPr="005A442F">
        <w:instrText xml:space="preserve"> REF _Ref7703934 \h  \* MERGEFORMAT </w:instrText>
      </w:r>
      <w:r w:rsidR="000614AE" w:rsidRPr="005A442F">
        <w:fldChar w:fldCharType="separate"/>
      </w:r>
      <w:r w:rsidR="00073927" w:rsidRPr="005A442F">
        <w:t xml:space="preserve">Figure </w:t>
      </w:r>
      <w:r w:rsidR="00073927">
        <w:rPr>
          <w:noProof/>
        </w:rPr>
        <w:t>2</w:t>
      </w:r>
      <w:r w:rsidR="000614AE" w:rsidRPr="005A442F">
        <w:fldChar w:fldCharType="end"/>
      </w:r>
      <w:r w:rsidR="000614AE" w:rsidRPr="005A442F">
        <w:t xml:space="preserve"> below</w:t>
      </w:r>
      <w:r w:rsidR="009F4C6F">
        <w:t>)</w:t>
      </w:r>
      <w:r w:rsidR="000614AE" w:rsidRPr="005A442F">
        <w:t>. The</w:t>
      </w:r>
      <w:r w:rsidR="009F4C6F">
        <w:t xml:space="preserve"> data show the </w:t>
      </w:r>
      <w:r w:rsidR="000614AE" w:rsidRPr="005A442F">
        <w:t>hydraulic fractures to grow to a maximum 290</w:t>
      </w:r>
      <w:r w:rsidR="00E866A2">
        <w:t> </w:t>
      </w:r>
      <w:r w:rsidR="000614AE" w:rsidRPr="005A442F">
        <w:t xml:space="preserve">m height above and 240 m below the perforation midpoint (depth of hydraulic fracture fluid injection). The average extent for </w:t>
      </w:r>
      <w:r w:rsidR="009F4C6F">
        <w:t xml:space="preserve">hydraulic fracture </w:t>
      </w:r>
      <w:r w:rsidR="000614AE" w:rsidRPr="005A442F">
        <w:t>height growth was 150 m above and 90 m below</w:t>
      </w:r>
      <w:r w:rsidR="009F4C6F">
        <w:t xml:space="preserve"> the perforation midpoint</w:t>
      </w:r>
      <w:r w:rsidR="000614AE" w:rsidRPr="005A442F">
        <w:t>. The total maximum height growth from the shallowest measurement to the deepest point was 541 m.</w:t>
      </w:r>
    </w:p>
    <w:p w14:paraId="0F3D1CA9" w14:textId="58DE4361" w:rsidR="000614AE" w:rsidRPr="005A442F" w:rsidRDefault="00E8129E" w:rsidP="00FA3C6A">
      <w:pPr>
        <w:pStyle w:val="Figures"/>
      </w:pPr>
      <w:r>
        <w:rPr>
          <w:noProof/>
        </w:rPr>
        <w:drawing>
          <wp:inline distT="0" distB="0" distL="0" distR="0" wp14:anchorId="07427658" wp14:editId="2A54A93A">
            <wp:extent cx="6108065" cy="252349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8065" cy="2523490"/>
                    </a:xfrm>
                    <a:prstGeom prst="rect">
                      <a:avLst/>
                    </a:prstGeom>
                    <a:noFill/>
                    <a:ln>
                      <a:noFill/>
                    </a:ln>
                  </pic:spPr>
                </pic:pic>
              </a:graphicData>
            </a:graphic>
          </wp:inline>
        </w:drawing>
      </w:r>
    </w:p>
    <w:p w14:paraId="2D2E572B" w14:textId="5CF4915D" w:rsidR="00764406" w:rsidRDefault="000614AE" w:rsidP="000614AE">
      <w:pPr>
        <w:pStyle w:val="Caption"/>
      </w:pPr>
      <w:bookmarkStart w:id="126" w:name="_Ref7703934"/>
      <w:bookmarkStart w:id="127" w:name="_Ref532583869"/>
      <w:bookmarkStart w:id="128" w:name="_Toc532807058"/>
      <w:bookmarkStart w:id="129" w:name="_Toc532809779"/>
      <w:bookmarkStart w:id="130" w:name="_Toc532816430"/>
      <w:bookmarkStart w:id="131" w:name="_Toc532816583"/>
      <w:bookmarkStart w:id="132" w:name="_Toc532819878"/>
      <w:bookmarkStart w:id="133" w:name="_Toc532823368"/>
      <w:bookmarkStart w:id="134" w:name="_Toc1563501"/>
      <w:bookmarkStart w:id="135" w:name="_Toc2008065"/>
      <w:bookmarkStart w:id="136" w:name="_Toc3285092"/>
      <w:bookmarkStart w:id="137" w:name="_Toc36042878"/>
      <w:r w:rsidRPr="005A442F">
        <w:t xml:space="preserve">Figure </w:t>
      </w:r>
      <w:r w:rsidRPr="005A442F">
        <w:rPr>
          <w:noProof/>
          <w:color w:val="2B579A"/>
          <w:shd w:val="clear" w:color="auto" w:fill="E6E6E6"/>
        </w:rPr>
        <w:fldChar w:fldCharType="begin"/>
      </w:r>
      <w:r w:rsidRPr="005A442F">
        <w:rPr>
          <w:noProof/>
        </w:rPr>
        <w:instrText xml:space="preserve"> SEQ Figure \* ARABIC </w:instrText>
      </w:r>
      <w:r w:rsidRPr="005A442F">
        <w:rPr>
          <w:noProof/>
          <w:color w:val="2B579A"/>
          <w:shd w:val="clear" w:color="auto" w:fill="E6E6E6"/>
        </w:rPr>
        <w:fldChar w:fldCharType="separate"/>
      </w:r>
      <w:r w:rsidR="00073927">
        <w:rPr>
          <w:noProof/>
        </w:rPr>
        <w:t>2</w:t>
      </w:r>
      <w:r w:rsidRPr="005A442F">
        <w:rPr>
          <w:noProof/>
          <w:color w:val="2B579A"/>
          <w:shd w:val="clear" w:color="auto" w:fill="E6E6E6"/>
        </w:rPr>
        <w:fldChar w:fldCharType="end"/>
      </w:r>
      <w:bookmarkEnd w:id="126"/>
      <w:r w:rsidRPr="005A442F">
        <w:t xml:space="preserve"> </w:t>
      </w:r>
      <w:bookmarkEnd w:id="127"/>
      <w:r w:rsidR="009F4C6F">
        <w:t>Sketch of the h</w:t>
      </w:r>
      <w:r w:rsidRPr="005A442F">
        <w:t>ydraulic fracture stimulation height</w:t>
      </w:r>
      <w:r w:rsidR="009F4C6F">
        <w:t xml:space="preserve"> data </w:t>
      </w:r>
      <w:r w:rsidRPr="005A442F">
        <w:t xml:space="preserve">based on microseismic </w:t>
      </w:r>
      <w:r w:rsidR="009F4C6F">
        <w:t xml:space="preserve">measurement </w:t>
      </w:r>
      <w:r w:rsidRPr="005A442F">
        <w:t xml:space="preserve">results </w:t>
      </w:r>
      <w:r w:rsidR="00764406">
        <w:t>from</w:t>
      </w:r>
      <w:r w:rsidRPr="005A442F">
        <w:t xml:space="preserve"> the Cooper </w:t>
      </w:r>
      <w:bookmarkEnd w:id="128"/>
      <w:bookmarkEnd w:id="129"/>
      <w:bookmarkEnd w:id="130"/>
      <w:bookmarkEnd w:id="131"/>
      <w:bookmarkEnd w:id="132"/>
      <w:bookmarkEnd w:id="133"/>
      <w:bookmarkEnd w:id="134"/>
      <w:bookmarkEnd w:id="135"/>
      <w:bookmarkEnd w:id="136"/>
      <w:r w:rsidRPr="005A442F">
        <w:t xml:space="preserve">GBA </w:t>
      </w:r>
      <w:r w:rsidR="008A4E6D">
        <w:t>r</w:t>
      </w:r>
      <w:r w:rsidRPr="005A442F">
        <w:t>egion</w:t>
      </w:r>
      <w:bookmarkEnd w:id="137"/>
    </w:p>
    <w:p w14:paraId="150AEC60" w14:textId="781638B9" w:rsidR="000614AE" w:rsidRPr="005A442F" w:rsidRDefault="009F4C6F" w:rsidP="000614AE">
      <w:pPr>
        <w:pStyle w:val="SourceornoteforTableorFigure"/>
      </w:pPr>
      <w:r>
        <w:t xml:space="preserve">Note: </w:t>
      </w:r>
      <w:r w:rsidR="009E07F0">
        <w:t>T</w:t>
      </w:r>
      <w:r>
        <w:t>he measured hydraulic fractures were conducted in both horizontal and vertical wells</w:t>
      </w:r>
      <w:r w:rsidR="009E07F0">
        <w:t xml:space="preserve"> </w:t>
      </w:r>
      <w:r w:rsidR="009E07F0" w:rsidRPr="009E07F0">
        <w:t>primarily in the Nappamerri and Patchawarra troughs</w:t>
      </w:r>
      <w:r>
        <w:t xml:space="preserve">. </w:t>
      </w:r>
      <w:r w:rsidR="009E07F0">
        <w:t>While t</w:t>
      </w:r>
      <w:r>
        <w:t>he vertical height is sketched to scale</w:t>
      </w:r>
      <w:r w:rsidR="009E07F0">
        <w:t>,</w:t>
      </w:r>
      <w:r>
        <w:t xml:space="preserve"> the stratigraphy should be taken as </w:t>
      </w:r>
      <w:r w:rsidR="009E07F0">
        <w:t xml:space="preserve">generally </w:t>
      </w:r>
      <w:r>
        <w:t xml:space="preserve">representative </w:t>
      </w:r>
      <w:r w:rsidR="009E07F0">
        <w:t>of the Cooper GBA region rather than specific to the locations of the hydraulically fractured wells.</w:t>
      </w:r>
      <w:r w:rsidR="00FA3C6A">
        <w:br/>
      </w:r>
      <w:r w:rsidR="000614AE" w:rsidRPr="005A442F">
        <w:t xml:space="preserve">Source: </w:t>
      </w:r>
      <w:r w:rsidR="009E07F0">
        <w:t>Hydraulic f</w:t>
      </w:r>
      <w:r w:rsidR="00E8129E">
        <w:t>rac</w:t>
      </w:r>
      <w:r w:rsidR="009E07F0">
        <w:t xml:space="preserve">ture </w:t>
      </w:r>
      <w:r w:rsidR="00E8129E">
        <w:t>height</w:t>
      </w:r>
      <w:r w:rsidR="000614AE" w:rsidRPr="005A442F">
        <w:t xml:space="preserve"> data </w:t>
      </w:r>
      <w:r w:rsidR="00E8129E">
        <w:t xml:space="preserve">from </w:t>
      </w:r>
      <w:r w:rsidR="00C32285" w:rsidRPr="00C32285">
        <w:t xml:space="preserve">Department for Energy and Mining </w:t>
      </w:r>
      <w:r w:rsidR="00C32285">
        <w:t>(2018</w:t>
      </w:r>
      <w:r w:rsidR="00E8129E">
        <w:t>). Stratigraphy image from Cook et al. (2013)</w:t>
      </w:r>
      <w:r w:rsidR="000614AE" w:rsidRPr="005A442F">
        <w:br/>
        <w:t>Element:</w:t>
      </w:r>
      <w:r w:rsidR="00676F89">
        <w:t xml:space="preserve"> </w:t>
      </w:r>
      <w:r w:rsidR="00676F89" w:rsidRPr="00676F89">
        <w:t>GBA-COO-2-338</w:t>
      </w:r>
    </w:p>
    <w:p w14:paraId="5F1AEDC6" w14:textId="70C04C1F" w:rsidR="000614AE" w:rsidRPr="005A442F" w:rsidRDefault="000614AE" w:rsidP="000614AE">
      <w:pPr>
        <w:pStyle w:val="BodyText"/>
      </w:pPr>
      <w:r w:rsidRPr="005A442F">
        <w:t xml:space="preserve">This measured order of magnitude of growth is similar to large datasets of hydraulic fractures monitored in international basins. Data from 10,000 fractures in the Marcellus and Eagle Ford shale in USA were measured with an interpreted maximum fracture height of 588 m, but also showed hydraulic fracture growth in shallower target zones led to an increase in the horizontal component and a decrease in the fracture height </w:t>
      </w:r>
      <w:r w:rsidRPr="005A442F">
        <w:fldChar w:fldCharType="begin" w:fldLock="1"/>
      </w:r>
      <w:r w:rsidRPr="005A442F">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Data","type":"article-journal"},"uris":["http://www.mendeley.com/documents/?uuid=d156b912-1e61-4345-bc7f-960bf325cb38","http://www.mendeley.com/documents/?uuid=eb04d1d4-5250-4215-9e0b-d6f4de7ac020"]}],"mendeley":{"formattedCitation":"(Fisher and Warpinski, 2012)","plainTextFormattedCitation":"(Fisher and Warpinski, 2012)","previouslyFormattedCitation":"(Fisher and Warpinski, 2012)"},"properties":{"noteIndex":0},"schema":"https://github.com/citation-style-language/schema/raw/master/csl-citation.json"}</w:instrText>
      </w:r>
      <w:r w:rsidRPr="005A442F">
        <w:fldChar w:fldCharType="separate"/>
      </w:r>
      <w:r w:rsidRPr="005A442F">
        <w:rPr>
          <w:noProof/>
        </w:rPr>
        <w:t>(Fisher and Warpinski, 2012)</w:t>
      </w:r>
      <w:r w:rsidRPr="005A442F">
        <w:fldChar w:fldCharType="end"/>
      </w:r>
      <w:r w:rsidRPr="005A442F">
        <w:t>. Vertical hydraulic fracture height growth is desirable when stimulating thick or dispersed target intervals in order to maximise the production from the well. However hydraulic fracture treatments will be designed to ideally limit the vertical extent of the fracture growth to the intended target interval(s).</w:t>
      </w:r>
    </w:p>
    <w:p w14:paraId="2720A909" w14:textId="21E1D703" w:rsidR="000614AE" w:rsidRPr="005A442F" w:rsidRDefault="000614AE" w:rsidP="0073617F">
      <w:pPr>
        <w:pStyle w:val="Heading5notnumbered"/>
      </w:pPr>
      <w:r w:rsidRPr="005A442F">
        <w:t xml:space="preserve">Line of </w:t>
      </w:r>
      <w:r w:rsidR="00360A23">
        <w:t>e</w:t>
      </w:r>
      <w:r w:rsidRPr="005A442F">
        <w:t>vidence 1 qualitative assessment for Cooper GBA region hydraulic fracturing impact modes</w:t>
      </w:r>
    </w:p>
    <w:p w14:paraId="2B018B86" w14:textId="77777777" w:rsidR="000614AE" w:rsidRPr="005A442F" w:rsidRDefault="000614AE" w:rsidP="000614AE">
      <w:pPr>
        <w:pStyle w:val="Heading6notnumbered"/>
      </w:pPr>
      <w:r w:rsidRPr="005A442F">
        <w:t>F.1</w:t>
      </w:r>
      <w:r w:rsidRPr="005A442F">
        <w:tab/>
        <w:t>Hydraulic fracture growth into aquifer</w:t>
      </w:r>
    </w:p>
    <w:p w14:paraId="75525191" w14:textId="7CB4054A" w:rsidR="000614AE" w:rsidRPr="005A442F" w:rsidRDefault="000614AE" w:rsidP="000614AE">
      <w:pPr>
        <w:pStyle w:val="BodyText"/>
      </w:pPr>
      <w:bookmarkStart w:id="138" w:name="_Hlk22135398"/>
      <w:r w:rsidRPr="005A442F">
        <w:t xml:space="preserve">The maximum recorded extent of hydraulic fracture height growth in the Cooper GBA region was calculated as being 290 m above the injection location. </w:t>
      </w:r>
      <w:bookmarkStart w:id="139" w:name="_Hlk22133043"/>
      <w:r w:rsidR="00642AFF">
        <w:t xml:space="preserve">Across the Cooper GBA region, the vertical separation between the </w:t>
      </w:r>
      <w:r w:rsidR="00642AFF" w:rsidRPr="00642AFF">
        <w:t>deeper GAB aquifers</w:t>
      </w:r>
      <w:r w:rsidR="00642AFF">
        <w:t xml:space="preserve"> and the </w:t>
      </w:r>
      <w:r w:rsidR="00642AFF" w:rsidRPr="00642AFF">
        <w:t xml:space="preserve">shale, tight and deep coal gas </w:t>
      </w:r>
      <w:r w:rsidR="00642AFF">
        <w:t>is typically b</w:t>
      </w:r>
      <w:r w:rsidR="00642AFF" w:rsidRPr="00642AFF">
        <w:t>etween 600 and 2000 m</w:t>
      </w:r>
      <w:r w:rsidR="00642AFF">
        <w:t xml:space="preserve"> </w:t>
      </w:r>
      <w:r w:rsidR="00F02EAA" w:rsidRPr="00F02EAA">
        <w:t>(Evans et al., 20</w:t>
      </w:r>
      <w:r w:rsidR="00340740">
        <w:t>20</w:t>
      </w:r>
      <w:r w:rsidR="00F02EAA" w:rsidRPr="00F02EAA">
        <w:t>; Owens et al., 20</w:t>
      </w:r>
      <w:r w:rsidR="00340740">
        <w:t>20</w:t>
      </w:r>
      <w:r w:rsidR="00F02EAA" w:rsidRPr="00F02EAA">
        <w:t>)</w:t>
      </w:r>
      <w:r w:rsidR="00642AFF">
        <w:t>. However</w:t>
      </w:r>
      <w:r w:rsidR="00006A38">
        <w:t>,</w:t>
      </w:r>
      <w:r w:rsidR="00642AFF">
        <w:t xml:space="preserve"> </w:t>
      </w:r>
      <w:r w:rsidR="00F02EAA" w:rsidRPr="00F02EAA">
        <w:t xml:space="preserve">in some parts of the </w:t>
      </w:r>
      <w:r w:rsidR="00006A38">
        <w:t>Cooper GBA region,</w:t>
      </w:r>
      <w:r w:rsidR="00F02EAA">
        <w:t xml:space="preserve"> this vertical separation can be smaller </w:t>
      </w:r>
      <w:r w:rsidR="00006A38">
        <w:t xml:space="preserve">such as the 300 – 800 m presented </w:t>
      </w:r>
      <w:r w:rsidR="00F02EAA">
        <w:t>in</w:t>
      </w:r>
      <w:r w:rsidR="00642AFF">
        <w:t xml:space="preserve"> </w:t>
      </w:r>
      <w:r w:rsidR="00642AFF" w:rsidRPr="005A442F">
        <w:t>Hawke</w:t>
      </w:r>
      <w:r w:rsidR="00642AFF">
        <w:t xml:space="preserve"> (</w:t>
      </w:r>
      <w:r w:rsidR="00642AFF" w:rsidRPr="005A442F">
        <w:t>2014)</w:t>
      </w:r>
      <w:r w:rsidR="00F02EAA">
        <w:t xml:space="preserve"> based </w:t>
      </w:r>
      <w:r w:rsidR="00006A38">
        <w:t xml:space="preserve">on an interpretation of the geology by </w:t>
      </w:r>
      <w:r w:rsidR="00006A38" w:rsidRPr="00006A38">
        <w:t>Cook et al.</w:t>
      </w:r>
      <w:r w:rsidR="00006A38">
        <w:t xml:space="preserve"> (</w:t>
      </w:r>
      <w:r w:rsidR="00006A38" w:rsidRPr="00006A38">
        <w:t>2013)</w:t>
      </w:r>
      <w:r w:rsidRPr="005A442F">
        <w:t>.</w:t>
      </w:r>
      <w:bookmarkEnd w:id="139"/>
      <w:r w:rsidR="00642AFF">
        <w:t xml:space="preserve"> </w:t>
      </w:r>
    </w:p>
    <w:bookmarkEnd w:id="138"/>
    <w:p w14:paraId="72102939" w14:textId="0E5AC1AE" w:rsidR="000614AE" w:rsidRPr="005A442F" w:rsidRDefault="000614AE" w:rsidP="000614AE">
      <w:pPr>
        <w:pStyle w:val="BodyText"/>
      </w:pPr>
      <w:r w:rsidRPr="005A442F">
        <w:t xml:space="preserve">Due to the relative proximity of the </w:t>
      </w:r>
      <w:r w:rsidR="00006A38" w:rsidRPr="00642AFF">
        <w:t>deeper GAB aquifers</w:t>
      </w:r>
      <w:r w:rsidR="00006A38">
        <w:t xml:space="preserve"> in some parts of the Cooper GBA region</w:t>
      </w:r>
      <w:r w:rsidRPr="005A442F">
        <w:t xml:space="preserve">, there is a slightly higher potential likelihood (Unlikely vs. Rare) of a hydraulic fracture extending into an aquifer unit than in other international </w:t>
      </w:r>
      <w:r w:rsidR="00BC68CE">
        <w:t>shale</w:t>
      </w:r>
      <w:r w:rsidRPr="005A442F">
        <w:t xml:space="preserve"> gas developments where there is </w:t>
      </w:r>
      <w:r w:rsidR="00006A38">
        <w:t xml:space="preserve">a consistently </w:t>
      </w:r>
      <w:r w:rsidRPr="005A442F">
        <w:t>significant (&gt;1,000</w:t>
      </w:r>
      <w:r w:rsidR="00596F22">
        <w:t xml:space="preserve"> </w:t>
      </w:r>
      <w:r w:rsidRPr="005A442F">
        <w:t>m) distance between the target interval and the closest aquifer.</w:t>
      </w:r>
    </w:p>
    <w:p w14:paraId="710A7228" w14:textId="52296F5D" w:rsidR="000614AE" w:rsidRPr="005A442F" w:rsidRDefault="00D625E9" w:rsidP="000614AE">
      <w:pPr>
        <w:pStyle w:val="BodyText"/>
      </w:pPr>
      <w:r>
        <w:t>M</w:t>
      </w:r>
      <w:r w:rsidR="000614AE" w:rsidRPr="005A442F">
        <w:t xml:space="preserve">odelling and spatial analysis </w:t>
      </w:r>
      <w:r>
        <w:t xml:space="preserve">will be undertaken in </w:t>
      </w:r>
      <w:r w:rsidR="000614AE" w:rsidRPr="005A442F">
        <w:t xml:space="preserve">Stage 3 to clarify locations in the Cooper Basin where vertical height growth could conceivably intersect the base of the </w:t>
      </w:r>
      <w:r w:rsidR="00006A38" w:rsidRPr="00642AFF">
        <w:t>deeper GAB aquifers</w:t>
      </w:r>
      <w:r w:rsidR="00006A38">
        <w:t xml:space="preserve"> </w:t>
      </w:r>
      <w:r w:rsidR="000614AE" w:rsidRPr="005A442F">
        <w:t>(inform likelihood understanding) and estimate the potential hydraulic conductivity of such a fracture (inform consequence understanding).</w:t>
      </w:r>
    </w:p>
    <w:p w14:paraId="38CA4B83" w14:textId="77777777" w:rsidR="000614AE" w:rsidRPr="005A442F" w:rsidRDefault="000614AE" w:rsidP="000614AE">
      <w:pPr>
        <w:pStyle w:val="Heading6notnumbered"/>
      </w:pPr>
      <w:r w:rsidRPr="005A442F">
        <w:t>F.2</w:t>
      </w:r>
      <w:r w:rsidRPr="005A442F">
        <w:tab/>
        <w:t>Hydraulic fracture growth into well</w:t>
      </w:r>
    </w:p>
    <w:p w14:paraId="43BFB87B" w14:textId="501D3150" w:rsidR="000614AE" w:rsidRPr="005A442F" w:rsidRDefault="000614AE" w:rsidP="000614AE">
      <w:pPr>
        <w:pStyle w:val="BodyText"/>
        <w:widowControl w:val="0"/>
      </w:pPr>
      <w:r w:rsidRPr="005A442F">
        <w:t xml:space="preserve">Although significant conventional development has occurred in the Cooper GBA </w:t>
      </w:r>
      <w:r w:rsidR="008A4E6D">
        <w:t>r</w:t>
      </w:r>
      <w:r w:rsidRPr="005A442F">
        <w:t>egion, the spacing of wells is still large therefore the current likelihood of a hydraulic fracture treatment intersecting an offset borehole is very remote.</w:t>
      </w:r>
    </w:p>
    <w:p w14:paraId="2D1522FF" w14:textId="77777777" w:rsidR="000614AE" w:rsidRPr="005A442F" w:rsidRDefault="000614AE" w:rsidP="000614AE">
      <w:pPr>
        <w:pStyle w:val="Body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1EEC6216" w14:textId="54BE35F3" w:rsidR="000614AE" w:rsidRPr="005A442F" w:rsidRDefault="000614AE" w:rsidP="000614AE">
      <w:pPr>
        <w:pStyle w:val="BodyText"/>
      </w:pPr>
      <w:r w:rsidRPr="005A442F">
        <w:t xml:space="preserve">Therefore, a qualitative analysis of the Cooper GBA region indicates the potential likelihood of a hydraulic fracture intersecting and propagating along or damaging another well is similar to other international </w:t>
      </w:r>
      <w:r w:rsidR="00BC68CE">
        <w:t>s</w:t>
      </w:r>
      <w:r w:rsidRPr="005A442F">
        <w:t>hale gas developments (Unlikely).</w:t>
      </w:r>
    </w:p>
    <w:p w14:paraId="6D7BAA79" w14:textId="77777777" w:rsidR="000614AE" w:rsidRPr="005A442F" w:rsidRDefault="000614AE" w:rsidP="000614AE">
      <w:pPr>
        <w:pStyle w:val="Heading6notnumbered"/>
      </w:pPr>
      <w:r w:rsidRPr="005A442F">
        <w:t>F.3</w:t>
      </w:r>
      <w:r w:rsidRPr="005A442F">
        <w:tab/>
        <w:t>Hydraulic fracture growth into fault</w:t>
      </w:r>
    </w:p>
    <w:p w14:paraId="3C47E4E9" w14:textId="221F22F4" w:rsidR="000614AE" w:rsidRPr="005A442F" w:rsidRDefault="000614AE" w:rsidP="000614AE">
      <w:pPr>
        <w:pStyle w:val="BodyText"/>
      </w:pPr>
      <w:r w:rsidRPr="005A442F">
        <w:t>Evidence from hydraulic fracturing activities to date in the Cooper GBA region has not indicated that excessive vertical hydraulic fracture growth has occurred though intersection with transmissive vertically</w:t>
      </w:r>
      <w:r w:rsidR="00435DC5">
        <w:t xml:space="preserve"> </w:t>
      </w:r>
      <w:r w:rsidRPr="005A442F">
        <w:t>oriented faults. Seismic mapping of key faults and avoidance of those areas is anticipated as development continues in the Cooper GBA region.</w:t>
      </w:r>
    </w:p>
    <w:p w14:paraId="2D258959" w14:textId="3DF18261" w:rsidR="000614AE" w:rsidRPr="005A442F" w:rsidRDefault="000614AE" w:rsidP="000614AE">
      <w:pPr>
        <w:pStyle w:val="BodyText"/>
      </w:pPr>
      <w:r w:rsidRPr="005A442F">
        <w:t xml:space="preserve">Therefore, a qualitative analysis of the Cooper GBA region indicates the potential likelihood of a significant vertical hydraulic fracture growth following intersection of a fault is similar to other international </w:t>
      </w:r>
      <w:r w:rsidR="00BC68CE">
        <w:t>shale</w:t>
      </w:r>
      <w:r w:rsidRPr="005A442F">
        <w:t xml:space="preserve"> gas developments (Rare).</w:t>
      </w:r>
    </w:p>
    <w:p w14:paraId="1412F8D8" w14:textId="45F71E29" w:rsidR="000614AE" w:rsidRPr="005A442F" w:rsidRDefault="000614AE" w:rsidP="000614AE">
      <w:pPr>
        <w:pStyle w:val="Heading6notnumbered"/>
      </w:pPr>
      <w:r w:rsidRPr="005A442F">
        <w:t xml:space="preserve">Summary of line of </w:t>
      </w:r>
      <w:r w:rsidR="00360A23">
        <w:t>e</w:t>
      </w:r>
      <w:r w:rsidRPr="005A442F">
        <w:t>vidence 1 qualitative assessment</w:t>
      </w:r>
    </w:p>
    <w:p w14:paraId="36E14452" w14:textId="68F2981E" w:rsidR="000614AE" w:rsidRPr="005A442F" w:rsidRDefault="000614AE" w:rsidP="000614AE">
      <w:pPr>
        <w:pStyle w:val="BodyText"/>
      </w:pPr>
      <w:r w:rsidRPr="005A442F">
        <w:t xml:space="preserve">The results of the Stage 2 qualitative assessment of three hydraulic fracturing impact modes against historical data for the Cooper GBA region are summarised below in </w:t>
      </w:r>
      <w:r w:rsidRPr="005A442F">
        <w:fldChar w:fldCharType="begin"/>
      </w:r>
      <w:r w:rsidRPr="005A442F">
        <w:instrText xml:space="preserve"> REF _Ref13064688 \h  \* MERGEFORMAT </w:instrText>
      </w:r>
      <w:r w:rsidRPr="005A442F">
        <w:fldChar w:fldCharType="separate"/>
      </w:r>
      <w:r w:rsidR="00073927" w:rsidRPr="005A442F">
        <w:t xml:space="preserve">Table </w:t>
      </w:r>
      <w:r w:rsidR="00073927">
        <w:rPr>
          <w:noProof/>
        </w:rPr>
        <w:t>15</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2","type":"report"},"uris":["http://www.mendeley.com/documents/?uuid=5d0d836e-b528-481b-8e4a-672bdd9967c1"]}],"mendeley":{"formattedCitation":"(Holland &lt;i&gt;et al.&lt;/i&gt;, 2020)","plainTextFormattedCitation":"(Holland et al., 2020)","previouslyFormattedCitation":"(Holland &lt;i&gt;et al.&lt;/i&gt;, 2020)"},"properties":{"noteIndex":0},"schema":"https://github.com/citation-style-language/schema/raw/master/csl-citation.json"}</w:instrText>
      </w:r>
      <w:r w:rsidRPr="005A442F">
        <w:fldChar w:fldCharType="separate"/>
      </w:r>
      <w:r w:rsidR="001C580C" w:rsidRPr="001C580C">
        <w:rPr>
          <w:noProof/>
        </w:rPr>
        <w:t xml:space="preserve">(Holland </w:t>
      </w:r>
      <w:r w:rsidR="001C580C" w:rsidRPr="001C580C">
        <w:rPr>
          <w:i/>
          <w:noProof/>
        </w:rPr>
        <w:t>et al.</w:t>
      </w:r>
      <w:r w:rsidR="001C580C" w:rsidRPr="001C580C">
        <w:rPr>
          <w:noProof/>
        </w:rPr>
        <w:t>, 2020)</w:t>
      </w:r>
      <w:r w:rsidRPr="005A442F">
        <w:fldChar w:fldCharType="end"/>
      </w:r>
      <w:r w:rsidRPr="005A442F">
        <w:t>.</w:t>
      </w:r>
    </w:p>
    <w:p w14:paraId="7B06CD0F" w14:textId="32C96EA3" w:rsidR="000614AE" w:rsidRPr="005A442F" w:rsidRDefault="000614AE" w:rsidP="00FA3C6A">
      <w:pPr>
        <w:pStyle w:val="Caption"/>
        <w:keepLines/>
      </w:pPr>
      <w:bookmarkStart w:id="140" w:name="_Ref13064688"/>
      <w:bookmarkStart w:id="141" w:name="_Toc36042898"/>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15</w:t>
      </w:r>
      <w:r w:rsidRPr="005A442F">
        <w:rPr>
          <w:noProof/>
        </w:rPr>
        <w:fldChar w:fldCharType="end"/>
      </w:r>
      <w:bookmarkEnd w:id="140"/>
      <w:r w:rsidRPr="005A442F">
        <w:t xml:space="preserve"> Qualitative assessment of likelihood of hydraulic fracturing impact modes from historical Cooper GBA region data</w:t>
      </w:r>
      <w:bookmarkEnd w:id="141"/>
    </w:p>
    <w:tbl>
      <w:tblPr>
        <w:tblStyle w:val="TableBAHeaderRow"/>
        <w:tblW w:w="9553" w:type="dxa"/>
        <w:tblLayout w:type="fixed"/>
        <w:tblLook w:val="04A0" w:firstRow="1" w:lastRow="0" w:firstColumn="1" w:lastColumn="0" w:noHBand="0" w:noVBand="1"/>
      </w:tblPr>
      <w:tblGrid>
        <w:gridCol w:w="1843"/>
        <w:gridCol w:w="7710"/>
      </w:tblGrid>
      <w:tr w:rsidR="000614AE" w:rsidRPr="005A442F" w14:paraId="0A72ED07" w14:textId="77777777" w:rsidTr="00AE07C7">
        <w:trPr>
          <w:cnfStyle w:val="100000000000" w:firstRow="1" w:lastRow="0" w:firstColumn="0" w:lastColumn="0" w:oddVBand="0" w:evenVBand="0" w:oddHBand="0" w:evenHBand="0" w:firstRowFirstColumn="0" w:firstRowLastColumn="0" w:lastRowFirstColumn="0" w:lastRowLastColumn="0"/>
          <w:tblHeader/>
        </w:trPr>
        <w:tc>
          <w:tcPr>
            <w:tcW w:w="1843" w:type="dxa"/>
          </w:tcPr>
          <w:p w14:paraId="4EF5BF65" w14:textId="77777777" w:rsidR="000614AE" w:rsidRPr="00596F22" w:rsidRDefault="000614AE" w:rsidP="00FA3C6A">
            <w:pPr>
              <w:pStyle w:val="TableHeading"/>
              <w:keepNext/>
              <w:keepLines/>
              <w:rPr>
                <w:rFonts w:eastAsiaTheme="minorEastAsia"/>
                <w:b/>
              </w:rPr>
            </w:pPr>
            <w:r w:rsidRPr="00596F22">
              <w:rPr>
                <w:rFonts w:eastAsiaTheme="minorEastAsia"/>
                <w:b/>
              </w:rPr>
              <w:t>Impact mode</w:t>
            </w:r>
          </w:p>
        </w:tc>
        <w:tc>
          <w:tcPr>
            <w:tcW w:w="7710" w:type="dxa"/>
          </w:tcPr>
          <w:p w14:paraId="44BC64C7" w14:textId="77777777" w:rsidR="000614AE" w:rsidRPr="00596F22" w:rsidRDefault="000614AE" w:rsidP="00FA3C6A">
            <w:pPr>
              <w:pStyle w:val="TableHeading"/>
              <w:keepNext/>
              <w:keepLines/>
              <w:rPr>
                <w:rFonts w:eastAsiaTheme="minorEastAsia"/>
                <w:b/>
              </w:rPr>
            </w:pPr>
            <w:r w:rsidRPr="00596F22">
              <w:rPr>
                <w:rFonts w:eastAsiaTheme="minorEastAsia"/>
                <w:b/>
              </w:rPr>
              <w:t>Line of evidence 1 Summary for hydraulic fracturing impact modes in the Cooper GBA region</w:t>
            </w:r>
          </w:p>
        </w:tc>
      </w:tr>
      <w:tr w:rsidR="000614AE" w:rsidRPr="005A442F" w14:paraId="7B886881" w14:textId="77777777" w:rsidTr="00AE07C7">
        <w:trPr>
          <w:cnfStyle w:val="000000100000" w:firstRow="0" w:lastRow="0" w:firstColumn="0" w:lastColumn="0" w:oddVBand="0" w:evenVBand="0" w:oddHBand="1" w:evenHBand="0" w:firstRowFirstColumn="0" w:firstRowLastColumn="0" w:lastRowFirstColumn="0" w:lastRowLastColumn="0"/>
        </w:trPr>
        <w:tc>
          <w:tcPr>
            <w:tcW w:w="1843" w:type="dxa"/>
          </w:tcPr>
          <w:p w14:paraId="75FBEB00" w14:textId="77777777" w:rsidR="000614AE" w:rsidRPr="005A442F" w:rsidRDefault="000614AE" w:rsidP="00FA3C6A">
            <w:pPr>
              <w:pStyle w:val="TableText"/>
              <w:keepNext/>
              <w:keepLines/>
            </w:pPr>
            <w:r w:rsidRPr="005A442F">
              <w:t xml:space="preserve">F1 – </w:t>
            </w:r>
          </w:p>
          <w:p w14:paraId="5C734773" w14:textId="77777777" w:rsidR="000614AE" w:rsidRPr="005A442F" w:rsidRDefault="000614AE" w:rsidP="00FA3C6A">
            <w:pPr>
              <w:pStyle w:val="TableText"/>
              <w:keepNext/>
              <w:keepLines/>
            </w:pPr>
            <w:r w:rsidRPr="005A442F">
              <w:t>Hydraulic fracture growth into aquifer</w:t>
            </w:r>
          </w:p>
          <w:p w14:paraId="4D88E8B5" w14:textId="77777777" w:rsidR="000614AE" w:rsidRPr="005A442F" w:rsidRDefault="000614AE" w:rsidP="00FA3C6A">
            <w:pPr>
              <w:pStyle w:val="TableText"/>
              <w:keepNext/>
              <w:keepLines/>
            </w:pPr>
          </w:p>
        </w:tc>
        <w:tc>
          <w:tcPr>
            <w:tcW w:w="7710" w:type="dxa"/>
          </w:tcPr>
          <w:p w14:paraId="1854511B" w14:textId="77777777" w:rsidR="000614AE" w:rsidRPr="005A442F" w:rsidRDefault="000614AE" w:rsidP="00FA3C6A">
            <w:pPr>
              <w:pStyle w:val="TableText"/>
              <w:keepNext/>
              <w:keepLines/>
            </w:pPr>
            <w:r w:rsidRPr="005A442F">
              <w:t>Between 1969 and 2017 over 900 wells were stimulated with hydraulic fracturing in the SA Cooper and Eromanga Basins. Of the hydraulic fracture treatments monitored with microseismic, the maximum recorded extent of hydraulic fracture height growth in the Cooper GBA region was calculated as being 290 m above the injection location.</w:t>
            </w:r>
          </w:p>
          <w:p w14:paraId="75B83B1E" w14:textId="77777777" w:rsidR="000614AE" w:rsidRPr="005A442F" w:rsidRDefault="000614AE" w:rsidP="00FA3C6A">
            <w:pPr>
              <w:pStyle w:val="TableText"/>
              <w:keepNext/>
              <w:keepLines/>
            </w:pPr>
          </w:p>
          <w:p w14:paraId="37C0E496" w14:textId="5668C06B" w:rsidR="000614AE" w:rsidRPr="00985B69" w:rsidRDefault="000614AE" w:rsidP="00FA3C6A">
            <w:pPr>
              <w:pStyle w:val="TableText"/>
              <w:keepNext/>
              <w:keepLines/>
            </w:pPr>
            <w:r w:rsidRPr="005A442F">
              <w:t xml:space="preserve">The </w:t>
            </w:r>
            <w:r w:rsidR="00006A38">
              <w:t>deeper GAB aquifers are</w:t>
            </w:r>
            <w:r w:rsidRPr="005A442F">
              <w:t xml:space="preserve"> vertically separated by 300-</w:t>
            </w:r>
            <w:r w:rsidR="00006A38">
              <w:t>2000</w:t>
            </w:r>
            <w:r w:rsidRPr="005A442F">
              <w:t xml:space="preserve"> m from the </w:t>
            </w:r>
            <w:r w:rsidR="00006A38">
              <w:t xml:space="preserve">unconventional gas target formations </w:t>
            </w:r>
            <w:r w:rsidRPr="005A442F">
              <w:t>(</w:t>
            </w:r>
            <w:r w:rsidR="00006A38" w:rsidRPr="00F02EAA">
              <w:t>Evans et al., 20</w:t>
            </w:r>
            <w:r w:rsidR="00340740">
              <w:t>20</w:t>
            </w:r>
            <w:r w:rsidR="00006A38" w:rsidRPr="00F02EAA">
              <w:t>; Owens et al., 20</w:t>
            </w:r>
            <w:r w:rsidR="00340740">
              <w:t>20</w:t>
            </w:r>
            <w:r w:rsidR="00006A38">
              <w:t xml:space="preserve">; </w:t>
            </w:r>
            <w:r w:rsidRPr="00985B69">
              <w:t>Hawke, 2014).</w:t>
            </w:r>
          </w:p>
          <w:p w14:paraId="7E0E1D8A" w14:textId="77777777" w:rsidR="000614AE" w:rsidRPr="005A442F" w:rsidRDefault="000614AE" w:rsidP="00FA3C6A">
            <w:pPr>
              <w:pStyle w:val="TableText"/>
              <w:keepNext/>
              <w:keepLines/>
            </w:pPr>
          </w:p>
          <w:p w14:paraId="7E90292C" w14:textId="6E08640D" w:rsidR="000614AE" w:rsidRPr="005A442F" w:rsidRDefault="000614AE" w:rsidP="00FA3C6A">
            <w:pPr>
              <w:pStyle w:val="TableText"/>
              <w:keepNext/>
              <w:keepLines/>
            </w:pPr>
            <w:r w:rsidRPr="005A442F">
              <w:t xml:space="preserve">F1 impact mode likelihood summary for the Cooper GBA </w:t>
            </w:r>
            <w:r w:rsidR="008A4E6D">
              <w:t>r</w:t>
            </w:r>
            <w:r w:rsidRPr="005A442F">
              <w:t xml:space="preserve">egion: </w:t>
            </w:r>
            <w:r w:rsidRPr="001600C7">
              <w:rPr>
                <w:b/>
              </w:rPr>
              <w:t>Unlikely</w:t>
            </w:r>
          </w:p>
        </w:tc>
      </w:tr>
      <w:tr w:rsidR="000614AE" w:rsidRPr="005A442F" w14:paraId="399C149F" w14:textId="77777777" w:rsidTr="00AE07C7">
        <w:trPr>
          <w:cnfStyle w:val="000000010000" w:firstRow="0" w:lastRow="0" w:firstColumn="0" w:lastColumn="0" w:oddVBand="0" w:evenVBand="0" w:oddHBand="0" w:evenHBand="1" w:firstRowFirstColumn="0" w:firstRowLastColumn="0" w:lastRowFirstColumn="0" w:lastRowLastColumn="0"/>
        </w:trPr>
        <w:tc>
          <w:tcPr>
            <w:tcW w:w="1843" w:type="dxa"/>
          </w:tcPr>
          <w:p w14:paraId="3B1E0FE1" w14:textId="77777777" w:rsidR="000614AE" w:rsidRPr="005A442F" w:rsidRDefault="000614AE" w:rsidP="00FA3C6A">
            <w:pPr>
              <w:pStyle w:val="TableText"/>
              <w:keepNext/>
              <w:keepLines/>
            </w:pPr>
            <w:r w:rsidRPr="005A442F">
              <w:t xml:space="preserve">F2 – </w:t>
            </w:r>
          </w:p>
          <w:p w14:paraId="0B53FDB0" w14:textId="77777777" w:rsidR="000614AE" w:rsidRPr="005A442F" w:rsidRDefault="000614AE" w:rsidP="00FA3C6A">
            <w:pPr>
              <w:pStyle w:val="TableText"/>
              <w:keepNext/>
              <w:keepLines/>
            </w:pPr>
            <w:r w:rsidRPr="005A442F">
              <w:t>Hydraulic fracture growth into well</w:t>
            </w:r>
          </w:p>
          <w:p w14:paraId="3037FF56" w14:textId="77777777" w:rsidR="000614AE" w:rsidRPr="005A442F" w:rsidRDefault="000614AE" w:rsidP="00FA3C6A">
            <w:pPr>
              <w:pStyle w:val="TableText"/>
              <w:keepNext/>
              <w:keepLines/>
            </w:pPr>
          </w:p>
        </w:tc>
        <w:tc>
          <w:tcPr>
            <w:tcW w:w="7710" w:type="dxa"/>
          </w:tcPr>
          <w:p w14:paraId="6F4B5B22" w14:textId="77777777" w:rsidR="000614AE" w:rsidRPr="005A442F" w:rsidRDefault="000614AE" w:rsidP="00FA3C6A">
            <w:pPr>
              <w:pStyle w:val="TableText"/>
              <w:keepNext/>
              <w:keepLines/>
            </w:pPr>
            <w:bookmarkStart w:id="142" w:name="_Hlk532398386"/>
            <w:r w:rsidRPr="005A442F">
              <w:t>Although significant conventional development has occurred in the Cooper Basin, as the spacing of wells is still large the current likelihood of a hydraulic fracture treatment intersecting an offset borehole is very remote.</w:t>
            </w:r>
          </w:p>
          <w:p w14:paraId="38F41FD6" w14:textId="77777777" w:rsidR="000614AE" w:rsidRPr="005A442F" w:rsidRDefault="000614AE" w:rsidP="00FA3C6A">
            <w:pPr>
              <w:pStyle w:val="TableText"/>
              <w:keepNext/>
              <w:keepLines/>
            </w:pPr>
          </w:p>
          <w:p w14:paraId="08763195" w14:textId="77777777" w:rsidR="000614AE" w:rsidRPr="005A442F" w:rsidRDefault="000614AE" w:rsidP="00FA3C6A">
            <w:pPr>
              <w:pStyle w:val="TableText"/>
              <w:keepNext/>
              <w:keepLines/>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3958D6A1" w14:textId="77777777" w:rsidR="000614AE" w:rsidRPr="005A442F" w:rsidRDefault="000614AE" w:rsidP="00FA3C6A">
            <w:pPr>
              <w:pStyle w:val="TableText"/>
              <w:keepNext/>
              <w:keepLines/>
            </w:pPr>
          </w:p>
          <w:bookmarkEnd w:id="142"/>
          <w:p w14:paraId="202EAC7E" w14:textId="7CB6035C" w:rsidR="000614AE" w:rsidRPr="005A442F" w:rsidRDefault="000614AE" w:rsidP="00FA3C6A">
            <w:pPr>
              <w:pStyle w:val="TableText"/>
              <w:keepNext/>
              <w:keepLines/>
            </w:pPr>
            <w:r w:rsidRPr="005A442F">
              <w:t xml:space="preserve">F2 impact mode likelihood summary for the Cooper GBA </w:t>
            </w:r>
            <w:r w:rsidR="008A4E6D">
              <w:t>r</w:t>
            </w:r>
            <w:r w:rsidRPr="005A442F">
              <w:t xml:space="preserve">egion: </w:t>
            </w:r>
            <w:r w:rsidRPr="001600C7">
              <w:rPr>
                <w:b/>
              </w:rPr>
              <w:t>Unlikely</w:t>
            </w:r>
          </w:p>
        </w:tc>
      </w:tr>
      <w:tr w:rsidR="000614AE" w:rsidRPr="005A442F" w14:paraId="38662A9E" w14:textId="77777777" w:rsidTr="00AE07C7">
        <w:trPr>
          <w:cnfStyle w:val="000000100000" w:firstRow="0" w:lastRow="0" w:firstColumn="0" w:lastColumn="0" w:oddVBand="0" w:evenVBand="0" w:oddHBand="1" w:evenHBand="0" w:firstRowFirstColumn="0" w:firstRowLastColumn="0" w:lastRowFirstColumn="0" w:lastRowLastColumn="0"/>
        </w:trPr>
        <w:tc>
          <w:tcPr>
            <w:tcW w:w="1843" w:type="dxa"/>
          </w:tcPr>
          <w:p w14:paraId="33CFF01A" w14:textId="77777777" w:rsidR="000614AE" w:rsidRPr="005A442F" w:rsidRDefault="000614AE" w:rsidP="00FA3C6A">
            <w:pPr>
              <w:pStyle w:val="TableText"/>
              <w:keepNext/>
              <w:keepLines/>
            </w:pPr>
            <w:r w:rsidRPr="005A442F">
              <w:t xml:space="preserve">F3 – </w:t>
            </w:r>
          </w:p>
          <w:p w14:paraId="4B3AF534" w14:textId="77777777" w:rsidR="000614AE" w:rsidRPr="005A442F" w:rsidRDefault="000614AE" w:rsidP="00FA3C6A">
            <w:pPr>
              <w:pStyle w:val="TableText"/>
              <w:keepNext/>
              <w:keepLines/>
            </w:pPr>
            <w:r w:rsidRPr="005A442F">
              <w:t>Hydraulic fracture growth into fault</w:t>
            </w:r>
          </w:p>
          <w:p w14:paraId="2FDDAAFA" w14:textId="77777777" w:rsidR="000614AE" w:rsidRPr="005A442F" w:rsidRDefault="000614AE" w:rsidP="00FA3C6A">
            <w:pPr>
              <w:pStyle w:val="TableText"/>
              <w:keepNext/>
              <w:keepLines/>
            </w:pPr>
          </w:p>
        </w:tc>
        <w:tc>
          <w:tcPr>
            <w:tcW w:w="7710" w:type="dxa"/>
          </w:tcPr>
          <w:p w14:paraId="65F4FF8D" w14:textId="2E5BC08D" w:rsidR="000614AE" w:rsidRPr="005A442F" w:rsidRDefault="000614AE" w:rsidP="00FA3C6A">
            <w:pPr>
              <w:pStyle w:val="TableText"/>
              <w:keepNext/>
              <w:keepLines/>
            </w:pPr>
            <w:r w:rsidRPr="005A442F">
              <w:t>Evidence from hydraulic fracturing activities to date in the Cooper GBA region has not indicated that excessive vertical hydraulic fracture growth has occurred though intersection with transmissive vertically</w:t>
            </w:r>
            <w:r w:rsidR="00435DC5">
              <w:t xml:space="preserve"> </w:t>
            </w:r>
            <w:r w:rsidRPr="005A442F">
              <w:t>oriented faults.</w:t>
            </w:r>
          </w:p>
          <w:p w14:paraId="02FCB00C" w14:textId="77777777" w:rsidR="000614AE" w:rsidRPr="005A442F" w:rsidRDefault="000614AE" w:rsidP="00FA3C6A">
            <w:pPr>
              <w:pStyle w:val="TableText"/>
              <w:keepNext/>
              <w:keepLines/>
            </w:pPr>
          </w:p>
          <w:p w14:paraId="32FA7E72" w14:textId="77777777" w:rsidR="000614AE" w:rsidRPr="005A442F" w:rsidRDefault="000614AE" w:rsidP="00FA3C6A">
            <w:pPr>
              <w:pStyle w:val="TableText"/>
              <w:keepNext/>
              <w:keepLines/>
            </w:pPr>
            <w:r w:rsidRPr="005A442F">
              <w:t>Seismic mapping of key faults and avoidance of those areas in the Cooper GBA region is anticipated.</w:t>
            </w:r>
          </w:p>
          <w:p w14:paraId="4ED1BD32" w14:textId="77777777" w:rsidR="000614AE" w:rsidRPr="005A442F" w:rsidRDefault="000614AE" w:rsidP="00FA3C6A">
            <w:pPr>
              <w:pStyle w:val="TableText"/>
              <w:keepNext/>
              <w:keepLines/>
            </w:pPr>
          </w:p>
          <w:p w14:paraId="5F541994" w14:textId="42A815C0" w:rsidR="000614AE" w:rsidRPr="005A442F" w:rsidRDefault="000614AE" w:rsidP="00FA3C6A">
            <w:pPr>
              <w:pStyle w:val="TableText"/>
              <w:keepNext/>
              <w:keepLines/>
            </w:pPr>
            <w:r w:rsidRPr="005A442F">
              <w:t xml:space="preserve">F3 impact mode likelihood summary for the Cooper GBA </w:t>
            </w:r>
            <w:r w:rsidR="008A4E6D">
              <w:t>r</w:t>
            </w:r>
            <w:r w:rsidRPr="005A442F">
              <w:t xml:space="preserve">egion: </w:t>
            </w:r>
            <w:r w:rsidRPr="001600C7">
              <w:rPr>
                <w:b/>
              </w:rPr>
              <w:t>Rare</w:t>
            </w:r>
          </w:p>
        </w:tc>
      </w:tr>
    </w:tbl>
    <w:p w14:paraId="6D33CB20" w14:textId="77777777" w:rsidR="000614AE" w:rsidRPr="0073617F" w:rsidRDefault="000614AE" w:rsidP="0073617F">
      <w:pPr>
        <w:pStyle w:val="Heading3notnumbered"/>
        <w:rPr>
          <w:i w:val="0"/>
        </w:rPr>
      </w:pPr>
      <w:bookmarkStart w:id="143" w:name="_Toc5272806"/>
      <w:bookmarkStart w:id="144" w:name="_Toc36042868"/>
      <w:r w:rsidRPr="0073617F">
        <w:rPr>
          <w:i w:val="0"/>
        </w:rPr>
        <w:t>Well integrity impact mode review for the Cooper GBA region</w:t>
      </w:r>
      <w:bookmarkEnd w:id="143"/>
      <w:bookmarkEnd w:id="144"/>
    </w:p>
    <w:p w14:paraId="7704788B" w14:textId="233915E4" w:rsidR="000614AE" w:rsidRPr="005A442F" w:rsidRDefault="000614AE" w:rsidP="000614AE">
      <w:pPr>
        <w:pStyle w:val="BodyText"/>
      </w:pPr>
      <w:bookmarkStart w:id="145" w:name="_Hlk8217135"/>
      <w:r w:rsidRPr="005A442F">
        <w:t xml:space="preserve">Well integrity data in the Cooper </w:t>
      </w:r>
      <w:r w:rsidR="00F12C49">
        <w:t>GBA</w:t>
      </w:r>
      <w:r w:rsidRPr="005A442F">
        <w:t xml:space="preserve"> region </w:t>
      </w:r>
      <w:r w:rsidR="00F12C49">
        <w:t>is</w:t>
      </w:r>
      <w:r w:rsidRPr="005A442F">
        <w:t xml:space="preserve"> scarce. Product 2.3 for the Cooper subregion from the Lake Eyre Basin Bioregional Assessment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xml:space="preserve"> cites a personal communication from 2015 from the SA Department of State Development where four recorded instances of petroleum well failure were reportedly observed out of 2288 petroleum wells drilled into the Patchawarra and Nappamerri troughs as of 2015. These wells targeted conventional reservoirs which, in some cases, can pose additional challenges which are not experienced when developing shale or coal resources. In this context ‘failure’ was defined as an event in a well that caused either:</w:t>
      </w:r>
    </w:p>
    <w:p w14:paraId="01915852" w14:textId="77777777" w:rsidR="000614AE" w:rsidRPr="005A442F" w:rsidRDefault="000614AE" w:rsidP="00FA3C6A">
      <w:pPr>
        <w:pStyle w:val="ListBullet"/>
      </w:pPr>
      <w:r w:rsidRPr="005A442F">
        <w:t>fluid crossflow between two formations or,</w:t>
      </w:r>
    </w:p>
    <w:p w14:paraId="3FF603F3" w14:textId="77777777" w:rsidR="000614AE" w:rsidRPr="005A442F" w:rsidRDefault="000614AE" w:rsidP="00FA3C6A">
      <w:pPr>
        <w:pStyle w:val="ListBullet"/>
      </w:pPr>
      <w:r w:rsidRPr="005A442F">
        <w:t>fluid flow from a formation to the surface (not including wellhead leaks).</w:t>
      </w:r>
    </w:p>
    <w:p w14:paraId="5C026A07" w14:textId="77777777" w:rsidR="000614AE" w:rsidRPr="005A442F" w:rsidRDefault="000614AE" w:rsidP="000614AE">
      <w:pPr>
        <w:pStyle w:val="BodyText"/>
      </w:pPr>
      <w:r>
        <w:t>One instance of well integrity failure leading to uncontrolled migration of fluids to surface was</w:t>
      </w:r>
      <w:r w:rsidRPr="005A442F">
        <w:t xml:space="preserv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63AA714C" w14:textId="3C6A31E0" w:rsidR="000614AE" w:rsidRPr="005A442F" w:rsidRDefault="000614AE" w:rsidP="00FA3C6A">
      <w:pPr>
        <w:pStyle w:val="ListBullet"/>
      </w:pPr>
      <w:r w:rsidRPr="005A442F">
        <w:t>Tirrawarra-3 (2019 m total depth; low</w:t>
      </w:r>
      <w:r w:rsidR="00B4177B">
        <w:t>-</w:t>
      </w:r>
      <w:r w:rsidRPr="005A442F">
        <w:t xml:space="preserve">rate </w:t>
      </w:r>
      <w:r>
        <w:t xml:space="preserve">uncontrolled </w:t>
      </w:r>
      <w:r w:rsidRPr="005A442F">
        <w:t xml:space="preserve">flow </w:t>
      </w:r>
      <w:r>
        <w:t xml:space="preserve">of fluid </w:t>
      </w:r>
      <w:r w:rsidRPr="005A442F">
        <w:t xml:space="preserve">to surface), drilled in 1971 </w:t>
      </w:r>
      <w:r>
        <w:t>(leak detected and remediated in 2009)</w:t>
      </w:r>
      <w:r w:rsidR="003304F4">
        <w:t>.</w:t>
      </w:r>
    </w:p>
    <w:p w14:paraId="1CC959E3" w14:textId="38DC287B" w:rsidR="000614AE" w:rsidRPr="005A442F" w:rsidRDefault="000614AE" w:rsidP="000614AE">
      <w:pPr>
        <w:pStyle w:val="BodyText"/>
      </w:pPr>
      <w:r w:rsidRPr="005A442F">
        <w:t xml:space="preserve">One instance of Migration along casing between rock layers was identified in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738A14CE" w14:textId="77777777" w:rsidR="000614AE" w:rsidRPr="005A442F" w:rsidRDefault="000614AE" w:rsidP="00FA3C6A">
      <w:pPr>
        <w:pStyle w:val="ListBullet"/>
      </w:pPr>
      <w:r w:rsidRPr="005A442F">
        <w:t>Della-20 (3018 m total depth; crossflow between formations behind casing), drilled in 2000.</w:t>
      </w:r>
    </w:p>
    <w:p w14:paraId="134D1DA5" w14:textId="77777777" w:rsidR="000614AE" w:rsidRPr="005A442F" w:rsidRDefault="000614AE" w:rsidP="000614AE">
      <w:pPr>
        <w:pStyle w:val="BodyText"/>
        <w:rPr>
          <w:highlight w:val="yellow"/>
        </w:rPr>
      </w:pPr>
      <w:r w:rsidRPr="005A442F">
        <w:t>This recorded failure occurred on a well drilled more recently than the other failures. However, this causal pathway is not always visible at the surface or easy to detect with downhole tools. It is possible that there have been other instances of fluid migration between rock layers which have not been recorded.</w:t>
      </w:r>
    </w:p>
    <w:p w14:paraId="107711B2" w14:textId="77777777" w:rsidR="000614AE" w:rsidRPr="005A442F" w:rsidRDefault="000614AE" w:rsidP="000614AE">
      <w:pPr>
        <w:pStyle w:val="BodyText"/>
      </w:pPr>
      <w:r w:rsidRPr="005A442F">
        <w:t xml:space="preserve">Two instances of loss of well control (blowout) in historical Cooper GBA region petroleum operations were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42EE8978" w14:textId="77777777" w:rsidR="000614AE" w:rsidRPr="005A442F" w:rsidRDefault="000614AE" w:rsidP="00FA3C6A">
      <w:pPr>
        <w:pStyle w:val="ListBullet"/>
      </w:pPr>
      <w:r w:rsidRPr="005A442F">
        <w:t>Big Lake-2 (2500 m total depth; blowout), drilled in 1963</w:t>
      </w:r>
    </w:p>
    <w:p w14:paraId="541C9616" w14:textId="0C676BC0" w:rsidR="000614AE" w:rsidRPr="005A442F" w:rsidRDefault="000614AE" w:rsidP="00FA3C6A">
      <w:pPr>
        <w:pStyle w:val="ListBullet"/>
      </w:pPr>
      <w:r w:rsidRPr="005A442F">
        <w:t>Della-1 (2179 m total depth; blowout), drilled in 1970</w:t>
      </w:r>
      <w:r w:rsidR="003304F4">
        <w:t>.</w:t>
      </w:r>
      <w:r w:rsidRPr="005A442F">
        <w:t xml:space="preserve"> </w:t>
      </w:r>
    </w:p>
    <w:p w14:paraId="67B6AD7F" w14:textId="3DD38BFF" w:rsidR="000614AE" w:rsidRPr="005A442F" w:rsidRDefault="000614AE" w:rsidP="000614AE">
      <w:pPr>
        <w:pStyle w:val="BodyText"/>
      </w:pPr>
      <w:r w:rsidRPr="005A442F">
        <w:t xml:space="preserve">As of 2016 these two instances corresponded to an approximate rate of 0.1% of all petroleum wells. However, both events occurred approximately 50 years ago when targeting conventional resources and it is accepted that due to tightened regulatory requirements and technological and operational improvements in the oil and gas industry the likelihood of well blowouts is decreasing over time </w:t>
      </w:r>
      <w:r w:rsidRPr="005A442F">
        <w:fldChar w:fldCharType="begin" w:fldLock="1"/>
      </w:r>
      <w:r w:rsidR="00563B8C">
        <w:instrText>ADDIN CSL_CITATION {"citationItems":[{"id":"ITEM-1","itemData":{"author":[{"dropping-particle":"","family":"Bannerman","given":"M","non-dropping-particle":"","parse-names":false,"suffix":""},{"dropping-particle":"","family":"Calvert","given":"J","non-dropping-particle":"","parse-names":false,"suffix":""},{"dropping-particle":"","family":"Griffin","given":"T","non-dropping-particle":"","parse-names":false,"suffix":""}],"container-title":"SPE Annual Technical Conference and Exhibition","id":"ITEM-1","issued":{"date-parts":[["2005"]]},"page":"1-12","publisher-place":"Dallas, Texas","title":"New API practices for isolating potential flow zones during drilling and cementing operations","type":"paper-conference"},"uris":["http://www.mendeley.com/documents/?uuid=6cf04fa1-40f5-4f70-a1c1-0f5eea5419de"]},{"id":"ITEM-2","itemData":{"author":[{"dropping-particle":"","family":"Ground Water Protection Council","given":"","non-dropping-particle":"","parse-names":false,"suffix":""}],"id":"ITEM-2","issue":"August","issued":{"date-parts":[["2011"]]},"title":"State Oil and Gas Agency Groundwater Investigations","type":"article-journal"},"uris":["http://www.mendeley.com/documents/?uuid=f0cf7bf5-0ce3-423c-8979-d978aba7ea1c"]}],"mendeley":{"formattedCitation":"(Bannerman, Calvert and Griffin, 2005; Ground Water Protection Council, 2011)","manualFormatting":"(Bannerman et al., 2005; Ground Water Protection Council, 2011)","plainTextFormattedCitation":"(Bannerman, Calvert and Griffin, 2005; Ground Water Protection Council, 2011)","previouslyFormattedCitation":"(Bannerman, Calvert and Griffin, 2005; Ground Water Protection Council, 2011)"},"properties":{"noteIndex":0},"schema":"https://github.com/citation-style-language/schema/raw/master/csl-citation.json"}</w:instrText>
      </w:r>
      <w:r w:rsidRPr="005A442F">
        <w:fldChar w:fldCharType="separate"/>
      </w:r>
      <w:r w:rsidRPr="005A442F">
        <w:rPr>
          <w:noProof/>
        </w:rPr>
        <w:t>(Bannerman</w:t>
      </w:r>
      <w:r w:rsidR="004E0C5F">
        <w:rPr>
          <w:noProof/>
        </w:rPr>
        <w:t xml:space="preserve"> et al.,</w:t>
      </w:r>
      <w:r w:rsidRPr="005A442F">
        <w:rPr>
          <w:noProof/>
        </w:rPr>
        <w:t xml:space="preserve"> 2005; Ground Water Protection Council, 2011)</w:t>
      </w:r>
      <w:r w:rsidRPr="005A442F">
        <w:fldChar w:fldCharType="end"/>
      </w:r>
      <w:r w:rsidRPr="005A442F">
        <w:t>. Therefore, the actual likelihood is considered to be lower than 0.1%.</w:t>
      </w:r>
    </w:p>
    <w:p w14:paraId="662AC35E" w14:textId="77777777" w:rsidR="000614AE" w:rsidRPr="005A442F" w:rsidRDefault="000614AE" w:rsidP="00985B69">
      <w:pPr>
        <w:pStyle w:val="BodyText"/>
      </w:pPr>
      <w:r w:rsidRPr="005A442F">
        <w:br w:type="page"/>
      </w:r>
    </w:p>
    <w:p w14:paraId="1195CC03" w14:textId="3CEFAEB1" w:rsidR="000614AE" w:rsidRPr="005A442F" w:rsidRDefault="000614AE" w:rsidP="0073617F">
      <w:pPr>
        <w:pStyle w:val="Heading4notnumbered"/>
      </w:pPr>
      <w:r w:rsidRPr="005A442F">
        <w:t xml:space="preserve">Line of </w:t>
      </w:r>
      <w:r w:rsidR="00360A23">
        <w:t>e</w:t>
      </w:r>
      <w:r w:rsidRPr="005A442F">
        <w:t>vidence 1 qualitative assessment for Cooper GBA region well integrity impact modes</w:t>
      </w:r>
    </w:p>
    <w:p w14:paraId="3AC040EB" w14:textId="77777777" w:rsidR="000614AE" w:rsidRPr="005A442F" w:rsidRDefault="000614AE" w:rsidP="000614AE">
      <w:pPr>
        <w:pStyle w:val="Heading6notnumbered"/>
      </w:pPr>
      <w:r w:rsidRPr="005A442F">
        <w:t>W1 - Well rupture or failure across barriers</w:t>
      </w:r>
    </w:p>
    <w:p w14:paraId="7C874930" w14:textId="77777777" w:rsidR="000614AE" w:rsidRPr="005A442F" w:rsidRDefault="000614AE" w:rsidP="000614AE">
      <w:pPr>
        <w:pStyle w:val="BodyText"/>
      </w:pPr>
      <w:r w:rsidRPr="005A442F">
        <w:t>None of the four cases of well integrity failure recorded in the Cooper GBA region appear to be related to rupture of the well and no evidence of well rupture or total well integrity failure in historical Cooper GBA region operations identified to date.</w:t>
      </w:r>
    </w:p>
    <w:p w14:paraId="6D0FC420" w14:textId="47F5F239" w:rsidR="000614AE" w:rsidRPr="005A442F" w:rsidRDefault="000614AE" w:rsidP="000614AE">
      <w:pPr>
        <w:pStyle w:val="BodyText"/>
      </w:pPr>
      <w:r w:rsidRPr="005A442F">
        <w:t xml:space="preserve">Therefore, a qualitative analysis of the Cooper GBA region would suggest the potential likelihood of ‘W1 - Well rupture or failure across barriers’ is in line with other international </w:t>
      </w:r>
      <w:r w:rsidR="00BC68CE">
        <w:t>shale</w:t>
      </w:r>
      <w:r w:rsidRPr="005A442F">
        <w:t xml:space="preserve"> gas developments (Rare).</w:t>
      </w:r>
    </w:p>
    <w:p w14:paraId="10E3EC0D" w14:textId="77777777" w:rsidR="000614AE" w:rsidRPr="005A442F" w:rsidRDefault="000614AE" w:rsidP="000614AE">
      <w:pPr>
        <w:pStyle w:val="Heading6notnumbered"/>
      </w:pPr>
      <w:r w:rsidRPr="005A442F">
        <w:t>W2 - Migration along casing from reservoir to surface</w:t>
      </w:r>
    </w:p>
    <w:p w14:paraId="12E35BE8" w14:textId="0A7D4719" w:rsidR="000614AE" w:rsidRPr="005A442F" w:rsidRDefault="000614AE" w:rsidP="000614AE">
      <w:pPr>
        <w:pStyle w:val="Heading6notnumbered"/>
        <w:rPr>
          <w:b w:val="0"/>
          <w:szCs w:val="24"/>
        </w:rPr>
      </w:pPr>
      <w:r w:rsidRPr="005A442F">
        <w:rPr>
          <w:b w:val="0"/>
          <w:szCs w:val="24"/>
        </w:rPr>
        <w:t>One instance of migration of fluids to surface in the Cooper GBA region (assumed to be along casing annulus) was identified in Smith et al. (2016). The leaking well was Tirrawarra-3 (2019 m depth) drilled in 1971. The leak was described as a low-rate flow to surface and the failure occurred over 45 years ago.</w:t>
      </w:r>
    </w:p>
    <w:p w14:paraId="37499B10" w14:textId="77777777" w:rsidR="000614AE" w:rsidRPr="005A442F" w:rsidRDefault="000614AE" w:rsidP="000614AE">
      <w:pPr>
        <w:pStyle w:val="Heading6notnumbered"/>
        <w:rPr>
          <w:b w:val="0"/>
          <w:szCs w:val="24"/>
        </w:rPr>
      </w:pPr>
      <w:r w:rsidRPr="005A442F">
        <w:rPr>
          <w:b w:val="0"/>
          <w:szCs w:val="24"/>
        </w:rPr>
        <w:t>Given the current controls and significant depth of the target layers the qualitative potential of this impact mode is considered very unlikely.</w:t>
      </w:r>
    </w:p>
    <w:p w14:paraId="1DCE8F1A" w14:textId="77777777" w:rsidR="000614AE" w:rsidRPr="005A442F" w:rsidRDefault="000614AE" w:rsidP="000614AE">
      <w:pPr>
        <w:pStyle w:val="Heading6notnumbered"/>
      </w:pPr>
      <w:r w:rsidRPr="005A442F">
        <w:t>W3 - Migration along casing between rock layers</w:t>
      </w:r>
    </w:p>
    <w:p w14:paraId="1854AD91" w14:textId="77777777" w:rsidR="000614AE" w:rsidRPr="005A442F" w:rsidRDefault="000614AE" w:rsidP="000614AE">
      <w:pPr>
        <w:pStyle w:val="BodyText"/>
      </w:pPr>
      <w:r w:rsidRPr="005A442F">
        <w:t>One event of crossflow between formations behind casing recorded in the Cooper GBA region however the causal pathway may be difficult to detect from surface or downhole measurements.</w:t>
      </w:r>
    </w:p>
    <w:p w14:paraId="03935458" w14:textId="77777777" w:rsidR="000614AE" w:rsidRPr="005A442F" w:rsidRDefault="000614AE" w:rsidP="000614AE">
      <w:pPr>
        <w:pStyle w:val="Heading6notnumbered"/>
        <w:rPr>
          <w:b w:val="0"/>
          <w:szCs w:val="24"/>
        </w:rPr>
      </w:pPr>
      <w:r w:rsidRPr="005A442F">
        <w:rPr>
          <w:b w:val="0"/>
          <w:szCs w:val="24"/>
        </w:rPr>
        <w:t>Given the current controls and significant depth of the target layers the qualitative potential of this impact mode is considered unlikely.</w:t>
      </w:r>
    </w:p>
    <w:p w14:paraId="46175E14" w14:textId="77777777" w:rsidR="000614AE" w:rsidRPr="005A442F" w:rsidRDefault="000614AE" w:rsidP="000614AE">
      <w:pPr>
        <w:pStyle w:val="Heading6notnumbered"/>
      </w:pPr>
      <w:r w:rsidRPr="005A442F">
        <w:t>W4 - Migration along decommissioned / abandoned wells</w:t>
      </w:r>
    </w:p>
    <w:p w14:paraId="09810241" w14:textId="77777777" w:rsidR="000614AE" w:rsidRPr="005A442F" w:rsidRDefault="000614AE" w:rsidP="000614AE">
      <w:pPr>
        <w:pStyle w:val="Heading6notnumbered"/>
        <w:rPr>
          <w:b w:val="0"/>
          <w:szCs w:val="24"/>
        </w:rPr>
      </w:pPr>
      <w:r w:rsidRPr="005A442F">
        <w:rPr>
          <w:b w:val="0"/>
          <w:szCs w:val="24"/>
        </w:rPr>
        <w:t>No evidence of fluid migration along decommissioned / abandoned wells in historical Cooper GBA region operations identified to date. There was insufficient data for an initial qualitative assessment of impact mode ‘W4 - Migration along decommissioned / abandoned wells’.</w:t>
      </w:r>
    </w:p>
    <w:p w14:paraId="35403B0D" w14:textId="77777777" w:rsidR="000614AE" w:rsidRPr="005A442F" w:rsidRDefault="000614AE" w:rsidP="000614AE">
      <w:pPr>
        <w:pStyle w:val="Heading6notnumbered"/>
      </w:pPr>
      <w:r w:rsidRPr="005A442F">
        <w:t>W5 - Loss of well control (blowout)</w:t>
      </w:r>
    </w:p>
    <w:p w14:paraId="7C26277A" w14:textId="77777777" w:rsidR="000614AE" w:rsidRPr="005A442F" w:rsidRDefault="000614AE" w:rsidP="000614AE">
      <w:pPr>
        <w:pStyle w:val="Heading6notnumbered"/>
        <w:rPr>
          <w:b w:val="0"/>
          <w:szCs w:val="24"/>
        </w:rPr>
      </w:pPr>
      <w:r w:rsidRPr="005A442F">
        <w:rPr>
          <w:b w:val="0"/>
          <w:szCs w:val="24"/>
        </w:rPr>
        <w:t xml:space="preserve">Two instances of loss of well control (blowout) in historical Cooper GBA region petroleum operations were identified in Smith et al. (2016). As of 2016 this corresponds to an approximate rate of 0.1% however both events occurred greater than 50 years ago. Due to technological and operational improvements in the oil and gas industry the actual likelihood is likely to be lower than 0.1%. </w:t>
      </w:r>
    </w:p>
    <w:p w14:paraId="588BC663" w14:textId="13C5D3A8" w:rsidR="000614AE" w:rsidRPr="005A442F" w:rsidRDefault="000614AE" w:rsidP="000614AE">
      <w:pPr>
        <w:pStyle w:val="Heading6notnumbered"/>
        <w:rPr>
          <w:b w:val="0"/>
          <w:szCs w:val="24"/>
        </w:rPr>
      </w:pPr>
      <w:r w:rsidRPr="005A442F">
        <w:rPr>
          <w:b w:val="0"/>
          <w:szCs w:val="24"/>
        </w:rPr>
        <w:t>Given the historical data, current controls and significant depth of the target layers the qualitative potential of this impact mode is considered very unlikely.</w:t>
      </w:r>
    </w:p>
    <w:p w14:paraId="0546AED1" w14:textId="28252065" w:rsidR="000614AE" w:rsidRPr="005A442F" w:rsidRDefault="000614AE" w:rsidP="009639F0">
      <w:pPr>
        <w:pStyle w:val="Heading6notnumbered"/>
        <w:keepNext/>
      </w:pPr>
      <w:r w:rsidRPr="005A442F">
        <w:t xml:space="preserve">Summary of line of </w:t>
      </w:r>
      <w:r w:rsidR="00360A23">
        <w:t>e</w:t>
      </w:r>
      <w:r w:rsidRPr="005A442F">
        <w:t>vidence 1 qualitative assessment</w:t>
      </w:r>
    </w:p>
    <w:p w14:paraId="03AD3C28" w14:textId="7822E1B6" w:rsidR="000614AE" w:rsidRPr="005A442F" w:rsidRDefault="000614AE" w:rsidP="000614AE">
      <w:pPr>
        <w:pStyle w:val="BodyText"/>
      </w:pPr>
      <w:r w:rsidRPr="005A442F">
        <w:t xml:space="preserve">The results of the Stage 2 qualitative assessment of five compromised well integrity impact modes against historical data for the Cooper GBA region are summarised below in </w:t>
      </w:r>
      <w:r w:rsidRPr="005A442F">
        <w:fldChar w:fldCharType="begin"/>
      </w:r>
      <w:r w:rsidRPr="005A442F">
        <w:instrText xml:space="preserve"> REF _Ref13585133 \h  \* MERGEFORMAT </w:instrText>
      </w:r>
      <w:r w:rsidRPr="005A442F">
        <w:fldChar w:fldCharType="separate"/>
      </w:r>
      <w:r w:rsidR="00073927" w:rsidRPr="005A442F">
        <w:t xml:space="preserve">Table </w:t>
      </w:r>
      <w:r w:rsidR="00073927">
        <w:rPr>
          <w:noProof/>
        </w:rPr>
        <w:t>16</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_Ref2347433 \h  \* MERGEFORMAT </w:instrText>
      </w:r>
      <w:r w:rsidRPr="005A442F">
        <w:fldChar w:fldCharType="separate"/>
      </w:r>
      <w:r w:rsidR="00073927">
        <w:t xml:space="preserve">Table </w:t>
      </w:r>
      <w:r w:rsidR="00073927">
        <w:rPr>
          <w:noProof/>
        </w:rPr>
        <w:t>5</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2","type":"report"},"uris":["http://www.mendeley.com/documents/?uuid=5d0d836e-b528-481b-8e4a-672bdd9967c1"]}],"mendeley":{"formattedCitation":"(Holland &lt;i&gt;et al.&lt;/i&gt;, 2020)","plainTextFormattedCitation":"(Holland et al., 2020)","previouslyFormattedCitation":"(Holland &lt;i&gt;et al.&lt;/i&gt;, 2020)"},"properties":{"noteIndex":0},"schema":"https://github.com/citation-style-language/schema/raw/master/csl-citation.json"}</w:instrText>
      </w:r>
      <w:r w:rsidRPr="005A442F">
        <w:fldChar w:fldCharType="separate"/>
      </w:r>
      <w:r w:rsidR="001C580C" w:rsidRPr="001C580C">
        <w:rPr>
          <w:noProof/>
        </w:rPr>
        <w:t xml:space="preserve">(Holland </w:t>
      </w:r>
      <w:r w:rsidR="001C580C" w:rsidRPr="001C580C">
        <w:rPr>
          <w:i/>
          <w:noProof/>
        </w:rPr>
        <w:t>et al.</w:t>
      </w:r>
      <w:r w:rsidR="001C580C" w:rsidRPr="001C580C">
        <w:rPr>
          <w:noProof/>
        </w:rPr>
        <w:t>, 2020)</w:t>
      </w:r>
      <w:r w:rsidRPr="005A442F">
        <w:fldChar w:fldCharType="end"/>
      </w:r>
      <w:r w:rsidRPr="005A442F">
        <w:t>.</w:t>
      </w:r>
    </w:p>
    <w:p w14:paraId="27E96ECC" w14:textId="652231D1" w:rsidR="000614AE" w:rsidRPr="005A442F" w:rsidRDefault="000614AE" w:rsidP="000614AE">
      <w:pPr>
        <w:pStyle w:val="Caption"/>
      </w:pPr>
      <w:bookmarkStart w:id="146" w:name="_Ref13585133"/>
      <w:bookmarkStart w:id="147" w:name="_Toc36042899"/>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16</w:t>
      </w:r>
      <w:r w:rsidRPr="005A442F">
        <w:rPr>
          <w:noProof/>
        </w:rPr>
        <w:fldChar w:fldCharType="end"/>
      </w:r>
      <w:bookmarkEnd w:id="146"/>
      <w:r w:rsidRPr="005A442F">
        <w:t xml:space="preserve"> Qualitative assessment of likelihood of well integrity impact modes from historical Cooper GBA region data</w:t>
      </w:r>
      <w:bookmarkEnd w:id="147"/>
    </w:p>
    <w:tbl>
      <w:tblPr>
        <w:tblStyle w:val="TableBAHeaderRow"/>
        <w:tblW w:w="9497" w:type="dxa"/>
        <w:tblLayout w:type="fixed"/>
        <w:tblLook w:val="04A0" w:firstRow="1" w:lastRow="0" w:firstColumn="1" w:lastColumn="0" w:noHBand="0" w:noVBand="1"/>
      </w:tblPr>
      <w:tblGrid>
        <w:gridCol w:w="1843"/>
        <w:gridCol w:w="7654"/>
      </w:tblGrid>
      <w:tr w:rsidR="000614AE" w:rsidRPr="005A442F" w14:paraId="5E50A87A" w14:textId="77777777" w:rsidTr="0005242E">
        <w:trPr>
          <w:cnfStyle w:val="100000000000" w:firstRow="1" w:lastRow="0" w:firstColumn="0" w:lastColumn="0" w:oddVBand="0" w:evenVBand="0" w:oddHBand="0" w:evenHBand="0" w:firstRowFirstColumn="0" w:firstRowLastColumn="0" w:lastRowFirstColumn="0" w:lastRowLastColumn="0"/>
          <w:tblHeader/>
        </w:trPr>
        <w:tc>
          <w:tcPr>
            <w:tcW w:w="1843" w:type="dxa"/>
          </w:tcPr>
          <w:p w14:paraId="414C5EA7" w14:textId="77777777" w:rsidR="000614AE" w:rsidRPr="005A442F" w:rsidRDefault="000614AE" w:rsidP="00FA3C6A">
            <w:pPr>
              <w:pStyle w:val="TableText"/>
            </w:pPr>
            <w:r w:rsidRPr="005A442F">
              <w:rPr>
                <w:rFonts w:eastAsiaTheme="minorEastAsia"/>
              </w:rPr>
              <w:t>Impact mode</w:t>
            </w:r>
          </w:p>
        </w:tc>
        <w:tc>
          <w:tcPr>
            <w:tcW w:w="7654" w:type="dxa"/>
          </w:tcPr>
          <w:p w14:paraId="29D7FEA4" w14:textId="77777777" w:rsidR="000614AE" w:rsidRPr="005A442F" w:rsidRDefault="000614AE" w:rsidP="00FA3C6A">
            <w:pPr>
              <w:pStyle w:val="TableText"/>
            </w:pPr>
            <w:r w:rsidRPr="005A442F">
              <w:rPr>
                <w:rFonts w:eastAsiaTheme="minorEastAsia"/>
              </w:rPr>
              <w:t>Line of evidence 1 Summary for well integrity impact modes in the Cooper GBA region</w:t>
            </w:r>
          </w:p>
        </w:tc>
      </w:tr>
      <w:tr w:rsidR="000614AE" w:rsidRPr="005A442F" w14:paraId="077C4B6A"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575C346C" w14:textId="77777777" w:rsidR="000614AE" w:rsidRPr="005A442F" w:rsidRDefault="000614AE" w:rsidP="001600C7">
            <w:pPr>
              <w:pStyle w:val="TableText"/>
            </w:pPr>
            <w:r w:rsidRPr="005A442F">
              <w:t xml:space="preserve">W1 - Well rupture or failure across barriers </w:t>
            </w:r>
          </w:p>
          <w:p w14:paraId="075406DA" w14:textId="77777777" w:rsidR="000614AE" w:rsidRPr="005A442F" w:rsidRDefault="000614AE" w:rsidP="001600C7">
            <w:pPr>
              <w:pStyle w:val="TableText"/>
            </w:pPr>
          </w:p>
        </w:tc>
        <w:tc>
          <w:tcPr>
            <w:tcW w:w="7654" w:type="dxa"/>
          </w:tcPr>
          <w:p w14:paraId="3D979716" w14:textId="77777777" w:rsidR="000614AE" w:rsidRPr="005A442F" w:rsidRDefault="000614AE" w:rsidP="001600C7">
            <w:pPr>
              <w:pStyle w:val="TableText"/>
            </w:pPr>
            <w:r w:rsidRPr="005A442F">
              <w:t>None of the four cases of well integrity failure recorded in the Cooper GBA region appear to be related to rupture of the well. Therefore there is no evidence of well rupture or total well integrity failure in historical Cooper GBA region operations identified to date.</w:t>
            </w:r>
          </w:p>
          <w:p w14:paraId="7B8C022D" w14:textId="77777777" w:rsidR="000614AE" w:rsidRPr="005A442F" w:rsidRDefault="000614AE" w:rsidP="001600C7">
            <w:pPr>
              <w:pStyle w:val="TableText"/>
            </w:pPr>
          </w:p>
          <w:p w14:paraId="453C7AB9" w14:textId="47F584E9" w:rsidR="000614AE" w:rsidRPr="005A442F" w:rsidRDefault="000614AE" w:rsidP="001600C7">
            <w:pPr>
              <w:pStyle w:val="TableText"/>
            </w:pPr>
            <w:r w:rsidRPr="005A442F">
              <w:t xml:space="preserve">W1 impact mode likelihood summary for the Cooper GBA </w:t>
            </w:r>
            <w:r w:rsidR="008A4E6D">
              <w:t>r</w:t>
            </w:r>
            <w:r w:rsidRPr="005A442F">
              <w:t xml:space="preserve">egion: </w:t>
            </w:r>
            <w:r w:rsidRPr="001600C7">
              <w:rPr>
                <w:b/>
              </w:rPr>
              <w:t>Rare</w:t>
            </w:r>
          </w:p>
          <w:p w14:paraId="3C3CE725" w14:textId="77777777" w:rsidR="000614AE" w:rsidRPr="005A442F" w:rsidRDefault="000614AE" w:rsidP="001600C7">
            <w:pPr>
              <w:pStyle w:val="TableText"/>
            </w:pPr>
          </w:p>
        </w:tc>
      </w:tr>
      <w:tr w:rsidR="000614AE" w:rsidRPr="005A442F" w14:paraId="3F11AD35" w14:textId="77777777" w:rsidTr="0005242E">
        <w:trPr>
          <w:cnfStyle w:val="000000010000" w:firstRow="0" w:lastRow="0" w:firstColumn="0" w:lastColumn="0" w:oddVBand="0" w:evenVBand="0" w:oddHBand="0" w:evenHBand="1" w:firstRowFirstColumn="0" w:firstRowLastColumn="0" w:lastRowFirstColumn="0" w:lastRowLastColumn="0"/>
        </w:trPr>
        <w:tc>
          <w:tcPr>
            <w:tcW w:w="1843" w:type="dxa"/>
          </w:tcPr>
          <w:p w14:paraId="4665D43C" w14:textId="77777777" w:rsidR="000614AE" w:rsidRPr="005A442F" w:rsidRDefault="000614AE" w:rsidP="001600C7">
            <w:pPr>
              <w:pStyle w:val="TableText"/>
            </w:pPr>
            <w:r w:rsidRPr="005A442F">
              <w:t>W2 - Migration along casing from reservoir to surface</w:t>
            </w:r>
          </w:p>
          <w:p w14:paraId="4B8BDA83" w14:textId="77777777" w:rsidR="000614AE" w:rsidRPr="005A442F" w:rsidRDefault="000614AE" w:rsidP="001600C7">
            <w:pPr>
              <w:pStyle w:val="TableText"/>
            </w:pPr>
          </w:p>
        </w:tc>
        <w:tc>
          <w:tcPr>
            <w:tcW w:w="7654" w:type="dxa"/>
          </w:tcPr>
          <w:p w14:paraId="4F4AAFD3" w14:textId="77777777" w:rsidR="000614AE" w:rsidRPr="005A442F" w:rsidRDefault="000614AE" w:rsidP="001600C7">
            <w:pPr>
              <w:pStyle w:val="TableText"/>
            </w:pPr>
            <w:r w:rsidRPr="005A442F">
              <w:t xml:space="preserve">One instance of migration of fluids to surface in the Cooper GBA region (assumed to be along casing annulus) was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The leaking well was Tirrawarra-3 (2019 m depth) drilled in 1971 targeting an overpressured geological layer. The leak was described as a low-rate flow to surface and the failure occurred over 45 years ago.</w:t>
            </w:r>
          </w:p>
          <w:p w14:paraId="7F48227E" w14:textId="77777777" w:rsidR="000614AE" w:rsidRPr="005A442F" w:rsidRDefault="000614AE" w:rsidP="001600C7">
            <w:pPr>
              <w:pStyle w:val="TableText"/>
            </w:pPr>
          </w:p>
          <w:p w14:paraId="0D602ABF" w14:textId="77777777" w:rsidR="000614AE" w:rsidRPr="005A442F" w:rsidRDefault="000614AE" w:rsidP="001600C7">
            <w:pPr>
              <w:pStyle w:val="TableText"/>
            </w:pPr>
            <w:r w:rsidRPr="005A442F">
              <w:t>Given the current controls and significant depth of the target layers the potential of this mode of failure is considered very unlikely.</w:t>
            </w:r>
          </w:p>
          <w:p w14:paraId="3D549550" w14:textId="77777777" w:rsidR="000614AE" w:rsidRPr="005A442F" w:rsidRDefault="000614AE" w:rsidP="001600C7">
            <w:pPr>
              <w:pStyle w:val="TableText"/>
            </w:pPr>
          </w:p>
          <w:p w14:paraId="70F0F32E" w14:textId="7E1E1AF8" w:rsidR="000614AE" w:rsidRPr="005A442F" w:rsidRDefault="000614AE" w:rsidP="001600C7">
            <w:pPr>
              <w:pStyle w:val="TableText"/>
            </w:pPr>
            <w:r w:rsidRPr="005A442F">
              <w:t xml:space="preserve">W2 impact mode likelihood summary for the Cooper GBA </w:t>
            </w:r>
            <w:r w:rsidR="008A4E6D">
              <w:t>r</w:t>
            </w:r>
            <w:r w:rsidRPr="005A442F">
              <w:t xml:space="preserve">egion: </w:t>
            </w:r>
            <w:r w:rsidRPr="001600C7">
              <w:rPr>
                <w:b/>
              </w:rPr>
              <w:t>Very unlikely</w:t>
            </w:r>
          </w:p>
          <w:p w14:paraId="66AE12BC" w14:textId="77777777" w:rsidR="000614AE" w:rsidRPr="005A442F" w:rsidRDefault="000614AE" w:rsidP="001600C7">
            <w:pPr>
              <w:pStyle w:val="TableText"/>
            </w:pPr>
          </w:p>
        </w:tc>
      </w:tr>
      <w:tr w:rsidR="000614AE" w:rsidRPr="005A442F" w14:paraId="57296639"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242EAE36" w14:textId="77777777" w:rsidR="000614AE" w:rsidRPr="005A442F" w:rsidRDefault="000614AE" w:rsidP="001600C7">
            <w:pPr>
              <w:pStyle w:val="TableText"/>
            </w:pPr>
            <w:bookmarkStart w:id="148" w:name="_Hlk531358584"/>
            <w:r w:rsidRPr="005A442F">
              <w:t>W3 - Migration along casing between rock layers</w:t>
            </w:r>
          </w:p>
          <w:bookmarkEnd w:id="148"/>
          <w:p w14:paraId="2DDE0CEF" w14:textId="77777777" w:rsidR="000614AE" w:rsidRPr="005A442F" w:rsidRDefault="000614AE" w:rsidP="001600C7">
            <w:pPr>
              <w:pStyle w:val="TableText"/>
            </w:pPr>
          </w:p>
        </w:tc>
        <w:tc>
          <w:tcPr>
            <w:tcW w:w="7654" w:type="dxa"/>
          </w:tcPr>
          <w:p w14:paraId="3AA2F2F5" w14:textId="64F2B444" w:rsidR="000614AE" w:rsidRPr="005A442F" w:rsidRDefault="000614AE" w:rsidP="001600C7">
            <w:pPr>
              <w:pStyle w:val="TableText"/>
            </w:pPr>
            <w:r w:rsidRPr="005A442F">
              <w:t>One event of crossflow between formations behind casing</w:t>
            </w:r>
            <w:r w:rsidR="00F12C49">
              <w:t xml:space="preserve"> was</w:t>
            </w:r>
            <w:r w:rsidRPr="005A442F">
              <w:t xml:space="preserve"> recorded in the Cooper GBA region however the causal pathway may be difficult to detect from surface or downhole measurements.</w:t>
            </w:r>
          </w:p>
          <w:p w14:paraId="184F7B72" w14:textId="77777777" w:rsidR="000614AE" w:rsidRPr="005A442F" w:rsidRDefault="000614AE" w:rsidP="001600C7">
            <w:pPr>
              <w:pStyle w:val="TableText"/>
            </w:pPr>
          </w:p>
          <w:p w14:paraId="3C3F811B" w14:textId="77777777" w:rsidR="000614AE" w:rsidRPr="005A442F" w:rsidRDefault="000614AE" w:rsidP="001600C7">
            <w:pPr>
              <w:pStyle w:val="TableText"/>
            </w:pPr>
            <w:r w:rsidRPr="005A442F">
              <w:t>Given the current controls the potential of this mode of failure is considered unlikely.</w:t>
            </w:r>
          </w:p>
          <w:p w14:paraId="6B48C797" w14:textId="77777777" w:rsidR="000614AE" w:rsidRPr="005A442F" w:rsidRDefault="000614AE" w:rsidP="001600C7">
            <w:pPr>
              <w:pStyle w:val="TableText"/>
            </w:pPr>
          </w:p>
          <w:p w14:paraId="621DE370" w14:textId="34923133" w:rsidR="000614AE" w:rsidRPr="005A442F" w:rsidRDefault="000614AE" w:rsidP="001600C7">
            <w:pPr>
              <w:pStyle w:val="TableText"/>
            </w:pPr>
            <w:r w:rsidRPr="005A442F">
              <w:t xml:space="preserve">W3 impact mode likelihood summary for the Cooper GBA </w:t>
            </w:r>
            <w:r w:rsidR="008A4E6D">
              <w:t>r</w:t>
            </w:r>
            <w:r w:rsidRPr="005A442F">
              <w:t xml:space="preserve">egion: </w:t>
            </w:r>
            <w:r w:rsidRPr="001600C7">
              <w:rPr>
                <w:b/>
              </w:rPr>
              <w:t>Unlikely</w:t>
            </w:r>
          </w:p>
          <w:p w14:paraId="2FAB3BFF" w14:textId="77777777" w:rsidR="000614AE" w:rsidRPr="005A442F" w:rsidRDefault="000614AE" w:rsidP="001600C7">
            <w:pPr>
              <w:pStyle w:val="TableText"/>
            </w:pPr>
          </w:p>
        </w:tc>
      </w:tr>
      <w:tr w:rsidR="000614AE" w:rsidRPr="005A442F" w14:paraId="6C77D708" w14:textId="77777777" w:rsidTr="0005242E">
        <w:trPr>
          <w:cnfStyle w:val="000000010000" w:firstRow="0" w:lastRow="0" w:firstColumn="0" w:lastColumn="0" w:oddVBand="0" w:evenVBand="0" w:oddHBand="0" w:evenHBand="1" w:firstRowFirstColumn="0" w:firstRowLastColumn="0" w:lastRowFirstColumn="0" w:lastRowLastColumn="0"/>
        </w:trPr>
        <w:tc>
          <w:tcPr>
            <w:tcW w:w="1843" w:type="dxa"/>
          </w:tcPr>
          <w:p w14:paraId="6A438893" w14:textId="77777777" w:rsidR="000614AE" w:rsidRPr="005A442F" w:rsidRDefault="000614AE" w:rsidP="001600C7">
            <w:pPr>
              <w:pStyle w:val="TableText"/>
            </w:pPr>
            <w:r w:rsidRPr="005A442F">
              <w:t>W4 - Migration along decommissioned / abandoned wells</w:t>
            </w:r>
          </w:p>
          <w:p w14:paraId="3BDB5083" w14:textId="77777777" w:rsidR="000614AE" w:rsidRPr="005A442F" w:rsidRDefault="000614AE" w:rsidP="001600C7">
            <w:pPr>
              <w:pStyle w:val="TableText"/>
            </w:pPr>
          </w:p>
        </w:tc>
        <w:tc>
          <w:tcPr>
            <w:tcW w:w="7654" w:type="dxa"/>
          </w:tcPr>
          <w:p w14:paraId="67AC74A6" w14:textId="77777777" w:rsidR="000614AE" w:rsidRPr="005A442F" w:rsidRDefault="000614AE" w:rsidP="001600C7">
            <w:pPr>
              <w:pStyle w:val="TableText"/>
            </w:pPr>
            <w:r w:rsidRPr="005A442F">
              <w:t>No evidence of fluid migration along decommissioned / abandoned wells in historical Cooper GBA region operations identified to date.</w:t>
            </w:r>
          </w:p>
          <w:p w14:paraId="5284A71B" w14:textId="77777777" w:rsidR="000614AE" w:rsidRPr="005A442F" w:rsidRDefault="000614AE" w:rsidP="001600C7">
            <w:pPr>
              <w:pStyle w:val="TableText"/>
            </w:pPr>
          </w:p>
          <w:p w14:paraId="460BA554" w14:textId="0421D589" w:rsidR="000614AE" w:rsidRPr="005A442F" w:rsidRDefault="000614AE" w:rsidP="001600C7">
            <w:pPr>
              <w:pStyle w:val="TableText"/>
            </w:pPr>
            <w:r w:rsidRPr="005A442F">
              <w:t xml:space="preserve">W4 impact mode likelihood summary for the Cooper GBA </w:t>
            </w:r>
            <w:r w:rsidR="008A4E6D">
              <w:t>region</w:t>
            </w:r>
            <w:r w:rsidRPr="005A442F">
              <w:t xml:space="preserve">: </w:t>
            </w:r>
            <w:r w:rsidRPr="001600C7">
              <w:rPr>
                <w:b/>
              </w:rPr>
              <w:t>Not assessed</w:t>
            </w:r>
          </w:p>
          <w:p w14:paraId="47D25E48" w14:textId="77777777" w:rsidR="000614AE" w:rsidRPr="005A442F" w:rsidRDefault="000614AE" w:rsidP="001600C7">
            <w:pPr>
              <w:pStyle w:val="TableText"/>
            </w:pPr>
          </w:p>
        </w:tc>
      </w:tr>
      <w:tr w:rsidR="000614AE" w:rsidRPr="005A442F" w14:paraId="1240F8F3"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4C8136CE" w14:textId="77777777" w:rsidR="000614AE" w:rsidRPr="005A442F" w:rsidRDefault="000614AE" w:rsidP="001600C7">
            <w:pPr>
              <w:pStyle w:val="TableText"/>
            </w:pPr>
            <w:r w:rsidRPr="005A442F">
              <w:t>W5 - Loss of well control (blowout)</w:t>
            </w:r>
          </w:p>
          <w:p w14:paraId="14206211" w14:textId="77777777" w:rsidR="000614AE" w:rsidRPr="005A442F" w:rsidRDefault="000614AE" w:rsidP="001600C7">
            <w:pPr>
              <w:pStyle w:val="TableText"/>
            </w:pPr>
          </w:p>
        </w:tc>
        <w:tc>
          <w:tcPr>
            <w:tcW w:w="7654" w:type="dxa"/>
          </w:tcPr>
          <w:p w14:paraId="395EE8DD" w14:textId="77777777" w:rsidR="000614AE" w:rsidRPr="005A442F" w:rsidRDefault="000614AE" w:rsidP="001600C7">
            <w:pPr>
              <w:pStyle w:val="TableText"/>
            </w:pPr>
            <w:bookmarkStart w:id="149" w:name="_Hlk532486216"/>
            <w:r w:rsidRPr="005A442F">
              <w:t xml:space="preserve">Two instances of loss of well control (blowout) in historical Cooper GBA region petroleum operations were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xml:space="preserve">. As of 2016 this corresponds to an approximate rate of 0.1% however both events occurred greater than 50 years ago. Due to technological and operational improvements in the oil and gas industry the actual likelihood is likely to be lower than 0.1%. </w:t>
            </w:r>
          </w:p>
          <w:p w14:paraId="09183317" w14:textId="77777777" w:rsidR="000614AE" w:rsidRPr="005A442F" w:rsidRDefault="000614AE" w:rsidP="001600C7">
            <w:pPr>
              <w:pStyle w:val="TableText"/>
            </w:pPr>
          </w:p>
          <w:p w14:paraId="006CB3CE" w14:textId="597A7D6B" w:rsidR="000614AE" w:rsidRPr="005A442F" w:rsidRDefault="000614AE" w:rsidP="001600C7">
            <w:pPr>
              <w:pStyle w:val="TableText"/>
            </w:pPr>
            <w:r w:rsidRPr="005A442F">
              <w:t xml:space="preserve">W5 impact mode likelihood summary for the Cooper GBA </w:t>
            </w:r>
            <w:r w:rsidR="008A4E6D">
              <w:t>region</w:t>
            </w:r>
            <w:r w:rsidRPr="005A442F">
              <w:t xml:space="preserve">: </w:t>
            </w:r>
            <w:r w:rsidRPr="001600C7">
              <w:rPr>
                <w:b/>
              </w:rPr>
              <w:t>Very unlikely</w:t>
            </w:r>
          </w:p>
          <w:bookmarkEnd w:id="149"/>
          <w:p w14:paraId="653A8D06" w14:textId="77777777" w:rsidR="000614AE" w:rsidRPr="005A442F" w:rsidRDefault="000614AE" w:rsidP="001600C7">
            <w:pPr>
              <w:pStyle w:val="TableText"/>
            </w:pPr>
          </w:p>
        </w:tc>
      </w:tr>
    </w:tbl>
    <w:p w14:paraId="4A3AE6FC" w14:textId="524B2681" w:rsidR="00651639" w:rsidRDefault="00651639" w:rsidP="00651639">
      <w:pPr>
        <w:pStyle w:val="Body"/>
      </w:pPr>
      <w:bookmarkStart w:id="150" w:name="_Toc36042869"/>
      <w:bookmarkStart w:id="151" w:name="_Toc5272807"/>
      <w:bookmarkEnd w:id="145"/>
      <w:r>
        <w:br w:type="page"/>
      </w:r>
      <w:r>
        <w:br w:type="page"/>
      </w:r>
    </w:p>
    <w:p w14:paraId="351B271C" w14:textId="71DD19FD" w:rsidR="000614AE" w:rsidRDefault="000614AE" w:rsidP="000614AE">
      <w:pPr>
        <w:pStyle w:val="Heading2notnumbered"/>
      </w:pPr>
      <w:r w:rsidRPr="000614AE">
        <w:t>Isa addendum</w:t>
      </w:r>
      <w:bookmarkEnd w:id="150"/>
    </w:p>
    <w:p w14:paraId="619B3214" w14:textId="30227625" w:rsidR="000614AE" w:rsidRPr="0073617F" w:rsidRDefault="000614AE" w:rsidP="0073617F">
      <w:pPr>
        <w:pStyle w:val="Heading3notnumbered"/>
        <w:rPr>
          <w:i w:val="0"/>
        </w:rPr>
      </w:pPr>
      <w:bookmarkStart w:id="152" w:name="_Toc36042870"/>
      <w:r w:rsidRPr="0073617F">
        <w:rPr>
          <w:i w:val="0"/>
        </w:rPr>
        <w:t>Hydraulic fracturing impact mode review for the Isa GBA region</w:t>
      </w:r>
      <w:bookmarkEnd w:id="151"/>
      <w:bookmarkEnd w:id="152"/>
    </w:p>
    <w:p w14:paraId="19DD2520" w14:textId="729D7988" w:rsidR="000614AE" w:rsidRPr="005A442F" w:rsidRDefault="000614AE" w:rsidP="000614AE">
      <w:pPr>
        <w:pStyle w:val="BodyText"/>
      </w:pPr>
      <w:r w:rsidRPr="005A442F">
        <w:t>The Isa GBA region is in north-west Queensland and extends approximately 50 km south and 200</w:t>
      </w:r>
      <w:r w:rsidR="0082438F">
        <w:t> </w:t>
      </w:r>
      <w:r w:rsidRPr="005A442F">
        <w:t xml:space="preserve">km west of Burketown (see </w:t>
      </w:r>
      <w:r w:rsidRPr="005A442F">
        <w:fldChar w:fldCharType="begin"/>
      </w:r>
      <w:r w:rsidRPr="0084217F">
        <w:instrText xml:space="preserve"> REF _Ref12443862 \h  \* MERGEFORMAT </w:instrText>
      </w:r>
      <w:r w:rsidRPr="005A442F">
        <w:fldChar w:fldCharType="separate"/>
      </w:r>
      <w:r w:rsidR="00073927" w:rsidRPr="005A442F">
        <w:t xml:space="preserve">Figure </w:t>
      </w:r>
      <w:r w:rsidR="00073927">
        <w:rPr>
          <w:noProof/>
        </w:rPr>
        <w:t>3</w:t>
      </w:r>
      <w:r w:rsidRPr="005A442F">
        <w:fldChar w:fldCharType="end"/>
      </w:r>
      <w:r w:rsidRPr="005A442F">
        <w:t xml:space="preserve">). Petroleum industry activity in the Isa GBA region has been minimal to date with the Egilabria 2 exploration well, which was hydraulically fractured over the Lawn Supersequence in 2013, the only hydraulic fracturing production stimulation in the region to date. The location of the Isa GBA region and the Egilabria 2 exploration well are shown in </w:t>
      </w:r>
      <w:r w:rsidRPr="005A442F">
        <w:fldChar w:fldCharType="begin"/>
      </w:r>
      <w:r w:rsidRPr="005A442F">
        <w:instrText xml:space="preserve"> REF _Ref12443862 \h  \* MERGEFORMAT </w:instrText>
      </w:r>
      <w:r w:rsidRPr="005A442F">
        <w:fldChar w:fldCharType="separate"/>
      </w:r>
      <w:r w:rsidR="00073927" w:rsidRPr="005A442F">
        <w:t xml:space="preserve">Figure </w:t>
      </w:r>
      <w:r w:rsidR="00073927">
        <w:rPr>
          <w:noProof/>
        </w:rPr>
        <w:t>3</w:t>
      </w:r>
      <w:r w:rsidRPr="005A442F">
        <w:fldChar w:fldCharType="end"/>
      </w:r>
      <w:r w:rsidRPr="005A442F">
        <w:t xml:space="preserve"> </w:t>
      </w:r>
      <w:r w:rsidRPr="005A442F">
        <w:fldChar w:fldCharType="begin"/>
      </w:r>
      <w:r w:rsidRPr="005A442F">
        <w:instrText xml:space="preserve"> REF _Ref12444293 \p \h  \* MERGEFORMAT </w:instrText>
      </w:r>
      <w:r w:rsidRPr="005A442F">
        <w:fldChar w:fldCharType="separate"/>
      </w:r>
      <w:r w:rsidR="00073927">
        <w:t>below</w:t>
      </w:r>
      <w:r w:rsidRPr="005A442F">
        <w:fldChar w:fldCharType="end"/>
      </w:r>
      <w:r w:rsidRPr="005A442F">
        <w:t>.</w:t>
      </w:r>
    </w:p>
    <w:p w14:paraId="53E5F9C4" w14:textId="49AC33AB" w:rsidR="000614AE" w:rsidRPr="005A442F" w:rsidRDefault="003E0F0B" w:rsidP="00FA3C6A">
      <w:pPr>
        <w:pStyle w:val="Figures"/>
      </w:pPr>
      <w:r>
        <w:rPr>
          <w:noProof/>
        </w:rPr>
        <w:drawing>
          <wp:inline distT="0" distB="0" distL="0" distR="0" wp14:anchorId="6E4715CA" wp14:editId="20F133B5">
            <wp:extent cx="6077257" cy="5993813"/>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val="0"/>
                        </a:ext>
                      </a:extLst>
                    </a:blip>
                    <a:srcRect b="1373"/>
                    <a:stretch/>
                  </pic:blipFill>
                  <pic:spPr bwMode="auto">
                    <a:xfrm>
                      <a:off x="0" y="0"/>
                      <a:ext cx="6088807" cy="6005204"/>
                    </a:xfrm>
                    <a:prstGeom prst="rect">
                      <a:avLst/>
                    </a:prstGeom>
                    <a:noFill/>
                    <a:ln>
                      <a:noFill/>
                    </a:ln>
                    <a:extLst>
                      <a:ext uri="{53640926-AAD7-44D8-BBD7-CCE9431645EC}">
                        <a14:shadowObscured xmlns:a14="http://schemas.microsoft.com/office/drawing/2010/main"/>
                      </a:ext>
                    </a:extLst>
                  </pic:spPr>
                </pic:pic>
              </a:graphicData>
            </a:graphic>
          </wp:inline>
        </w:drawing>
      </w:r>
    </w:p>
    <w:p w14:paraId="38ABB66F" w14:textId="2E66CFCD" w:rsidR="000614AE" w:rsidRPr="005A442F" w:rsidRDefault="000614AE" w:rsidP="000614AE">
      <w:pPr>
        <w:pStyle w:val="Caption"/>
      </w:pPr>
      <w:bookmarkStart w:id="153" w:name="_Ref12443862"/>
      <w:bookmarkStart w:id="154" w:name="_Ref12443856"/>
      <w:bookmarkStart w:id="155" w:name="_Ref12444293"/>
      <w:bookmarkStart w:id="156" w:name="_Toc36042879"/>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3</w:t>
      </w:r>
      <w:r w:rsidRPr="005A442F">
        <w:rPr>
          <w:noProof/>
        </w:rPr>
        <w:fldChar w:fldCharType="end"/>
      </w:r>
      <w:bookmarkEnd w:id="153"/>
      <w:r w:rsidRPr="005A442F">
        <w:t xml:space="preserve"> Map of oil and gas wells in the Isa GBA region and surrounding area (with the location of the 2013 hydraulic fracture stimulation in the Egilabria 2 exploration well shown in green)</w:t>
      </w:r>
      <w:bookmarkEnd w:id="154"/>
      <w:bookmarkEnd w:id="155"/>
      <w:bookmarkEnd w:id="156"/>
    </w:p>
    <w:p w14:paraId="7EC438EC" w14:textId="3A0F573B" w:rsidR="002D5E63" w:rsidRPr="00FA3C6A" w:rsidRDefault="003E0F0B" w:rsidP="00FA3C6A">
      <w:pPr>
        <w:pStyle w:val="SourceornoteforTableorFigure"/>
      </w:pPr>
      <w:r w:rsidRPr="00FA3C6A">
        <w:t xml:space="preserve">Data: </w:t>
      </w:r>
      <w:r w:rsidR="009F7490" w:rsidRPr="00FA3C6A">
        <w:t>State of Queensland (2018)</w:t>
      </w:r>
      <w:r w:rsidR="00FA3C6A">
        <w:br/>
      </w:r>
      <w:r w:rsidR="002D5E63" w:rsidRPr="00FA3C6A">
        <w:t>Element:</w:t>
      </w:r>
      <w:r w:rsidRPr="00FA3C6A">
        <w:t xml:space="preserve"> GBA-ISA-2-258</w:t>
      </w:r>
    </w:p>
    <w:p w14:paraId="6421A643" w14:textId="308BD056" w:rsidR="000614AE" w:rsidRPr="005A442F" w:rsidRDefault="000614AE" w:rsidP="000614AE">
      <w:pPr>
        <w:pStyle w:val="BodyText"/>
      </w:pPr>
      <w:r w:rsidRPr="005A442F">
        <w:t xml:space="preserve">In the 2013 hydraulic fracture stimulation of the Lawn Supersequence in the Egilabria 2 well, a total 1.8 ML of hydraulic fracturing fluid was injected over eight fracture stages. However not all the hydraulic fracturing stages in the Egilabria 2 well were successful from a production perspective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Depending on the stimulation design, future unconventional reservoir hydraulic fracturing stimulations are estimated to require 0.4 to 1.2 ML of water for each hydraulic fracturing stage </w:t>
      </w:r>
      <w:r w:rsidRPr="005A442F">
        <w:fldChar w:fldCharType="begin" w:fldLock="1"/>
      </w:r>
      <w:r w:rsidRPr="005A442F">
        <w:instrText>ADDIN CSL_CITATION {"citationItems":[{"id":"ITEM-1","itemData":{"author":[{"dropping-particle":"","family":"Santos","given":"","non-dropping-particle":"","parse-names":false,"suffix":""}],"id":"ITEM-1","issue":"November","issued":{"date-parts":[["2015"]]},"title":"South Australian Cooper Basin Environmental Impact Report: Drilling and Completions and Well Operations","type":"report"},"uris":["http://www.mendeley.com/documents/?uuid=8a5fc2a1-0b48-49ae-adc6-3e9fb14c7e76","http://www.mendeley.com/documents/?uuid=9510d88c-1300-42ab-8208-06999a8b0550"]}],"mendeley":{"formattedCitation":"(Santos, 2015)","plainTextFormattedCitation":"(Santos, 2015)","previouslyFormattedCitation":"(Santos, 2015)"},"properties":{"noteIndex":0},"schema":"https://github.com/citation-style-language/schema/raw/master/csl-citation.json"}</w:instrText>
      </w:r>
      <w:r w:rsidRPr="005A442F">
        <w:fldChar w:fldCharType="separate"/>
      </w:r>
      <w:r w:rsidRPr="005A442F">
        <w:rPr>
          <w:noProof/>
        </w:rPr>
        <w:t>(Santos, 2015)</w:t>
      </w:r>
      <w:r w:rsidRPr="005A442F">
        <w:fldChar w:fldCharType="end"/>
      </w:r>
      <w:r w:rsidRPr="005A442F">
        <w:t>.</w:t>
      </w:r>
    </w:p>
    <w:p w14:paraId="79F45086" w14:textId="77777777" w:rsidR="000614AE" w:rsidRPr="005A442F" w:rsidRDefault="000614AE" w:rsidP="000614AE">
      <w:pPr>
        <w:pStyle w:val="Figures"/>
      </w:pPr>
      <w:r w:rsidRPr="005A442F">
        <w:rPr>
          <w:noProof/>
        </w:rPr>
        <w:drawing>
          <wp:inline distT="0" distB="0" distL="0" distR="0" wp14:anchorId="563BA94B" wp14:editId="49DA97CF">
            <wp:extent cx="6120130" cy="4590416"/>
            <wp:effectExtent l="0" t="0" r="0" b="635"/>
            <wp:docPr id="2024482603" name="Picture 202448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a:ext>
                      </a:extLst>
                    </a:blip>
                    <a:stretch>
                      <a:fillRect/>
                    </a:stretch>
                  </pic:blipFill>
                  <pic:spPr>
                    <a:xfrm>
                      <a:off x="0" y="0"/>
                      <a:ext cx="6120130" cy="4590416"/>
                    </a:xfrm>
                    <a:prstGeom prst="rect">
                      <a:avLst/>
                    </a:prstGeom>
                  </pic:spPr>
                </pic:pic>
              </a:graphicData>
            </a:graphic>
          </wp:inline>
        </w:drawing>
      </w:r>
    </w:p>
    <w:p w14:paraId="2CC20C02" w14:textId="16B77DEA" w:rsidR="000614AE" w:rsidRPr="005A442F" w:rsidRDefault="000614AE" w:rsidP="000614AE">
      <w:pPr>
        <w:pStyle w:val="Caption"/>
      </w:pPr>
      <w:bookmarkStart w:id="157" w:name="_Ref534983739"/>
      <w:bookmarkStart w:id="158" w:name="_Toc2952583"/>
      <w:bookmarkStart w:id="159" w:name="_Toc2951441"/>
      <w:bookmarkStart w:id="160" w:name="_Toc3989693"/>
      <w:bookmarkStart w:id="161" w:name="_Toc3996494"/>
      <w:bookmarkStart w:id="162" w:name="_Toc4078662"/>
      <w:bookmarkStart w:id="163" w:name="_Toc4423656"/>
      <w:bookmarkStart w:id="164" w:name="_Toc10627378"/>
      <w:bookmarkStart w:id="165" w:name="_Toc10630542"/>
      <w:bookmarkStart w:id="166" w:name="_Toc36042880"/>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4</w:t>
      </w:r>
      <w:r w:rsidRPr="005A442F">
        <w:rPr>
          <w:noProof/>
        </w:rPr>
        <w:fldChar w:fldCharType="end"/>
      </w:r>
      <w:bookmarkEnd w:id="157"/>
      <w:r w:rsidRPr="005A442F">
        <w:t xml:space="preserve"> Hydraulic fracturing operation at the Egilabria-2 well</w:t>
      </w:r>
      <w:r w:rsidR="006E7F04">
        <w:t xml:space="preserve"> </w:t>
      </w:r>
      <w:r w:rsidRPr="005A442F">
        <w:t>pad in the Isa GBA region</w:t>
      </w:r>
      <w:bookmarkEnd w:id="158"/>
      <w:bookmarkEnd w:id="159"/>
      <w:bookmarkEnd w:id="160"/>
      <w:bookmarkEnd w:id="161"/>
      <w:bookmarkEnd w:id="162"/>
      <w:bookmarkEnd w:id="163"/>
      <w:bookmarkEnd w:id="164"/>
      <w:bookmarkEnd w:id="165"/>
      <w:bookmarkEnd w:id="166"/>
    </w:p>
    <w:p w14:paraId="2B536EC9" w14:textId="205F6B88" w:rsidR="000614AE" w:rsidRPr="005A442F" w:rsidRDefault="000614AE" w:rsidP="000614AE">
      <w:pPr>
        <w:pStyle w:val="SourceornoteforTableorFigure"/>
      </w:pPr>
      <w:r w:rsidRPr="00C7387C">
        <w:t>Credit: Armour Energy</w:t>
      </w:r>
      <w:r w:rsidR="009006C5">
        <w:t xml:space="preserve"> 2012</w:t>
      </w:r>
      <w:r w:rsidRPr="00C7387C">
        <w:br/>
        <w:t>Element:</w:t>
      </w:r>
      <w:r w:rsidR="00C7387C" w:rsidRPr="00C7387C">
        <w:t xml:space="preserve"> GBA-ISA-2-252</w:t>
      </w:r>
    </w:p>
    <w:p w14:paraId="3ACDE87E" w14:textId="77777777" w:rsidR="000614AE" w:rsidRPr="005A442F" w:rsidRDefault="000614AE" w:rsidP="00985B69">
      <w:pPr>
        <w:pStyle w:val="BodyText"/>
      </w:pPr>
      <w:r w:rsidRPr="005A442F">
        <w:br w:type="page"/>
      </w:r>
    </w:p>
    <w:p w14:paraId="085CEA97" w14:textId="181967F0" w:rsidR="000614AE" w:rsidRPr="005A442F" w:rsidRDefault="000614AE" w:rsidP="0073617F">
      <w:pPr>
        <w:pStyle w:val="Heading4notnumbered"/>
      </w:pPr>
      <w:r w:rsidRPr="005A442F">
        <w:t xml:space="preserve">Line of </w:t>
      </w:r>
      <w:r w:rsidR="00360A23">
        <w:t>e</w:t>
      </w:r>
      <w:r w:rsidRPr="005A442F">
        <w:t>vidence 1 qualitative assessment for Isa GBA region hydraulic fracturing impact modes</w:t>
      </w:r>
    </w:p>
    <w:p w14:paraId="6FA05AE6" w14:textId="77777777" w:rsidR="000614AE" w:rsidRPr="005A442F" w:rsidRDefault="000614AE" w:rsidP="000614AE">
      <w:pPr>
        <w:pStyle w:val="Heading6notnumbered"/>
      </w:pPr>
      <w:r w:rsidRPr="005A442F">
        <w:t>F.1</w:t>
      </w:r>
      <w:r w:rsidRPr="005A442F">
        <w:tab/>
        <w:t>Hydraulic fracture growth into aquifer</w:t>
      </w:r>
    </w:p>
    <w:p w14:paraId="43CC6384" w14:textId="79707DED" w:rsidR="003E0F0B" w:rsidRDefault="000614AE" w:rsidP="001A3FB3">
      <w:pPr>
        <w:pStyle w:val="BodyText"/>
      </w:pPr>
      <w:r w:rsidRPr="005A442F">
        <w:t xml:space="preserve">Due to the stress variations in the Isa GBA region, hydraulic fractures placed in the Lawn and River </w:t>
      </w:r>
      <w:r w:rsidR="00400022">
        <w:t>s</w:t>
      </w:r>
      <w:r w:rsidRPr="005A442F">
        <w:t xml:space="preserve">upersequences are expected to be contained locally in the respective intervals </w:t>
      </w:r>
      <w:r w:rsidRPr="005A442F">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rsidRPr="005A442F">
        <w:fldChar w:fldCharType="separate"/>
      </w:r>
      <w:r w:rsidR="001C580C" w:rsidRPr="001C580C">
        <w:rPr>
          <w:noProof/>
        </w:rPr>
        <w:t xml:space="preserve">(Bailey </w:t>
      </w:r>
      <w:r w:rsidR="001C580C" w:rsidRPr="001C580C">
        <w:rPr>
          <w:i/>
          <w:noProof/>
        </w:rPr>
        <w:t>et al.</w:t>
      </w:r>
      <w:r w:rsidR="001C580C" w:rsidRPr="001C580C">
        <w:rPr>
          <w:noProof/>
        </w:rPr>
        <w:t>, 2020)</w:t>
      </w:r>
      <w:r w:rsidRPr="005A442F">
        <w:fldChar w:fldCharType="end"/>
      </w:r>
      <w:r w:rsidRPr="005A442F">
        <w:t xml:space="preserve">. This would suggest a minimal likelihood of hydraulic fracture impact mode ‘F1 – Hydraulic fracture growth into aquifer’, however, the underlying Lady Loretta aquifer unit is in relatively close proximity to the base of the River Supersequence. </w:t>
      </w:r>
    </w:p>
    <w:p w14:paraId="63C84123" w14:textId="2107D03C" w:rsidR="001A3FB3" w:rsidRDefault="001A3FB3" w:rsidP="001A3FB3">
      <w:pPr>
        <w:pStyle w:val="BodyText"/>
      </w:pPr>
      <w:r>
        <w:t>T</w:t>
      </w:r>
      <w:r w:rsidRPr="006E4B6C">
        <w:t>here are also places within the Isa GBA region where both the Lawn and River supersequences are in direct stratigraphic connection with the overlying basal GAB aquifer of the Gilbert River Formatio</w:t>
      </w:r>
      <w:r>
        <w:t>n.</w:t>
      </w:r>
    </w:p>
    <w:p w14:paraId="75CC24A9" w14:textId="62E05D4C" w:rsidR="000614AE" w:rsidRPr="005A442F" w:rsidRDefault="000614AE" w:rsidP="000614AE">
      <w:pPr>
        <w:pStyle w:val="BodyText"/>
      </w:pPr>
      <w:r w:rsidRPr="005A442F">
        <w:t xml:space="preserve">Therefore, a qualitative analysis of the Isa GBA region indicates </w:t>
      </w:r>
      <w:r w:rsidR="001A3FB3" w:rsidRPr="005A442F">
        <w:t xml:space="preserve">that </w:t>
      </w:r>
      <w:r w:rsidR="001A3FB3" w:rsidRPr="006E4B6C">
        <w:t xml:space="preserve">in and near the zones </w:t>
      </w:r>
      <w:r w:rsidR="001A3FB3">
        <w:t>of close aquifer proximity</w:t>
      </w:r>
      <w:r w:rsidR="001A3FB3" w:rsidRPr="005A442F">
        <w:t xml:space="preserve"> </w:t>
      </w:r>
      <w:r w:rsidRPr="005A442F">
        <w:t>there is a slightly higher potential likelihood (Unlikely vs. Rare) of a hydraulic fracture extending into an aquifer unit than in other international shale gas developments where there is significant (&gt;1000</w:t>
      </w:r>
      <w:r w:rsidR="0046419F">
        <w:t xml:space="preserve"> </w:t>
      </w:r>
      <w:r w:rsidRPr="005A442F">
        <w:t>m) distance between the target interval and the closest aquifer.</w:t>
      </w:r>
    </w:p>
    <w:p w14:paraId="33A75205" w14:textId="77777777" w:rsidR="000614AE" w:rsidRPr="005A442F" w:rsidRDefault="000614AE" w:rsidP="000614AE">
      <w:pPr>
        <w:pStyle w:val="Heading6notnumbered"/>
      </w:pPr>
      <w:r w:rsidRPr="005A442F">
        <w:t>F.2</w:t>
      </w:r>
      <w:r w:rsidRPr="005A442F">
        <w:tab/>
        <w:t>Hydraulic fracture growth into well</w:t>
      </w:r>
    </w:p>
    <w:p w14:paraId="35024F93" w14:textId="77777777" w:rsidR="000614AE" w:rsidRPr="005A442F" w:rsidRDefault="000614AE" w:rsidP="000614AE">
      <w:pPr>
        <w:pStyle w:val="BodyText"/>
      </w:pPr>
      <w:r w:rsidRPr="005A442F">
        <w:t>The density of wells in the Isa GBA region is very low and therefore the current likelihood of a hydraulic fracture treatment intersecting an offset well is very remote.</w:t>
      </w:r>
    </w:p>
    <w:p w14:paraId="34B3985D" w14:textId="77777777" w:rsidR="000614AE" w:rsidRPr="005A442F" w:rsidRDefault="000614AE" w:rsidP="000614AE">
      <w:pPr>
        <w:pStyle w:val="Body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68E8F915" w14:textId="77777777" w:rsidR="000614AE" w:rsidRPr="005A442F" w:rsidRDefault="000614AE" w:rsidP="000614AE">
      <w:pPr>
        <w:pStyle w:val="Heading6notnumbered"/>
      </w:pPr>
      <w:r w:rsidRPr="005A442F">
        <w:t>F.3</w:t>
      </w:r>
      <w:r w:rsidRPr="005A442F">
        <w:tab/>
        <w:t>Hydraulic fracture growth into fault</w:t>
      </w:r>
    </w:p>
    <w:p w14:paraId="4CA8778A" w14:textId="77777777" w:rsidR="000614AE" w:rsidRPr="005A442F" w:rsidRDefault="000614AE" w:rsidP="000614AE">
      <w:pPr>
        <w:pStyle w:val="BodyText"/>
      </w:pPr>
      <w:r w:rsidRPr="005A442F">
        <w:t>Detailed analysis of the likelihood of excessive hydraulic fracture growth though vertical faults is not currently possible as potentially conductive vertically oriented faults are not mapped or characterised at the resolution required across the Isa GBA region.</w:t>
      </w:r>
    </w:p>
    <w:p w14:paraId="75FECBF6" w14:textId="77777777" w:rsidR="000614AE" w:rsidRPr="005A442F" w:rsidRDefault="000614AE" w:rsidP="000614AE">
      <w:pPr>
        <w:pStyle w:val="BodyText"/>
      </w:pPr>
      <w:r w:rsidRPr="005A442F">
        <w:t xml:space="preserve">Although natural fractures are prevalent in some intervals in the Isa GBA region, the natural fractures and faults are not expected to cause significant vertical hydraulic fracture growth. </w:t>
      </w:r>
    </w:p>
    <w:p w14:paraId="4AE38C9C" w14:textId="77777777" w:rsidR="000614AE" w:rsidRPr="005A442F" w:rsidRDefault="000614AE" w:rsidP="000614AE">
      <w:pPr>
        <w:pStyle w:val="BodyText"/>
      </w:pPr>
      <w:r w:rsidRPr="005A442F">
        <w:t>Prior to exploration or production activity, seismic mapping of key faults and avoidance of major vertical faults in the Isa GBA region is anticipated.</w:t>
      </w:r>
    </w:p>
    <w:p w14:paraId="16961A69" w14:textId="4EA45D15" w:rsidR="000614AE" w:rsidRPr="005A442F" w:rsidRDefault="000614AE" w:rsidP="000614AE">
      <w:pPr>
        <w:pStyle w:val="Heading6notnumbered"/>
      </w:pPr>
      <w:r w:rsidRPr="005A442F">
        <w:t xml:space="preserve">Summary of line of </w:t>
      </w:r>
      <w:r w:rsidR="00360A23">
        <w:t>e</w:t>
      </w:r>
      <w:r w:rsidRPr="005A442F">
        <w:t>vidence 1 qualitative assessment</w:t>
      </w:r>
    </w:p>
    <w:p w14:paraId="177FEA8A" w14:textId="75CD54F4" w:rsidR="000614AE" w:rsidRPr="005A442F" w:rsidRDefault="000614AE" w:rsidP="000614AE">
      <w:pPr>
        <w:pStyle w:val="BodyText"/>
      </w:pPr>
      <w:r w:rsidRPr="005A442F">
        <w:t xml:space="preserve">The results of the Stage 2 qualitative assessment of three hydraulic fracturing impact modes against historical data for the Isa GBA region are summarised below in </w:t>
      </w:r>
      <w:r w:rsidRPr="005A442F">
        <w:fldChar w:fldCharType="begin"/>
      </w:r>
      <w:r w:rsidRPr="005A442F">
        <w:instrText xml:space="preserve"> REF _Ref12537531 \h  \* MERGEFORMAT </w:instrText>
      </w:r>
      <w:r w:rsidRPr="005A442F">
        <w:fldChar w:fldCharType="separate"/>
      </w:r>
      <w:r w:rsidR="00073927" w:rsidRPr="005A442F">
        <w:t xml:space="preserve">Table </w:t>
      </w:r>
      <w:r w:rsidR="00073927">
        <w:rPr>
          <w:noProof/>
        </w:rPr>
        <w:t>17</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Isa GBA region. Geological and Bioregional Assessment Program: Stage 2","type":"report"},"uris":["http://www.mendeley.com/documents/?uuid=133f0033-6681-470d-9fcc-45b18ec7a868"]}],"mendeley":{"formattedCitation":"(Lewis &lt;i&gt;et al.&lt;/i&gt;, 2020)","plainTextFormattedCitation":"(Lewis et al., 2020)","previouslyFormattedCitation":"(Lewis &lt;i&gt;et al.&lt;/i&gt;, 2020)"},"properties":{"noteIndex":0},"schema":"https://github.com/citation-style-language/schema/raw/master/csl-citation.json"}</w:instrText>
      </w:r>
      <w:r w:rsidRPr="005A442F">
        <w:fldChar w:fldCharType="separate"/>
      </w:r>
      <w:r w:rsidR="001C580C" w:rsidRPr="001C580C">
        <w:rPr>
          <w:noProof/>
        </w:rPr>
        <w:t xml:space="preserve">(Lewis </w:t>
      </w:r>
      <w:r w:rsidR="001C580C" w:rsidRPr="001C580C">
        <w:rPr>
          <w:i/>
          <w:noProof/>
        </w:rPr>
        <w:t>et al.</w:t>
      </w:r>
      <w:r w:rsidR="001C580C" w:rsidRPr="001C580C">
        <w:rPr>
          <w:noProof/>
        </w:rPr>
        <w:t>, 2020)</w:t>
      </w:r>
      <w:r w:rsidRPr="005A442F">
        <w:fldChar w:fldCharType="end"/>
      </w:r>
      <w:r w:rsidRPr="005A442F">
        <w:t>.</w:t>
      </w:r>
    </w:p>
    <w:p w14:paraId="2155730C" w14:textId="1E1EB8A1" w:rsidR="000614AE" w:rsidRPr="005A442F" w:rsidRDefault="000614AE" w:rsidP="000614AE">
      <w:pPr>
        <w:pStyle w:val="Caption"/>
      </w:pPr>
      <w:bookmarkStart w:id="167" w:name="_Ref12537531"/>
      <w:bookmarkStart w:id="168" w:name="_Toc36042900"/>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17</w:t>
      </w:r>
      <w:r w:rsidRPr="005A442F">
        <w:rPr>
          <w:noProof/>
        </w:rPr>
        <w:fldChar w:fldCharType="end"/>
      </w:r>
      <w:bookmarkEnd w:id="167"/>
      <w:r w:rsidRPr="005A442F">
        <w:t xml:space="preserve"> Qualitative assessment of likelihood of hydraulic fracturing impact modes from historical Isa GBA region data</w:t>
      </w:r>
      <w:bookmarkEnd w:id="168"/>
    </w:p>
    <w:tbl>
      <w:tblPr>
        <w:tblStyle w:val="TableBAHeaderRow"/>
        <w:tblW w:w="0" w:type="auto"/>
        <w:tblLayout w:type="fixed"/>
        <w:tblLook w:val="04A0" w:firstRow="1" w:lastRow="0" w:firstColumn="1" w:lastColumn="0" w:noHBand="0" w:noVBand="1"/>
      </w:tblPr>
      <w:tblGrid>
        <w:gridCol w:w="2643"/>
        <w:gridCol w:w="6938"/>
      </w:tblGrid>
      <w:tr w:rsidR="000614AE" w:rsidRPr="005A442F" w14:paraId="43A6976B" w14:textId="77777777" w:rsidTr="00FA3C6A">
        <w:trPr>
          <w:cnfStyle w:val="100000000000" w:firstRow="1" w:lastRow="0" w:firstColumn="0" w:lastColumn="0" w:oddVBand="0" w:evenVBand="0" w:oddHBand="0" w:evenHBand="0" w:firstRowFirstColumn="0" w:firstRowLastColumn="0" w:lastRowFirstColumn="0" w:lastRowLastColumn="0"/>
          <w:tblHeader/>
        </w:trPr>
        <w:tc>
          <w:tcPr>
            <w:tcW w:w="2643" w:type="dxa"/>
          </w:tcPr>
          <w:p w14:paraId="662B4EB3" w14:textId="77777777" w:rsidR="000614AE" w:rsidRPr="00AB2C31" w:rsidRDefault="000614AE" w:rsidP="001600C7">
            <w:pPr>
              <w:pStyle w:val="TableHeading"/>
              <w:rPr>
                <w:rFonts w:eastAsiaTheme="minorEastAsia"/>
                <w:b/>
              </w:rPr>
            </w:pPr>
            <w:r w:rsidRPr="00AB2C31">
              <w:rPr>
                <w:rFonts w:eastAsiaTheme="minorEastAsia"/>
                <w:b/>
              </w:rPr>
              <w:t>Impact mode</w:t>
            </w:r>
          </w:p>
        </w:tc>
        <w:tc>
          <w:tcPr>
            <w:tcW w:w="6938" w:type="dxa"/>
          </w:tcPr>
          <w:p w14:paraId="267723D6" w14:textId="77777777" w:rsidR="000614AE" w:rsidRPr="00AB2C31" w:rsidRDefault="000614AE" w:rsidP="001600C7">
            <w:pPr>
              <w:pStyle w:val="TableHeading"/>
              <w:rPr>
                <w:rFonts w:eastAsiaTheme="minorEastAsia"/>
                <w:b/>
              </w:rPr>
            </w:pPr>
            <w:r w:rsidRPr="00AB2C31">
              <w:rPr>
                <w:rFonts w:eastAsiaTheme="minorEastAsia"/>
                <w:b/>
              </w:rPr>
              <w:t>Line of evidence 1 Summary for hydraulic fracturing impact modes in the Isa GBA region</w:t>
            </w:r>
          </w:p>
        </w:tc>
      </w:tr>
      <w:tr w:rsidR="000614AE" w:rsidRPr="005A442F" w14:paraId="268914FD" w14:textId="77777777" w:rsidTr="00FA3C6A">
        <w:trPr>
          <w:cnfStyle w:val="000000100000" w:firstRow="0" w:lastRow="0" w:firstColumn="0" w:lastColumn="0" w:oddVBand="0" w:evenVBand="0" w:oddHBand="1" w:evenHBand="0" w:firstRowFirstColumn="0" w:firstRowLastColumn="0" w:lastRowFirstColumn="0" w:lastRowLastColumn="0"/>
        </w:trPr>
        <w:tc>
          <w:tcPr>
            <w:tcW w:w="2643" w:type="dxa"/>
          </w:tcPr>
          <w:p w14:paraId="690BB311" w14:textId="77777777" w:rsidR="000614AE" w:rsidRPr="005A442F" w:rsidRDefault="000614AE" w:rsidP="001600C7">
            <w:pPr>
              <w:pStyle w:val="TableText"/>
            </w:pPr>
            <w:r w:rsidRPr="005A442F">
              <w:t xml:space="preserve">F1 – </w:t>
            </w:r>
          </w:p>
          <w:p w14:paraId="00E19328" w14:textId="77777777" w:rsidR="000614AE" w:rsidRPr="005A442F" w:rsidRDefault="000614AE" w:rsidP="001600C7">
            <w:pPr>
              <w:pStyle w:val="TableText"/>
            </w:pPr>
            <w:r w:rsidRPr="005A442F">
              <w:t>Hydraulic fracture growth into aquifer</w:t>
            </w:r>
          </w:p>
          <w:p w14:paraId="68D7224C" w14:textId="77777777" w:rsidR="000614AE" w:rsidRPr="005A442F" w:rsidRDefault="000614AE" w:rsidP="001600C7">
            <w:pPr>
              <w:pStyle w:val="TableText"/>
              <w:rPr>
                <w:bCs/>
              </w:rPr>
            </w:pPr>
          </w:p>
        </w:tc>
        <w:tc>
          <w:tcPr>
            <w:tcW w:w="6938" w:type="dxa"/>
          </w:tcPr>
          <w:p w14:paraId="10C6FF5B" w14:textId="0C3003AA" w:rsidR="000614AE" w:rsidRDefault="000614AE" w:rsidP="001600C7">
            <w:pPr>
              <w:pStyle w:val="TableText"/>
            </w:pPr>
            <w:r w:rsidRPr="005A442F">
              <w:t>As only one well in the Isa GBA region has been hydraulically fractured to date there is limited evidence to review for this impact mode.</w:t>
            </w:r>
          </w:p>
          <w:p w14:paraId="6DF0224D" w14:textId="77777777" w:rsidR="001600C7" w:rsidRPr="005A442F" w:rsidRDefault="001600C7" w:rsidP="001600C7">
            <w:pPr>
              <w:pStyle w:val="TableText"/>
            </w:pPr>
          </w:p>
          <w:p w14:paraId="3D3EEDFF" w14:textId="31757864" w:rsidR="000614AE" w:rsidRDefault="000614AE" w:rsidP="001600C7">
            <w:pPr>
              <w:pStyle w:val="TableText"/>
            </w:pPr>
            <w:r>
              <w:t xml:space="preserve">Across the Isa GBA region there are places where the Lawn Supersequence is likely to be in direct stratigraphic connection with the overlying Gilbert River formation aquifer (especially in the east of the region). However, the distance between the units varies and in the central and western parts of the Isa GBA region there is likely to be significant separation between the Lawn Supersequence and the Gilbert River formation aquifer. See </w:t>
            </w:r>
            <w:r w:rsidRPr="00223B95">
              <w:fldChar w:fldCharType="begin" w:fldLock="1"/>
            </w:r>
            <w:r w:rsidR="00D11DAE">
              <w:instrText>ADDIN CSL_CITATION {"citationItems":[{"id":"ITEM-1","itemData":{"author":[{"dropping-particle":"","family":"Buchanan","given":"S","non-dropping-particle":"","parse-names":false,"suffix":""},{"dropping-particle":"","family":"Dixon-Jain","given":"P","non-dropping-particle":"","parse-names":false,"suffix":""},{"dropping-particle":"","family":"Martinez","given":"J","non-dropping-particle":"","parse-names":false,"suffix":""},{"dropping-particle":"","family":"Raiber","given":"M","non-dropping-particle":"","parse-names":false,"suffix":""},{"dropping-particle":"","family":"Kumar","given":"P.R.","non-dropping-particle":"","parse-names":false,"suffix":""},{"dropping-particle":"","family":"Woods","given":"M","non-dropping-particle":"","parse-names":false,"suffix":""},{"dropping-particle":"","family":"Arnold","given":"D","non-dropping-particle":"","parse-names":false,"suffix":""},{"dropping-particle":"","family":"Dehelean","given":"A","non-dropping-particle":"","parse-names":false,"suffix":""},{"dropping-particle":"","family":"Skeers","given":"N","non-dropping-particle":"","parse-names":false,"suffix":""}],"id":"ITEM-1","issued":{"date-parts":[["2020"]]},"publisher-place":"Australia","title":"Hydrogeology and groundwater systems of the Isa GBA region. Technical appendix for the Geological and Bioregional Assessment: Stage 2","type":"report"},"uris":["http://www.mendeley.com/documents/?uuid=45b36642-e918-4d8d-b445-816c07ad3612"]}],"mendeley":{"formattedCitation":"(Buchanan &lt;i&gt;et al.&lt;/i&gt;, 2020)","manualFormatting":"Buchanan et al. (2020)","plainTextFormattedCitation":"(Buchanan et al., 2020)","previouslyFormattedCitation":"(Buchanan &lt;i&gt;et al.&lt;/i&gt;, 2020)"},"properties":{"noteIndex":0},"schema":"https://github.com/citation-style-language/schema/raw/master/csl-citation.json"}</w:instrText>
            </w:r>
            <w:r w:rsidRPr="00223B95">
              <w:fldChar w:fldCharType="separate"/>
            </w:r>
            <w:r w:rsidRPr="00223B95">
              <w:rPr>
                <w:noProof/>
              </w:rPr>
              <w:t xml:space="preserve">Buchanan et al. </w:t>
            </w:r>
            <w:r>
              <w:rPr>
                <w:noProof/>
              </w:rPr>
              <w:t>(</w:t>
            </w:r>
            <w:r w:rsidRPr="00223B95">
              <w:rPr>
                <w:noProof/>
              </w:rPr>
              <w:t>20</w:t>
            </w:r>
            <w:r w:rsidR="00D11DAE">
              <w:rPr>
                <w:noProof/>
              </w:rPr>
              <w:t>20</w:t>
            </w:r>
            <w:r w:rsidRPr="00223B95">
              <w:rPr>
                <w:noProof/>
              </w:rPr>
              <w:t>)</w:t>
            </w:r>
            <w:r w:rsidRPr="00223B95">
              <w:fldChar w:fldCharType="end"/>
            </w:r>
            <w:r w:rsidRPr="00223B95">
              <w:t xml:space="preserve"> for</w:t>
            </w:r>
            <w:r>
              <w:t xml:space="preserve"> more detail and geological cross-sections of the Isa GBA region. </w:t>
            </w:r>
          </w:p>
          <w:p w14:paraId="0346D6D4" w14:textId="77777777" w:rsidR="001600C7" w:rsidRDefault="001600C7" w:rsidP="001600C7">
            <w:pPr>
              <w:pStyle w:val="TableText"/>
            </w:pPr>
          </w:p>
          <w:p w14:paraId="323D225C" w14:textId="53C26E64" w:rsidR="000614AE" w:rsidRDefault="000614AE" w:rsidP="001600C7">
            <w:pPr>
              <w:pStyle w:val="TableText"/>
            </w:pPr>
            <w:r w:rsidRPr="005A442F">
              <w:t xml:space="preserve">The Egilabria-2 hydraulic fracture stimulation was placed in the Lawn Supersequence. </w:t>
            </w:r>
            <w:r>
              <w:t xml:space="preserve">At the location of the </w:t>
            </w:r>
            <w:r w:rsidRPr="005A442F">
              <w:t xml:space="preserve">Egilabria-2 </w:t>
            </w:r>
            <w:r>
              <w:t>well, t</w:t>
            </w:r>
            <w:r w:rsidRPr="005A442F">
              <w:t>here is significant vertical distance above the Lawn Supersequence to the nearest overlying aquifer.</w:t>
            </w:r>
          </w:p>
          <w:p w14:paraId="6511D6F4" w14:textId="77777777" w:rsidR="001600C7" w:rsidRPr="005A442F" w:rsidRDefault="001600C7" w:rsidP="001600C7">
            <w:pPr>
              <w:pStyle w:val="TableText"/>
            </w:pPr>
          </w:p>
          <w:p w14:paraId="0FFB1539" w14:textId="767240D1" w:rsidR="001600C7" w:rsidRDefault="000614AE" w:rsidP="001600C7">
            <w:pPr>
              <w:pStyle w:val="TableText"/>
            </w:pPr>
            <w:r>
              <w:t xml:space="preserve">Another </w:t>
            </w:r>
            <w:r w:rsidRPr="005A442F">
              <w:t xml:space="preserve">shale gas target reservoir / aquifer interaction exists between the River Supersequence and the underlying aquifer of the Loretta Supersequence. Although both the Egilabria 4 and Desert Creek 1 penetrated to the River Supersequence neither was hydraulically fractured for production analysis in that formation. Therefore, very little evidence exists in line of evidence 1 on the likelihood of hydraulic fracture growth from the River Supersequence into the underlying Loretta Supersequence. The </w:t>
            </w:r>
            <w:r>
              <w:t xml:space="preserve">variation in the </w:t>
            </w:r>
            <w:r w:rsidRPr="005A442F">
              <w:t xml:space="preserve">proximity of </w:t>
            </w:r>
            <w:r>
              <w:t xml:space="preserve">the potential target intervals and aquifer units </w:t>
            </w:r>
            <w:r w:rsidRPr="005A442F">
              <w:t>means this impact mode cannot be ruled out for the Isa GBA region via line of evidence 1.</w:t>
            </w:r>
          </w:p>
          <w:p w14:paraId="182D8C5D" w14:textId="77777777" w:rsidR="001600C7" w:rsidRPr="005A442F" w:rsidRDefault="001600C7" w:rsidP="001600C7">
            <w:pPr>
              <w:pStyle w:val="TableText"/>
            </w:pPr>
          </w:p>
          <w:p w14:paraId="575DE40C" w14:textId="39A79D88" w:rsidR="000614AE" w:rsidRDefault="00BA46E4" w:rsidP="001600C7">
            <w:pPr>
              <w:pStyle w:val="TableText"/>
            </w:pPr>
            <w:bookmarkStart w:id="169" w:name="_Hlk22657329"/>
            <w:r w:rsidRPr="00BA46E4">
              <w:t xml:space="preserve">Tier 1 </w:t>
            </w:r>
            <w:r w:rsidR="00817FEA">
              <w:t>c</w:t>
            </w:r>
            <w:r w:rsidRPr="00BA46E4">
              <w:t xml:space="preserve">onceptual </w:t>
            </w:r>
            <w:r w:rsidR="00817FEA">
              <w:t>impact a</w:t>
            </w:r>
            <w:r w:rsidR="000614AE" w:rsidRPr="005A442F">
              <w:t xml:space="preserve">nalysis </w:t>
            </w:r>
            <w:r>
              <w:t xml:space="preserve">will be undertaken </w:t>
            </w:r>
            <w:r w:rsidR="000614AE" w:rsidRPr="005A442F">
              <w:t xml:space="preserve">in Stage 3 to </w:t>
            </w:r>
            <w:r w:rsidR="00817FEA">
              <w:t xml:space="preserve">clarify conceptual prioritisation and identify additional characterisation required to undertake future impact analysis work in the Isa GBA region. </w:t>
            </w:r>
          </w:p>
          <w:bookmarkEnd w:id="169"/>
          <w:p w14:paraId="4ACEF2E1" w14:textId="77777777" w:rsidR="001600C7" w:rsidRPr="005A442F" w:rsidRDefault="001600C7" w:rsidP="001600C7">
            <w:pPr>
              <w:pStyle w:val="TableText"/>
            </w:pPr>
          </w:p>
          <w:p w14:paraId="480297DF" w14:textId="38E2B61C" w:rsidR="000614AE" w:rsidRPr="005A442F" w:rsidRDefault="000614AE" w:rsidP="001600C7">
            <w:pPr>
              <w:pStyle w:val="TableText"/>
            </w:pPr>
            <w:r w:rsidRPr="005A442F">
              <w:t xml:space="preserve">F1 impact mode likelihood summary for the Isa GBA </w:t>
            </w:r>
            <w:r w:rsidR="008A4E6D">
              <w:t>region</w:t>
            </w:r>
            <w:r w:rsidRPr="005A442F">
              <w:t xml:space="preserve">: </w:t>
            </w:r>
            <w:r w:rsidRPr="001600C7">
              <w:rPr>
                <w:b/>
              </w:rPr>
              <w:t>Unlikely</w:t>
            </w:r>
          </w:p>
        </w:tc>
      </w:tr>
      <w:tr w:rsidR="000614AE" w:rsidRPr="005A442F" w14:paraId="27231E71" w14:textId="77777777" w:rsidTr="00FA3C6A">
        <w:trPr>
          <w:cnfStyle w:val="000000010000" w:firstRow="0" w:lastRow="0" w:firstColumn="0" w:lastColumn="0" w:oddVBand="0" w:evenVBand="0" w:oddHBand="0" w:evenHBand="1" w:firstRowFirstColumn="0" w:firstRowLastColumn="0" w:lastRowFirstColumn="0" w:lastRowLastColumn="0"/>
        </w:trPr>
        <w:tc>
          <w:tcPr>
            <w:tcW w:w="2643" w:type="dxa"/>
          </w:tcPr>
          <w:p w14:paraId="73F6F29E" w14:textId="77777777" w:rsidR="000614AE" w:rsidRPr="005A442F" w:rsidRDefault="000614AE" w:rsidP="001600C7">
            <w:pPr>
              <w:pStyle w:val="TableText"/>
            </w:pPr>
            <w:r w:rsidRPr="005A442F">
              <w:t xml:space="preserve">F2 – </w:t>
            </w:r>
          </w:p>
          <w:p w14:paraId="63C686E4" w14:textId="77777777" w:rsidR="000614AE" w:rsidRPr="005A442F" w:rsidRDefault="000614AE" w:rsidP="001600C7">
            <w:pPr>
              <w:pStyle w:val="TableText"/>
            </w:pPr>
            <w:r w:rsidRPr="005A442F">
              <w:t>Hydraulic fracture growth into well</w:t>
            </w:r>
          </w:p>
          <w:p w14:paraId="5231BD75" w14:textId="77777777" w:rsidR="000614AE" w:rsidRPr="005A442F" w:rsidRDefault="000614AE" w:rsidP="001600C7">
            <w:pPr>
              <w:pStyle w:val="TableText"/>
              <w:rPr>
                <w:bCs/>
              </w:rPr>
            </w:pPr>
          </w:p>
        </w:tc>
        <w:tc>
          <w:tcPr>
            <w:tcW w:w="6938" w:type="dxa"/>
          </w:tcPr>
          <w:p w14:paraId="593E092B" w14:textId="77777777" w:rsidR="000614AE" w:rsidRPr="005A442F" w:rsidRDefault="000614AE" w:rsidP="001600C7">
            <w:pPr>
              <w:pStyle w:val="TableText"/>
            </w:pPr>
            <w:r w:rsidRPr="005A442F">
              <w:t>As the Isa GBA region is not currently under active development for shale gas, the spacing of wells is very large and the current likelihood of a hydraulic fracture treatment intersecting an offset well is very remote.</w:t>
            </w:r>
          </w:p>
          <w:p w14:paraId="3BF2A464" w14:textId="65D8A5A3" w:rsidR="000614AE" w:rsidRDefault="000614AE" w:rsidP="001600C7">
            <w:pPr>
              <w:pStyle w:val="Table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43575966" w14:textId="77777777" w:rsidR="001600C7" w:rsidRPr="005A442F" w:rsidRDefault="001600C7" w:rsidP="001600C7">
            <w:pPr>
              <w:pStyle w:val="TableText"/>
            </w:pPr>
          </w:p>
          <w:p w14:paraId="66996E23" w14:textId="34FB11D2" w:rsidR="000614AE" w:rsidRPr="005A442F" w:rsidRDefault="000614AE" w:rsidP="001600C7">
            <w:pPr>
              <w:pStyle w:val="TableText"/>
            </w:pPr>
            <w:r w:rsidRPr="005A442F">
              <w:t xml:space="preserve">F2 impact mode likelihood summary for the Isa GBA </w:t>
            </w:r>
            <w:r w:rsidR="008A4E6D">
              <w:t>region</w:t>
            </w:r>
            <w:r w:rsidRPr="005A442F">
              <w:t xml:space="preserve">: </w:t>
            </w:r>
            <w:r w:rsidRPr="001600C7">
              <w:rPr>
                <w:b/>
              </w:rPr>
              <w:t>Rare</w:t>
            </w:r>
          </w:p>
        </w:tc>
      </w:tr>
      <w:tr w:rsidR="000614AE" w:rsidRPr="005A442F" w14:paraId="758014CC" w14:textId="77777777" w:rsidTr="00FA3C6A">
        <w:trPr>
          <w:cnfStyle w:val="000000100000" w:firstRow="0" w:lastRow="0" w:firstColumn="0" w:lastColumn="0" w:oddVBand="0" w:evenVBand="0" w:oddHBand="1" w:evenHBand="0" w:firstRowFirstColumn="0" w:firstRowLastColumn="0" w:lastRowFirstColumn="0" w:lastRowLastColumn="0"/>
        </w:trPr>
        <w:tc>
          <w:tcPr>
            <w:tcW w:w="2643" w:type="dxa"/>
          </w:tcPr>
          <w:p w14:paraId="095393D8" w14:textId="77777777" w:rsidR="000614AE" w:rsidRPr="005A442F" w:rsidRDefault="000614AE" w:rsidP="001600C7">
            <w:pPr>
              <w:pStyle w:val="TableText"/>
            </w:pPr>
            <w:r w:rsidRPr="005A442F">
              <w:t xml:space="preserve">F3 – </w:t>
            </w:r>
          </w:p>
          <w:p w14:paraId="665B812F" w14:textId="77777777" w:rsidR="000614AE" w:rsidRPr="005A442F" w:rsidRDefault="000614AE" w:rsidP="001600C7">
            <w:pPr>
              <w:pStyle w:val="TableText"/>
            </w:pPr>
            <w:r w:rsidRPr="005A442F">
              <w:t>Hydraulic fracture growth into fault</w:t>
            </w:r>
          </w:p>
          <w:p w14:paraId="5F77DF5C" w14:textId="77777777" w:rsidR="000614AE" w:rsidRPr="005A442F" w:rsidRDefault="000614AE" w:rsidP="001600C7">
            <w:pPr>
              <w:pStyle w:val="TableText"/>
              <w:rPr>
                <w:bCs/>
              </w:rPr>
            </w:pPr>
          </w:p>
        </w:tc>
        <w:tc>
          <w:tcPr>
            <w:tcW w:w="6938" w:type="dxa"/>
          </w:tcPr>
          <w:p w14:paraId="14C0ACDC" w14:textId="77777777" w:rsidR="000614AE" w:rsidRPr="005A442F" w:rsidRDefault="000614AE" w:rsidP="001600C7">
            <w:pPr>
              <w:pStyle w:val="TableText"/>
            </w:pPr>
            <w:r w:rsidRPr="005A442F">
              <w:t xml:space="preserve">Although natural fractures are prevalent some in intervals in the Isa GBA region, the natural fractures and faults are not expected to cause significant vertical hydraulic fracture growth. </w:t>
            </w:r>
          </w:p>
          <w:p w14:paraId="3EB41EA2" w14:textId="77777777" w:rsidR="000614AE" w:rsidRPr="005A442F" w:rsidRDefault="000614AE" w:rsidP="001600C7">
            <w:pPr>
              <w:pStyle w:val="TableText"/>
            </w:pPr>
          </w:p>
          <w:p w14:paraId="1F07F4DC" w14:textId="77777777" w:rsidR="000614AE" w:rsidRPr="005A442F" w:rsidRDefault="000614AE" w:rsidP="001600C7">
            <w:pPr>
              <w:pStyle w:val="TableText"/>
            </w:pPr>
            <w:r w:rsidRPr="005A442F">
              <w:t>Seismic mapping of key faults and avoidance of major vertical faults in the Isa GBA region is anticipated.</w:t>
            </w:r>
          </w:p>
          <w:p w14:paraId="0F4964C1" w14:textId="77777777" w:rsidR="000614AE" w:rsidRPr="005A442F" w:rsidRDefault="000614AE" w:rsidP="001600C7">
            <w:pPr>
              <w:pStyle w:val="TableText"/>
            </w:pPr>
          </w:p>
          <w:p w14:paraId="0DAB08DF" w14:textId="38CE3C19" w:rsidR="000614AE" w:rsidRPr="005A442F" w:rsidRDefault="000614AE" w:rsidP="001600C7">
            <w:pPr>
              <w:pStyle w:val="TableText"/>
            </w:pPr>
            <w:r w:rsidRPr="005A442F">
              <w:t xml:space="preserve">F3 impact mode likelihood summary for the Isa GBA </w:t>
            </w:r>
            <w:r w:rsidR="008A4E6D">
              <w:t>region</w:t>
            </w:r>
            <w:r w:rsidRPr="005A442F">
              <w:t xml:space="preserve">: </w:t>
            </w:r>
            <w:r w:rsidRPr="001600C7">
              <w:rPr>
                <w:b/>
              </w:rPr>
              <w:t>Rare</w:t>
            </w:r>
          </w:p>
        </w:tc>
      </w:tr>
    </w:tbl>
    <w:p w14:paraId="4DAAC261" w14:textId="77777777" w:rsidR="000614AE" w:rsidRPr="0073617F" w:rsidRDefault="000614AE" w:rsidP="0073617F">
      <w:pPr>
        <w:pStyle w:val="Heading3notnumbered"/>
        <w:rPr>
          <w:i w:val="0"/>
        </w:rPr>
      </w:pPr>
      <w:bookmarkStart w:id="170" w:name="_Toc5272808"/>
      <w:bookmarkStart w:id="171" w:name="_Toc36042871"/>
      <w:r w:rsidRPr="0073617F">
        <w:rPr>
          <w:i w:val="0"/>
        </w:rPr>
        <w:t>Well integrity impact mode review for the Isa GBA region</w:t>
      </w:r>
      <w:bookmarkEnd w:id="170"/>
      <w:bookmarkEnd w:id="171"/>
    </w:p>
    <w:p w14:paraId="2AEFEF36" w14:textId="38B18099" w:rsidR="000614AE" w:rsidRPr="005A442F" w:rsidRDefault="000614AE" w:rsidP="000614AE">
      <w:pPr>
        <w:pStyle w:val="BodyText"/>
      </w:pPr>
      <w:r w:rsidRPr="005A442F">
        <w:t xml:space="preserve">Petroleum industry activity in the Isa GBA region has been minimal to date and as such there is limited data on well integrity in the region (see </w:t>
      </w:r>
      <w:r w:rsidRPr="005A442F">
        <w:fldChar w:fldCharType="begin"/>
      </w:r>
      <w:r w:rsidRPr="005A442F">
        <w:instrText xml:space="preserve"> REF _Ref12618990 \h  \* MERGEFORMAT </w:instrText>
      </w:r>
      <w:r w:rsidRPr="005A442F">
        <w:fldChar w:fldCharType="separate"/>
      </w:r>
      <w:r w:rsidR="00073927" w:rsidRPr="005A442F">
        <w:t xml:space="preserve">Figure </w:t>
      </w:r>
      <w:r w:rsidR="00073927">
        <w:rPr>
          <w:noProof/>
        </w:rPr>
        <w:t>5</w:t>
      </w:r>
      <w:r w:rsidRPr="005A442F">
        <w:fldChar w:fldCharType="end"/>
      </w:r>
      <w:r w:rsidRPr="005A442F">
        <w:t>). Two aspects of the Isa GBA region could potentially affect the likelihoods of the five well integrity impact modes:</w:t>
      </w:r>
    </w:p>
    <w:p w14:paraId="51B8BAA4" w14:textId="7D50268C" w:rsidR="000614AE" w:rsidRPr="005A442F" w:rsidRDefault="000614AE" w:rsidP="000614AE">
      <w:pPr>
        <w:pStyle w:val="BodyText"/>
      </w:pPr>
      <w:r w:rsidRPr="005A442F">
        <w:t xml:space="preserve">Firstly, the Isa GBA region is not expected to contain a significant overpressure region </w:t>
      </w:r>
      <w:r w:rsidRPr="005A442F">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rsidRPr="005A442F">
        <w:fldChar w:fldCharType="separate"/>
      </w:r>
      <w:r w:rsidR="001C580C" w:rsidRPr="001C580C">
        <w:rPr>
          <w:noProof/>
        </w:rPr>
        <w:t xml:space="preserve">(Bailey </w:t>
      </w:r>
      <w:r w:rsidR="001C580C" w:rsidRPr="001C580C">
        <w:rPr>
          <w:i/>
          <w:noProof/>
        </w:rPr>
        <w:t>et al.</w:t>
      </w:r>
      <w:r w:rsidR="001C580C" w:rsidRPr="001C580C">
        <w:rPr>
          <w:noProof/>
        </w:rPr>
        <w:t>, 2020)</w:t>
      </w:r>
      <w:r w:rsidRPr="005A442F">
        <w:fldChar w:fldCharType="end"/>
      </w:r>
      <w:r w:rsidRPr="005A442F">
        <w:t xml:space="preserve"> however overpressure intervals and difficulty cementing were noted in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A difference in fluid pressure between intervals is required to drive subsurface fluid flow. In the absence of significant overpressured intervals there is no driving force to create subsurface flow. </w:t>
      </w:r>
    </w:p>
    <w:p w14:paraId="36DCFF1E" w14:textId="35DFCE81" w:rsidR="000614AE" w:rsidRPr="005A442F" w:rsidRDefault="000614AE" w:rsidP="000614AE">
      <w:pPr>
        <w:pStyle w:val="BodyText"/>
      </w:pPr>
      <w:r w:rsidRPr="005A442F">
        <w:t xml:space="preserve">Secondly, as detailed in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2014)","manualFormatting":"Johnson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the Egilabria 2 well experienced difficulty in maintaining well stability in the Lawn hill formation. Therefore a two</w:t>
      </w:r>
      <w:r w:rsidR="00435DC5">
        <w:t>-</w:t>
      </w:r>
      <w:r w:rsidRPr="005A442F">
        <w:t>stage cement job was required and areas of poor cement bonding were noted. If wells drilled in the Isa GBA region experience difficulty in achieving a good seal between the cement and the rock/casing outside of the target intervals this may increase the potential for subsurface fluid flow along the well. However as more wells are drilled, operators will become more adept at managing the conditions in the Isa GBA region.</w:t>
      </w:r>
    </w:p>
    <w:p w14:paraId="5733FE0F" w14:textId="3A8ADAAB" w:rsidR="000614AE" w:rsidRDefault="000614AE" w:rsidP="000614AE">
      <w:pPr>
        <w:pStyle w:val="Figures"/>
      </w:pPr>
      <w:r w:rsidRPr="005A442F">
        <w:rPr>
          <w:noProof/>
        </w:rPr>
        <w:drawing>
          <wp:inline distT="0" distB="0" distL="0" distR="0" wp14:anchorId="61FEB9D0" wp14:editId="042B43B2">
            <wp:extent cx="6115050" cy="6599318"/>
            <wp:effectExtent l="0" t="0" r="0" b="0"/>
            <wp:docPr id="2024482604" name="Picture 2024482604" descr="Z:\Stage2\2_Isa\MapsAndFigures\Figures\GBA-ISA-2-005_petroleum_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tage2\2_Isa\MapsAndFigures\Figures\GBA-ISA-2-005_petroleum_well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4231" cy="6609226"/>
                    </a:xfrm>
                    <a:prstGeom prst="rect">
                      <a:avLst/>
                    </a:prstGeom>
                    <a:noFill/>
                    <a:ln>
                      <a:noFill/>
                    </a:ln>
                  </pic:spPr>
                </pic:pic>
              </a:graphicData>
            </a:graphic>
          </wp:inline>
        </w:drawing>
      </w:r>
    </w:p>
    <w:p w14:paraId="00A66F54" w14:textId="481B8656" w:rsidR="000614AE" w:rsidRPr="005A442F" w:rsidRDefault="000614AE" w:rsidP="000614AE">
      <w:pPr>
        <w:pStyle w:val="Caption"/>
      </w:pPr>
      <w:bookmarkStart w:id="172" w:name="_Ref12618990"/>
      <w:bookmarkStart w:id="173" w:name="_Toc528835517"/>
      <w:bookmarkStart w:id="174" w:name="_Toc529790758"/>
      <w:bookmarkStart w:id="175" w:name="_Toc529893060"/>
      <w:bookmarkStart w:id="176" w:name="_Toc529968644"/>
      <w:bookmarkStart w:id="177" w:name="_Toc530043007"/>
      <w:bookmarkStart w:id="178" w:name="_Toc530058324"/>
      <w:bookmarkStart w:id="179" w:name="_Toc36042881"/>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5</w:t>
      </w:r>
      <w:r w:rsidRPr="005A442F">
        <w:rPr>
          <w:noProof/>
        </w:rPr>
        <w:fldChar w:fldCharType="end"/>
      </w:r>
      <w:bookmarkEnd w:id="172"/>
      <w:r w:rsidRPr="005A442F">
        <w:t xml:space="preserve"> Location of petroleum exploration wells in and near the Isa GBA region</w:t>
      </w:r>
      <w:bookmarkEnd w:id="173"/>
      <w:bookmarkEnd w:id="174"/>
      <w:bookmarkEnd w:id="175"/>
      <w:bookmarkEnd w:id="176"/>
      <w:bookmarkEnd w:id="177"/>
      <w:bookmarkEnd w:id="178"/>
      <w:bookmarkEnd w:id="179"/>
    </w:p>
    <w:p w14:paraId="001A65D5" w14:textId="04F078E9" w:rsidR="00B5699C" w:rsidRDefault="00AB2C31" w:rsidP="00A622AF">
      <w:pPr>
        <w:pStyle w:val="SourceornoteforTableorFigure"/>
      </w:pPr>
      <w:r w:rsidRPr="009F7490">
        <w:t>Source:</w:t>
      </w:r>
      <w:r w:rsidR="009F7490" w:rsidRPr="009F7490">
        <w:t xml:space="preserve"> State of Queensland (2018)</w:t>
      </w:r>
      <w:r w:rsidRPr="009F7490">
        <w:br/>
      </w:r>
      <w:r w:rsidR="00A622AF" w:rsidRPr="009F7490">
        <w:t>Element: GBA-ISA-2</w:t>
      </w:r>
      <w:r w:rsidR="00A622AF">
        <w:t>-</w:t>
      </w:r>
      <w:r>
        <w:t>005</w:t>
      </w:r>
    </w:p>
    <w:p w14:paraId="0C098FE2" w14:textId="5EC67F9C" w:rsidR="000614AE" w:rsidRPr="005A442F" w:rsidRDefault="000614AE" w:rsidP="0073617F">
      <w:pPr>
        <w:pStyle w:val="Heading4notnumbered"/>
      </w:pPr>
      <w:r w:rsidRPr="005A442F">
        <w:t xml:space="preserve">Line of </w:t>
      </w:r>
      <w:r w:rsidR="00360A23">
        <w:t>e</w:t>
      </w:r>
      <w:r w:rsidRPr="005A442F">
        <w:t>vidence 1 qualitative assessment for Isa GBA region well integrity impact modes</w:t>
      </w:r>
    </w:p>
    <w:p w14:paraId="65E18494" w14:textId="77777777" w:rsidR="000614AE" w:rsidRPr="005A442F" w:rsidRDefault="000614AE" w:rsidP="000614AE">
      <w:pPr>
        <w:pStyle w:val="Heading6notnumbered"/>
      </w:pPr>
      <w:r w:rsidRPr="005A442F">
        <w:t>W1 - Well rupture or failure across barriers</w:t>
      </w:r>
    </w:p>
    <w:p w14:paraId="17A7FEF1" w14:textId="77777777" w:rsidR="000614AE" w:rsidRPr="005A442F" w:rsidRDefault="000614AE" w:rsidP="000614AE">
      <w:pPr>
        <w:pStyle w:val="BodyText"/>
      </w:pPr>
      <w:r w:rsidRPr="005A442F">
        <w:t>Any analysis of potential well rupture or failure across multiple well barriers would be strongly influenced by local in-situ geological conditions and individual well design and construction.</w:t>
      </w:r>
    </w:p>
    <w:p w14:paraId="22EC2531" w14:textId="77777777" w:rsidR="000614AE" w:rsidRPr="005A442F" w:rsidRDefault="000614AE" w:rsidP="000614AE">
      <w:pPr>
        <w:pStyle w:val="BodyText"/>
      </w:pPr>
      <w:r w:rsidRPr="005A442F">
        <w:t>There has been no evidence of well rupture or total well integrity failure in historical Isa GBA region operations identified to date.</w:t>
      </w:r>
    </w:p>
    <w:p w14:paraId="585B80C5" w14:textId="77777777" w:rsidR="000614AE" w:rsidRPr="005A442F" w:rsidRDefault="000614AE" w:rsidP="000614AE">
      <w:pPr>
        <w:pStyle w:val="Heading6notnumbered"/>
      </w:pPr>
      <w:r w:rsidRPr="005A442F">
        <w:t>W2 - Migration along casing from reservoir to surface</w:t>
      </w:r>
    </w:p>
    <w:p w14:paraId="55B48C88" w14:textId="77777777" w:rsidR="00D55390" w:rsidRDefault="00D55390" w:rsidP="00D55390">
      <w:pPr>
        <w:pStyle w:val="BodyText"/>
      </w:pPr>
      <w:r>
        <w:t>There was n</w:t>
      </w:r>
      <w:r w:rsidRPr="00785305">
        <w:t>o evidence of well rupture or total well integrity failure in historical Isa GBA region operations identified to date.</w:t>
      </w:r>
    </w:p>
    <w:p w14:paraId="0A801C1F" w14:textId="039E6C2F" w:rsidR="00D55390" w:rsidRPr="005A442F" w:rsidRDefault="00D55390" w:rsidP="00D55390">
      <w:pPr>
        <w:pStyle w:val="BodyText"/>
      </w:pPr>
      <w:r w:rsidRPr="005A442F">
        <w:t xml:space="preserve">In order for liquids to migrate along a well in the event of a failed well annulus they must be driven from an interval with overpressured pore fluids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While intervals of overpressured pore fluids were noted when drilling the Egilabria 2 well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overpressured intervals are not expected to commonly feature in the Isa GBA region</w:t>
      </w:r>
      <w:r>
        <w:t xml:space="preserve"> </w:t>
      </w:r>
      <w:r>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fldChar w:fldCharType="separate"/>
      </w:r>
      <w:r w:rsidR="001C580C" w:rsidRPr="001C580C">
        <w:rPr>
          <w:noProof/>
        </w:rPr>
        <w:t xml:space="preserve">(Bailey </w:t>
      </w:r>
      <w:r w:rsidR="001C580C" w:rsidRPr="001C580C">
        <w:rPr>
          <w:i/>
          <w:noProof/>
        </w:rPr>
        <w:t>et al.</w:t>
      </w:r>
      <w:r w:rsidR="001C580C" w:rsidRPr="001C580C">
        <w:rPr>
          <w:noProof/>
        </w:rPr>
        <w:t>, 2020)</w:t>
      </w:r>
      <w:r>
        <w:fldChar w:fldCharType="end"/>
      </w:r>
      <w:r w:rsidRPr="005A442F">
        <w:t>.</w:t>
      </w:r>
      <w:r>
        <w:t xml:space="preserve"> An assessment of the likelihood of this impact mode would rely on data for both well integrity and pore fluid pressure in the rock layers. However, there have been no studies of formation pressure within the Isa Superbasin </w:t>
      </w:r>
      <w:r>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fldChar w:fldCharType="separate"/>
      </w:r>
      <w:r w:rsidR="001C580C" w:rsidRPr="001C580C">
        <w:rPr>
          <w:noProof/>
        </w:rPr>
        <w:t xml:space="preserve">(Bailey </w:t>
      </w:r>
      <w:r w:rsidR="001C580C" w:rsidRPr="001C580C">
        <w:rPr>
          <w:i/>
          <w:noProof/>
        </w:rPr>
        <w:t>et al.</w:t>
      </w:r>
      <w:r w:rsidR="001C580C" w:rsidRPr="001C580C">
        <w:rPr>
          <w:noProof/>
        </w:rPr>
        <w:t>, 2020)</w:t>
      </w:r>
      <w:r>
        <w:fldChar w:fldCharType="end"/>
      </w:r>
      <w:r>
        <w:t xml:space="preserve"> and w</w:t>
      </w:r>
      <w:r w:rsidRPr="005A442F">
        <w:t>ell integrity data in the Isa GBA region appear to be scarce.</w:t>
      </w:r>
      <w:r>
        <w:t xml:space="preserve"> </w:t>
      </w:r>
    </w:p>
    <w:p w14:paraId="34E35D10" w14:textId="77777777" w:rsidR="000614AE" w:rsidRPr="005A442F" w:rsidRDefault="000614AE" w:rsidP="000614AE">
      <w:pPr>
        <w:pStyle w:val="Heading6notnumbered"/>
      </w:pPr>
      <w:r w:rsidRPr="005A442F">
        <w:t>W3 - Migration along casing between rock layers</w:t>
      </w:r>
    </w:p>
    <w:p w14:paraId="1175ED28" w14:textId="77777777" w:rsidR="000614AE" w:rsidRPr="005A442F" w:rsidRDefault="000614AE" w:rsidP="000614AE">
      <w:pPr>
        <w:pStyle w:val="BodyText"/>
      </w:pPr>
      <w:r w:rsidRPr="005A442F">
        <w:t>It is not always possible to detect fluid flow in the well annulus between different formations either from surface measurements or with downhole tools. In the Isa GBA region, Johnson et al. (2014) noted that horizontal drilling instabilities in Egilabria 2 led to a two-stage cement job with areas of poor cement bonding. These apparently difficult geological conditions in the Lawn Supersequence could require operators to develop appropriate engineering techniques to achieve competent cement jobs to reduce the likelihood of well annulus integrity problems. However, it is important to note that any drilling instabilities in the horizontal section of the well would not facilitate vertical flow between formations.</w:t>
      </w:r>
    </w:p>
    <w:p w14:paraId="7417CFCD" w14:textId="77777777" w:rsidR="000614AE" w:rsidRPr="005A442F" w:rsidRDefault="000614AE" w:rsidP="000614AE">
      <w:pPr>
        <w:pStyle w:val="Heading6notnumbered"/>
      </w:pPr>
      <w:r w:rsidRPr="005A442F">
        <w:t>W4 - Migration along decommissioned / abandoned wells</w:t>
      </w:r>
    </w:p>
    <w:p w14:paraId="508BD51F" w14:textId="77777777" w:rsidR="000614AE" w:rsidRPr="005A442F" w:rsidRDefault="000614AE" w:rsidP="000614AE">
      <w:pPr>
        <w:pStyle w:val="BodyText"/>
      </w:pPr>
      <w:r w:rsidRPr="005A442F">
        <w:t>No evidence of failure of well integrity in decommissioned wells in the Isa GBA region has been identified to date. However, the data are scarce, and the reviewed inquiries considered that either some decommissioned wells are likely to leak methane and some level of monitoring is required, or that methane leakage from decommissioned wells is certain. If monitoring data were gathered for existing and future decommissioned wells, then further analysis could be undertaken to achieve a more specific likelihood of occurrence for the Isa GBA region.</w:t>
      </w:r>
    </w:p>
    <w:p w14:paraId="1F7BE499" w14:textId="77777777" w:rsidR="000614AE" w:rsidRPr="005A442F" w:rsidRDefault="000614AE" w:rsidP="000614AE">
      <w:pPr>
        <w:pStyle w:val="Heading6notnumbered"/>
      </w:pPr>
      <w:r w:rsidRPr="005A442F">
        <w:t>W5 - Loss of well control (blowout)</w:t>
      </w:r>
    </w:p>
    <w:p w14:paraId="2EDD8DF2" w14:textId="3D9F9413" w:rsidR="00CC639D" w:rsidRDefault="0057362C" w:rsidP="000614AE">
      <w:pPr>
        <w:pStyle w:val="BodyText"/>
      </w:pPr>
      <w:r>
        <w:t xml:space="preserve">Instances </w:t>
      </w:r>
      <w:r w:rsidR="000614AE" w:rsidRPr="005A442F">
        <w:t xml:space="preserve">of loss of well control </w:t>
      </w:r>
      <w:r>
        <w:t xml:space="preserve">(blowouts) are </w:t>
      </w:r>
      <w:r w:rsidR="000614AE" w:rsidRPr="005A442F">
        <w:t>most commonl</w:t>
      </w:r>
      <w:r>
        <w:t xml:space="preserve">y associated with </w:t>
      </w:r>
      <w:r w:rsidR="000614AE" w:rsidRPr="005A442F">
        <w:t xml:space="preserve">conventional reservoirs where the production interval is overpressured </w:t>
      </w:r>
      <w:r>
        <w:t xml:space="preserve">and </w:t>
      </w:r>
      <w:r w:rsidR="000614AE" w:rsidRPr="005A442F">
        <w:t xml:space="preserve">permeability </w:t>
      </w:r>
      <w:r>
        <w:t xml:space="preserve">is </w:t>
      </w:r>
      <w:r w:rsidR="000614AE" w:rsidRPr="005A442F">
        <w:t>sufficient to support significant pressure and flow at surface.</w:t>
      </w:r>
      <w:r w:rsidRPr="005A442F">
        <w:t xml:space="preserve"> </w:t>
      </w:r>
      <w:r w:rsidR="000614AE" w:rsidRPr="005A442F">
        <w:t xml:space="preserve">Shale gas wells are intrinsically less prone to significant loss of well control due to the lower initial permeability of the target interval (i.e. </w:t>
      </w:r>
      <w:r>
        <w:t>the well</w:t>
      </w:r>
      <w:r w:rsidR="000614AE" w:rsidRPr="005A442F">
        <w:t xml:space="preserve"> could not support significant flow to surface until after the well has been completed and hydraulically fractured) </w:t>
      </w:r>
      <w:r w:rsidR="000614AE" w:rsidRPr="005A442F">
        <w:fldChar w:fldCharType="begin" w:fldLock="1"/>
      </w:r>
      <w:r w:rsidR="000614AE"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000614AE" w:rsidRPr="005A442F">
        <w:fldChar w:fldCharType="separate"/>
      </w:r>
      <w:r w:rsidR="000614AE" w:rsidRPr="005A442F">
        <w:rPr>
          <w:noProof/>
        </w:rPr>
        <w:t>(Huddlestone-Holmes et al., 2018)</w:t>
      </w:r>
      <w:r w:rsidR="000614AE" w:rsidRPr="005A442F">
        <w:fldChar w:fldCharType="end"/>
      </w:r>
      <w:r w:rsidR="000614AE" w:rsidRPr="005A442F">
        <w:t xml:space="preserve">. </w:t>
      </w:r>
      <w:r>
        <w:t xml:space="preserve">However, there have been </w:t>
      </w:r>
      <w:r w:rsidRPr="0057362C">
        <w:t xml:space="preserve">examples of blowouts in shale gas wells, for example in Pennsylvania and West Virginia in the USA </w:t>
      </w:r>
      <w:r w:rsidRPr="0057362C">
        <w:fldChar w:fldCharType="begin" w:fldLock="1"/>
      </w:r>
      <w:r w:rsidR="0063453B">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Report","type":"report"},"uris":["http://www.mendeley.com/documents/?uuid=c3743d4e-f6b2-4a6a-8d5f-efdef588fbd5"]},{"id":"ITEM-2","itemData":{"abstract":"Executive Summary The rapid development of shale gas resources in the past few years has already dramatically affected U.S. energy markets—lowering energy prices and carbon dioxide emissions—and could offer an affordable source of low-carbon energy to reduce dependence on coal and oil. 1 However, the development of shale gas has been linked to a range of local environmental problems, generating a public backlash that threatens to bring production to a halt in some regions. While hydraulic fracturing in particular has been the focus of much controversy, our analysis indicates that the most significant environmental risks associated with the development of shale gas are similar to those associated with conventional onshore gas, including gas migration and groundwater contamination due to faulty well construction, blowouts, and above-ground leaks and spill of waste water and chemicals used during drilling and hydraulic fracturing. Many technologies and best practices that can minimize the risks associated with shale gas development are already being used by some companies, and more are being developed. The natural gas industry should work with government agencies, environmental organizations, and local communities to develop innovative technologies and practices that can reduce the environmental risks and impacts associated with shale gas development. Stronger, fully-enforced government regulations are needed in many states to provide sufficient protection to the environment as shale gas development increases. In addition, continued study and improved communication of the environmental risks associated with both individual wells and large scale shale gas development are essential for society to make well-informed decisions about its energy future.","author":[{"dropping-particle":"","family":"Zoback","given":"Mark","non-dropping-particle":"","parse-names":false,"suffix":""},{"dropping-particle":"","family":"Kitasei","given":"Saya","non-dropping-particle":"","parse-names":false,"suffix":""},{"dropping-particle":"","family":"Copithorne","given":"Brad","non-dropping-particle":"","parse-names":false,"suffix":""},{"dropping-particle":"","family":"Copithorne","given":"Bradford","non-dropping-particle":"","parse-names":false,"suffix":""}],"id":"ITEM-2","issue":"July","issued":{"date-parts":[["2010"]]},"title":"Briefing Paper 1 - Addressing the Environmental Risks from Shale Gas Development Natural Gas and Sustainable Energy Initiative Addressing the Environmental Risks from Shale Gas Development","type":"report"},"uris":["http://www.mendeley.com/documents/?uuid=7c92eb5b-6c02-4b22-bb51-c7f8332957ba"]}],"mendeley":{"formattedCitation":"(Zoback &lt;i&gt;et al.&lt;/i&gt;, 2010; USEPA, 2016)","plainTextFormattedCitation":"(Zoback et al., 2010; USEPA, 2016)","previouslyFormattedCitation":"(Zoback &lt;i&gt;et al.&lt;/i&gt;, 2010; USEPA, 2016)"},"properties":{"noteIndex":0},"schema":"https://github.com/citation-style-language/schema/raw/master/csl-citation.json"}</w:instrText>
      </w:r>
      <w:r w:rsidRPr="0057362C">
        <w:fldChar w:fldCharType="separate"/>
      </w:r>
      <w:r w:rsidRPr="0057362C">
        <w:rPr>
          <w:noProof/>
        </w:rPr>
        <w:t>(Zoback et al., 2010; USEPA, 2016)</w:t>
      </w:r>
      <w:r w:rsidRPr="0057362C">
        <w:fldChar w:fldCharType="end"/>
      </w:r>
      <w:r>
        <w:t xml:space="preserve">. </w:t>
      </w:r>
    </w:p>
    <w:p w14:paraId="6EFD8F5B" w14:textId="648DCC25" w:rsidR="000614AE" w:rsidRPr="005A442F" w:rsidRDefault="0057362C" w:rsidP="000614AE">
      <w:pPr>
        <w:pStyle w:val="BodyText"/>
      </w:pPr>
      <w:r>
        <w:t>In the Isa GBA region there has been n</w:t>
      </w:r>
      <w:r w:rsidRPr="0057362C">
        <w:t>o evidence of loss of well control</w:t>
      </w:r>
      <w:r>
        <w:t xml:space="preserve"> and while overpressured </w:t>
      </w:r>
      <w:r w:rsidRPr="0057362C">
        <w:t xml:space="preserve">intervals have been noted </w:t>
      </w:r>
      <w:r>
        <w:t xml:space="preserve">they </w:t>
      </w:r>
      <w:r w:rsidRPr="0057362C">
        <w:t>are not expected to be common in the region.</w:t>
      </w:r>
    </w:p>
    <w:p w14:paraId="107184BB" w14:textId="5F0C9046" w:rsidR="000614AE" w:rsidRPr="005A442F" w:rsidRDefault="000614AE" w:rsidP="000614AE">
      <w:pPr>
        <w:pStyle w:val="Heading6notnumbered"/>
      </w:pPr>
      <w:r w:rsidRPr="005A442F">
        <w:t xml:space="preserve">Summary of line of </w:t>
      </w:r>
      <w:r w:rsidR="00360A23">
        <w:t>e</w:t>
      </w:r>
      <w:r w:rsidRPr="005A442F">
        <w:t>vidence 1 qualitative assessment</w:t>
      </w:r>
    </w:p>
    <w:p w14:paraId="6DFDB859" w14:textId="2A6E1967" w:rsidR="000614AE" w:rsidRPr="005A442F" w:rsidRDefault="000614AE" w:rsidP="000614AE">
      <w:pPr>
        <w:pStyle w:val="BodyText"/>
      </w:pPr>
      <w:r w:rsidRPr="005A442F">
        <w:t xml:space="preserve">The results of the Stage 2 qualitative assessment of five compromised well integrity impact modes against historical data for the Isa GBA region are summarised below in </w:t>
      </w:r>
      <w:r w:rsidRPr="005A442F">
        <w:fldChar w:fldCharType="begin"/>
      </w:r>
      <w:r w:rsidRPr="005A442F">
        <w:instrText xml:space="preserve"> REF _Ref12609171 \h  \* MERGEFORMAT </w:instrText>
      </w:r>
      <w:r w:rsidRPr="005A442F">
        <w:fldChar w:fldCharType="separate"/>
      </w:r>
      <w:r w:rsidR="00073927" w:rsidRPr="005A442F">
        <w:t xml:space="preserve">Table </w:t>
      </w:r>
      <w:r w:rsidR="00073927">
        <w:rPr>
          <w:noProof/>
        </w:rPr>
        <w:t>18</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_Ref2347433 \h  \* MERGEFORMAT </w:instrText>
      </w:r>
      <w:r w:rsidRPr="005A442F">
        <w:fldChar w:fldCharType="separate"/>
      </w:r>
      <w:r w:rsidR="00073927">
        <w:t xml:space="preserve">Table </w:t>
      </w:r>
      <w:r w:rsidR="00073927">
        <w:rPr>
          <w:noProof/>
        </w:rPr>
        <w:t>5</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Isa GBA region. Geological and Bioregional Assessment Program: Stage 2","type":"report"},"uris":["http://www.mendeley.com/documents/?uuid=133f0033-6681-470d-9fcc-45b18ec7a868"]}],"mendeley":{"formattedCitation":"(Lewis &lt;i&gt;et al.&lt;/i&gt;, 2020)","plainTextFormattedCitation":"(Lewis et al., 2020)","previouslyFormattedCitation":"(Lewis &lt;i&gt;et al.&lt;/i&gt;, 2020)"},"properties":{"noteIndex":0},"schema":"https://github.com/citation-style-language/schema/raw/master/csl-citation.json"}</w:instrText>
      </w:r>
      <w:r w:rsidRPr="005A442F">
        <w:fldChar w:fldCharType="separate"/>
      </w:r>
      <w:r w:rsidR="001C580C" w:rsidRPr="001C580C">
        <w:rPr>
          <w:noProof/>
        </w:rPr>
        <w:t xml:space="preserve">(Lewis </w:t>
      </w:r>
      <w:r w:rsidR="001C580C" w:rsidRPr="001C580C">
        <w:rPr>
          <w:i/>
          <w:noProof/>
        </w:rPr>
        <w:t>et al.</w:t>
      </w:r>
      <w:r w:rsidR="001C580C" w:rsidRPr="001C580C">
        <w:rPr>
          <w:noProof/>
        </w:rPr>
        <w:t>, 2020)</w:t>
      </w:r>
      <w:r w:rsidRPr="005A442F">
        <w:fldChar w:fldCharType="end"/>
      </w:r>
      <w:r w:rsidRPr="005A442F">
        <w:t>.</w:t>
      </w:r>
    </w:p>
    <w:p w14:paraId="399613EF" w14:textId="5957B6FE" w:rsidR="000614AE" w:rsidRPr="005A442F" w:rsidRDefault="000614AE" w:rsidP="000614AE">
      <w:pPr>
        <w:pStyle w:val="Caption"/>
      </w:pPr>
      <w:bookmarkStart w:id="180" w:name="_Ref12609171"/>
      <w:bookmarkStart w:id="181" w:name="_Toc36042901"/>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18</w:t>
      </w:r>
      <w:r w:rsidRPr="005A442F">
        <w:rPr>
          <w:noProof/>
        </w:rPr>
        <w:fldChar w:fldCharType="end"/>
      </w:r>
      <w:bookmarkEnd w:id="180"/>
      <w:r w:rsidRPr="005A442F">
        <w:t xml:space="preserve"> Line of </w:t>
      </w:r>
      <w:r w:rsidR="00360A23">
        <w:t>e</w:t>
      </w:r>
      <w:r w:rsidRPr="005A442F">
        <w:t>vidence 1 qualitative assessment for Isa GBA region well integrity impact modes</w:t>
      </w:r>
      <w:bookmarkEnd w:id="181"/>
    </w:p>
    <w:tbl>
      <w:tblPr>
        <w:tblStyle w:val="TableBAHeaderRow"/>
        <w:tblW w:w="0" w:type="auto"/>
        <w:tblLook w:val="04A0" w:firstRow="1" w:lastRow="0" w:firstColumn="1" w:lastColumn="0" w:noHBand="0" w:noVBand="1"/>
      </w:tblPr>
      <w:tblGrid>
        <w:gridCol w:w="1840"/>
        <w:gridCol w:w="7741"/>
      </w:tblGrid>
      <w:tr w:rsidR="000614AE" w:rsidRPr="005A442F" w14:paraId="7E8EF44A" w14:textId="77777777" w:rsidTr="0089417C">
        <w:trPr>
          <w:cnfStyle w:val="100000000000" w:firstRow="1" w:lastRow="0" w:firstColumn="0" w:lastColumn="0" w:oddVBand="0" w:evenVBand="0" w:oddHBand="0" w:evenHBand="0" w:firstRowFirstColumn="0" w:firstRowLastColumn="0" w:lastRowFirstColumn="0" w:lastRowLastColumn="0"/>
          <w:tblHeader/>
        </w:trPr>
        <w:tc>
          <w:tcPr>
            <w:tcW w:w="1840" w:type="dxa"/>
          </w:tcPr>
          <w:p w14:paraId="4D879D5A" w14:textId="77777777" w:rsidR="000614AE" w:rsidRPr="00863550" w:rsidRDefault="000614AE" w:rsidP="001600C7">
            <w:pPr>
              <w:pStyle w:val="TableHeading"/>
              <w:rPr>
                <w:b/>
              </w:rPr>
            </w:pPr>
            <w:r w:rsidRPr="00863550">
              <w:rPr>
                <w:rFonts w:eastAsiaTheme="minorEastAsia"/>
                <w:b/>
              </w:rPr>
              <w:t>Impact mode</w:t>
            </w:r>
          </w:p>
        </w:tc>
        <w:tc>
          <w:tcPr>
            <w:tcW w:w="7741" w:type="dxa"/>
          </w:tcPr>
          <w:p w14:paraId="66AC6441" w14:textId="77777777" w:rsidR="000614AE" w:rsidRPr="00863550" w:rsidRDefault="000614AE" w:rsidP="001600C7">
            <w:pPr>
              <w:pStyle w:val="TableHeading"/>
              <w:rPr>
                <w:b/>
              </w:rPr>
            </w:pPr>
            <w:r w:rsidRPr="00863550">
              <w:rPr>
                <w:rFonts w:eastAsiaTheme="minorEastAsia"/>
                <w:b/>
              </w:rPr>
              <w:t>Line of evidence 1 Summary for well integrity impact modes in the Isa GBA region</w:t>
            </w:r>
          </w:p>
        </w:tc>
      </w:tr>
      <w:tr w:rsidR="000614AE" w:rsidRPr="005A442F" w14:paraId="326B0925"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4D3EC38D" w14:textId="77777777" w:rsidR="000614AE" w:rsidRPr="005A442F" w:rsidRDefault="000614AE" w:rsidP="001600C7">
            <w:pPr>
              <w:pStyle w:val="TableText"/>
            </w:pPr>
            <w:r w:rsidRPr="005A442F">
              <w:t xml:space="preserve">W1 - Well rupture or failure across barriers </w:t>
            </w:r>
          </w:p>
          <w:p w14:paraId="7BE0DE0C" w14:textId="77777777" w:rsidR="000614AE" w:rsidRPr="005A442F" w:rsidRDefault="000614AE" w:rsidP="001600C7">
            <w:pPr>
              <w:pStyle w:val="TableText"/>
              <w:rPr>
                <w:bCs/>
              </w:rPr>
            </w:pPr>
          </w:p>
        </w:tc>
        <w:tc>
          <w:tcPr>
            <w:tcW w:w="7741" w:type="dxa"/>
          </w:tcPr>
          <w:p w14:paraId="7CB36CCA" w14:textId="77777777" w:rsidR="000614AE" w:rsidRPr="005A442F" w:rsidRDefault="000614AE" w:rsidP="001600C7">
            <w:pPr>
              <w:pStyle w:val="TableText"/>
            </w:pPr>
            <w:r w:rsidRPr="005A442F">
              <w:t>No evidence of well rupture or total well integrity failure in historical Isa GBA region operations identified to date.</w:t>
            </w:r>
          </w:p>
          <w:p w14:paraId="0A617A19" w14:textId="77777777" w:rsidR="000614AE" w:rsidRPr="005A442F" w:rsidRDefault="000614AE" w:rsidP="001600C7">
            <w:pPr>
              <w:pStyle w:val="TableText"/>
            </w:pPr>
          </w:p>
          <w:p w14:paraId="5895B62C" w14:textId="77777777" w:rsidR="000614AE" w:rsidRPr="005A442F" w:rsidRDefault="000614AE" w:rsidP="001600C7">
            <w:pPr>
              <w:pStyle w:val="TableText"/>
            </w:pPr>
            <w:r w:rsidRPr="005A442F">
              <w:t xml:space="preserve">W1 impact mode likelihood summary for the Isa GBA region: </w:t>
            </w:r>
            <w:r w:rsidRPr="001600C7">
              <w:rPr>
                <w:b/>
              </w:rPr>
              <w:t>Rare</w:t>
            </w:r>
          </w:p>
          <w:p w14:paraId="027A8C75" w14:textId="77777777" w:rsidR="000614AE" w:rsidRPr="005A442F" w:rsidRDefault="000614AE" w:rsidP="001600C7">
            <w:pPr>
              <w:pStyle w:val="TableText"/>
            </w:pPr>
          </w:p>
        </w:tc>
      </w:tr>
      <w:tr w:rsidR="000614AE" w:rsidRPr="005A442F" w14:paraId="444A4138" w14:textId="77777777" w:rsidTr="0089417C">
        <w:trPr>
          <w:cnfStyle w:val="000000010000" w:firstRow="0" w:lastRow="0" w:firstColumn="0" w:lastColumn="0" w:oddVBand="0" w:evenVBand="0" w:oddHBand="0" w:evenHBand="1" w:firstRowFirstColumn="0" w:firstRowLastColumn="0" w:lastRowFirstColumn="0" w:lastRowLastColumn="0"/>
        </w:trPr>
        <w:tc>
          <w:tcPr>
            <w:tcW w:w="1840" w:type="dxa"/>
          </w:tcPr>
          <w:p w14:paraId="4F4AA377" w14:textId="77777777" w:rsidR="000614AE" w:rsidRPr="005A442F" w:rsidRDefault="000614AE" w:rsidP="001600C7">
            <w:pPr>
              <w:pStyle w:val="TableText"/>
            </w:pPr>
            <w:r w:rsidRPr="005A442F">
              <w:t>W2 - Migration along casing from reservoir to surface</w:t>
            </w:r>
          </w:p>
          <w:p w14:paraId="7D6DE099" w14:textId="77777777" w:rsidR="000614AE" w:rsidRPr="005A442F" w:rsidRDefault="000614AE" w:rsidP="001600C7">
            <w:pPr>
              <w:pStyle w:val="TableText"/>
              <w:rPr>
                <w:bCs/>
              </w:rPr>
            </w:pPr>
          </w:p>
        </w:tc>
        <w:tc>
          <w:tcPr>
            <w:tcW w:w="7741" w:type="dxa"/>
          </w:tcPr>
          <w:p w14:paraId="7B4E3BA6" w14:textId="77777777" w:rsidR="000614AE" w:rsidRPr="005A442F" w:rsidRDefault="000614AE" w:rsidP="001600C7">
            <w:pPr>
              <w:pStyle w:val="TableText"/>
            </w:pPr>
            <w:r w:rsidRPr="005A442F">
              <w:t>No evidence of well rupture or total well integrity failure in historical Isa GBA region operations identified to date.</w:t>
            </w:r>
          </w:p>
          <w:p w14:paraId="03534911" w14:textId="77777777" w:rsidR="000614AE" w:rsidRPr="005A442F" w:rsidRDefault="000614AE" w:rsidP="001600C7">
            <w:pPr>
              <w:pStyle w:val="TableText"/>
            </w:pPr>
          </w:p>
          <w:p w14:paraId="2D26CB19" w14:textId="77777777" w:rsidR="000614AE" w:rsidRPr="005A442F" w:rsidRDefault="000614AE" w:rsidP="001600C7">
            <w:pPr>
              <w:pStyle w:val="TableText"/>
            </w:pPr>
            <w:r w:rsidRPr="005A442F">
              <w:t xml:space="preserve">W2 impact mode likelihood summary for the Isa GBA region: </w:t>
            </w:r>
            <w:r w:rsidRPr="001600C7">
              <w:rPr>
                <w:b/>
              </w:rPr>
              <w:t>Rare</w:t>
            </w:r>
          </w:p>
        </w:tc>
      </w:tr>
      <w:tr w:rsidR="000614AE" w:rsidRPr="005A442F" w14:paraId="0D482A03"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6FB4E898" w14:textId="77777777" w:rsidR="000614AE" w:rsidRPr="005A442F" w:rsidRDefault="000614AE" w:rsidP="001600C7">
            <w:pPr>
              <w:pStyle w:val="TableText"/>
            </w:pPr>
            <w:r w:rsidRPr="005A442F">
              <w:t>W3 - Migration along casing between rock layers</w:t>
            </w:r>
          </w:p>
          <w:p w14:paraId="0A4BF49A" w14:textId="77777777" w:rsidR="000614AE" w:rsidRPr="005A442F" w:rsidRDefault="000614AE" w:rsidP="001600C7">
            <w:pPr>
              <w:pStyle w:val="TableText"/>
              <w:rPr>
                <w:bCs/>
              </w:rPr>
            </w:pPr>
          </w:p>
        </w:tc>
        <w:tc>
          <w:tcPr>
            <w:tcW w:w="7741" w:type="dxa"/>
          </w:tcPr>
          <w:p w14:paraId="1EF36248" w14:textId="77777777" w:rsidR="000614AE" w:rsidRPr="005A442F" w:rsidRDefault="000614AE" w:rsidP="001600C7">
            <w:pPr>
              <w:pStyle w:val="TableText"/>
              <w:rPr>
                <w:noProof/>
              </w:rPr>
            </w:pPr>
            <w:r w:rsidRPr="005A442F">
              <w:rPr>
                <w:noProof/>
              </w:rPr>
              <w:t>Johnson et al. (2014) noted that horizontal drilling instabilitie</w:t>
            </w:r>
            <w:r w:rsidRPr="005A442F">
              <w:rPr>
                <w:rFonts w:ascii="Calibri" w:hAnsi="Calibri"/>
                <w:noProof/>
                <w:color w:val="000000" w:themeColor="text1"/>
              </w:rPr>
              <w:t xml:space="preserve">s in </w:t>
            </w:r>
            <w:r w:rsidRPr="005A442F">
              <w:rPr>
                <w:rFonts w:ascii="Calibri" w:hAnsi="Calibri"/>
                <w:color w:val="000000" w:themeColor="text1"/>
              </w:rPr>
              <w:t>Egilabria 2</w:t>
            </w:r>
            <w:r w:rsidRPr="005A442F">
              <w:rPr>
                <w:rFonts w:ascii="Calibri" w:hAnsi="Calibri"/>
                <w:noProof/>
                <w:color w:val="000000" w:themeColor="text1"/>
              </w:rPr>
              <w:t xml:space="preserve"> led to a</w:t>
            </w:r>
            <w:r w:rsidRPr="005A442F">
              <w:rPr>
                <w:rFonts w:ascii="Calibri" w:hAnsi="Calibri"/>
                <w:color w:val="000000" w:themeColor="text1"/>
              </w:rPr>
              <w:t xml:space="preserve"> </w:t>
            </w:r>
            <w:r w:rsidRPr="005A442F">
              <w:t xml:space="preserve">two-stage cement job with areas of poor cement bonding, however cementing issues in the horizontal section of a well would not lead to vertical migration of fluids. </w:t>
            </w:r>
          </w:p>
          <w:p w14:paraId="7A0E2FAE" w14:textId="77777777" w:rsidR="000614AE" w:rsidRPr="005A442F" w:rsidRDefault="000614AE" w:rsidP="001600C7">
            <w:pPr>
              <w:pStyle w:val="TableText"/>
            </w:pPr>
            <w:r w:rsidRPr="005A442F">
              <w:t xml:space="preserve">W3 impact mode likelihood summary for the Isa GBA region: </w:t>
            </w:r>
            <w:r w:rsidRPr="001600C7">
              <w:rPr>
                <w:b/>
              </w:rPr>
              <w:t>Unlikely</w:t>
            </w:r>
            <w:r w:rsidRPr="005A442F">
              <w:t xml:space="preserve"> </w:t>
            </w:r>
          </w:p>
        </w:tc>
      </w:tr>
      <w:tr w:rsidR="000614AE" w:rsidRPr="005A442F" w14:paraId="5935C71B" w14:textId="77777777" w:rsidTr="0089417C">
        <w:trPr>
          <w:cnfStyle w:val="000000010000" w:firstRow="0" w:lastRow="0" w:firstColumn="0" w:lastColumn="0" w:oddVBand="0" w:evenVBand="0" w:oddHBand="0" w:evenHBand="1" w:firstRowFirstColumn="0" w:firstRowLastColumn="0" w:lastRowFirstColumn="0" w:lastRowLastColumn="0"/>
        </w:trPr>
        <w:tc>
          <w:tcPr>
            <w:tcW w:w="1840" w:type="dxa"/>
          </w:tcPr>
          <w:p w14:paraId="24807C0D" w14:textId="77777777" w:rsidR="000614AE" w:rsidRPr="005A442F" w:rsidRDefault="000614AE" w:rsidP="001600C7">
            <w:pPr>
              <w:pStyle w:val="TableText"/>
            </w:pPr>
            <w:r w:rsidRPr="005A442F">
              <w:t>W4 - Migration along decommissioned / abandoned wells</w:t>
            </w:r>
          </w:p>
          <w:p w14:paraId="7023B2B8" w14:textId="77777777" w:rsidR="000614AE" w:rsidRPr="005A442F" w:rsidRDefault="000614AE" w:rsidP="001600C7">
            <w:pPr>
              <w:pStyle w:val="TableText"/>
              <w:rPr>
                <w:bCs/>
              </w:rPr>
            </w:pPr>
          </w:p>
        </w:tc>
        <w:tc>
          <w:tcPr>
            <w:tcW w:w="7741" w:type="dxa"/>
          </w:tcPr>
          <w:p w14:paraId="248C3F4C" w14:textId="77777777" w:rsidR="000614AE" w:rsidRPr="005A442F" w:rsidRDefault="000614AE" w:rsidP="001600C7">
            <w:pPr>
              <w:pStyle w:val="TableText"/>
            </w:pPr>
            <w:r w:rsidRPr="005A442F">
              <w:t>No evidence of fluid migration along decommissioned / abandoned wells in historical Isa GBA region operations identified to date.</w:t>
            </w:r>
          </w:p>
          <w:p w14:paraId="3365033A" w14:textId="77777777" w:rsidR="000614AE" w:rsidRPr="005A442F" w:rsidRDefault="000614AE" w:rsidP="001600C7">
            <w:pPr>
              <w:pStyle w:val="TableText"/>
            </w:pPr>
          </w:p>
          <w:p w14:paraId="45399FE3" w14:textId="77777777" w:rsidR="000614AE" w:rsidRPr="005A442F" w:rsidRDefault="000614AE" w:rsidP="001600C7">
            <w:pPr>
              <w:pStyle w:val="TableText"/>
            </w:pPr>
            <w:r w:rsidRPr="005A442F">
              <w:t>Minimal numbers of abandoned wells in the Isa GBA region from which to gather data.</w:t>
            </w:r>
          </w:p>
          <w:p w14:paraId="4EB79CCF" w14:textId="77777777" w:rsidR="000614AE" w:rsidRPr="005A442F" w:rsidRDefault="000614AE" w:rsidP="001600C7">
            <w:pPr>
              <w:pStyle w:val="TableText"/>
            </w:pPr>
          </w:p>
          <w:p w14:paraId="750786C4" w14:textId="77777777" w:rsidR="000614AE" w:rsidRPr="005A442F" w:rsidRDefault="000614AE" w:rsidP="001600C7">
            <w:pPr>
              <w:pStyle w:val="TableText"/>
            </w:pPr>
            <w:r w:rsidRPr="005A442F">
              <w:t>Companies could be approached for monitoring data on decommissioned / abandoned Isa GBA region wells or data could be generated from fieldwork for potential Stage 3 analysis.</w:t>
            </w:r>
          </w:p>
          <w:p w14:paraId="3CC9F7AD" w14:textId="77777777" w:rsidR="000614AE" w:rsidRPr="005A442F" w:rsidRDefault="000614AE" w:rsidP="001600C7">
            <w:pPr>
              <w:pStyle w:val="TableText"/>
            </w:pPr>
          </w:p>
          <w:p w14:paraId="2B2F8609" w14:textId="77777777" w:rsidR="000614AE" w:rsidRPr="005A442F" w:rsidRDefault="000614AE" w:rsidP="001600C7">
            <w:pPr>
              <w:pStyle w:val="TableText"/>
            </w:pPr>
            <w:r w:rsidRPr="005A442F">
              <w:t xml:space="preserve">W4 impact mode likelihood summary for the Isa GBA region: </w:t>
            </w:r>
            <w:r w:rsidRPr="001600C7">
              <w:rPr>
                <w:b/>
              </w:rPr>
              <w:t>Not assessed</w:t>
            </w:r>
          </w:p>
        </w:tc>
      </w:tr>
      <w:tr w:rsidR="000614AE" w:rsidRPr="005A442F" w14:paraId="24D872FF"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7F244DB7" w14:textId="77777777" w:rsidR="000614AE" w:rsidRPr="005A442F" w:rsidRDefault="000614AE" w:rsidP="001600C7">
            <w:pPr>
              <w:pStyle w:val="TableText"/>
            </w:pPr>
            <w:r w:rsidRPr="005A442F">
              <w:t>W5 - Loss of well control (blowout)</w:t>
            </w:r>
          </w:p>
          <w:p w14:paraId="2EC66FCD" w14:textId="77777777" w:rsidR="000614AE" w:rsidRPr="005A442F" w:rsidRDefault="000614AE" w:rsidP="001600C7">
            <w:pPr>
              <w:pStyle w:val="TableText"/>
              <w:rPr>
                <w:bCs/>
              </w:rPr>
            </w:pPr>
          </w:p>
        </w:tc>
        <w:tc>
          <w:tcPr>
            <w:tcW w:w="7741" w:type="dxa"/>
          </w:tcPr>
          <w:p w14:paraId="0DBBCAF1" w14:textId="77777777" w:rsidR="000614AE" w:rsidRPr="005A442F" w:rsidRDefault="000614AE" w:rsidP="001600C7">
            <w:pPr>
              <w:pStyle w:val="TableText"/>
            </w:pPr>
            <w:r w:rsidRPr="005A442F">
              <w:t>No evide</w:t>
            </w:r>
            <w:r w:rsidRPr="005A442F">
              <w:rPr>
                <w:rFonts w:ascii="Calibri" w:hAnsi="Calibri"/>
                <w:color w:val="000000" w:themeColor="text1"/>
              </w:rPr>
              <w:t xml:space="preserve">nce of loss of well control or blowout has been identified in the Isa GBA region to date. Overpressured intervals have been noted but are not expected to be common </w:t>
            </w:r>
            <w:r w:rsidRPr="005A442F">
              <w:t>in the Isa GBA region.</w:t>
            </w:r>
          </w:p>
          <w:p w14:paraId="78652D41" w14:textId="77777777" w:rsidR="000614AE" w:rsidRPr="005A442F" w:rsidRDefault="000614AE" w:rsidP="001600C7">
            <w:pPr>
              <w:pStyle w:val="TableText"/>
            </w:pPr>
          </w:p>
          <w:p w14:paraId="1E00EEDE" w14:textId="7BE07DBB" w:rsidR="000614AE" w:rsidRPr="005A442F" w:rsidRDefault="000614AE" w:rsidP="001600C7">
            <w:pPr>
              <w:pStyle w:val="TableText"/>
            </w:pPr>
            <w:r w:rsidRPr="005A442F">
              <w:t xml:space="preserve">W5 impact mode likelihood summary for the Isa GBA region: </w:t>
            </w:r>
            <w:r w:rsidRPr="001600C7">
              <w:rPr>
                <w:b/>
              </w:rPr>
              <w:t>Rare</w:t>
            </w:r>
          </w:p>
        </w:tc>
      </w:tr>
    </w:tbl>
    <w:p w14:paraId="1EC06AE5" w14:textId="35525138" w:rsidR="00651639" w:rsidRDefault="00651639" w:rsidP="00985B69">
      <w:pPr>
        <w:pStyle w:val="BodyText"/>
      </w:pPr>
      <w:r>
        <w:br w:type="page"/>
      </w:r>
    </w:p>
    <w:p w14:paraId="3202A916" w14:textId="77777777" w:rsidR="000614AE" w:rsidRPr="005A442F" w:rsidRDefault="000614AE" w:rsidP="00985B69">
      <w:pPr>
        <w:pStyle w:val="BodyText"/>
      </w:pPr>
    </w:p>
    <w:p w14:paraId="56D186E4" w14:textId="77777777" w:rsidR="000614AE" w:rsidRPr="005A442F" w:rsidRDefault="000614AE" w:rsidP="00985B69">
      <w:pPr>
        <w:pStyle w:val="BodyText"/>
      </w:pPr>
      <w:bookmarkStart w:id="182" w:name="_Toc5272809"/>
      <w:r w:rsidRPr="005A442F">
        <w:br w:type="page"/>
      </w:r>
    </w:p>
    <w:p w14:paraId="56181466" w14:textId="7418BDFD" w:rsidR="000614AE" w:rsidRPr="000614AE" w:rsidRDefault="000614AE" w:rsidP="000614AE">
      <w:pPr>
        <w:pStyle w:val="Heading2notnumbered"/>
      </w:pPr>
      <w:bookmarkStart w:id="183" w:name="_Toc36042872"/>
      <w:r w:rsidRPr="000614AE">
        <w:t>Beetaloo addendum</w:t>
      </w:r>
      <w:bookmarkEnd w:id="183"/>
    </w:p>
    <w:p w14:paraId="3F30BF68" w14:textId="3D21D5E9" w:rsidR="000614AE" w:rsidRPr="0073617F" w:rsidRDefault="000614AE" w:rsidP="0073617F">
      <w:pPr>
        <w:pStyle w:val="Heading3notnumbered"/>
        <w:rPr>
          <w:i w:val="0"/>
        </w:rPr>
      </w:pPr>
      <w:bookmarkStart w:id="184" w:name="_Toc36042873"/>
      <w:r w:rsidRPr="0073617F">
        <w:rPr>
          <w:i w:val="0"/>
        </w:rPr>
        <w:t>Hydraulic fracturing impact mode review for the Beetaloo GBA region</w:t>
      </w:r>
      <w:bookmarkEnd w:id="182"/>
      <w:bookmarkEnd w:id="184"/>
    </w:p>
    <w:p w14:paraId="4C2BC5CF" w14:textId="40269D48" w:rsidR="000614AE" w:rsidRDefault="000614AE" w:rsidP="000614AE">
      <w:pPr>
        <w:pStyle w:val="BodyText"/>
      </w:pPr>
      <w:r w:rsidRPr="005A442F">
        <w:t xml:space="preserve">The Beetaloo basin is in the early stages of a resurgence of exploration and appraisal including hydraulic fracture stimulation activities. </w:t>
      </w:r>
      <w:bookmarkStart w:id="185" w:name="_Hlk14254149"/>
      <w:r w:rsidRPr="005A442F">
        <w:t>Two hydraulic fracture stimulations have been conducted in the Beetaloo GBA region to date</w:t>
      </w:r>
      <w:r w:rsidR="003E0F0B">
        <w:t xml:space="preserve"> (see </w:t>
      </w:r>
      <w:r w:rsidR="003E0F0B">
        <w:fldChar w:fldCharType="begin"/>
      </w:r>
      <w:r w:rsidR="003E0F0B">
        <w:instrText xml:space="preserve"> REF _Ref22651397 \h </w:instrText>
      </w:r>
      <w:r w:rsidR="003E0F0B">
        <w:fldChar w:fldCharType="separate"/>
      </w:r>
      <w:r w:rsidR="00073927" w:rsidRPr="005A442F">
        <w:t xml:space="preserve">Figure </w:t>
      </w:r>
      <w:r w:rsidR="00073927">
        <w:rPr>
          <w:noProof/>
        </w:rPr>
        <w:t>6</w:t>
      </w:r>
      <w:r w:rsidR="003E0F0B">
        <w:fldChar w:fldCharType="end"/>
      </w:r>
      <w:r w:rsidR="003E0F0B">
        <w:t>)</w:t>
      </w:r>
      <w:r w:rsidRPr="005A442F">
        <w:t xml:space="preserve">. The first hydraulic fracture stimulation of a petroleum well in the Beetaloo GBA region was in 2011 in the Shenandoah 1A exploration well in the Velkerri Formation. The Velkerri Formation was targeted by a second exploration well in the Beetaloo GBA region, Amungee NW-H1, which was hydraulic fractured in August 2016. The hydraulic fracture stimulation of the Amungee NW-H1 well was completed in accordance with industry standards and best practices issued by the American Petroleum Institute </w:t>
      </w:r>
      <w:r w:rsidRPr="005A442F">
        <w:fldChar w:fldCharType="begin" w:fldLock="1"/>
      </w:r>
      <w:r w:rsidRPr="0084217F">
        <w:instrText>ADDIN CSL_CITATION {"citationItems":[{"id":"ITEM-1","itemData":{"author":[{"dropping-particle":"","family":"Origin Energy","given":"","non-dropping-particle":"","parse-names":false,"suffix":""}],"id":"ITEM-1","issued":{"date-parts":[["2016"]]},"number-of-pages":"278","title":"2016 Hydraulic Stimulation and Well Testing Ep: Amungee Nw-1h, And Beetaloo W-1 Or Nutwood Downs Sw-1","type":"report"},"uris":["http://www.mendeley.com/documents/?uuid=b8d56b37-f643-4b39-937e-abaff49cd749"]}],"mendeley":{"formattedCitation":"(Origin Energy, 2016)","plainTextFormattedCitation":"(Origin Energy, 2016)","previouslyFormattedCitation":"(Origin Energy, 2016)"},"properties":{"noteIndex":0},"schema":"https://github.com/citation-style-language/schema/raw/master/csl-citation.json"}</w:instrText>
      </w:r>
      <w:r w:rsidRPr="005A442F">
        <w:fldChar w:fldCharType="separate"/>
      </w:r>
      <w:r w:rsidRPr="005A442F">
        <w:rPr>
          <w:noProof/>
        </w:rPr>
        <w:t>(Origin Energy, 2016)</w:t>
      </w:r>
      <w:r w:rsidRPr="005A442F">
        <w:fldChar w:fldCharType="end"/>
      </w:r>
      <w:r w:rsidRPr="005A442F">
        <w:t xml:space="preserve"> and as documented in </w:t>
      </w:r>
      <w:r w:rsidRPr="005A442F">
        <w:fldChar w:fldCharType="begin" w:fldLock="1"/>
      </w:r>
      <w:r w:rsidRPr="005A442F">
        <w:instrText>ADDIN CSL_CITATION {"citationItems":[{"id":"ITEM-1","itemData":{"author":[{"dropping-particle":"","family":"Close","given":"David I","non-dropping-particle":"","parse-names":false,"suffix":""},{"dropping-particle":"","family":"Côté","given":"Alexander J","non-dropping-particle":"","parse-names":false,"suffix":""},{"dropping-particle":"","family":"Baruch","given":"Elizabeth T","non-dropping-particle":"","parse-names":false,"suffix":""},{"dropping-particle":"","family":"Altmann","given":"Carl M","non-dropping-particle":"","parse-names":false,"suffix":""},{"dropping-particle":"","family":"Mohinudeen","given":"Faiz M","non-dropping-particle":"","parse-names":false,"suffix":""},{"dropping-particle":"","family":"Richards","given":"Brenton","non-dropping-particle":"","parse-names":false,"suffix":""},{"dropping-particle":"","family":"Ilett","given":"Rachael","non-dropping-particle":"","parse-names":false,"suffix":""}],"container-title":"Annual Geoscience Exploration Seminar (AGES)","id":"ITEM-1","issue":"March","issued":{"date-parts":[["2017","3"]]},"page":"91-97","publisher-place":"Alice Springs","title":"Proterozoic shale gas plays in the Beetaloo Basin and the Amungee NW-1H discovery","type":"paper-conference"},"uris":["http://www.mendeley.com/documents/?uuid=81ac900f-916b-4d87-b357-73d964a7b0c7"]}],"mendeley":{"formattedCitation":"(Close &lt;i&gt;et al.&lt;/i&gt;, 2017)","manualFormatting":"Close et al., (2017)","plainTextFormattedCitation":"(Close et al., 2017)","previouslyFormattedCitation":"(Close &lt;i&gt;et al.&lt;/i&gt;, 2017)"},"properties":{"noteIndex":0},"schema":"https://github.com/citation-style-language/schema/raw/master/csl-citation.json"}</w:instrText>
      </w:r>
      <w:r w:rsidRPr="005A442F">
        <w:fldChar w:fldCharType="separate"/>
      </w:r>
      <w:r w:rsidRPr="005A442F">
        <w:rPr>
          <w:noProof/>
        </w:rPr>
        <w:t>Close et al., (2017)</w:t>
      </w:r>
      <w:r w:rsidRPr="005A442F">
        <w:fldChar w:fldCharType="end"/>
      </w:r>
      <w:r w:rsidRPr="005A442F">
        <w:t xml:space="preserve"> was the stimulation was completed successfully with no environmental incidents.</w:t>
      </w:r>
    </w:p>
    <w:p w14:paraId="7960EFAA" w14:textId="77777777" w:rsidR="003E0F0B" w:rsidRPr="005A442F" w:rsidRDefault="003E0F0B" w:rsidP="003E0F0B">
      <w:pPr>
        <w:pStyle w:val="BodyText"/>
      </w:pPr>
      <w:r w:rsidRPr="005A442F">
        <w:t xml:space="preserve">The operator, Origin Energy, has submitted an Environmental Management Plan (EP117 N2) to the NT Department of Natural Resources proposing the construction of another exploration petroleum well (Kyala 117 N2-1) in the Beetaloo GBA region. This new exploration well would target the Kyalla formation. As noted in </w:t>
      </w:r>
      <w:r w:rsidRPr="005A442F">
        <w:fldChar w:fldCharType="begin" w:fldLock="1"/>
      </w:r>
      <w:r>
        <w:instrText>ADDIN CSL_CITATION {"citationItems":[{"id":"ITEM-1","itemData":{"author":[{"dropping-particle":"","family":"Origin Energy","given":"","non-dropping-particle":"","parse-names":false,"suffix":""}],"id":"ITEM-1","issued":{"date-parts":[["2017"]]},"number-of-pages":"46","title":"Origin Energy Submission 233 - Response to Information Request from the NT Hydraulic Fracturing Inquiry","type":"report"},"uris":["http://www.mendeley.com/documents/?uuid=5b6f4e0d-fc72-4f56-9b05-4ecc16c53a1f"]}],"mendeley":{"formattedCitation":"(Origin Energy, 2017)","manualFormatting":"Origin Energy, (2017)","plainTextFormattedCitation":"(Origin Energy, 2017)","previouslyFormattedCitation":"(Origin Energy, 2017)"},"properties":{"noteIndex":0},"schema":"https://github.com/citation-style-language/schema/raw/master/csl-citation.json"}</w:instrText>
      </w:r>
      <w:r w:rsidRPr="005A442F">
        <w:fldChar w:fldCharType="separate"/>
      </w:r>
      <w:r w:rsidRPr="005A442F">
        <w:rPr>
          <w:noProof/>
        </w:rPr>
        <w:t>Origin Energy, (2017)</w:t>
      </w:r>
      <w:r w:rsidRPr="005A442F">
        <w:fldChar w:fldCharType="end"/>
      </w:r>
      <w:r w:rsidRPr="005A442F">
        <w:t>, both the Kyalla and Velkerri formations are potential target formations for development in the Beetaloo GBA region.</w:t>
      </w:r>
    </w:p>
    <w:p w14:paraId="772051F3" w14:textId="6B159FD1" w:rsidR="003E0F0B" w:rsidRPr="005A442F" w:rsidRDefault="003E0F0B" w:rsidP="003E0F0B">
      <w:pPr>
        <w:pStyle w:val="BodyText"/>
      </w:pPr>
      <w:r w:rsidRPr="005A442F">
        <w:t>Approximately 1</w:t>
      </w:r>
      <w:r w:rsidR="00FA3C6A">
        <w:t xml:space="preserve"> </w:t>
      </w:r>
      <w:r w:rsidRPr="005A442F">
        <w:t xml:space="preserve">ML of hydraulic fracturing fluid was pumped in each of 11 stages in the hydraulic fracturing stimulation of the Amungee NW-H1 exploration well </w:t>
      </w:r>
      <w:r w:rsidRPr="005A442F">
        <w:fldChar w:fldCharType="begin" w:fldLock="1"/>
      </w:r>
      <w:r w:rsidRPr="005A442F">
        <w:instrText>ADDIN CSL_CITATION {"citationItems":[{"id":"ITEM-1","itemData":{"author":[{"dropping-particle":"","family":"Close","given":"David I","non-dropping-particle":"","parse-names":false,"suffix":""},{"dropping-particle":"","family":"Côté","given":"Alexander J","non-dropping-particle":"","parse-names":false,"suffix":""},{"dropping-particle":"","family":"Baruch","given":"Elizabeth T","non-dropping-particle":"","parse-names":false,"suffix":""},{"dropping-particle":"","family":"Altmann","given":"Carl M","non-dropping-particle":"","parse-names":false,"suffix":""},{"dropping-particle":"","family":"Mohinudeen","given":"Faiz M","non-dropping-particle":"","parse-names":false,"suffix":""},{"dropping-particle":"","family":"Richards","given":"Brenton","non-dropping-particle":"","parse-names":false,"suffix":""},{"dropping-particle":"","family":"Ilett","given":"Rachael","non-dropping-particle":"","parse-names":false,"suffix":""}],"container-title":"Annual Geoscience Exploration Seminar (AGES)","id":"ITEM-1","issue":"March","issued":{"date-parts":[["2017","3"]]},"page":"91-97","publisher-place":"Alice Springs","title":"Proterozoic shale gas plays in the Beetaloo Basin and the Amungee NW-1H discovery","type":"paper-conference"},"uris":["http://www.mendeley.com/documents/?uuid=81ac900f-916b-4d87-b357-73d964a7b0c7"]}],"mendeley":{"formattedCitation":"(Close &lt;i&gt;et al.&lt;/i&gt;, 2017)","plainTextFormattedCitation":"(Close et al., 2017)","previouslyFormattedCitation":"(Close &lt;i&gt;et al.&lt;/i&gt;, 2017)"},"properties":{"noteIndex":0},"schema":"https://github.com/citation-style-language/schema/raw/master/csl-citation.json"}</w:instrText>
      </w:r>
      <w:r w:rsidRPr="005A442F">
        <w:fldChar w:fldCharType="separate"/>
      </w:r>
      <w:r w:rsidRPr="005A442F">
        <w:rPr>
          <w:noProof/>
        </w:rPr>
        <w:t>(Close et al., 2017)</w:t>
      </w:r>
      <w:r w:rsidRPr="005A442F">
        <w:fldChar w:fldCharType="end"/>
      </w:r>
      <w:r w:rsidRPr="005A442F">
        <w:t>. The recent Environmental Management Plan submission, proposes approximately 1.3</w:t>
      </w:r>
      <w:r>
        <w:t xml:space="preserve"> </w:t>
      </w:r>
      <w:r w:rsidRPr="005A442F">
        <w:t xml:space="preserve">ML of hydraulic fracture fluid will be pumped in each stage of the hydraulic fracture stimulation of the Kyalla 117 N2-1/1H exploration well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w:t>
      </w:r>
    </w:p>
    <w:p w14:paraId="3CA99FFB" w14:textId="77777777" w:rsidR="003E0F0B" w:rsidRDefault="003E0F0B" w:rsidP="000614AE">
      <w:pPr>
        <w:pStyle w:val="BodyText"/>
      </w:pPr>
    </w:p>
    <w:p w14:paraId="308677F3" w14:textId="1C607647" w:rsidR="003E0F0B" w:rsidRDefault="003E0F0B" w:rsidP="00FA3C6A">
      <w:pPr>
        <w:pStyle w:val="Figures"/>
      </w:pPr>
      <w:r>
        <w:rPr>
          <w:noProof/>
        </w:rPr>
        <w:drawing>
          <wp:inline distT="0" distB="0" distL="0" distR="0" wp14:anchorId="76ED87C6" wp14:editId="5DFA9B3A">
            <wp:extent cx="5196085" cy="6152380"/>
            <wp:effectExtent l="0" t="0" r="508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b="10678"/>
                    <a:stretch/>
                  </pic:blipFill>
                  <pic:spPr bwMode="auto">
                    <a:xfrm>
                      <a:off x="0" y="0"/>
                      <a:ext cx="5208574" cy="6167168"/>
                    </a:xfrm>
                    <a:prstGeom prst="rect">
                      <a:avLst/>
                    </a:prstGeom>
                    <a:noFill/>
                    <a:ln>
                      <a:noFill/>
                    </a:ln>
                    <a:extLst>
                      <a:ext uri="{53640926-AAD7-44D8-BBD7-CCE9431645EC}">
                        <a14:shadowObscured xmlns:a14="http://schemas.microsoft.com/office/drawing/2010/main"/>
                      </a:ext>
                    </a:extLst>
                  </pic:spPr>
                </pic:pic>
              </a:graphicData>
            </a:graphic>
          </wp:inline>
        </w:drawing>
      </w:r>
    </w:p>
    <w:p w14:paraId="5ABBE3CE" w14:textId="2214357D" w:rsidR="003E0F0B" w:rsidRPr="005A442F" w:rsidRDefault="003E0F0B" w:rsidP="003E0F0B">
      <w:pPr>
        <w:pStyle w:val="Caption"/>
      </w:pPr>
      <w:bookmarkStart w:id="186" w:name="_Ref22651397"/>
      <w:bookmarkStart w:id="187" w:name="_Toc36042882"/>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6</w:t>
      </w:r>
      <w:r w:rsidRPr="005A442F">
        <w:rPr>
          <w:noProof/>
        </w:rPr>
        <w:fldChar w:fldCharType="end"/>
      </w:r>
      <w:bookmarkEnd w:id="186"/>
      <w:r w:rsidRPr="005A442F">
        <w:t xml:space="preserve"> Map of </w:t>
      </w:r>
      <w:r>
        <w:t>petroleum</w:t>
      </w:r>
      <w:r w:rsidRPr="005A442F">
        <w:t xml:space="preserve"> wells in the </w:t>
      </w:r>
      <w:r>
        <w:t>Beetaloo</w:t>
      </w:r>
      <w:r w:rsidRPr="005A442F">
        <w:t xml:space="preserve"> GBA region and surrounding area (with the location of the hydraulic fracture stimulation</w:t>
      </w:r>
      <w:r>
        <w:t>s</w:t>
      </w:r>
      <w:r w:rsidRPr="005A442F">
        <w:t xml:space="preserve"> in the </w:t>
      </w:r>
      <w:r w:rsidRPr="003E0F0B">
        <w:t>Shenandoah 1A</w:t>
      </w:r>
      <w:r>
        <w:t xml:space="preserve"> and </w:t>
      </w:r>
      <w:r w:rsidRPr="005A442F">
        <w:t>Amungee NW-H1 exploration well</w:t>
      </w:r>
      <w:r>
        <w:t>s</w:t>
      </w:r>
      <w:r w:rsidRPr="005A442F">
        <w:t xml:space="preserve"> shown in green)</w:t>
      </w:r>
      <w:bookmarkEnd w:id="187"/>
    </w:p>
    <w:p w14:paraId="751F31B2" w14:textId="5BB3D7B2" w:rsidR="003E0F0B" w:rsidRDefault="003E0F0B" w:rsidP="003E0F0B">
      <w:pPr>
        <w:pStyle w:val="SourceornoteforTableorFigure"/>
        <w:spacing w:after="0"/>
      </w:pPr>
      <w:r>
        <w:t>Data:</w:t>
      </w:r>
      <w:r w:rsidR="001760D6" w:rsidRPr="001760D6">
        <w:t xml:space="preserve"> Hydraulically fractured locations from Origin Energy (2016) and Close et al. (2017).</w:t>
      </w:r>
    </w:p>
    <w:p w14:paraId="36EDBC03" w14:textId="312B64C0" w:rsidR="003E0F0B" w:rsidRPr="005A442F" w:rsidRDefault="003E0F0B" w:rsidP="003E0F0B">
      <w:pPr>
        <w:pStyle w:val="SourceornoteforTableorFigure"/>
        <w:spacing w:before="0"/>
      </w:pPr>
      <w:r>
        <w:t>Element:</w:t>
      </w:r>
      <w:r w:rsidRPr="003E0F0B">
        <w:t xml:space="preserve"> GBA-BEE-2-366</w:t>
      </w:r>
    </w:p>
    <w:bookmarkEnd w:id="185"/>
    <w:p w14:paraId="0FC95F69" w14:textId="294C965C" w:rsidR="000614AE" w:rsidRPr="005A442F" w:rsidRDefault="000614AE" w:rsidP="003E0F0B">
      <w:pPr>
        <w:pStyle w:val="BodyText"/>
      </w:pPr>
      <w:r w:rsidRPr="005A442F">
        <w:t xml:space="preserve">Data for Origin’s broader Beetaloo exploration area indicates there are very few major faults present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 xml:space="preserve">. Current industry practice is to analyse geological data prior to hydraulic fracture stimulation to determine the presence of minor and major faults which may impact the growth of hydraulic fractures.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 xml:space="preserve"> A number intersected of faults were identified in the Amungee NW-H1 and the hydraulic fracturing stimulation design was adapted to avoid these areas through conservative buffer zones (Close et al., 2017). No excessive vertical hydraulic fracture growth was observed though intersection with transmissive vertically</w:t>
      </w:r>
      <w:r w:rsidR="00435DC5">
        <w:t xml:space="preserve"> </w:t>
      </w:r>
      <w:r w:rsidRPr="005A442F">
        <w:t xml:space="preserve">oriented faults. </w:t>
      </w:r>
      <w:r w:rsidRPr="005A442F">
        <w:br w:type="page"/>
      </w:r>
    </w:p>
    <w:p w14:paraId="20FA6F5D" w14:textId="4E43267B" w:rsidR="000614AE" w:rsidRPr="005A442F" w:rsidRDefault="000614AE" w:rsidP="0073617F">
      <w:pPr>
        <w:pStyle w:val="Heading4notnumbered"/>
      </w:pPr>
      <w:r w:rsidRPr="005A442F">
        <w:t xml:space="preserve">Line of </w:t>
      </w:r>
      <w:r w:rsidR="00360A23">
        <w:t>e</w:t>
      </w:r>
      <w:r w:rsidRPr="005A442F">
        <w:t>vidence 1 qualitative assessment for Beetaloo GBA region hydraulic fracturing impact modes</w:t>
      </w:r>
    </w:p>
    <w:p w14:paraId="428F0399" w14:textId="77777777" w:rsidR="000614AE" w:rsidRPr="005A442F" w:rsidRDefault="000614AE" w:rsidP="000614AE">
      <w:pPr>
        <w:pStyle w:val="Heading6notnumbered"/>
      </w:pPr>
      <w:r w:rsidRPr="005A442F">
        <w:t>F.1</w:t>
      </w:r>
      <w:r w:rsidRPr="005A442F">
        <w:tab/>
        <w:t>Hydraulic fracture growth into aquifer</w:t>
      </w:r>
    </w:p>
    <w:p w14:paraId="0389E2FF" w14:textId="77777777" w:rsidR="000614AE" w:rsidRPr="005A442F" w:rsidRDefault="000614AE" w:rsidP="000614AE">
      <w:pPr>
        <w:pStyle w:val="BodyText"/>
      </w:pPr>
      <w:r w:rsidRPr="005A442F">
        <w:t>As hydraulic fracture stimulation has only been applied to two wells in the Beetaloo GBA region, there is limited there is limited evidence to review for this impact mode, however, there is substantial physical separation between the Kyalla and Velkerri formations and the closest overlying aquifers.</w:t>
      </w:r>
    </w:p>
    <w:p w14:paraId="5BD5FF04" w14:textId="68A288BB" w:rsidR="000614AE" w:rsidRPr="005A442F" w:rsidRDefault="000614AE" w:rsidP="000614AE">
      <w:pPr>
        <w:pStyle w:val="BodyText"/>
      </w:pPr>
      <w:r w:rsidRPr="005A442F">
        <w:t xml:space="preserve">Therefore, a qualitative analysis of the Beetaloo GBA region indicates the potential likelihood of a hydraulic fracture extending into an aquifer unit is similar to other international </w:t>
      </w:r>
      <w:r w:rsidR="00BC68CE">
        <w:t>shale</w:t>
      </w:r>
      <w:r w:rsidRPr="005A442F">
        <w:t xml:space="preserve"> gas developments (Rare) where there is significant (&gt;1,000</w:t>
      </w:r>
      <w:r w:rsidR="00FD4557">
        <w:t xml:space="preserve"> </w:t>
      </w:r>
      <w:r w:rsidRPr="005A442F">
        <w:t xml:space="preserve">m) distance between the target interval and the closest aquifer. This also reflects the findings of the </w:t>
      </w:r>
      <w:r w:rsidRPr="00220117">
        <w:rPr>
          <w:i/>
        </w:rPr>
        <w:t xml:space="preserve">Final </w:t>
      </w:r>
      <w:r w:rsidR="00220117">
        <w:rPr>
          <w:i/>
        </w:rPr>
        <w:t>r</w:t>
      </w:r>
      <w:r w:rsidRPr="00220117">
        <w:rPr>
          <w:i/>
        </w:rPr>
        <w:t xml:space="preserve">eport of the </w:t>
      </w:r>
      <w:r w:rsidR="00220117">
        <w:rPr>
          <w:i/>
        </w:rPr>
        <w:t>s</w:t>
      </w:r>
      <w:r w:rsidRPr="00220117">
        <w:rPr>
          <w:i/>
        </w:rPr>
        <w:t xml:space="preserve">cientific </w:t>
      </w:r>
      <w:r w:rsidR="00220117">
        <w:rPr>
          <w:i/>
        </w:rPr>
        <w:t>i</w:t>
      </w:r>
      <w:r w:rsidRPr="00220117">
        <w:rPr>
          <w:i/>
        </w:rPr>
        <w:t xml:space="preserve">nquiry into </w:t>
      </w:r>
      <w:r w:rsidR="00220117">
        <w:rPr>
          <w:i/>
        </w:rPr>
        <w:t>h</w:t>
      </w:r>
      <w:r w:rsidRPr="00220117">
        <w:rPr>
          <w:i/>
        </w:rPr>
        <w:t xml:space="preserve">ydraulic </w:t>
      </w:r>
      <w:r w:rsidR="00220117">
        <w:rPr>
          <w:i/>
        </w:rPr>
        <w:t>f</w:t>
      </w:r>
      <w:r w:rsidRPr="00220117">
        <w:rPr>
          <w:i/>
        </w:rPr>
        <w:t>racturing in the Northern Territory</w:t>
      </w:r>
      <w:r w:rsidRPr="005A442F">
        <w:t xml:space="preserve"> (Pepper et al., 2018).</w:t>
      </w:r>
    </w:p>
    <w:p w14:paraId="3BA52700" w14:textId="77777777" w:rsidR="000614AE" w:rsidRPr="005A442F" w:rsidRDefault="000614AE" w:rsidP="000614AE">
      <w:pPr>
        <w:pStyle w:val="Heading6notnumbered"/>
      </w:pPr>
      <w:r w:rsidRPr="005A442F">
        <w:t>F.2</w:t>
      </w:r>
      <w:r w:rsidRPr="005A442F">
        <w:tab/>
        <w:t>Hydraulic fracture growth into well</w:t>
      </w:r>
    </w:p>
    <w:p w14:paraId="49D61014" w14:textId="77777777" w:rsidR="000614AE" w:rsidRPr="005A442F" w:rsidRDefault="000614AE" w:rsidP="000614AE">
      <w:pPr>
        <w:pStyle w:val="BodyText"/>
      </w:pPr>
      <w:r w:rsidRPr="005A442F">
        <w:t>The density of wells in the Beetaloo GBA region is very low and therefore the current likelihood of a hydraulic fracture treatment intersecting an offset well is very remote.</w:t>
      </w:r>
    </w:p>
    <w:p w14:paraId="3433AA61" w14:textId="77777777" w:rsidR="000614AE" w:rsidRPr="005A442F" w:rsidRDefault="000614AE" w:rsidP="000614AE">
      <w:pPr>
        <w:pStyle w:val="BodyText"/>
        <w:widowControl w:val="0"/>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relatively common but pose a low risk as the wells would be designed and constructed to withstand the imposed fluid pressure from the intersecting hydraulic fracture.</w:t>
      </w:r>
    </w:p>
    <w:p w14:paraId="3D1C2048" w14:textId="2885AE2C" w:rsidR="000614AE" w:rsidRPr="005A442F" w:rsidRDefault="000614AE" w:rsidP="000614AE">
      <w:pPr>
        <w:pStyle w:val="BodyText"/>
      </w:pPr>
      <w:r w:rsidRPr="005A442F">
        <w:t xml:space="preserve">Therefore, a qualitative analysis of the Beetaloo GBA region indicates the potential likelihood of a hydraulic fracture intersecting and propagating along or damaging another well is similar to other international </w:t>
      </w:r>
      <w:r w:rsidR="00BC68CE">
        <w:t>shale</w:t>
      </w:r>
      <w:r w:rsidRPr="005A442F">
        <w:t xml:space="preserve"> gas developments (Rare). </w:t>
      </w:r>
    </w:p>
    <w:p w14:paraId="7B0F4A36" w14:textId="77777777" w:rsidR="000614AE" w:rsidRPr="005A442F" w:rsidRDefault="000614AE" w:rsidP="000614AE">
      <w:pPr>
        <w:pStyle w:val="Heading6notnumbered"/>
      </w:pPr>
      <w:r w:rsidRPr="005A442F">
        <w:t>F.3</w:t>
      </w:r>
      <w:r w:rsidRPr="005A442F">
        <w:tab/>
        <w:t>Hydraulic fracture growth into fault</w:t>
      </w:r>
    </w:p>
    <w:p w14:paraId="149EF494" w14:textId="1192A7BC" w:rsidR="000614AE" w:rsidRPr="005A442F" w:rsidRDefault="000614AE" w:rsidP="000614AE">
      <w:pPr>
        <w:pStyle w:val="BodyText"/>
      </w:pPr>
      <w:r w:rsidRPr="005A442F">
        <w:t>Evidence from hydraulic fracturing activities to date in the Beetaloo GBA region has not indicated that excessive vertical hydraulic fracture growth has occurred though intersection with transmissive vertically</w:t>
      </w:r>
      <w:r w:rsidR="00435DC5">
        <w:t xml:space="preserve"> </w:t>
      </w:r>
      <w:r w:rsidRPr="005A442F">
        <w:t>oriented faults.</w:t>
      </w:r>
    </w:p>
    <w:p w14:paraId="31198817" w14:textId="77777777" w:rsidR="000614AE" w:rsidRPr="005A442F" w:rsidRDefault="000614AE" w:rsidP="000614AE">
      <w:pPr>
        <w:pStyle w:val="BodyText"/>
      </w:pPr>
      <w:r w:rsidRPr="005A442F">
        <w:t xml:space="preserve">Current industry practice of adapting hydraulic fracture stimulation designs to avoid fault zones reduced the likelihood of this impact mode. </w:t>
      </w:r>
    </w:p>
    <w:p w14:paraId="3B86A848" w14:textId="77777777" w:rsidR="000614AE" w:rsidRPr="005A442F" w:rsidRDefault="000614AE" w:rsidP="000614AE">
      <w:pPr>
        <w:pStyle w:val="BodyText"/>
      </w:pPr>
      <w:r w:rsidRPr="005A442F">
        <w:t>Prior to exploration or production activity, seismic mapping of key faults and avoidance of those areas in the Beetaloo GBA region is anticipated.</w:t>
      </w:r>
    </w:p>
    <w:p w14:paraId="37F2A866" w14:textId="7DA13AE5" w:rsidR="000614AE" w:rsidRPr="005A442F" w:rsidRDefault="000614AE" w:rsidP="000614AE">
      <w:pPr>
        <w:pStyle w:val="BodyText"/>
      </w:pPr>
      <w:r w:rsidRPr="005A442F">
        <w:t xml:space="preserve">Therefore, a qualitative analysis of the Beetaloo GBA region indicates the potential likelihood of a significant vertical hydraulic fracture growth following intersection of a fault is similar to other international </w:t>
      </w:r>
      <w:r w:rsidR="00BC68CE">
        <w:t>shale</w:t>
      </w:r>
      <w:r w:rsidRPr="005A442F">
        <w:t xml:space="preserve"> gas developments (Rare). This qualitative likelihood of ‘Rare’ also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73332D83" w14:textId="1852393E" w:rsidR="000614AE" w:rsidRPr="005A442F" w:rsidRDefault="000614AE" w:rsidP="000614AE">
      <w:pPr>
        <w:pStyle w:val="Heading6notnumbered"/>
      </w:pPr>
      <w:r w:rsidRPr="005A442F">
        <w:t xml:space="preserve">Summary of line of </w:t>
      </w:r>
      <w:r w:rsidR="00360A23">
        <w:t>e</w:t>
      </w:r>
      <w:r w:rsidRPr="005A442F">
        <w:t>vidence 1 qualitative assessment</w:t>
      </w:r>
    </w:p>
    <w:p w14:paraId="0D660057" w14:textId="04C807B7" w:rsidR="000614AE" w:rsidRPr="005A442F" w:rsidRDefault="000614AE" w:rsidP="000614AE">
      <w:pPr>
        <w:pStyle w:val="BodyText"/>
      </w:pPr>
      <w:r w:rsidRPr="005A442F">
        <w:t xml:space="preserve">The results of the Stage 2 qualitative assessment of three hydraulic fracturing impact modes against historical data for the Beetaloo GBA region are summarised below in </w:t>
      </w:r>
      <w:r w:rsidRPr="005A442F">
        <w:fldChar w:fldCharType="begin"/>
      </w:r>
      <w:r w:rsidRPr="005A442F">
        <w:instrText xml:space="preserve"> REF _Ref13042908 \h  \* MERGEFORMAT </w:instrText>
      </w:r>
      <w:r w:rsidRPr="005A442F">
        <w:fldChar w:fldCharType="separate"/>
      </w:r>
      <w:r w:rsidR="00073927" w:rsidRPr="005A442F">
        <w:t xml:space="preserve">Table </w:t>
      </w:r>
      <w:r w:rsidR="00073927">
        <w:rPr>
          <w:noProof/>
        </w:rPr>
        <w:t>19</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Pr="005A442F">
        <w:fldChar w:fldCharType="separate"/>
      </w:r>
      <w:r w:rsidR="001C580C" w:rsidRPr="001C580C">
        <w:rPr>
          <w:noProof/>
        </w:rPr>
        <w:t xml:space="preserve">(Frery </w:t>
      </w:r>
      <w:r w:rsidR="001C580C" w:rsidRPr="001C580C">
        <w:rPr>
          <w:i/>
          <w:noProof/>
        </w:rPr>
        <w:t>et al.</w:t>
      </w:r>
      <w:r w:rsidR="001C580C" w:rsidRPr="001C580C">
        <w:rPr>
          <w:noProof/>
        </w:rPr>
        <w:t>, 2020)</w:t>
      </w:r>
      <w:r w:rsidRPr="005A442F">
        <w:fldChar w:fldCharType="end"/>
      </w:r>
      <w:r w:rsidRPr="005A442F">
        <w:t>.</w:t>
      </w:r>
    </w:p>
    <w:p w14:paraId="1D27C5ED" w14:textId="1195EE8A" w:rsidR="000614AE" w:rsidRPr="005A442F" w:rsidRDefault="000614AE" w:rsidP="000614AE">
      <w:pPr>
        <w:pStyle w:val="Caption"/>
      </w:pPr>
      <w:bookmarkStart w:id="188" w:name="_Ref13042908"/>
      <w:bookmarkStart w:id="189" w:name="_Toc36042902"/>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19</w:t>
      </w:r>
      <w:r w:rsidRPr="005A442F">
        <w:rPr>
          <w:noProof/>
        </w:rPr>
        <w:fldChar w:fldCharType="end"/>
      </w:r>
      <w:bookmarkEnd w:id="188"/>
      <w:r w:rsidRPr="005A442F">
        <w:t xml:space="preserve"> Qualitative assessment of likelihood of hydraulic fracturing impact modes from historical Beetaloo GBA region data</w:t>
      </w:r>
      <w:bookmarkEnd w:id="189"/>
    </w:p>
    <w:tbl>
      <w:tblPr>
        <w:tblStyle w:val="TableBAHeaderRow"/>
        <w:tblW w:w="9553" w:type="dxa"/>
        <w:tblLayout w:type="fixed"/>
        <w:tblLook w:val="04A0" w:firstRow="1" w:lastRow="0" w:firstColumn="1" w:lastColumn="0" w:noHBand="0" w:noVBand="1"/>
      </w:tblPr>
      <w:tblGrid>
        <w:gridCol w:w="1843"/>
        <w:gridCol w:w="7710"/>
      </w:tblGrid>
      <w:tr w:rsidR="000614AE" w:rsidRPr="005A442F" w14:paraId="4D284CF0" w14:textId="77777777" w:rsidTr="00330352">
        <w:trPr>
          <w:cnfStyle w:val="100000000000" w:firstRow="1" w:lastRow="0" w:firstColumn="0" w:lastColumn="0" w:oddVBand="0" w:evenVBand="0" w:oddHBand="0" w:evenHBand="0" w:firstRowFirstColumn="0" w:firstRowLastColumn="0" w:lastRowFirstColumn="0" w:lastRowLastColumn="0"/>
          <w:tblHeader/>
        </w:trPr>
        <w:tc>
          <w:tcPr>
            <w:tcW w:w="1843" w:type="dxa"/>
          </w:tcPr>
          <w:p w14:paraId="19E0D10B" w14:textId="77777777" w:rsidR="000614AE" w:rsidRPr="00D4748A" w:rsidRDefault="000614AE" w:rsidP="00FD4557">
            <w:pPr>
              <w:pStyle w:val="TableHeading"/>
              <w:rPr>
                <w:rFonts w:eastAsiaTheme="minorEastAsia"/>
                <w:b/>
              </w:rPr>
            </w:pPr>
            <w:r w:rsidRPr="00D4748A">
              <w:rPr>
                <w:rFonts w:eastAsiaTheme="minorEastAsia"/>
                <w:b/>
              </w:rPr>
              <w:t>Impact mode</w:t>
            </w:r>
          </w:p>
        </w:tc>
        <w:tc>
          <w:tcPr>
            <w:tcW w:w="7710" w:type="dxa"/>
          </w:tcPr>
          <w:p w14:paraId="60C05275" w14:textId="77777777" w:rsidR="000614AE" w:rsidRPr="00D4748A" w:rsidRDefault="000614AE" w:rsidP="00FD4557">
            <w:pPr>
              <w:pStyle w:val="TableHeading"/>
              <w:rPr>
                <w:rFonts w:eastAsiaTheme="minorEastAsia"/>
                <w:b/>
              </w:rPr>
            </w:pPr>
            <w:r w:rsidRPr="00D4748A">
              <w:rPr>
                <w:rFonts w:eastAsiaTheme="minorEastAsia"/>
                <w:b/>
              </w:rPr>
              <w:t>Line of evidence 1 Summary for hydraulic fracturing impact modes in the Beetaloo GBA region</w:t>
            </w:r>
          </w:p>
        </w:tc>
      </w:tr>
      <w:tr w:rsidR="000614AE" w:rsidRPr="005A442F" w14:paraId="67001877"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1E1C6563" w14:textId="77777777" w:rsidR="000614AE" w:rsidRPr="005A442F" w:rsidRDefault="000614AE" w:rsidP="00FD4557">
            <w:pPr>
              <w:pStyle w:val="TableText"/>
            </w:pPr>
            <w:r w:rsidRPr="005A442F">
              <w:t xml:space="preserve">F1 – </w:t>
            </w:r>
          </w:p>
          <w:p w14:paraId="426A4468" w14:textId="77777777" w:rsidR="000614AE" w:rsidRPr="005A442F" w:rsidRDefault="000614AE" w:rsidP="00FD4557">
            <w:pPr>
              <w:pStyle w:val="TableText"/>
            </w:pPr>
            <w:r w:rsidRPr="005A442F">
              <w:t>Hydraulic fracture growth into aquifer</w:t>
            </w:r>
          </w:p>
          <w:p w14:paraId="01CF2187" w14:textId="77777777" w:rsidR="000614AE" w:rsidRPr="005A442F" w:rsidRDefault="000614AE" w:rsidP="00FD4557">
            <w:pPr>
              <w:pStyle w:val="TableText"/>
            </w:pPr>
          </w:p>
        </w:tc>
        <w:tc>
          <w:tcPr>
            <w:tcW w:w="7710" w:type="dxa"/>
          </w:tcPr>
          <w:p w14:paraId="0245E00F" w14:textId="77777777" w:rsidR="000614AE" w:rsidRPr="005A442F" w:rsidRDefault="000614AE" w:rsidP="00FD4557">
            <w:pPr>
              <w:pStyle w:val="TableText"/>
            </w:pPr>
            <w:r w:rsidRPr="005A442F">
              <w:t xml:space="preserve">As hydraulic fracture stimulation has only been applied to two wells in the Beetaloo GBA region, there is limited there is limited evidence to review for this impact mode, however, there is substantial physical separation between the Kyalla and Velkerri formations and the closest overlying aquifers. </w:t>
            </w:r>
          </w:p>
          <w:p w14:paraId="4DB152C7" w14:textId="77777777" w:rsidR="000614AE" w:rsidRPr="005A442F" w:rsidRDefault="000614AE" w:rsidP="00FD4557">
            <w:pPr>
              <w:pStyle w:val="TableText"/>
            </w:pPr>
          </w:p>
          <w:p w14:paraId="26C17707" w14:textId="23D637EB" w:rsidR="000614AE" w:rsidRPr="005A442F" w:rsidRDefault="000614AE" w:rsidP="00FD4557">
            <w:pPr>
              <w:pStyle w:val="TableText"/>
            </w:pPr>
            <w:r w:rsidRPr="005A442F">
              <w:t xml:space="preserve">F1 impact mode likelihood summary for the Beetaloo GBA </w:t>
            </w:r>
            <w:r w:rsidR="008A4E6D">
              <w:t>region</w:t>
            </w:r>
            <w:r w:rsidRPr="005A442F">
              <w:t xml:space="preserve">: </w:t>
            </w:r>
            <w:r w:rsidRPr="00FD4557">
              <w:rPr>
                <w:b/>
              </w:rPr>
              <w:t>Rare</w:t>
            </w:r>
          </w:p>
        </w:tc>
      </w:tr>
      <w:tr w:rsidR="000614AE" w:rsidRPr="005A442F" w14:paraId="55F6C698"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09B76DAB" w14:textId="77777777" w:rsidR="000614AE" w:rsidRPr="005A442F" w:rsidRDefault="000614AE" w:rsidP="00FD4557">
            <w:pPr>
              <w:pStyle w:val="TableText"/>
            </w:pPr>
            <w:r w:rsidRPr="005A442F">
              <w:t xml:space="preserve">F2 – </w:t>
            </w:r>
          </w:p>
          <w:p w14:paraId="5CF6E3D4" w14:textId="77777777" w:rsidR="000614AE" w:rsidRPr="005A442F" w:rsidRDefault="000614AE" w:rsidP="00FD4557">
            <w:pPr>
              <w:pStyle w:val="TableText"/>
            </w:pPr>
            <w:r w:rsidRPr="005A442F">
              <w:t>Hydraulic fracture growth into well</w:t>
            </w:r>
          </w:p>
          <w:p w14:paraId="068F2A64" w14:textId="77777777" w:rsidR="000614AE" w:rsidRPr="005A442F" w:rsidRDefault="000614AE" w:rsidP="00FD4557">
            <w:pPr>
              <w:pStyle w:val="TableText"/>
            </w:pPr>
          </w:p>
        </w:tc>
        <w:tc>
          <w:tcPr>
            <w:tcW w:w="7710" w:type="dxa"/>
          </w:tcPr>
          <w:p w14:paraId="3D59E0CC" w14:textId="77777777" w:rsidR="000614AE" w:rsidRPr="005A442F" w:rsidRDefault="000614AE" w:rsidP="00FD4557">
            <w:pPr>
              <w:pStyle w:val="TableText"/>
            </w:pPr>
            <w:r w:rsidRPr="005A442F">
              <w:t>As the Beetaloo GBA region is not currently under active development for shale gas, the spacing of wells is very large and the current likelihood of a hydraulic fracture treatment intersecting an offset well is very remote.</w:t>
            </w:r>
          </w:p>
          <w:p w14:paraId="3C11BADE" w14:textId="77777777" w:rsidR="000614AE" w:rsidRPr="005A442F" w:rsidRDefault="000614AE" w:rsidP="00FD4557">
            <w:pPr>
              <w:pStyle w:val="TableText"/>
            </w:pPr>
          </w:p>
          <w:p w14:paraId="0F3A9870" w14:textId="2284B07A" w:rsidR="000614AE" w:rsidRPr="005A442F" w:rsidRDefault="000614AE" w:rsidP="00FD4557">
            <w:pPr>
              <w:pStyle w:val="TableText"/>
              <w:rPr>
                <w:highlight w:val="green"/>
              </w:rPr>
            </w:pPr>
            <w:r w:rsidRPr="005A442F">
              <w:t xml:space="preserve">F2 impact mode likelihood summary for the Beetaloo GBA </w:t>
            </w:r>
            <w:r w:rsidR="008A4E6D">
              <w:t>region</w:t>
            </w:r>
            <w:r w:rsidRPr="005A442F">
              <w:t xml:space="preserve">: </w:t>
            </w:r>
            <w:r w:rsidRPr="00FD4557">
              <w:rPr>
                <w:b/>
              </w:rPr>
              <w:t>Rare</w:t>
            </w:r>
          </w:p>
        </w:tc>
      </w:tr>
      <w:tr w:rsidR="000614AE" w:rsidRPr="005A442F" w14:paraId="7F79CD2C"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772DA11D" w14:textId="77777777" w:rsidR="000614AE" w:rsidRPr="005A442F" w:rsidRDefault="000614AE" w:rsidP="00FD4557">
            <w:pPr>
              <w:pStyle w:val="TableText"/>
            </w:pPr>
            <w:r w:rsidRPr="005A442F">
              <w:t xml:space="preserve">F3 – </w:t>
            </w:r>
          </w:p>
          <w:p w14:paraId="2C8AC4F4" w14:textId="77777777" w:rsidR="000614AE" w:rsidRPr="005A442F" w:rsidRDefault="000614AE" w:rsidP="00FD4557">
            <w:pPr>
              <w:pStyle w:val="TableText"/>
            </w:pPr>
            <w:r w:rsidRPr="005A442F">
              <w:t>Hydraulic fracture growth into fault</w:t>
            </w:r>
          </w:p>
          <w:p w14:paraId="62B2A260" w14:textId="77777777" w:rsidR="000614AE" w:rsidRPr="005A442F" w:rsidRDefault="000614AE" w:rsidP="00FD4557">
            <w:pPr>
              <w:pStyle w:val="TableText"/>
            </w:pPr>
          </w:p>
        </w:tc>
        <w:tc>
          <w:tcPr>
            <w:tcW w:w="7710" w:type="dxa"/>
          </w:tcPr>
          <w:p w14:paraId="7A0C1FA1" w14:textId="1D4CABC4" w:rsidR="000614AE" w:rsidRPr="005A442F" w:rsidRDefault="000614AE" w:rsidP="00FD4557">
            <w:pPr>
              <w:pStyle w:val="TableText"/>
            </w:pPr>
            <w:r w:rsidRPr="005A442F">
              <w:t>Evidence from hydraulic fracturing activities to date in the Beetaloo GBA region has not indicated that excessive vertical hydraulic fracture growth has occurred though intersection with transmissive vertically</w:t>
            </w:r>
            <w:r w:rsidR="00435DC5">
              <w:t xml:space="preserve"> </w:t>
            </w:r>
            <w:r w:rsidRPr="005A442F">
              <w:t>oriented faults.</w:t>
            </w:r>
          </w:p>
          <w:p w14:paraId="3E264CC3" w14:textId="77777777" w:rsidR="000614AE" w:rsidRPr="005A442F" w:rsidRDefault="000614AE" w:rsidP="00FD4557">
            <w:pPr>
              <w:pStyle w:val="TableText"/>
            </w:pPr>
          </w:p>
          <w:p w14:paraId="5E5BB69F" w14:textId="5A37A49B" w:rsidR="000614AE" w:rsidRPr="005A442F" w:rsidRDefault="000614AE" w:rsidP="00FD4557">
            <w:pPr>
              <w:pStyle w:val="TableText"/>
            </w:pPr>
            <w:r w:rsidRPr="005A442F">
              <w:t xml:space="preserve">F3 impact mode likelihood summary for the Beetaloo GBA </w:t>
            </w:r>
            <w:r w:rsidR="008A4E6D">
              <w:t>region</w:t>
            </w:r>
            <w:r w:rsidRPr="005A442F">
              <w:t xml:space="preserve">: </w:t>
            </w:r>
            <w:r w:rsidRPr="00FD4557">
              <w:rPr>
                <w:b/>
              </w:rPr>
              <w:t>Rare</w:t>
            </w:r>
          </w:p>
        </w:tc>
      </w:tr>
    </w:tbl>
    <w:p w14:paraId="7EC101E6" w14:textId="77777777" w:rsidR="000614AE" w:rsidRPr="005A442F" w:rsidRDefault="000614AE" w:rsidP="000614AE">
      <w:pPr>
        <w:pStyle w:val="Caption"/>
      </w:pPr>
    </w:p>
    <w:p w14:paraId="4D72CA91" w14:textId="77777777" w:rsidR="000614AE" w:rsidRPr="005A442F" w:rsidRDefault="000614AE" w:rsidP="00985B69">
      <w:pPr>
        <w:pStyle w:val="BodyText"/>
      </w:pPr>
      <w:bookmarkStart w:id="190" w:name="_Toc5272810"/>
      <w:r w:rsidRPr="005A442F">
        <w:br w:type="page"/>
      </w:r>
    </w:p>
    <w:p w14:paraId="47D1F9D0" w14:textId="098E4634" w:rsidR="000614AE" w:rsidRPr="0073617F" w:rsidRDefault="000614AE" w:rsidP="0073617F">
      <w:pPr>
        <w:pStyle w:val="Heading3notnumbered"/>
        <w:rPr>
          <w:i w:val="0"/>
        </w:rPr>
      </w:pPr>
      <w:bookmarkStart w:id="191" w:name="_Toc36042874"/>
      <w:r w:rsidRPr="0073617F">
        <w:rPr>
          <w:i w:val="0"/>
        </w:rPr>
        <w:t xml:space="preserve">Well integrity impact mode review for the Beetaloo GBA </w:t>
      </w:r>
      <w:r w:rsidR="008A4E6D">
        <w:rPr>
          <w:i w:val="0"/>
        </w:rPr>
        <w:t>region</w:t>
      </w:r>
      <w:bookmarkEnd w:id="190"/>
      <w:bookmarkEnd w:id="191"/>
    </w:p>
    <w:p w14:paraId="5D6971EF" w14:textId="08DCA51E" w:rsidR="000614AE" w:rsidRDefault="000614AE" w:rsidP="000614AE">
      <w:pPr>
        <w:pStyle w:val="BodyText"/>
      </w:pPr>
      <w:r w:rsidRPr="005A442F">
        <w:t xml:space="preserve">Representative well integrity data in the Beetaloo </w:t>
      </w:r>
      <w:r w:rsidR="00E63E40">
        <w:t>GBA</w:t>
      </w:r>
      <w:r w:rsidRPr="005A442F">
        <w:t xml:space="preserve"> region is scarce due to the early stage of petroleum industry operations however the inquiry ‘Scientific </w:t>
      </w:r>
      <w:r w:rsidR="00220117">
        <w:t>i</w:t>
      </w:r>
      <w:r w:rsidRPr="005A442F">
        <w:t xml:space="preserve">nquiry into </w:t>
      </w:r>
      <w:r w:rsidR="00220117">
        <w:t>h</w:t>
      </w:r>
      <w:r w:rsidRPr="005A442F">
        <w:t xml:space="preserve">ydraulic </w:t>
      </w:r>
      <w:r w:rsidR="00220117">
        <w:t>f</w:t>
      </w:r>
      <w:r w:rsidRPr="005A442F">
        <w:t>racturing in the Northern Territory’ undertaken in 2018 provides a reference for the qualitative review. The STRIKE database (</w:t>
      </w:r>
      <w:hyperlink r:id="rId67" w:history="1">
        <w:r w:rsidRPr="005A442F">
          <w:rPr>
            <w:rStyle w:val="Hyperlink"/>
          </w:rPr>
          <w:t>strike.nt.gov.au</w:t>
        </w:r>
      </w:hyperlink>
      <w:r w:rsidRPr="005A442F">
        <w:t>) shows 23 petroleum wells drilled to date in the Beetaloo GBA region</w:t>
      </w:r>
      <w:r w:rsidR="00186F98">
        <w:t xml:space="preserve"> with additional detail of the industry activity to date provided in the p</w:t>
      </w:r>
      <w:r w:rsidR="00186F98" w:rsidRPr="00186F98">
        <w:t>etroleum prospectivity</w:t>
      </w:r>
      <w:r w:rsidR="00186F98">
        <w:t xml:space="preserve"> technical appendix (Hall et al., 20</w:t>
      </w:r>
      <w:r w:rsidR="00220117">
        <w:t>20</w:t>
      </w:r>
      <w:r w:rsidR="00186F98">
        <w:t>)</w:t>
      </w:r>
      <w:r w:rsidRPr="005A442F">
        <w:t>.</w:t>
      </w:r>
    </w:p>
    <w:p w14:paraId="317DC309" w14:textId="77AF1453" w:rsidR="003970AF" w:rsidRDefault="003970AF" w:rsidP="00FA3C6A">
      <w:pPr>
        <w:pStyle w:val="Figures"/>
        <w:keepLines/>
      </w:pPr>
      <w:r>
        <w:rPr>
          <w:noProof/>
        </w:rPr>
        <w:drawing>
          <wp:inline distT="0" distB="0" distL="0" distR="0" wp14:anchorId="49CD0C10" wp14:editId="6A20A7EC">
            <wp:extent cx="5541264" cy="5897880"/>
            <wp:effectExtent l="0" t="0" r="254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1264" cy="5897880"/>
                    </a:xfrm>
                    <a:prstGeom prst="rect">
                      <a:avLst/>
                    </a:prstGeom>
                    <a:noFill/>
                    <a:ln>
                      <a:noFill/>
                    </a:ln>
                  </pic:spPr>
                </pic:pic>
              </a:graphicData>
            </a:graphic>
          </wp:inline>
        </w:drawing>
      </w:r>
    </w:p>
    <w:p w14:paraId="6B44527B" w14:textId="7162D515" w:rsidR="00186F98" w:rsidRPr="005A442F" w:rsidRDefault="00186F98" w:rsidP="00FA3C6A">
      <w:pPr>
        <w:pStyle w:val="Caption"/>
        <w:keepLines/>
      </w:pPr>
      <w:bookmarkStart w:id="192" w:name="_Toc36042883"/>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7</w:t>
      </w:r>
      <w:r w:rsidRPr="005A442F">
        <w:rPr>
          <w:noProof/>
        </w:rPr>
        <w:fldChar w:fldCharType="end"/>
      </w:r>
      <w:r w:rsidRPr="005A442F">
        <w:t xml:space="preserve"> Map of </w:t>
      </w:r>
      <w:r>
        <w:t>petroleum</w:t>
      </w:r>
      <w:r w:rsidRPr="005A442F">
        <w:t xml:space="preserve"> wells in the </w:t>
      </w:r>
      <w:r>
        <w:t>Beetaloo</w:t>
      </w:r>
      <w:r w:rsidRPr="005A442F">
        <w:t xml:space="preserve"> GBA region and surrounding area</w:t>
      </w:r>
      <w:r w:rsidR="008C697A">
        <w:t xml:space="preserve"> from </w:t>
      </w:r>
      <w:r w:rsidR="008C697A" w:rsidRPr="008C697A">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008C697A" w:rsidRPr="008C697A">
        <w:fldChar w:fldCharType="separate"/>
      </w:r>
      <w:r w:rsidR="001C580C" w:rsidRPr="001C580C">
        <w:rPr>
          <w:noProof/>
        </w:rPr>
        <w:t>(Frery et al., 2020)</w:t>
      </w:r>
      <w:r w:rsidR="008C697A" w:rsidRPr="008C697A">
        <w:fldChar w:fldCharType="end"/>
      </w:r>
      <w:r w:rsidR="008C697A" w:rsidRPr="008C697A">
        <w:t>.</w:t>
      </w:r>
      <w:bookmarkEnd w:id="192"/>
    </w:p>
    <w:p w14:paraId="755322B2" w14:textId="3A01FBF2" w:rsidR="00186F98" w:rsidRPr="00D0337F" w:rsidRDefault="0063453B" w:rsidP="00D0337F">
      <w:pPr>
        <w:pStyle w:val="SourceornoteforTableorFigure"/>
      </w:pPr>
      <w:r w:rsidRPr="00D0337F">
        <w:t xml:space="preserve">Source: adapted from </w:t>
      </w:r>
      <w:r w:rsidRPr="00D0337F">
        <w:fldChar w:fldCharType="begin" w:fldLock="1"/>
      </w:r>
      <w:r w:rsidR="001C580C">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2018)","manualFormatting":"Pepper et al, (2018)","plainTextFormattedCitation":"(Pepper et al., 2018)","previouslyFormattedCitation":"(Pepper &lt;i&gt;et al.&lt;/i&gt;, 2018)"},"properties":{"noteIndex":0},"schema":"https://github.com/citation-style-language/schema/raw/master/csl-citation.json"}</w:instrText>
      </w:r>
      <w:r w:rsidRPr="00D0337F">
        <w:fldChar w:fldCharType="separate"/>
      </w:r>
      <w:r w:rsidRPr="00D0337F">
        <w:rPr>
          <w:noProof/>
        </w:rPr>
        <w:t>Pepper et al, (2018)</w:t>
      </w:r>
      <w:r w:rsidRPr="00D0337F">
        <w:fldChar w:fldCharType="end"/>
      </w:r>
      <w:r w:rsidRPr="00D0337F">
        <w:t xml:space="preserve"> </w:t>
      </w:r>
      <w:r w:rsidR="00D0337F" w:rsidRPr="00D0337F">
        <w:br/>
      </w:r>
      <w:r w:rsidRPr="00D0337F">
        <w:t xml:space="preserve">Data: Australian Topographic Base Map (Web Mercator) Web Map Server (WMS) (Geoscience Australia, 2017a). Oil and gas pipelines from the National Oil and Gas Infrastructure WMS (Geoscience Australia, 2017b). Beetaloo GBA region based on the NT DPIR Beetaloo Sub-basin definition (Department of Primary Industry and Resources (NT), 2017). Approximate extent of the organic-rich Velkerri and Barney Creek formations is based on the </w:t>
      </w:r>
      <w:r w:rsidRPr="00220117">
        <w:rPr>
          <w:i/>
        </w:rPr>
        <w:t>Final report of the scientific inquiry into hydraulic fracturing in the Northern Territory</w:t>
      </w:r>
      <w:r w:rsidRPr="00D0337F">
        <w:t xml:space="preserve"> (Pepper et al., 2018)</w:t>
      </w:r>
      <w:r w:rsidR="00D0337F" w:rsidRPr="00D0337F">
        <w:br/>
      </w:r>
      <w:r w:rsidR="00186F98" w:rsidRPr="00D0337F">
        <w:t>Element: GBA-BEE-2-218</w:t>
      </w:r>
    </w:p>
    <w:p w14:paraId="3144C1B4" w14:textId="1B696604" w:rsidR="000614AE" w:rsidRPr="005A442F" w:rsidRDefault="00186F98" w:rsidP="000614AE">
      <w:pPr>
        <w:pStyle w:val="BodyText"/>
      </w:pPr>
      <w:r>
        <w:t>The p</w:t>
      </w:r>
      <w:r w:rsidR="000614AE" w:rsidRPr="005A442F">
        <w:t>roposed industry well integrity controls for upcoming exploration wells include: cementing to surface of all annuli, pressure testing of production casing (but not annuli), routine inspection and validation of all well integrity barriers and monitoring of offset aquifer bores for Kyalla112 N2</w:t>
      </w:r>
      <w:r w:rsidR="00383B3A">
        <w:noBreakHyphen/>
      </w:r>
      <w:r w:rsidR="000614AE" w:rsidRPr="005A442F">
        <w:t xml:space="preserve">1/1H. </w:t>
      </w:r>
      <w:r w:rsidR="000614AE" w:rsidRPr="005A442F">
        <w:fldChar w:fldCharType="begin" w:fldLock="1"/>
      </w:r>
      <w:r w:rsidR="000614AE"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000614AE" w:rsidRPr="005A442F">
        <w:fldChar w:fldCharType="separate"/>
      </w:r>
      <w:r w:rsidR="000614AE" w:rsidRPr="005A442F">
        <w:rPr>
          <w:noProof/>
        </w:rPr>
        <w:t>(Origin Energy, 2019)</w:t>
      </w:r>
      <w:r w:rsidR="000614AE" w:rsidRPr="005A442F">
        <w:fldChar w:fldCharType="end"/>
      </w:r>
      <w:r w:rsidR="000614AE" w:rsidRPr="005A442F">
        <w:t>. Additionally, all wells drilled in the N</w:t>
      </w:r>
      <w:r w:rsidR="00220117">
        <w:t>T</w:t>
      </w:r>
      <w:r w:rsidR="000614AE" w:rsidRPr="005A442F">
        <w:t xml:space="preserve"> require a cement bond log to verify the quality of the well construction </w:t>
      </w:r>
      <w:r w:rsidR="000614AE" w:rsidRPr="005A442F">
        <w:fldChar w:fldCharType="begin" w:fldLock="1"/>
      </w:r>
      <w:r w:rsidR="000614AE" w:rsidRPr="005A442F">
        <w:instrText>ADDIN CSL_CITATION {"citationItems":[{"id":"ITEM-1","itemData":{"author":[{"dropping-particle":"","family":"Northern Territory Government","given":"","non-dropping-particle":"","parse-names":false,"suffix":""}],"id":"ITEM-1","issue":"May","issued":{"date-parts":[["2019"]]},"title":"Code of Practice : Onshore Petroleum Activities in the Northern Territory","type":"report"},"uris":["http://www.mendeley.com/documents/?uuid=a831fd07-3ddf-4f7c-8d98-cd9b23f68f4f"]}],"mendeley":{"formattedCitation":"(Northern Territory Government, 2019)","plainTextFormattedCitation":"(Northern Territory Government, 2019)","previouslyFormattedCitation":"(Northern Territory Government, 2019)"},"properties":{"noteIndex":0},"schema":"https://github.com/citation-style-language/schema/raw/master/csl-citation.json"}</w:instrText>
      </w:r>
      <w:r w:rsidR="000614AE" w:rsidRPr="005A442F">
        <w:fldChar w:fldCharType="separate"/>
      </w:r>
      <w:r w:rsidR="000614AE" w:rsidRPr="005A442F">
        <w:rPr>
          <w:noProof/>
        </w:rPr>
        <w:t>(Northern Territory Government, 2019)</w:t>
      </w:r>
      <w:r w:rsidR="000614AE" w:rsidRPr="005A442F">
        <w:fldChar w:fldCharType="end"/>
      </w:r>
      <w:r w:rsidR="000614AE" w:rsidRPr="005A442F">
        <w:t xml:space="preserve">. </w:t>
      </w:r>
    </w:p>
    <w:p w14:paraId="35C7F51A" w14:textId="3DAD5771" w:rsidR="000614AE" w:rsidRPr="005A442F" w:rsidRDefault="000614AE" w:rsidP="000614AE">
      <w:pPr>
        <w:pStyle w:val="BodyText"/>
      </w:pPr>
      <w:r w:rsidRPr="005A442F">
        <w:t>The Beetaloo GBA region does not have enough well integrity data for a quantitative assessment but qualitatively the likelihoods of well integrity impact modes appear to be similar to shale gas developments in other international jurisdictions with similar industry practi</w:t>
      </w:r>
      <w:r w:rsidR="002A45A3">
        <w:t>c</w:t>
      </w:r>
      <w:r w:rsidRPr="005A442F">
        <w:t xml:space="preserve">es and regulation. The qualitative assessments of each impact from the Beetaloo GBA region reflect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5312B0B3" w14:textId="7C1A52D0" w:rsidR="000614AE" w:rsidRPr="005A442F" w:rsidRDefault="000614AE" w:rsidP="0073617F">
      <w:pPr>
        <w:pStyle w:val="Heading4notnumbered"/>
      </w:pPr>
      <w:r w:rsidRPr="005A442F">
        <w:t xml:space="preserve">Line of </w:t>
      </w:r>
      <w:r w:rsidR="00360A23">
        <w:t>e</w:t>
      </w:r>
      <w:r w:rsidRPr="005A442F">
        <w:t>vidence 1 qualitative assessment for Beetaloo GBA region well integrity impact modes</w:t>
      </w:r>
    </w:p>
    <w:p w14:paraId="0F119D18" w14:textId="77777777" w:rsidR="000614AE" w:rsidRPr="005A442F" w:rsidRDefault="000614AE" w:rsidP="000614AE">
      <w:pPr>
        <w:pStyle w:val="Heading6notnumbered"/>
      </w:pPr>
      <w:r w:rsidRPr="005A442F">
        <w:t>W1 - Well rupture or failure across barriers</w:t>
      </w:r>
    </w:p>
    <w:p w14:paraId="31C461EF" w14:textId="77777777" w:rsidR="000614AE" w:rsidRPr="005A442F" w:rsidRDefault="000614AE" w:rsidP="000614AE">
      <w:pPr>
        <w:pStyle w:val="BodyText"/>
      </w:pPr>
      <w:r w:rsidRPr="005A442F">
        <w:t>There has been no evidence of well rupture or total well integrity failure in historical Beetaloo GBA region operations identified to date. Any analysis of potential well rupture or failure across multiple well barriers would be strongly influenced by local in-situ geological conditions and individual well design and construction.</w:t>
      </w:r>
    </w:p>
    <w:p w14:paraId="55EDDAD9" w14:textId="449CB800" w:rsidR="000614AE" w:rsidRPr="005A442F" w:rsidRDefault="000614AE" w:rsidP="000614AE">
      <w:pPr>
        <w:pStyle w:val="BodyText"/>
      </w:pPr>
      <w:r w:rsidRPr="005A442F">
        <w:t xml:space="preserve">The qualitative likelihood of ‘Rare’ for impact mode ‘W1 - Well rupture or failure across barriers’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w:t>
      </w:r>
      <w:r w:rsidRPr="005A442F">
        <w:fldChar w:fldCharType="begin" w:fldLock="1"/>
      </w:r>
      <w:r w:rsidRPr="005A442F">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Pr="005A442F">
        <w:fldChar w:fldCharType="separate"/>
      </w:r>
      <w:r w:rsidRPr="005A442F">
        <w:rPr>
          <w:noProof/>
        </w:rPr>
        <w:t>(Pepper et al., 2018)</w:t>
      </w:r>
      <w:r w:rsidRPr="005A442F">
        <w:fldChar w:fldCharType="end"/>
      </w:r>
      <w:r w:rsidRPr="005A442F">
        <w:t>.</w:t>
      </w:r>
    </w:p>
    <w:p w14:paraId="20F1AC8C" w14:textId="77777777" w:rsidR="000614AE" w:rsidRPr="005A442F" w:rsidRDefault="000614AE" w:rsidP="000614AE">
      <w:pPr>
        <w:pStyle w:val="Heading6notnumbered"/>
      </w:pPr>
      <w:r w:rsidRPr="005A442F">
        <w:t>W2 - Migration along casing from reservoir to surface</w:t>
      </w:r>
    </w:p>
    <w:p w14:paraId="7275380B" w14:textId="17B12BE6" w:rsidR="000614AE" w:rsidRPr="005A442F" w:rsidRDefault="000614AE" w:rsidP="000614AE">
      <w:pPr>
        <w:pStyle w:val="BodyText"/>
      </w:pPr>
      <w:r w:rsidRPr="005A442F">
        <w:t xml:space="preserve">Well integrity data in the Beetaloo GBA region appear to be scarce. In order for liquids to migrate to the surface along a well in the event of a failed well annulus, there must be an interval with overpressured pore fluids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As described in the GBA Stage 2 Beetaloo petroleum prospectivity appendix </w:t>
      </w:r>
      <w:r w:rsidRPr="005A442F">
        <w:fldChar w:fldCharType="begin" w:fldLock="1"/>
      </w:r>
      <w:r w:rsidR="00D11DAE">
        <w:instrText>ADDIN CSL_CITATION {"citationItems":[{"id":"ITEM-1","itemData":{"author":[{"dropping-particle":"","family":"Hall","given":"L. S.","non-dropping-particle":"","parse-names":false,"suffix":""},{"dropping-particle":"","family":"Wang","given":"L.","non-dropping-particle":"","parse-names":false,"suffix":""},{"dropping-particle":"","family":"Bailey","given":"A. H. E.","non-dropping-particle":"","parse-names":false,"suffix":""},{"dropping-particle":"","family":"Orr","given":"M.","non-dropping-particle":"","parse-names":false,"suffix":""},{"dropping-particle":"","family":"Owens","given":"R.","non-dropping-particle":"","parse-names":false,"suffix":""},{"dropping-particle":"","family":"Jarrett","given":"A.","non-dropping-particle":"","parse-names":false,"suffix":""},{"dropping-particle":"","family":"Lech","given":"M.","non-dropping-particle":"","parse-names":false,"suffix":""},{"dropping-particle":"","family":"Skeers","given":"N.","non-dropping-particle":"","parse-names":false,"suffix":""},{"dropping-particle":"","family":"Reese","given":"B.","non-dropping-particle":"","parse-names":false,"suffix":""},{"dropping-particle":"","family":"Woods","given":"M.","non-dropping-particle":"","parse-names":false,"suffix":""}],"id":"ITEM-1","issue":"June","issued":{"date-parts":[["2020"]]},"publisher-place":"Australia","title":"Petroleum prospectivity for the Beetaloo Sub-basin. Technical appendix for the Geological and Bioregional Assessment Program: Stage 2","type":"report"},"uris":["http://www.mendeley.com/documents/?uuid=b7f2dfa6-3067-4d5e-a84b-e69295c06522"]}],"mendeley":{"formattedCitation":"(Hall &lt;i&gt;et al.&lt;/i&gt;, 2020)","plainTextFormattedCitation":"(Hall et al., 2020)","previouslyFormattedCitation":"(Hall &lt;i&gt;et al.&lt;/i&gt;, 2020)"},"properties":{"noteIndex":0},"schema":"https://github.com/citation-style-language/schema/raw/master/csl-citation.json"}</w:instrText>
      </w:r>
      <w:r w:rsidRPr="005A442F">
        <w:fldChar w:fldCharType="separate"/>
      </w:r>
      <w:r w:rsidR="001C580C" w:rsidRPr="001C580C">
        <w:rPr>
          <w:noProof/>
        </w:rPr>
        <w:t xml:space="preserve">(Hall </w:t>
      </w:r>
      <w:r w:rsidR="001C580C" w:rsidRPr="001C580C">
        <w:rPr>
          <w:iCs/>
          <w:noProof/>
        </w:rPr>
        <w:t>et al.,</w:t>
      </w:r>
      <w:r w:rsidR="001C580C" w:rsidRPr="001C580C">
        <w:rPr>
          <w:noProof/>
        </w:rPr>
        <w:t xml:space="preserve"> 2020)</w:t>
      </w:r>
      <w:r w:rsidRPr="005A442F">
        <w:fldChar w:fldCharType="end"/>
      </w:r>
      <w:r w:rsidRPr="005A442F">
        <w:t xml:space="preserve"> overpressured intervals have been reported in the Velkerri and </w:t>
      </w:r>
      <w:r w:rsidRPr="00985B69">
        <w:t>Kyalla f</w:t>
      </w:r>
      <w:r w:rsidRPr="005A442F">
        <w:t xml:space="preserve">ormations and the Moroak Sandstone in the Beetaloo GBA region. Overpressure intervals are commonly targeted in petroleum wells and it is anticipated that operators will develop appropriate engineering techniques to achieve competent cement jobs to minimise the likelihood of well annulus integrity problems in the Beetaloo GBA </w:t>
      </w:r>
      <w:r w:rsidR="008A4E6D">
        <w:t>region</w:t>
      </w:r>
      <w:r w:rsidRPr="005A442F">
        <w:t>.</w:t>
      </w:r>
    </w:p>
    <w:p w14:paraId="15F3FF40" w14:textId="70E9446A" w:rsidR="000614AE" w:rsidRPr="005A442F" w:rsidRDefault="000614AE" w:rsidP="000614AE">
      <w:pPr>
        <w:pStyle w:val="BodyText"/>
      </w:pPr>
      <w:r w:rsidRPr="005A442F">
        <w:t xml:space="preserve">The qualitative likelihood of ‘Rare’ for impact mode ‘W2 - Migration along casing from reservoir to surface’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w:t>
      </w:r>
      <w:r w:rsidRPr="005A442F">
        <w:fldChar w:fldCharType="begin" w:fldLock="1"/>
      </w:r>
      <w:r w:rsidRPr="005A442F">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Pr="005A442F">
        <w:fldChar w:fldCharType="separate"/>
      </w:r>
      <w:r w:rsidRPr="005A442F">
        <w:rPr>
          <w:noProof/>
        </w:rPr>
        <w:t>(Pepper et al., 2018)</w:t>
      </w:r>
      <w:r w:rsidRPr="005A442F">
        <w:fldChar w:fldCharType="end"/>
      </w:r>
      <w:r w:rsidRPr="005A442F">
        <w:t>.</w:t>
      </w:r>
    </w:p>
    <w:p w14:paraId="4C93FA77" w14:textId="77777777" w:rsidR="000614AE" w:rsidRPr="005A442F" w:rsidRDefault="000614AE" w:rsidP="000614AE">
      <w:pPr>
        <w:pStyle w:val="Heading6notnumbered"/>
      </w:pPr>
      <w:r w:rsidRPr="005A442F">
        <w:t>W3 - Migration along casing between rock layers</w:t>
      </w:r>
    </w:p>
    <w:p w14:paraId="63FC7441" w14:textId="77777777" w:rsidR="000614AE" w:rsidRPr="005A442F" w:rsidRDefault="000614AE" w:rsidP="000614AE">
      <w:pPr>
        <w:pStyle w:val="BodyText"/>
      </w:pPr>
      <w:r w:rsidRPr="005A442F">
        <w:t>It is not always possible to detect fluid flow in the well annulus between different formations either from surface measurements or with downhole tools. No evidence of fluid migration between subsurface layers in historical Beetaloo GBA operations identified to date however as with ‘W2 - Migration along casing from reservoir to surface’, the presence of overpressure intervals in the Beetaloo GBA could provide a pressure differential to drive fluids if a conductive pathway existed along the well casing.</w:t>
      </w:r>
    </w:p>
    <w:p w14:paraId="6704D753" w14:textId="04FC74A0" w:rsidR="000614AE" w:rsidRPr="005A442F" w:rsidRDefault="000614AE" w:rsidP="000614AE">
      <w:pPr>
        <w:pStyle w:val="BodyText"/>
      </w:pPr>
      <w:r w:rsidRPr="005A442F">
        <w:t xml:space="preserve">The qualitative likelihood of ‘Unlikely’ for impact mode ‘W3 - Migration along casing between rock layers’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3FC572B4" w14:textId="77777777" w:rsidR="000614AE" w:rsidRPr="005A442F" w:rsidRDefault="000614AE" w:rsidP="000614AE">
      <w:pPr>
        <w:pStyle w:val="Heading6notnumbered"/>
      </w:pPr>
      <w:r w:rsidRPr="005A442F">
        <w:t>W4 - Migration along decommissioned / abandoned wells</w:t>
      </w:r>
    </w:p>
    <w:p w14:paraId="14CE3E48" w14:textId="29796A92" w:rsidR="000614AE" w:rsidRPr="005A442F" w:rsidRDefault="000614AE" w:rsidP="000614AE">
      <w:pPr>
        <w:pStyle w:val="BodyText"/>
      </w:pPr>
      <w:r w:rsidRPr="005A442F">
        <w:t xml:space="preserve">No evidence of failure of well integrity in decommissioned wells in the Beetaloo GBA region has been identified to date. However, the data are scarce, and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 considered that some decommissioned wells were likely to leak methane albeit at low levels and some level of monitoring is required.</w:t>
      </w:r>
    </w:p>
    <w:p w14:paraId="4738104B" w14:textId="73E6373B" w:rsidR="000614AE" w:rsidRPr="005A442F" w:rsidRDefault="000614AE" w:rsidP="000614AE">
      <w:pPr>
        <w:pStyle w:val="BodyText"/>
      </w:pPr>
      <w:r w:rsidRPr="005A442F">
        <w:t xml:space="preserve">The qualitative likelihood of ‘Unlikely’ for impact mode ‘W4 - Migration along decommissioned / abandoned wells’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4CD5F9AB" w14:textId="77777777" w:rsidR="000614AE" w:rsidRPr="005A442F" w:rsidRDefault="000614AE" w:rsidP="000614AE">
      <w:pPr>
        <w:pStyle w:val="Heading6notnumbered"/>
      </w:pPr>
      <w:r w:rsidRPr="005A442F">
        <w:t>W5 - Loss of well control (blowout)</w:t>
      </w:r>
    </w:p>
    <w:p w14:paraId="47D7E897" w14:textId="3F2D8778" w:rsidR="000614AE" w:rsidRPr="005A442F" w:rsidRDefault="000614AE" w:rsidP="000614AE">
      <w:pPr>
        <w:pStyle w:val="BodyText"/>
      </w:pPr>
      <w:r w:rsidRPr="005A442F">
        <w:t xml:space="preserve">Shale gas wells such as those which would target the Beetaloo GBA region are intrinsically less prone to significant loss of well control incidents due to the lower initial permeability of the target interval (i.e. they could not support significant flow to surface until after the well has been completed and hydraulically fractured)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The qualitative likelihood was not assessed for impact mode ‘W5 - Loss of well control (blowout)’ for the Beetaloo GBA region reflecting the early stages of the industry operations as outlined in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4102D008" w14:textId="2E4D4DF0" w:rsidR="000614AE" w:rsidRPr="005A442F" w:rsidRDefault="000614AE" w:rsidP="000614AE">
      <w:pPr>
        <w:pStyle w:val="Heading6notnumbered"/>
      </w:pPr>
      <w:r w:rsidRPr="005A442F">
        <w:t xml:space="preserve">Summary of line of </w:t>
      </w:r>
      <w:r w:rsidR="00360A23">
        <w:t>e</w:t>
      </w:r>
      <w:r w:rsidRPr="005A442F">
        <w:t>vidence 1 qualitative assessment</w:t>
      </w:r>
    </w:p>
    <w:p w14:paraId="5480752B" w14:textId="20920680" w:rsidR="000614AE" w:rsidRPr="005A442F" w:rsidRDefault="000614AE" w:rsidP="000614AE">
      <w:pPr>
        <w:pStyle w:val="BodyText"/>
        <w:rPr>
          <w:highlight w:val="green"/>
        </w:rPr>
      </w:pPr>
      <w:r w:rsidRPr="005A442F">
        <w:t xml:space="preserve">The results of the Stage 2 qualitative assessment of five compromised well integrity impact modes against historical data for the Beetaloo GBA region are summarised below in </w:t>
      </w:r>
      <w:r w:rsidRPr="005A442F">
        <w:fldChar w:fldCharType="begin"/>
      </w:r>
      <w:r w:rsidRPr="005A442F">
        <w:instrText xml:space="preserve"> REF _Ref13049917 \h  \* MERGEFORMAT </w:instrText>
      </w:r>
      <w:r w:rsidRPr="005A442F">
        <w:fldChar w:fldCharType="separate"/>
      </w:r>
      <w:r w:rsidR="00073927" w:rsidRPr="005A442F">
        <w:t xml:space="preserve">Table </w:t>
      </w:r>
      <w:r w:rsidR="00073927">
        <w:rPr>
          <w:noProof/>
        </w:rPr>
        <w:t>20</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bookmarkStart w:id="193" w:name="_Hlk22718983"/>
      <w:r w:rsidRPr="005A442F">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Pr="005A442F">
        <w:fldChar w:fldCharType="separate"/>
      </w:r>
      <w:r w:rsidR="001C580C" w:rsidRPr="001C580C">
        <w:rPr>
          <w:noProof/>
        </w:rPr>
        <w:t xml:space="preserve">(Frery </w:t>
      </w:r>
      <w:r w:rsidR="001C580C" w:rsidRPr="001C580C">
        <w:rPr>
          <w:i/>
          <w:noProof/>
        </w:rPr>
        <w:t>et al.</w:t>
      </w:r>
      <w:r w:rsidR="001C580C" w:rsidRPr="001C580C">
        <w:rPr>
          <w:noProof/>
        </w:rPr>
        <w:t>, 2020)</w:t>
      </w:r>
      <w:r w:rsidRPr="005A442F">
        <w:fldChar w:fldCharType="end"/>
      </w:r>
      <w:r w:rsidRPr="005A442F">
        <w:t>.</w:t>
      </w:r>
      <w:bookmarkEnd w:id="193"/>
    </w:p>
    <w:p w14:paraId="5F1BDD2B" w14:textId="48C15EAA" w:rsidR="000614AE" w:rsidRPr="005A442F" w:rsidRDefault="000614AE" w:rsidP="00FA3C6A">
      <w:pPr>
        <w:pStyle w:val="Caption"/>
        <w:keepLines/>
      </w:pPr>
      <w:bookmarkStart w:id="194" w:name="_Ref13049917"/>
      <w:bookmarkStart w:id="195" w:name="_Toc36042903"/>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20</w:t>
      </w:r>
      <w:r w:rsidRPr="005A442F">
        <w:rPr>
          <w:noProof/>
        </w:rPr>
        <w:fldChar w:fldCharType="end"/>
      </w:r>
      <w:bookmarkEnd w:id="194"/>
      <w:r w:rsidRPr="005A442F">
        <w:t xml:space="preserve"> Qualitative assessment of likelihood of well integrity impact modes from historical Beetaloo GBA region data</w:t>
      </w:r>
      <w:bookmarkEnd w:id="195"/>
    </w:p>
    <w:tbl>
      <w:tblPr>
        <w:tblStyle w:val="TableBAHeaderRow"/>
        <w:tblW w:w="9497" w:type="dxa"/>
        <w:tblLayout w:type="fixed"/>
        <w:tblLook w:val="04A0" w:firstRow="1" w:lastRow="0" w:firstColumn="1" w:lastColumn="0" w:noHBand="0" w:noVBand="1"/>
      </w:tblPr>
      <w:tblGrid>
        <w:gridCol w:w="1843"/>
        <w:gridCol w:w="7654"/>
      </w:tblGrid>
      <w:tr w:rsidR="000614AE" w:rsidRPr="005A442F" w14:paraId="5630471F" w14:textId="77777777" w:rsidTr="00330352">
        <w:trPr>
          <w:cnfStyle w:val="100000000000" w:firstRow="1" w:lastRow="0" w:firstColumn="0" w:lastColumn="0" w:oddVBand="0" w:evenVBand="0" w:oddHBand="0" w:evenHBand="0" w:firstRowFirstColumn="0" w:firstRowLastColumn="0" w:lastRowFirstColumn="0" w:lastRowLastColumn="0"/>
          <w:tblHeader/>
        </w:trPr>
        <w:tc>
          <w:tcPr>
            <w:tcW w:w="1843" w:type="dxa"/>
          </w:tcPr>
          <w:p w14:paraId="4B009FB3" w14:textId="77777777" w:rsidR="000614AE" w:rsidRPr="005A442F" w:rsidRDefault="000614AE" w:rsidP="00FA3C6A">
            <w:pPr>
              <w:pStyle w:val="TableText"/>
              <w:keepNext/>
              <w:keepLines/>
            </w:pPr>
            <w:r w:rsidRPr="005A442F">
              <w:rPr>
                <w:rFonts w:eastAsiaTheme="minorEastAsia"/>
              </w:rPr>
              <w:t>Impact mode</w:t>
            </w:r>
          </w:p>
        </w:tc>
        <w:tc>
          <w:tcPr>
            <w:tcW w:w="7654" w:type="dxa"/>
          </w:tcPr>
          <w:p w14:paraId="71FB7123" w14:textId="77777777" w:rsidR="000614AE" w:rsidRPr="005A442F" w:rsidRDefault="000614AE" w:rsidP="00FA3C6A">
            <w:pPr>
              <w:pStyle w:val="TableText"/>
              <w:keepNext/>
              <w:keepLines/>
            </w:pPr>
            <w:r w:rsidRPr="005A442F">
              <w:rPr>
                <w:rFonts w:eastAsiaTheme="minorEastAsia"/>
              </w:rPr>
              <w:t>Line of evidence 1 Summary for well integrity impact modes in the Beetaloo GBA region</w:t>
            </w:r>
          </w:p>
        </w:tc>
      </w:tr>
      <w:tr w:rsidR="000614AE" w:rsidRPr="005A442F" w14:paraId="1889B5CC"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15255066" w14:textId="77777777" w:rsidR="000614AE" w:rsidRPr="005A442F" w:rsidRDefault="000614AE" w:rsidP="00FA3C6A">
            <w:pPr>
              <w:pStyle w:val="TableText"/>
              <w:keepNext/>
              <w:keepLines/>
            </w:pPr>
            <w:r w:rsidRPr="005A442F">
              <w:t xml:space="preserve">W1 - Well rupture or failure across barriers </w:t>
            </w:r>
          </w:p>
          <w:p w14:paraId="538A0E41" w14:textId="77777777" w:rsidR="000614AE" w:rsidRPr="005A442F" w:rsidRDefault="000614AE" w:rsidP="00FA3C6A">
            <w:pPr>
              <w:pStyle w:val="TableText"/>
              <w:keepNext/>
              <w:keepLines/>
            </w:pPr>
          </w:p>
        </w:tc>
        <w:tc>
          <w:tcPr>
            <w:tcW w:w="7654" w:type="dxa"/>
          </w:tcPr>
          <w:p w14:paraId="7251AC1A" w14:textId="77777777" w:rsidR="000614AE" w:rsidRPr="005A442F" w:rsidRDefault="000614AE" w:rsidP="00FA3C6A">
            <w:pPr>
              <w:pStyle w:val="TableText"/>
              <w:keepNext/>
              <w:keepLines/>
            </w:pPr>
            <w:r w:rsidRPr="005A442F">
              <w:t xml:space="preserve">No evidence of well rupture or total well integrity failure in historical Beetaloo GBA region operations identified to date. </w:t>
            </w:r>
          </w:p>
          <w:p w14:paraId="42444F24" w14:textId="77777777" w:rsidR="000614AE" w:rsidRPr="005A442F" w:rsidRDefault="000614AE" w:rsidP="00FA3C6A">
            <w:pPr>
              <w:pStyle w:val="TableText"/>
              <w:keepNext/>
              <w:keepLines/>
            </w:pPr>
          </w:p>
          <w:p w14:paraId="519CEEEB" w14:textId="5A19FA84"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0C869B38" w14:textId="77777777" w:rsidR="000614AE" w:rsidRPr="005A442F" w:rsidRDefault="000614AE" w:rsidP="00FA3C6A">
            <w:pPr>
              <w:pStyle w:val="TableText"/>
              <w:keepNext/>
              <w:keepLines/>
            </w:pPr>
          </w:p>
          <w:p w14:paraId="22FD71C3" w14:textId="51A3DF92" w:rsidR="000614AE" w:rsidRPr="005A442F" w:rsidRDefault="000614AE" w:rsidP="00FA3C6A">
            <w:pPr>
              <w:pStyle w:val="TableText"/>
              <w:keepNext/>
              <w:keepLines/>
            </w:pPr>
            <w:r w:rsidRPr="005A442F">
              <w:t xml:space="preserve">W1 impact mode likelihood summary for the Beetaloo GBA </w:t>
            </w:r>
            <w:r w:rsidR="008A4E6D">
              <w:t>region</w:t>
            </w:r>
            <w:r w:rsidRPr="005A442F">
              <w:t xml:space="preserve">: </w:t>
            </w:r>
            <w:r w:rsidRPr="00FD4557">
              <w:rPr>
                <w:b/>
              </w:rPr>
              <w:t>Rare</w:t>
            </w:r>
          </w:p>
          <w:p w14:paraId="70020514" w14:textId="77777777" w:rsidR="000614AE" w:rsidRPr="005A442F" w:rsidRDefault="000614AE" w:rsidP="00FA3C6A">
            <w:pPr>
              <w:pStyle w:val="TableText"/>
              <w:keepNext/>
              <w:keepLines/>
            </w:pPr>
          </w:p>
        </w:tc>
      </w:tr>
      <w:tr w:rsidR="000614AE" w:rsidRPr="005A442F" w14:paraId="3882BC69"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76100B61" w14:textId="77777777" w:rsidR="000614AE" w:rsidRPr="005A442F" w:rsidRDefault="000614AE" w:rsidP="00FA3C6A">
            <w:pPr>
              <w:pStyle w:val="TableText"/>
              <w:keepNext/>
              <w:keepLines/>
            </w:pPr>
            <w:r w:rsidRPr="005A442F">
              <w:t>W2 - Migration along casing from reservoir to surface</w:t>
            </w:r>
          </w:p>
          <w:p w14:paraId="609171E3" w14:textId="77777777" w:rsidR="000614AE" w:rsidRPr="005A442F" w:rsidRDefault="000614AE" w:rsidP="00FA3C6A">
            <w:pPr>
              <w:pStyle w:val="TableText"/>
              <w:keepNext/>
              <w:keepLines/>
            </w:pPr>
          </w:p>
        </w:tc>
        <w:tc>
          <w:tcPr>
            <w:tcW w:w="7654" w:type="dxa"/>
          </w:tcPr>
          <w:p w14:paraId="46CAEFCD" w14:textId="77777777" w:rsidR="000614AE" w:rsidRPr="005A442F" w:rsidRDefault="000614AE" w:rsidP="00FA3C6A">
            <w:pPr>
              <w:pStyle w:val="TableText"/>
              <w:keepNext/>
              <w:keepLines/>
            </w:pPr>
            <w:r w:rsidRPr="005A442F">
              <w:t>No evidence of fluid migration to surface in historical Beetaloo GBA operations identified to date.</w:t>
            </w:r>
          </w:p>
          <w:p w14:paraId="725E593F" w14:textId="77777777" w:rsidR="000614AE" w:rsidRPr="005A442F" w:rsidRDefault="000614AE" w:rsidP="00FA3C6A">
            <w:pPr>
              <w:pStyle w:val="TableText"/>
              <w:keepNext/>
              <w:keepLines/>
            </w:pPr>
          </w:p>
          <w:p w14:paraId="2892B48F" w14:textId="7A33A67B"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1F25905E" w14:textId="77777777" w:rsidR="000614AE" w:rsidRPr="005A442F" w:rsidRDefault="000614AE" w:rsidP="00FA3C6A">
            <w:pPr>
              <w:pStyle w:val="TableText"/>
              <w:keepNext/>
              <w:keepLines/>
            </w:pPr>
          </w:p>
          <w:p w14:paraId="7F202562" w14:textId="01CAE55F" w:rsidR="000614AE" w:rsidRPr="005A442F" w:rsidRDefault="000614AE" w:rsidP="00FA3C6A">
            <w:pPr>
              <w:pStyle w:val="TableText"/>
              <w:keepNext/>
              <w:keepLines/>
            </w:pPr>
            <w:r w:rsidRPr="005A442F">
              <w:t xml:space="preserve">W2 impact mode likelihood summary for the Beetaloo GBA </w:t>
            </w:r>
            <w:r w:rsidR="008A4E6D">
              <w:t>region</w:t>
            </w:r>
            <w:r w:rsidRPr="005A442F">
              <w:t xml:space="preserve">: </w:t>
            </w:r>
            <w:r w:rsidRPr="00FD4557">
              <w:rPr>
                <w:b/>
              </w:rPr>
              <w:t>Rare</w:t>
            </w:r>
          </w:p>
          <w:p w14:paraId="0F472C7F" w14:textId="77777777" w:rsidR="000614AE" w:rsidRPr="005A442F" w:rsidRDefault="000614AE" w:rsidP="00FA3C6A">
            <w:pPr>
              <w:pStyle w:val="TableText"/>
              <w:keepNext/>
              <w:keepLines/>
            </w:pPr>
          </w:p>
        </w:tc>
      </w:tr>
      <w:tr w:rsidR="000614AE" w:rsidRPr="005A442F" w14:paraId="5D485D0F"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0A82CB6F" w14:textId="77777777" w:rsidR="000614AE" w:rsidRPr="005A442F" w:rsidRDefault="000614AE" w:rsidP="00FA3C6A">
            <w:pPr>
              <w:pStyle w:val="TableText"/>
              <w:keepNext/>
              <w:keepLines/>
            </w:pPr>
            <w:r w:rsidRPr="005A442F">
              <w:t>W3 - Migration along casing between rock layers</w:t>
            </w:r>
          </w:p>
          <w:p w14:paraId="56C31925" w14:textId="77777777" w:rsidR="000614AE" w:rsidRPr="005A442F" w:rsidRDefault="000614AE" w:rsidP="00FA3C6A">
            <w:pPr>
              <w:pStyle w:val="TableText"/>
              <w:keepNext/>
              <w:keepLines/>
            </w:pPr>
          </w:p>
        </w:tc>
        <w:tc>
          <w:tcPr>
            <w:tcW w:w="7654" w:type="dxa"/>
          </w:tcPr>
          <w:p w14:paraId="15A886A6" w14:textId="77777777" w:rsidR="000614AE" w:rsidRPr="005A442F" w:rsidRDefault="000614AE" w:rsidP="00FA3C6A">
            <w:pPr>
              <w:pStyle w:val="TableText"/>
              <w:keepNext/>
              <w:keepLines/>
            </w:pPr>
            <w:r w:rsidRPr="005A442F">
              <w:t>No evidence of fluid migration between subsurface layers in historical Beetaloo GBA operations identified to date.</w:t>
            </w:r>
          </w:p>
          <w:p w14:paraId="7D42387C" w14:textId="77777777" w:rsidR="000614AE" w:rsidRPr="005A442F" w:rsidRDefault="000614AE" w:rsidP="00FA3C6A">
            <w:pPr>
              <w:pStyle w:val="TableText"/>
              <w:keepNext/>
              <w:keepLines/>
            </w:pPr>
          </w:p>
          <w:p w14:paraId="707DF75D" w14:textId="2FA13E17"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2B87909D" w14:textId="77777777" w:rsidR="000614AE" w:rsidRPr="005A442F" w:rsidRDefault="000614AE" w:rsidP="00FA3C6A">
            <w:pPr>
              <w:pStyle w:val="TableText"/>
              <w:keepNext/>
              <w:keepLines/>
            </w:pPr>
          </w:p>
          <w:p w14:paraId="0AC3AB2F" w14:textId="74308950" w:rsidR="000614AE" w:rsidRPr="005A442F" w:rsidRDefault="000614AE" w:rsidP="00FA3C6A">
            <w:pPr>
              <w:pStyle w:val="TableText"/>
              <w:keepNext/>
              <w:keepLines/>
            </w:pPr>
            <w:r w:rsidRPr="005A442F">
              <w:t xml:space="preserve">W3 impact mode likelihood summary for the Beetaloo GBA </w:t>
            </w:r>
            <w:r w:rsidR="008A4E6D">
              <w:t>region</w:t>
            </w:r>
            <w:r w:rsidRPr="005A442F">
              <w:t xml:space="preserve">: </w:t>
            </w:r>
            <w:r w:rsidRPr="00FD4557">
              <w:rPr>
                <w:b/>
              </w:rPr>
              <w:t>Unlikely</w:t>
            </w:r>
          </w:p>
          <w:p w14:paraId="0F8ADCE1" w14:textId="77777777" w:rsidR="000614AE" w:rsidRPr="005A442F" w:rsidRDefault="000614AE" w:rsidP="00FA3C6A">
            <w:pPr>
              <w:pStyle w:val="TableText"/>
              <w:keepNext/>
              <w:keepLines/>
            </w:pPr>
          </w:p>
        </w:tc>
      </w:tr>
      <w:tr w:rsidR="000614AE" w:rsidRPr="005A442F" w14:paraId="02CEDF9E"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3C26E091" w14:textId="77777777" w:rsidR="000614AE" w:rsidRPr="005A442F" w:rsidRDefault="000614AE" w:rsidP="00FA3C6A">
            <w:pPr>
              <w:pStyle w:val="TableText"/>
              <w:keepNext/>
              <w:keepLines/>
            </w:pPr>
            <w:r w:rsidRPr="005A442F">
              <w:t>W4 - Migration along decommissioned / abandoned wells</w:t>
            </w:r>
          </w:p>
          <w:p w14:paraId="3A81E588" w14:textId="77777777" w:rsidR="000614AE" w:rsidRPr="005A442F" w:rsidRDefault="000614AE" w:rsidP="00FA3C6A">
            <w:pPr>
              <w:pStyle w:val="TableText"/>
              <w:keepNext/>
              <w:keepLines/>
            </w:pPr>
          </w:p>
        </w:tc>
        <w:tc>
          <w:tcPr>
            <w:tcW w:w="7654" w:type="dxa"/>
          </w:tcPr>
          <w:p w14:paraId="244F577E" w14:textId="77777777" w:rsidR="000614AE" w:rsidRPr="005A442F" w:rsidRDefault="000614AE" w:rsidP="00FA3C6A">
            <w:pPr>
              <w:pStyle w:val="TableText"/>
              <w:keepNext/>
              <w:keepLines/>
            </w:pPr>
            <w:r w:rsidRPr="005A442F">
              <w:t>No evidence of fluid migration along decommissioned / abandoned wells in historical Beetaloo GBA region operations identified to date.</w:t>
            </w:r>
          </w:p>
          <w:p w14:paraId="12DC4263" w14:textId="77777777" w:rsidR="000614AE" w:rsidRPr="005A442F" w:rsidRDefault="000614AE" w:rsidP="00FA3C6A">
            <w:pPr>
              <w:pStyle w:val="TableText"/>
              <w:keepNext/>
              <w:keepLines/>
            </w:pPr>
          </w:p>
          <w:p w14:paraId="26EB79A0" w14:textId="4CA70316"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32A5C8AA" w14:textId="77777777" w:rsidR="000614AE" w:rsidRPr="005A442F" w:rsidRDefault="000614AE" w:rsidP="00FA3C6A">
            <w:pPr>
              <w:pStyle w:val="TableText"/>
              <w:keepNext/>
              <w:keepLines/>
            </w:pPr>
          </w:p>
          <w:p w14:paraId="1D0FFDEC" w14:textId="0D079EF9" w:rsidR="000614AE" w:rsidRPr="005A442F" w:rsidRDefault="000614AE" w:rsidP="00FA3C6A">
            <w:pPr>
              <w:pStyle w:val="TableText"/>
              <w:keepNext/>
              <w:keepLines/>
            </w:pPr>
            <w:r w:rsidRPr="005A442F">
              <w:t xml:space="preserve">W4 impact mode likelihood summary for the Beetaloo GBA </w:t>
            </w:r>
            <w:r w:rsidR="008A4E6D">
              <w:t>region</w:t>
            </w:r>
            <w:r w:rsidRPr="005A442F">
              <w:t xml:space="preserve">: </w:t>
            </w:r>
            <w:r w:rsidRPr="00FD4557">
              <w:rPr>
                <w:b/>
              </w:rPr>
              <w:t>Unlikely</w:t>
            </w:r>
          </w:p>
          <w:p w14:paraId="098D0A40" w14:textId="77777777" w:rsidR="000614AE" w:rsidRPr="005A442F" w:rsidRDefault="000614AE" w:rsidP="00FA3C6A">
            <w:pPr>
              <w:pStyle w:val="TableText"/>
              <w:keepNext/>
              <w:keepLines/>
            </w:pPr>
          </w:p>
        </w:tc>
      </w:tr>
      <w:tr w:rsidR="000614AE" w:rsidRPr="005A442F" w14:paraId="21D603B8"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556563E0" w14:textId="77777777" w:rsidR="000614AE" w:rsidRPr="005A442F" w:rsidRDefault="000614AE" w:rsidP="00FA3C6A">
            <w:pPr>
              <w:pStyle w:val="TableText"/>
              <w:keepNext/>
              <w:keepLines/>
            </w:pPr>
            <w:r w:rsidRPr="005A442F">
              <w:t>W5 - Loss of well control (blowout)</w:t>
            </w:r>
          </w:p>
          <w:p w14:paraId="2DB55A0D" w14:textId="77777777" w:rsidR="000614AE" w:rsidRPr="005A442F" w:rsidRDefault="000614AE" w:rsidP="00FA3C6A">
            <w:pPr>
              <w:pStyle w:val="TableText"/>
              <w:keepNext/>
              <w:keepLines/>
            </w:pPr>
          </w:p>
        </w:tc>
        <w:tc>
          <w:tcPr>
            <w:tcW w:w="7654" w:type="dxa"/>
          </w:tcPr>
          <w:p w14:paraId="214C6EC1" w14:textId="77777777" w:rsidR="000614AE" w:rsidRPr="005A442F" w:rsidRDefault="000614AE" w:rsidP="00FA3C6A">
            <w:pPr>
              <w:pStyle w:val="TableText"/>
              <w:keepNext/>
              <w:keepLines/>
            </w:pPr>
            <w:r w:rsidRPr="005A442F">
              <w:t>No evidence of Loss of well control or blowout has been identified in the Beetaloo GBA region to date.</w:t>
            </w:r>
          </w:p>
          <w:p w14:paraId="0C41A747" w14:textId="77777777" w:rsidR="000614AE" w:rsidRPr="005A442F" w:rsidRDefault="000614AE" w:rsidP="00FA3C6A">
            <w:pPr>
              <w:pStyle w:val="TableText"/>
              <w:keepNext/>
              <w:keepLines/>
            </w:pPr>
          </w:p>
          <w:p w14:paraId="4DBAF502" w14:textId="47F5F877" w:rsidR="000614AE" w:rsidRPr="005A442F" w:rsidRDefault="000614AE" w:rsidP="00FA3C6A">
            <w:pPr>
              <w:pStyle w:val="TableText"/>
              <w:keepNext/>
              <w:keepLines/>
            </w:pPr>
            <w:r w:rsidRPr="005A442F">
              <w:t xml:space="preserve">The likelihood of this impact mode marked as ‘not assessed;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185619A2" w14:textId="77777777" w:rsidR="000614AE" w:rsidRPr="005A442F" w:rsidRDefault="000614AE" w:rsidP="00FA3C6A">
            <w:pPr>
              <w:pStyle w:val="TableText"/>
              <w:keepNext/>
              <w:keepLines/>
            </w:pPr>
          </w:p>
          <w:p w14:paraId="47B5BB0F" w14:textId="339EF075" w:rsidR="000614AE" w:rsidRPr="005A442F" w:rsidRDefault="000614AE" w:rsidP="00FA3C6A">
            <w:pPr>
              <w:pStyle w:val="TableText"/>
              <w:keepNext/>
              <w:keepLines/>
            </w:pPr>
            <w:r w:rsidRPr="005A442F">
              <w:t xml:space="preserve">W3 impact mode likelihood summary for the Beetaloo GBA </w:t>
            </w:r>
            <w:r w:rsidR="008A4E6D">
              <w:t>region</w:t>
            </w:r>
            <w:r w:rsidRPr="005A442F">
              <w:t xml:space="preserve">: </w:t>
            </w:r>
            <w:r w:rsidRPr="00FD4557">
              <w:rPr>
                <w:b/>
              </w:rPr>
              <w:t>Not assessed</w:t>
            </w:r>
          </w:p>
        </w:tc>
      </w:tr>
    </w:tbl>
    <w:p w14:paraId="2A597872" w14:textId="77777777" w:rsidR="000614AE" w:rsidRPr="005A442F" w:rsidRDefault="000614AE" w:rsidP="000614AE">
      <w:pPr>
        <w:pStyle w:val="BodyText"/>
      </w:pPr>
    </w:p>
    <w:p w14:paraId="4D3F9B36" w14:textId="5A147298" w:rsidR="000902F6" w:rsidRDefault="7DE8E393" w:rsidP="00F86C5E">
      <w:pPr>
        <w:pStyle w:val="Heading2notnumbered"/>
      </w:pPr>
      <w:bookmarkStart w:id="196" w:name="_Toc36042875"/>
      <w:r w:rsidRPr="00F86C5E">
        <w:t>References</w:t>
      </w:r>
      <w:bookmarkEnd w:id="115"/>
      <w:bookmarkEnd w:id="116"/>
      <w:bookmarkEnd w:id="196"/>
    </w:p>
    <w:p w14:paraId="0AD10576" w14:textId="3E2E4633" w:rsidR="00033BCF" w:rsidRDefault="00033BCF" w:rsidP="003036C3">
      <w:pPr>
        <w:pStyle w:val="References"/>
      </w:pPr>
      <w:r>
        <w:t>American Petroleum Institute (API) (2014) ‘The Oil and Natural Gas Industry’s Most Valuable Resource’, p. 16.</w:t>
      </w:r>
      <w:r w:rsidR="00FD61AD">
        <w:t xml:space="preserve"> Viewed 18 February 2019, </w:t>
      </w:r>
      <w:hyperlink r:id="rId69" w:history="1">
        <w:r w:rsidR="00FD61AD" w:rsidRPr="004F5119">
          <w:rPr>
            <w:rStyle w:val="Hyperlink"/>
          </w:rPr>
          <w:t>https://www.api.org/~/media/Files/Publications/FAQ/valueofstandards.pdf</w:t>
        </w:r>
      </w:hyperlink>
      <w:r w:rsidR="0043382C" w:rsidRPr="0043382C">
        <w:t>.</w:t>
      </w:r>
      <w:r w:rsidR="00FD61AD">
        <w:t xml:space="preserve"> </w:t>
      </w:r>
    </w:p>
    <w:p w14:paraId="4021AADD" w14:textId="1047D8E3" w:rsidR="005E35DF" w:rsidRDefault="006D5E5C" w:rsidP="003036C3">
      <w:pPr>
        <w:pStyle w:val="References"/>
      </w:pPr>
      <w:r w:rsidRPr="006D5E5C">
        <w:t>Atherton F, Bradfield M, Christmas K, Dalton S, Dusseault M, Gagnon G, Hayes B, MacIntosh C, Mauro I, Ritcey R and Wheeler D (2014) Report of the Nova Scotia Independent Review Panel on Hydraulic Fracturing.</w:t>
      </w:r>
      <w:r>
        <w:t xml:space="preserve"> </w:t>
      </w:r>
      <w:r w:rsidRPr="006D5E5C">
        <w:t xml:space="preserve">Viewed </w:t>
      </w:r>
      <w:r>
        <w:t>20</w:t>
      </w:r>
      <w:r w:rsidRPr="006D5E5C">
        <w:t xml:space="preserve"> August 201</w:t>
      </w:r>
      <w:r>
        <w:t>8</w:t>
      </w:r>
      <w:r w:rsidRPr="006D5E5C">
        <w:t xml:space="preserve">, </w:t>
      </w:r>
      <w:hyperlink r:id="rId70" w:history="1">
        <w:r w:rsidRPr="00F10A35">
          <w:rPr>
            <w:rStyle w:val="Hyperlink"/>
          </w:rPr>
          <w:t>http://verschurencentre.ca/report-of-the-nova-scotia-independent-panel-on-hydraulic-fracturing/</w:t>
        </w:r>
      </w:hyperlink>
      <w:r w:rsidR="0043382C" w:rsidRPr="0043382C">
        <w:t>.</w:t>
      </w:r>
      <w:r>
        <w:t xml:space="preserve"> </w:t>
      </w:r>
    </w:p>
    <w:p w14:paraId="74546D1C" w14:textId="796374E0" w:rsidR="00737405" w:rsidRDefault="00737405" w:rsidP="003036C3">
      <w:pPr>
        <w:pStyle w:val="References"/>
      </w:pPr>
      <w:r w:rsidRPr="00737405">
        <w:t>Bailey A</w:t>
      </w:r>
      <w:r w:rsidR="008600D4">
        <w:t>HE</w:t>
      </w:r>
      <w:r w:rsidRPr="00737405">
        <w:t>, Bradshaw B</w:t>
      </w:r>
      <w:r w:rsidR="008600D4">
        <w:t>E</w:t>
      </w:r>
      <w:r w:rsidRPr="00737405">
        <w:t>, Palu T</w:t>
      </w:r>
      <w:r w:rsidR="008600D4">
        <w:t>J</w:t>
      </w:r>
      <w:r w:rsidRPr="00737405">
        <w:t>, Wang L, Jarrett A</w:t>
      </w:r>
      <w:r w:rsidR="008600D4">
        <w:t>JM</w:t>
      </w:r>
      <w:r w:rsidRPr="00737405">
        <w:t>, Orr M</w:t>
      </w:r>
      <w:r w:rsidR="008600D4">
        <w:t>L</w:t>
      </w:r>
      <w:r w:rsidRPr="00737405">
        <w:t>, Lech M</w:t>
      </w:r>
      <w:r w:rsidR="008600D4">
        <w:t>E</w:t>
      </w:r>
      <w:r w:rsidRPr="00737405">
        <w:t>, Evenden C, Arnold D, Reese B, Skeers N, Woods M, Dehelean A, Lawson C and Hall L</w:t>
      </w:r>
      <w:r w:rsidR="008600D4">
        <w:t>S</w:t>
      </w:r>
      <w:r w:rsidRPr="00737405">
        <w:t xml:space="preserve"> (20</w:t>
      </w:r>
      <w:r w:rsidR="001C580C">
        <w:t>20</w:t>
      </w:r>
      <w:r w:rsidRPr="00737405">
        <w:t>)</w:t>
      </w:r>
      <w:r w:rsidR="001C580C" w:rsidRPr="001C580C">
        <w:t xml:space="preserve"> Shale gas prospectivity for the Isa GBA region</w:t>
      </w:r>
      <w:r w:rsidRPr="00737405">
        <w:t>. Technical appendix for Geological and Bioregional Assessment Program: Stage 2.</w:t>
      </w:r>
      <w:r w:rsidR="00FD61AD" w:rsidRPr="00FD61AD">
        <w:t xml:space="preserve"> </w:t>
      </w:r>
      <w:r w:rsidR="00FD61AD" w:rsidRPr="002508E0">
        <w:t>Department of the Environment and Energy, Bureau of Meteorology, CSIRO and Geoscience Australia, Australia</w:t>
      </w:r>
      <w:r w:rsidR="0043382C" w:rsidRPr="0043382C">
        <w:t>.</w:t>
      </w:r>
    </w:p>
    <w:p w14:paraId="658F37E3" w14:textId="733852C5" w:rsidR="00033BCF" w:rsidRDefault="00033BCF" w:rsidP="003036C3">
      <w:pPr>
        <w:pStyle w:val="References"/>
      </w:pPr>
      <w:r>
        <w:t xml:space="preserve">Bannerman M, Calvert J and Griffin T (2005) ‘New API practices for isolating potential flow zones during drilling and cementing operations’, in SPE Annual Technical Conference and Exhibition. Dallas, Texas, pp. 1–12. </w:t>
      </w:r>
    </w:p>
    <w:p w14:paraId="0BDA1DE8" w14:textId="6E80C433" w:rsidR="00E851B0" w:rsidRPr="005A442F" w:rsidRDefault="00737405" w:rsidP="003036C3">
      <w:pPr>
        <w:pStyle w:val="References"/>
      </w:pPr>
      <w:r w:rsidRPr="00737405">
        <w:t>Buchanan S, Dixon-Jain P, Martinez J, Raiber M, Kumar PR, Woods M, Arnold D, Dehelean A and Skeers N (20</w:t>
      </w:r>
      <w:r w:rsidR="001C580C">
        <w:t>20</w:t>
      </w:r>
      <w:r w:rsidRPr="00737405">
        <w:t xml:space="preserve">) </w:t>
      </w:r>
      <w:r w:rsidR="008600D4" w:rsidRPr="008600D4">
        <w:t>Hydrogeology and groundwater systems of the Isa GBA region’</w:t>
      </w:r>
      <w:r w:rsidRPr="00737405">
        <w:t>. Technical appendix for the Geological and Bioregional Assessment: Stage 2.</w:t>
      </w:r>
      <w:r w:rsidR="00FD61AD" w:rsidRPr="00FD61AD">
        <w:t xml:space="preserve"> </w:t>
      </w:r>
      <w:r w:rsidR="00FD61AD" w:rsidRPr="002508E0">
        <w:t>Department of the Environment and Energy, Bureau of Meteorology, CSIRO and Geoscience Australia, Australia</w:t>
      </w:r>
      <w:r w:rsidR="0043382C" w:rsidRPr="0043382C">
        <w:t>.</w:t>
      </w:r>
    </w:p>
    <w:p w14:paraId="16EE3C85" w14:textId="73F107E8" w:rsidR="00737405" w:rsidRDefault="00737405" w:rsidP="003036C3">
      <w:pPr>
        <w:pStyle w:val="References"/>
      </w:pPr>
      <w:r w:rsidRPr="00737405">
        <w:t>Close DI, Côté AJ, Baruch ET, Altmann CM, Mohinudeen FM, Richards B and Ilett R (2017) ‘Proterozoic shale gas plays in the Beetaloo Basin and the Amungee NW-1H discovery’, in Annual Geoscience Exploration Seminar (AGES). Alice Springs, pp. 91–97.</w:t>
      </w:r>
    </w:p>
    <w:p w14:paraId="0D7FA042" w14:textId="2F584572" w:rsidR="00737405" w:rsidRDefault="00737405" w:rsidP="003036C3">
      <w:pPr>
        <w:pStyle w:val="References"/>
      </w:pPr>
      <w:r w:rsidRPr="00737405">
        <w:t xml:space="preserve">Cook P, Beck V, Brereton D, Clark R, Fisher B, Kentish S, Toomey J and Williams J (2013) ‘Engineering Energy: Unconventional Gas Production’, Report for the Australian Council of Learned Academies, p. 252. </w:t>
      </w:r>
      <w:r>
        <w:t>Viewed 28 June 2018</w:t>
      </w:r>
      <w:r w:rsidR="00FD61AD">
        <w:t>,</w:t>
      </w:r>
      <w:r w:rsidRPr="00737405">
        <w:t xml:space="preserve"> </w:t>
      </w:r>
      <w:hyperlink r:id="rId71" w:history="1">
        <w:r w:rsidRPr="004F5119">
          <w:rPr>
            <w:rStyle w:val="Hyperlink"/>
          </w:rPr>
          <w:t>https://acola.org/wp-content/uploads/2018/08/saf06-engineering-gas-report.pdf</w:t>
        </w:r>
      </w:hyperlink>
      <w:r w:rsidRPr="00737405">
        <w:t>.</w:t>
      </w:r>
      <w:r>
        <w:t xml:space="preserve"> </w:t>
      </w:r>
    </w:p>
    <w:p w14:paraId="3BBD26E6" w14:textId="215FDE7F" w:rsidR="00033BCF" w:rsidRDefault="00033BCF" w:rsidP="003036C3">
      <w:pPr>
        <w:pStyle w:val="References"/>
      </w:pPr>
      <w:r>
        <w:t>Council of Canadian Academies (2014) Environmental Impacts of Shale Gas Extraction in Canada. Ottawa (ON): Council of Canadian Academies.</w:t>
      </w:r>
    </w:p>
    <w:p w14:paraId="7217D4FC" w14:textId="686CFD1B" w:rsidR="00041B9D" w:rsidRDefault="00041B9D" w:rsidP="00041B9D">
      <w:pPr>
        <w:pStyle w:val="References"/>
      </w:pPr>
      <w:r w:rsidRPr="00C32285">
        <w:t xml:space="preserve">Department for Energy and Mining (SA) (2018) Cooper Basin hydraulic fracturing stage data. [spatial]. Viewed 05 July 2019, </w:t>
      </w:r>
      <w:hyperlink r:id="rId72" w:anchor="gas. GBA data repository GUID: E0CC35DD-CD06-4D08-AF08-CFB9A1989BAB." w:history="1">
        <w:r w:rsidRPr="001A49F6">
          <w:rPr>
            <w:rStyle w:val="Hyperlink"/>
          </w:rPr>
          <w:t>http://petroleum.statedevelopment.sa.gov.au/prospectivity/resource_plays#gas. GBA data repository GUID: E0CC35DD-CD06-4D08-AF08-CFB9A1989BAB.</w:t>
        </w:r>
      </w:hyperlink>
    </w:p>
    <w:p w14:paraId="1F09C91A" w14:textId="3836D4B8" w:rsidR="008C697A" w:rsidRPr="009459CF" w:rsidRDefault="008C697A" w:rsidP="008C697A">
      <w:pPr>
        <w:pStyle w:val="EndNoteBibliography"/>
        <w:spacing w:after="0"/>
        <w:ind w:left="720" w:hanging="720"/>
        <w:jc w:val="left"/>
      </w:pPr>
      <w:r w:rsidRPr="009459CF">
        <w:t xml:space="preserve">Department of Primary Industry and Resources (NT) (2017) Submission 479 to the Scientific Inquiry into Hydraulic Fracturing in the Northern Territory. Northern Territory Government. Viewed 11/01/2019, </w:t>
      </w:r>
      <w:hyperlink r:id="rId73" w:history="1">
        <w:r w:rsidRPr="009459CF">
          <w:rPr>
            <w:rStyle w:val="Hyperlink"/>
            <w:rFonts w:cs="Calibri"/>
          </w:rPr>
          <w:t>https://frackinginquiry.nt.gov.au/?a=464723</w:t>
        </w:r>
      </w:hyperlink>
      <w:r w:rsidRPr="009459CF">
        <w:t>.</w:t>
      </w:r>
    </w:p>
    <w:p w14:paraId="75E76E1F" w14:textId="11D59A4E" w:rsidR="00F02EAA" w:rsidRPr="00F02EAA" w:rsidRDefault="00F02EAA" w:rsidP="00F02EAA">
      <w:pPr>
        <w:pStyle w:val="References"/>
      </w:pPr>
      <w:r w:rsidRPr="00F02EAA">
        <w:t xml:space="preserve">Evans TJ, Martinez J, Lai </w:t>
      </w:r>
      <w:r w:rsidR="008600D4">
        <w:t>É</w:t>
      </w:r>
      <w:r w:rsidRPr="00F02EAA">
        <w:t>CS, Raiber M, Radke BM, Sundaram B, Ransley TR, Dehelean A, Skeers N, Woods M, Evenden C and Dunn B (20</w:t>
      </w:r>
      <w:r w:rsidR="001C580C">
        <w:t>20</w:t>
      </w:r>
      <w:r w:rsidRPr="00F02EAA">
        <w:t>) Hydrogeology of the Cooper GBA region. Technical appendix for the Geological and Bioregional Assessment Program: Stage 2. Australia.</w:t>
      </w:r>
    </w:p>
    <w:p w14:paraId="628A0E4F" w14:textId="5924871A" w:rsidR="00033BCF" w:rsidRDefault="00033BCF" w:rsidP="003036C3">
      <w:pPr>
        <w:pStyle w:val="References"/>
      </w:pPr>
      <w:r>
        <w:t>Fisher K and Warpinski N (2012) ‘Hydraulic-Fracture-Height Growth: Real Data’, SPE Production &amp; Operations, (February).</w:t>
      </w:r>
    </w:p>
    <w:p w14:paraId="0CD64D17" w14:textId="65259927" w:rsidR="000E7545" w:rsidRDefault="00A9076A" w:rsidP="003036C3">
      <w:pPr>
        <w:pStyle w:val="References"/>
      </w:pPr>
      <w:r w:rsidRPr="00A5759F">
        <w:t>Huddlestone-Holmes CR,</w:t>
      </w:r>
      <w:r>
        <w:t xml:space="preserve"> </w:t>
      </w:r>
      <w:r w:rsidR="00A5759F" w:rsidRPr="00A5759F">
        <w:t xml:space="preserve">Frery E, </w:t>
      </w:r>
      <w:r w:rsidR="00C347F7" w:rsidRPr="00A5759F">
        <w:t xml:space="preserve">Wilkes P, </w:t>
      </w:r>
      <w:r w:rsidR="00A5759F" w:rsidRPr="00A5759F">
        <w:t>Bailey AHE, Bernadel G, Brandon C, Buchanan S, Cook SB, Crosbie RS, Evans T, Golding L, Gonzalez D, Gunning ME, Hall LS, Henderson B, Herr A, Holland K</w:t>
      </w:r>
      <w:r>
        <w:t>L</w:t>
      </w:r>
      <w:r w:rsidR="00A5759F" w:rsidRPr="00A5759F">
        <w:t>, Jarrett A, Kear J, Kirby J, Lech M</w:t>
      </w:r>
      <w:r>
        <w:t>E</w:t>
      </w:r>
      <w:r w:rsidR="00A5759F" w:rsidRPr="00A5759F">
        <w:t>, Lewis S, Macfarlane C, Martinez J, Maslin S, Murray J, O’Grady A, Orr ML, Owens R, Pavey C, Post D, Sundaram B, Rachakonda P, Raiber M, Ransley T</w:t>
      </w:r>
      <w:r>
        <w:t>R</w:t>
      </w:r>
      <w:r w:rsidR="00A5759F" w:rsidRPr="00A5759F">
        <w:t xml:space="preserve">, Tetreault-Campbell S and Wang L </w:t>
      </w:r>
      <w:r w:rsidR="00A62282">
        <w:t xml:space="preserve">(2020) </w:t>
      </w:r>
      <w:r w:rsidR="00A5759F" w:rsidRPr="00A5759F">
        <w:t>Geological and environmental baseline assessment for the Beetaloo GBA region. Geological and Bioregional Assessment Program: Stage 2. Department of the Environment and Energy, Bureau of Meteorology, CSIRO and Geoscience Australia, Australia.</w:t>
      </w:r>
    </w:p>
    <w:p w14:paraId="4BC3055F" w14:textId="28834652" w:rsidR="0063453B" w:rsidRDefault="0063453B" w:rsidP="0063453B">
      <w:pPr>
        <w:pStyle w:val="References"/>
      </w:pPr>
      <w:r>
        <w:t xml:space="preserve">Geoscience Australia (2017a) Australian Topographic Base Map (Web Mercator) Web Map Server. </w:t>
      </w:r>
    </w:p>
    <w:p w14:paraId="16FD32D2" w14:textId="646F1A70" w:rsidR="0063453B" w:rsidRDefault="0063453B" w:rsidP="0063453B">
      <w:pPr>
        <w:pStyle w:val="References"/>
      </w:pPr>
      <w:r>
        <w:t xml:space="preserve">Geoscience Australia (2017b) National Oil and Gas Infrastructure WMS. </w:t>
      </w:r>
    </w:p>
    <w:p w14:paraId="5C19751A" w14:textId="7A33241C" w:rsidR="00033BCF" w:rsidRDefault="00033BCF" w:rsidP="003036C3">
      <w:pPr>
        <w:pStyle w:val="References"/>
      </w:pPr>
      <w:r>
        <w:t>Gilbert J and Greenstreet C (2005) ‘Applications of Pinpoint Fracturing in the Cooper Basin, Australia (SPE 97004)’, SPE Annual Tech</w:t>
      </w:r>
      <w:r w:rsidR="00F12C49">
        <w:t>nical</w:t>
      </w:r>
      <w:r>
        <w:t xml:space="preserve"> Conf</w:t>
      </w:r>
      <w:r w:rsidR="00F12C49">
        <w:t>erence</w:t>
      </w:r>
      <w:r>
        <w:t xml:space="preserve"> and Exhib</w:t>
      </w:r>
      <w:r w:rsidR="00F12C49">
        <w:t>ition</w:t>
      </w:r>
      <w:r>
        <w:t>, pp. 1–10.</w:t>
      </w:r>
    </w:p>
    <w:p w14:paraId="57AE5257" w14:textId="607E9B82" w:rsidR="00033BCF" w:rsidRDefault="00033BCF" w:rsidP="003036C3">
      <w:pPr>
        <w:pStyle w:val="References"/>
      </w:pPr>
      <w:r>
        <w:t xml:space="preserve">Golden JM and Wiseman HJ (2015) ‘The Fracking Revolution: Shale Gas as a Case Study in Innovation Policy’, Emory Law Journal, 64(4), pp. 955–1040. </w:t>
      </w:r>
    </w:p>
    <w:p w14:paraId="5599C306" w14:textId="2A8B5D81" w:rsidR="00033BCF" w:rsidRDefault="00033BCF" w:rsidP="00737405">
      <w:pPr>
        <w:pStyle w:val="References"/>
      </w:pPr>
      <w:r>
        <w:t>Ground Water Protection Council (2011) ‘State Oil and Gas Agency Groundwater Investigations</w:t>
      </w:r>
      <w:r w:rsidR="00737405">
        <w:t xml:space="preserve"> And Their Role in Advancing Regulatory Reforms</w:t>
      </w:r>
      <w:r>
        <w:t>’.</w:t>
      </w:r>
      <w:r w:rsidR="00737405">
        <w:t xml:space="preserve"> Viewed 10 May 2013</w:t>
      </w:r>
      <w:r w:rsidR="00FD61AD">
        <w:t>,</w:t>
      </w:r>
      <w:r w:rsidR="00737405">
        <w:t xml:space="preserve"> </w:t>
      </w:r>
      <w:hyperlink r:id="rId74" w:history="1">
        <w:r w:rsidR="00737405" w:rsidRPr="004F5119">
          <w:rPr>
            <w:rStyle w:val="Hyperlink"/>
          </w:rPr>
          <w:t>https://fracfocus.org/sites/default/files/publications/state_oil__gas_agency_groundwater_investigations_optimized.pdf</w:t>
        </w:r>
      </w:hyperlink>
      <w:r w:rsidR="0043382C" w:rsidRPr="0043382C">
        <w:t>.</w:t>
      </w:r>
      <w:r w:rsidR="00737405">
        <w:t xml:space="preserve"> </w:t>
      </w:r>
    </w:p>
    <w:p w14:paraId="4DA84853" w14:textId="03231B9B" w:rsidR="00737405" w:rsidRDefault="00737405" w:rsidP="003036C3">
      <w:pPr>
        <w:pStyle w:val="References"/>
      </w:pPr>
      <w:r w:rsidRPr="00737405">
        <w:t>Hall LS, Wang L, Bailey AHE, Orr M</w:t>
      </w:r>
      <w:r w:rsidR="00A62282">
        <w:t>L</w:t>
      </w:r>
      <w:r w:rsidRPr="00737405">
        <w:t xml:space="preserve">, Owens R, Jarrett A, Lech </w:t>
      </w:r>
      <w:r w:rsidR="3FA3EDBD">
        <w:t>M</w:t>
      </w:r>
      <w:r w:rsidR="1B67C855">
        <w:t>E</w:t>
      </w:r>
      <w:r w:rsidRPr="00737405">
        <w:t>, Skeers N, Reese B and Woods M (20</w:t>
      </w:r>
      <w:r w:rsidR="001C580C">
        <w:t>20</w:t>
      </w:r>
      <w:r w:rsidRPr="00737405">
        <w:t xml:space="preserve"> Petroleum prospectivity for the Beetaloo Sub-basin. Technical appendix for the Geological and Bioregional Assessment Program: Stage 2. </w:t>
      </w:r>
      <w:r w:rsidR="00FD61AD" w:rsidRPr="002508E0">
        <w:t>Department of the Environment and Energy, Bureau of Meteorology, CSIRO and Geoscience Australia, Australia.</w:t>
      </w:r>
    </w:p>
    <w:p w14:paraId="15ED22CD" w14:textId="3F8EDC5B" w:rsidR="00737405" w:rsidRDefault="00737405" w:rsidP="003036C3">
      <w:pPr>
        <w:pStyle w:val="References"/>
      </w:pPr>
      <w:r w:rsidRPr="00737405">
        <w:t>Hatton T, Commander P, McKenzie F, Wright J and Clennell B (2018) Independent Scientific Panel Inquiry into Hydraulic Fracture Stimulation in Western Australia. Perth, Western Australia.</w:t>
      </w:r>
      <w:r>
        <w:t xml:space="preserve"> Viewed 28 November 2018</w:t>
      </w:r>
      <w:r w:rsidR="0043382C">
        <w:t>,</w:t>
      </w:r>
      <w:r w:rsidRPr="00737405">
        <w:t xml:space="preserve"> </w:t>
      </w:r>
      <w:hyperlink r:id="rId75" w:history="1">
        <w:r w:rsidRPr="004F5119">
          <w:rPr>
            <w:rStyle w:val="Hyperlink"/>
          </w:rPr>
          <w:t>www.frackinginquiry.wa.gov.au/</w:t>
        </w:r>
      </w:hyperlink>
      <w:r w:rsidR="0043382C" w:rsidRPr="0043382C">
        <w:t>.</w:t>
      </w:r>
      <w:r>
        <w:t xml:space="preserve"> </w:t>
      </w:r>
    </w:p>
    <w:p w14:paraId="147EE93A" w14:textId="66A85544" w:rsidR="00033BCF" w:rsidRDefault="00033BCF" w:rsidP="003036C3">
      <w:pPr>
        <w:pStyle w:val="References"/>
      </w:pPr>
      <w:r>
        <w:t>Hawke A (2014) ‘Report of the independent inquiry into hydraulic fracturing in the Northern Territory’.</w:t>
      </w:r>
      <w:r w:rsidR="00E63E40">
        <w:t xml:space="preserve"> </w:t>
      </w:r>
      <w:r w:rsidR="00E63E40" w:rsidRPr="00E63E40">
        <w:t>Northern Territory Government,</w:t>
      </w:r>
      <w:r>
        <w:t xml:space="preserve"> </w:t>
      </w:r>
      <w:r w:rsidR="00FD61AD">
        <w:t>Viewed 28 June 2018,</w:t>
      </w:r>
      <w:r>
        <w:t xml:space="preserve"> </w:t>
      </w:r>
      <w:hyperlink r:id="rId76" w:history="1">
        <w:r w:rsidR="00E63E40" w:rsidRPr="00215B2B">
          <w:rPr>
            <w:rStyle w:val="Hyperlink"/>
          </w:rPr>
          <w:t>https://frackinginquiry.nt.gov.au/__data/assets/pdf_file/0008/387764/report-inquiry-into-hydraulic-fracturing-nt.pdf</w:t>
        </w:r>
      </w:hyperlink>
    </w:p>
    <w:p w14:paraId="57D646E7" w14:textId="6DFEF03E" w:rsidR="00737405" w:rsidRDefault="00737405" w:rsidP="003036C3">
      <w:pPr>
        <w:pStyle w:val="References"/>
      </w:pPr>
      <w:r w:rsidRPr="00737405">
        <w:t xml:space="preserve">Henderson BL, Hayes KR, Mount R, Schmidt RK, O’Grady A, Lewis S, Holland K, Dambacher J, Barry S and Raiber M (2016) Developing the conceptual model of causal pathways. Submethodology M05 from the Bioregional </w:t>
      </w:r>
      <w:r w:rsidR="002F5EB7" w:rsidRPr="00737405">
        <w:t>Assessment</w:t>
      </w:r>
      <w:r w:rsidRPr="00737405">
        <w:t xml:space="preserve"> Technical Programme. Australia: Department of the Environment and Energy, Bureau of Meteorology, CSIRO and Geoscience Australia.</w:t>
      </w:r>
    </w:p>
    <w:p w14:paraId="7AAC75D8" w14:textId="236F502B" w:rsidR="00C32285" w:rsidRDefault="00C32285" w:rsidP="003036C3">
      <w:pPr>
        <w:pStyle w:val="References"/>
      </w:pPr>
      <w:r w:rsidRPr="00C32285">
        <w:t>Holland K</w:t>
      </w:r>
      <w:r w:rsidR="00A62282">
        <w:t>L</w:t>
      </w:r>
      <w:r w:rsidRPr="00C32285">
        <w:t>, Brandon C, Crosbie R</w:t>
      </w:r>
      <w:r w:rsidR="00A62282">
        <w:t>S</w:t>
      </w:r>
      <w:r w:rsidRPr="00C32285">
        <w:t>, Davies P, Evans T, Golding L, Gonzalez D, Gunning M</w:t>
      </w:r>
      <w:r w:rsidR="00A62282">
        <w:t>E</w:t>
      </w:r>
      <w:r w:rsidRPr="00C32285">
        <w:t xml:space="preserve">, Hall </w:t>
      </w:r>
      <w:r w:rsidR="00A62282">
        <w:t>L</w:t>
      </w:r>
      <w:r w:rsidRPr="00C32285">
        <w:t>S, Henderson B, Kasperczyk D, Kear J, Kirby J, Lech M</w:t>
      </w:r>
      <w:r w:rsidR="00A62282">
        <w:t>E</w:t>
      </w:r>
      <w:r w:rsidRPr="00C32285">
        <w:t>, Macfarlane C, Martinez J, Marvanek S, Merrin L</w:t>
      </w:r>
      <w:r w:rsidR="00A62282">
        <w:t>E</w:t>
      </w:r>
      <w:r w:rsidRPr="00C32285">
        <w:t>, O’Grady A, Owens R, Pavey C, Post D, Rachakonda P, Raiber M, Sander R, Stewart S, Sundaram B, Tetreault-Campbell S, Williams M, Zhang Y and Zheng H (20</w:t>
      </w:r>
      <w:r w:rsidR="001C580C">
        <w:t>20</w:t>
      </w:r>
      <w:r w:rsidRPr="00C32285">
        <w:t>) Geological and environmental baseline assessment for the Cooper GBA region. Geological and Bioregional Assessment Program: Stage 2. Department of the Environment and Energy, Bureau of Meteorology, CSIRO, Geoscience Australia, Australia.</w:t>
      </w:r>
    </w:p>
    <w:p w14:paraId="4E4296F7" w14:textId="5E9D32A4" w:rsidR="002508E0" w:rsidRDefault="002508E0" w:rsidP="003036C3">
      <w:pPr>
        <w:pStyle w:val="References"/>
      </w:pPr>
      <w:r w:rsidRPr="002508E0">
        <w:t>Huddlestone-Holmes CR, Wu B, Kear J and Pandurangan R (2017) Report into The shale gas well life cycle and well integrity.</w:t>
      </w:r>
      <w:r>
        <w:t xml:space="preserve"> </w:t>
      </w:r>
      <w:r w:rsidRPr="002508E0">
        <w:t>EP179028. CSIRO, Australia. doi: 10.4225/08/5a3802273ed86.</w:t>
      </w:r>
    </w:p>
    <w:p w14:paraId="2CB099AF" w14:textId="068B39EE" w:rsidR="002508E0" w:rsidRDefault="002508E0" w:rsidP="003036C3">
      <w:pPr>
        <w:pStyle w:val="References"/>
      </w:pPr>
      <w:r w:rsidRPr="002508E0">
        <w:t>Huddlestone-Holmes CR, Horner N, Apte S, Day S, Huth N, Kear J, Kirby J, Mallants D, Measham T, Pavey C and Schinteie R (2018) Assessment of scientific knowledge of shale gas and shale oil potential impacts. CSIRO, Australia.</w:t>
      </w:r>
    </w:p>
    <w:p w14:paraId="712D8EE4" w14:textId="62DBF31C" w:rsidR="00033BCF" w:rsidRDefault="00033BCF" w:rsidP="003036C3">
      <w:pPr>
        <w:pStyle w:val="References"/>
      </w:pPr>
      <w:r>
        <w:t xml:space="preserve">International Organization for Standardization (2013) ISO/TS 16530-2:2014 Well integrity — Part 2: Well integrity for the operational phase. </w:t>
      </w:r>
      <w:r w:rsidR="002508E0">
        <w:t>Viewed 12 October 2018</w:t>
      </w:r>
      <w:r w:rsidR="00FD61AD">
        <w:t>,</w:t>
      </w:r>
      <w:r>
        <w:t xml:space="preserve"> </w:t>
      </w:r>
      <w:hyperlink r:id="rId77" w:history="1">
        <w:r w:rsidRPr="00D67958">
          <w:rPr>
            <w:rStyle w:val="Hyperlink"/>
          </w:rPr>
          <w:t>https://www.iso.org/standard/57056.html</w:t>
        </w:r>
      </w:hyperlink>
      <w:r>
        <w:t>.</w:t>
      </w:r>
    </w:p>
    <w:p w14:paraId="503AEC9C" w14:textId="2B0A581C" w:rsidR="002D1C77" w:rsidRPr="002D1C77" w:rsidRDefault="002D1C77" w:rsidP="002D1C77">
      <w:pPr>
        <w:pStyle w:val="References"/>
      </w:pPr>
      <w:r w:rsidRPr="002D1C77">
        <w:t xml:space="preserve">International Organization for Standardization (2017) ‘ISO 16530-1:2017(en) Petroleum and natural gas industries — Well integrity — Part 1 : Life cycle governance’. </w:t>
      </w:r>
      <w:r w:rsidR="00884788">
        <w:t xml:space="preserve">Viewed 12 October 2018, </w:t>
      </w:r>
      <w:hyperlink r:id="rId78" w:history="1">
        <w:r w:rsidR="00884788" w:rsidRPr="005C3891">
          <w:rPr>
            <w:rStyle w:val="Hyperlink"/>
          </w:rPr>
          <w:t>https://www.iso.org/standard/63192.html</w:t>
        </w:r>
      </w:hyperlink>
      <w:r w:rsidR="00884788">
        <w:t>.</w:t>
      </w:r>
    </w:p>
    <w:p w14:paraId="7BCFBE41" w14:textId="49F72588" w:rsidR="00033BCF" w:rsidRDefault="005D62EF" w:rsidP="005D62EF">
      <w:pPr>
        <w:pStyle w:val="References"/>
      </w:pPr>
      <w:r w:rsidRPr="005D62EF">
        <w:t>Jackson RE, Gorody AW, Mayer B, Roy JW, Ryan MC and Van Stempvoort DR (2013) ‘Groundwater protection and unconventional gas extraction: The critical need for field-based hydrogeological research’, Groundwater, 51(4), pp. 488–510. doi: 10.1111/gwat.12074.</w:t>
      </w:r>
    </w:p>
    <w:p w14:paraId="6BC2C683" w14:textId="46E2E2F8" w:rsidR="00033BCF" w:rsidRDefault="002508E0" w:rsidP="003036C3">
      <w:pPr>
        <w:pStyle w:val="References"/>
      </w:pPr>
      <w:r w:rsidRPr="002508E0">
        <w:t>Jeffrey, RG, Wu, B., Bunger, AP, Zhang, X, Chen, ZR, Kear, J and Kasperczyk, D (2017) Literature review: Hydraulic fracture growth and well integrity, Project report, prepared by the Commonwealth Scientific and Industrial Research Organisation (CSIRO) as part of the National Assessment of Chemicals Associated with Coal Seam Gas Extraction .</w:t>
      </w:r>
      <w:r>
        <w:t xml:space="preserve"> Viewed 6 June 2018</w:t>
      </w:r>
      <w:r w:rsidR="00FD61AD">
        <w:t>,</w:t>
      </w:r>
      <w:r>
        <w:t xml:space="preserve"> </w:t>
      </w:r>
      <w:hyperlink r:id="rId79" w:history="1">
        <w:r w:rsidRPr="004F5119">
          <w:rPr>
            <w:rStyle w:val="Hyperlink"/>
          </w:rPr>
          <w:t>https://www.environment.gov.au/system/files/resources/51c6a547-124a-4d61-af89-2cf5fd2e51a1/files/technical-report-number-04-lit-rev-hydraulic-fracture-growth.pdf</w:t>
        </w:r>
      </w:hyperlink>
      <w:r w:rsidR="002F5EB7" w:rsidRPr="0043382C">
        <w:t>.</w:t>
      </w:r>
      <w:r>
        <w:t xml:space="preserve"> </w:t>
      </w:r>
    </w:p>
    <w:p w14:paraId="2A467605" w14:textId="18592EBE" w:rsidR="00033BCF" w:rsidRDefault="00033BCF" w:rsidP="003036C3">
      <w:pPr>
        <w:pStyle w:val="References"/>
      </w:pPr>
      <w:r>
        <w:t>Johnson RL and Titus L (2014) ‘Observations and Recommendations from a Hydraulic Fracturing Case in the Pre-Cambrian Lawn Hill Shale, Isa Superbasin, Australia’, in SPE Asia Pacific Oil &amp; Gas Conference and Exhibition. Adelaide, Australia, pp. 1–19.</w:t>
      </w:r>
    </w:p>
    <w:p w14:paraId="70347B4F" w14:textId="3D74A487" w:rsidR="00C32285" w:rsidRDefault="00D2029F" w:rsidP="003036C3">
      <w:pPr>
        <w:pStyle w:val="References"/>
      </w:pPr>
      <w:r w:rsidRPr="00D2029F">
        <w:t>Lewis SJ, Bailey AHE, Bradshaw BE, Brandon C, Buchanan S, Crosbie RS, Dixon-Jain P, Golding L, Henderson BL, Kear J, Kirby JK, MacFarlane CM, Martinez J, Merrin LE, Murray J, O’Grady AP, Orr ML, Pavey CR, Rachakonda PR, Raiber M, Skeers N, Tetreault-Campbell S, Williams M and Woods M</w:t>
      </w:r>
      <w:r w:rsidRPr="00C32285">
        <w:t xml:space="preserve"> </w:t>
      </w:r>
      <w:r w:rsidR="00C32285" w:rsidRPr="00C32285">
        <w:t>(20</w:t>
      </w:r>
      <w:r w:rsidR="00D11DAE">
        <w:t>20</w:t>
      </w:r>
      <w:r w:rsidR="00C32285" w:rsidRPr="00C32285">
        <w:t xml:space="preserve">) </w:t>
      </w:r>
      <w:r w:rsidR="003A68A6" w:rsidRPr="003A68A6">
        <w:t>Geological and environmental baseline assessment for the Isa GBA region. Geological and Bioregional Assessment Program: Stage 2.</w:t>
      </w:r>
      <w:r w:rsidR="00C32285" w:rsidRPr="00C32285">
        <w:t xml:space="preserve"> Department of the Environment and Energy, Bureau of Meteorology, CSIRO and Geoscience Australia, Australia.</w:t>
      </w:r>
    </w:p>
    <w:p w14:paraId="303DE7BF" w14:textId="51127A76" w:rsidR="00033BCF" w:rsidRDefault="002508E0" w:rsidP="002508E0">
      <w:pPr>
        <w:pStyle w:val="References"/>
      </w:pPr>
      <w:r>
        <w:t>Mallants</w:t>
      </w:r>
      <w:r w:rsidR="00884788">
        <w:t xml:space="preserve"> M</w:t>
      </w:r>
      <w:r>
        <w:t>, Apte</w:t>
      </w:r>
      <w:r w:rsidR="00884788">
        <w:t xml:space="preserve"> S</w:t>
      </w:r>
      <w:r>
        <w:t>, Kear</w:t>
      </w:r>
      <w:r w:rsidR="00884788">
        <w:t xml:space="preserve"> J</w:t>
      </w:r>
      <w:r>
        <w:t>, Turnadge</w:t>
      </w:r>
      <w:r w:rsidR="00884788">
        <w:t xml:space="preserve"> C</w:t>
      </w:r>
      <w:r>
        <w:t>, Janardhanan</w:t>
      </w:r>
      <w:r w:rsidR="00884788">
        <w:t xml:space="preserve"> S</w:t>
      </w:r>
      <w:r>
        <w:t>, Gonzalez</w:t>
      </w:r>
      <w:r w:rsidR="00884788">
        <w:t xml:space="preserve"> D</w:t>
      </w:r>
      <w:r>
        <w:t>, Williams</w:t>
      </w:r>
      <w:r w:rsidR="00884788">
        <w:t xml:space="preserve"> M</w:t>
      </w:r>
      <w:r>
        <w:t>, Chen</w:t>
      </w:r>
      <w:r w:rsidR="00884788">
        <w:t xml:space="preserve"> Z</w:t>
      </w:r>
      <w:r>
        <w:t>, Kookana</w:t>
      </w:r>
      <w:r w:rsidR="00884788">
        <w:t xml:space="preserve"> R</w:t>
      </w:r>
      <w:r>
        <w:t>, Taylor</w:t>
      </w:r>
      <w:r w:rsidR="00884788">
        <w:t xml:space="preserve"> A</w:t>
      </w:r>
      <w:r>
        <w:t>, Raiber</w:t>
      </w:r>
      <w:r w:rsidR="00884788">
        <w:t xml:space="preserve"> M</w:t>
      </w:r>
      <w:r>
        <w:t>, Adams</w:t>
      </w:r>
      <w:r w:rsidR="00884788">
        <w:t xml:space="preserve"> M</w:t>
      </w:r>
      <w:r>
        <w:t>, Bruce</w:t>
      </w:r>
      <w:r w:rsidR="00884788">
        <w:t xml:space="preserve"> J and</w:t>
      </w:r>
      <w:r>
        <w:t xml:space="preserve"> Prommer </w:t>
      </w:r>
      <w:r w:rsidR="00884788">
        <w:t xml:space="preserve">H </w:t>
      </w:r>
      <w:r>
        <w:t>(2017). Deeper groundwater hazard screening research, prepared by the Commonwealth Scientific and Industrial Research Organisation (CSIRO), Canberra.</w:t>
      </w:r>
      <w:r w:rsidR="00033BCF">
        <w:t xml:space="preserve"> doi: 10.4225/08/5a30192e476e0.</w:t>
      </w:r>
    </w:p>
    <w:p w14:paraId="51F046DA" w14:textId="2C975812" w:rsidR="00033BCF" w:rsidRDefault="00033BCF" w:rsidP="003036C3">
      <w:pPr>
        <w:pStyle w:val="References"/>
      </w:pPr>
      <w:r>
        <w:t xml:space="preserve">McGowen JM, Gilbert JV and Samari E (2007) ‘Hydraulic fracturing down under’, in SPE Hydraulic Fracturing Technology Conference. College Station, Texas. </w:t>
      </w:r>
    </w:p>
    <w:p w14:paraId="09DB0971" w14:textId="0A18EE02" w:rsidR="00033BCF" w:rsidRDefault="00033BCF" w:rsidP="003036C3">
      <w:pPr>
        <w:pStyle w:val="References"/>
      </w:pPr>
      <w:r>
        <w:t>Northern Territory Government (2019) Code of Practice: Onshore Petroleum Activities in the Northern Territory.</w:t>
      </w:r>
      <w:r w:rsidR="002508E0">
        <w:t xml:space="preserve"> </w:t>
      </w:r>
    </w:p>
    <w:p w14:paraId="3305EB46" w14:textId="092A11CC" w:rsidR="00033BCF" w:rsidRDefault="00033BCF" w:rsidP="003036C3">
      <w:pPr>
        <w:pStyle w:val="References"/>
      </w:pPr>
      <w:r>
        <w:t xml:space="preserve">O’Brien S (2015) Report 42: Standing Committee on Environment and Public Affairs - Implications for Western Australia of Hydraulic Fracturing for Unconventional Gas. </w:t>
      </w:r>
      <w:r w:rsidR="002508E0">
        <w:t>Viewed 21 March</w:t>
      </w:r>
      <w:r w:rsidR="00FD61AD">
        <w:t>,</w:t>
      </w:r>
      <w:r w:rsidR="002508E0">
        <w:t xml:space="preserve"> 2019 </w:t>
      </w:r>
      <w:hyperlink r:id="rId80" w:history="1">
        <w:r w:rsidRPr="00FC55DB">
          <w:rPr>
            <w:rStyle w:val="Hyperlink"/>
          </w:rPr>
          <w:t>http://www.dmp.wa.gov.au/Documents/Petroleum/Report42-HydraulicFracturing_UnconventionalGas.pdf</w:t>
        </w:r>
      </w:hyperlink>
      <w:r>
        <w:t>.</w:t>
      </w:r>
    </w:p>
    <w:p w14:paraId="051FB141" w14:textId="2DF98073" w:rsidR="00033BCF" w:rsidRDefault="00033BCF" w:rsidP="003036C3">
      <w:pPr>
        <w:pStyle w:val="References"/>
      </w:pPr>
      <w:r>
        <w:t xml:space="preserve">Origin Energy (2016) 2016 Hydraulic Stimulation and Well Testing Ep: Amungee Nw-1h, And Beetaloo W-1 Or Nutwood Downs Sw-1. </w:t>
      </w:r>
      <w:r w:rsidR="00FD61AD">
        <w:t xml:space="preserve">Viewed 17 May 2019, </w:t>
      </w:r>
      <w:hyperlink r:id="rId81" w:history="1">
        <w:r w:rsidRPr="00FC55DB">
          <w:rPr>
            <w:rStyle w:val="Hyperlink"/>
          </w:rPr>
          <w:t>https://denr.nt.gov.au/__data/assets/pdf_file/0004/428575/Amungee-nw-1h-hydraulic-fracture-stimilation-and-well-testing-full.pdf</w:t>
        </w:r>
      </w:hyperlink>
      <w:r>
        <w:t>.</w:t>
      </w:r>
    </w:p>
    <w:p w14:paraId="2BDFAF68" w14:textId="57C17E3D" w:rsidR="00033BCF" w:rsidRDefault="00033BCF" w:rsidP="003036C3">
      <w:pPr>
        <w:pStyle w:val="References"/>
      </w:pPr>
      <w:r>
        <w:t xml:space="preserve">Origin Energy (2017) Origin Energy Submission 233 - Response to Information Request from the NT Hydraulic Fracturing Inquiry. </w:t>
      </w:r>
      <w:r w:rsidR="00FD61AD">
        <w:t>Viewed 17 May 2019,</w:t>
      </w:r>
      <w:r>
        <w:t xml:space="preserve"> </w:t>
      </w:r>
      <w:hyperlink r:id="rId82" w:history="1">
        <w:r w:rsidRPr="00B02FB7">
          <w:rPr>
            <w:rStyle w:val="Hyperlink"/>
          </w:rPr>
          <w:t>https://frackinginquiry.nt.gov.au/submission-library?a=456194</w:t>
        </w:r>
      </w:hyperlink>
      <w:r>
        <w:t>.</w:t>
      </w:r>
    </w:p>
    <w:p w14:paraId="3F58E360" w14:textId="3514C86C" w:rsidR="00033BCF" w:rsidRDefault="00033BCF" w:rsidP="003036C3">
      <w:pPr>
        <w:pStyle w:val="References"/>
      </w:pPr>
      <w:r>
        <w:t>Origin Energy (2019) Beetaloo Basin Drilling, Stimulation And Well Testing Program: Kyalla 117 N2 Environment Management Plan.</w:t>
      </w:r>
      <w:r w:rsidR="00FD61AD">
        <w:t xml:space="preserve"> Viewed 17 May 2019, </w:t>
      </w:r>
      <w:hyperlink r:id="rId83" w:history="1">
        <w:r w:rsidR="00FD61AD" w:rsidRPr="004F5119">
          <w:rPr>
            <w:rStyle w:val="Hyperlink"/>
          </w:rPr>
          <w:t>https://denr.nt.gov.au/__data/assets/pdf_file/0006/689379/ep117-N2-origin-drilling-hyrdaulic-fracturing-well-testing-emp.pdf</w:t>
        </w:r>
      </w:hyperlink>
      <w:r w:rsidR="002F5EB7" w:rsidRPr="0043382C">
        <w:t>.</w:t>
      </w:r>
      <w:r w:rsidR="00FD61AD">
        <w:t xml:space="preserve"> </w:t>
      </w:r>
    </w:p>
    <w:p w14:paraId="6795530F" w14:textId="600AFD8C" w:rsidR="00F02EAA" w:rsidRDefault="00F02EAA" w:rsidP="003036C3">
      <w:pPr>
        <w:pStyle w:val="References"/>
      </w:pPr>
      <w:r w:rsidRPr="00F02EAA">
        <w:t>Owens R, Hall L, Smith M, Orr M, Lech M, Evans T, Skeers N, Woods M and Inskeep C (</w:t>
      </w:r>
      <w:r w:rsidR="00D11DAE">
        <w:t>2020</w:t>
      </w:r>
      <w:r w:rsidRPr="00F02EAA">
        <w:t>) Geology of the Cooper GBA region. Technical appendix for the Geological and Bioregional Assessment: Stage 2. Department of the Environment and Energy, Bureau of Meteorology, CSIRO and Geoscience Australia, Australia.</w:t>
      </w:r>
    </w:p>
    <w:p w14:paraId="09DFD96F" w14:textId="79599E0A" w:rsidR="00FD61AD" w:rsidRDefault="00FD61AD" w:rsidP="003036C3">
      <w:pPr>
        <w:pStyle w:val="References"/>
      </w:pPr>
      <w:r w:rsidRPr="00FD61AD">
        <w:t>Pepper R, Anderson A, Ashworth P, Beck V, Hart B, Jones D, Priestly B, Ritchie D and Smith R</w:t>
      </w:r>
      <w:r w:rsidR="00334390">
        <w:t xml:space="preserve"> </w:t>
      </w:r>
      <w:r w:rsidRPr="00FD61AD">
        <w:t xml:space="preserve">(2018) Final Report of the Scientific Inquiry into Hydraulic Fracturing in the Northern Territory. </w:t>
      </w:r>
      <w:r>
        <w:t>Viewed 2 September 2019,</w:t>
      </w:r>
      <w:r w:rsidRPr="00FD61AD">
        <w:t xml:space="preserve"> </w:t>
      </w:r>
      <w:hyperlink r:id="rId84" w:history="1">
        <w:r w:rsidRPr="004F5119">
          <w:rPr>
            <w:rStyle w:val="Hyperlink"/>
          </w:rPr>
          <w:t>https://frackinginquiry.nt.gov.au/inquiry-reports/final-report</w:t>
        </w:r>
      </w:hyperlink>
      <w:r w:rsidRPr="00FD61AD">
        <w:t>.</w:t>
      </w:r>
    </w:p>
    <w:p w14:paraId="1B8BD719" w14:textId="2E938B83" w:rsidR="00884788" w:rsidRDefault="00884788" w:rsidP="003036C3">
      <w:pPr>
        <w:pStyle w:val="References"/>
      </w:pPr>
      <w:r w:rsidRPr="00884788">
        <w:t>Queensland Department of Natural Resources and Mines (2017) Code of Practice for the construction and abandonment of coal seam gas wells and associated bores in Queensland.</w:t>
      </w:r>
    </w:p>
    <w:p w14:paraId="6D5BF149" w14:textId="7292982E" w:rsidR="00884788" w:rsidRPr="00884788" w:rsidRDefault="00884788" w:rsidP="00884788">
      <w:pPr>
        <w:pStyle w:val="References"/>
      </w:pPr>
      <w:r w:rsidRPr="00884788">
        <w:t xml:space="preserve">Queensland Department of Natural Resources Mines and Energy (2018) Code of Practice for the construction and abandonment of coal seam gas wells and associated bores in Queensland. </w:t>
      </w:r>
    </w:p>
    <w:p w14:paraId="3895824F" w14:textId="7E10D86B" w:rsidR="00033BCF" w:rsidRDefault="00033BCF" w:rsidP="003036C3">
      <w:pPr>
        <w:pStyle w:val="References"/>
      </w:pPr>
      <w:r>
        <w:t>Santos (2015) South Australian Cooper Basin Environmental Impact Report: Drilling and Completions and Well Operations.</w:t>
      </w:r>
      <w:r w:rsidR="00FD61AD">
        <w:t xml:space="preserve"> Viewed 23 July 2018 </w:t>
      </w:r>
      <w:hyperlink r:id="rId85" w:history="1">
        <w:r w:rsidR="00FD61AD" w:rsidRPr="004F5119">
          <w:rPr>
            <w:rStyle w:val="Hyperlink"/>
          </w:rPr>
          <w:t>http://petroleum.statedevelopment.sa.gov.au/__data/assets/pdf_file/0003/288534/20161216_-_Santos_Production_and_Processing_EIR_2016_Final_for_consultat....pdf</w:t>
        </w:r>
      </w:hyperlink>
      <w:r w:rsidR="002F5EB7" w:rsidRPr="0043382C">
        <w:t>.</w:t>
      </w:r>
      <w:r w:rsidR="00FD61AD">
        <w:t xml:space="preserve"> </w:t>
      </w:r>
    </w:p>
    <w:p w14:paraId="17087C4A" w14:textId="674B8B90" w:rsidR="00FD61AD" w:rsidRDefault="00FD61AD" w:rsidP="003036C3">
      <w:pPr>
        <w:pStyle w:val="References"/>
      </w:pPr>
      <w:r w:rsidRPr="00FD61AD">
        <w:t xml:space="preserve">Smith M, Pavey C, Ford J, Sparrow A, Karim F and Radke B (2016) Conceptual modelling for the Cooper subregion. Product 2.3 for the Cooper subregion from the Lake Eyre Basin Bioregional Assessment. </w:t>
      </w:r>
      <w:r>
        <w:t xml:space="preserve">Viewed 3 December 2018, </w:t>
      </w:r>
      <w:hyperlink r:id="rId86" w:history="1">
        <w:r w:rsidRPr="004F5119">
          <w:rPr>
            <w:rStyle w:val="Hyperlink"/>
          </w:rPr>
          <w:t>http://data.bioregionalassessments.gov.au/product/LEB/COO/2.3</w:t>
        </w:r>
      </w:hyperlink>
      <w:r w:rsidRPr="00FD61AD">
        <w:t>.</w:t>
      </w:r>
      <w:r>
        <w:t xml:space="preserve"> </w:t>
      </w:r>
    </w:p>
    <w:p w14:paraId="5089736C" w14:textId="5BB84F13" w:rsidR="009F7490" w:rsidRDefault="009F7490" w:rsidP="003036C3">
      <w:pPr>
        <w:pStyle w:val="References"/>
      </w:pPr>
      <w:r w:rsidRPr="009F7490">
        <w:t xml:space="preserve">State of Queensland (2018) Queensland Borehole data. [spatial]. Viewed 4 June 2018, </w:t>
      </w:r>
      <w:r w:rsidRPr="009F7490">
        <w:rPr>
          <w:rStyle w:val="Hyperlink"/>
        </w:rPr>
        <w:t>https://qdexdata.dnrme.qld.gov.au/gdp/search. GBA data repository GUID: 6F36D9F9-AD73-4682-9031-41469902193F.</w:t>
      </w:r>
    </w:p>
    <w:p w14:paraId="676E9AA2" w14:textId="5835F58B" w:rsidR="00033BCF" w:rsidRDefault="00033BCF" w:rsidP="003036C3">
      <w:pPr>
        <w:pStyle w:val="References"/>
      </w:pPr>
      <w:r>
        <w:t xml:space="preserve">The Royal Society and The Royal Academy of Engineering (2012) Shale gas extraction in the UK: a review of hydraulic fracturing, Royal Academy of Engineering. London. </w:t>
      </w:r>
      <w:r w:rsidR="007A779F">
        <w:t>Viewed 7 June 2018</w:t>
      </w:r>
      <w:r>
        <w:t xml:space="preserve">: </w:t>
      </w:r>
      <w:hyperlink r:id="rId87" w:history="1">
        <w:r w:rsidR="001274D1" w:rsidRPr="00FD61AD">
          <w:rPr>
            <w:rStyle w:val="Hyperlink"/>
          </w:rPr>
          <w:t>https://royalsociety.org/policy/projects/shale-gas-extraction</w:t>
        </w:r>
      </w:hyperlink>
      <w:r w:rsidRPr="00FD61AD">
        <w:t>.</w:t>
      </w:r>
    </w:p>
    <w:p w14:paraId="192F2A39" w14:textId="2919B45B" w:rsidR="00033BCF" w:rsidRDefault="00033BCF" w:rsidP="003036C3">
      <w:pPr>
        <w:pStyle w:val="References"/>
      </w:pPr>
      <w:r>
        <w:t xml:space="preserve">USEPA (2016) Hydraulic fracturing for oil and gas: Impacts from the hydraulic fracturing water cycle on drinking water resources in the United States. Available at: </w:t>
      </w:r>
      <w:hyperlink r:id="rId88" w:history="1">
        <w:r w:rsidRPr="000A5D57">
          <w:rPr>
            <w:rStyle w:val="Hyperlink"/>
          </w:rPr>
          <w:t>https://www.epa.gov/hfstudy</w:t>
        </w:r>
      </w:hyperlink>
      <w:r>
        <w:t>.</w:t>
      </w:r>
    </w:p>
    <w:p w14:paraId="3795790E" w14:textId="593AFACF" w:rsidR="00FD61AD" w:rsidRDefault="00FD61AD" w:rsidP="003036C3">
      <w:pPr>
        <w:pStyle w:val="References"/>
      </w:pPr>
      <w:r w:rsidRPr="00FD61AD">
        <w:t>Vidic RD, Brantley SL, Vandenbossche JM, Yoxtheimer D and Abad JD (2013) ‘Impact of shale gas development on regional water quality’, Science, 340(6134). doi: 10.1126/science.1235009.</w:t>
      </w:r>
    </w:p>
    <w:p w14:paraId="0603C885" w14:textId="5A28DF3F" w:rsidR="00033BCF" w:rsidRDefault="00033BCF" w:rsidP="003036C3">
      <w:pPr>
        <w:pStyle w:val="References"/>
      </w:pPr>
      <w:r>
        <w:t xml:space="preserve">Wright J (2014) ‘Drilling for oil and gas in New Zealand: Environmental oversight and regulation’, (June), pp. 1–100. </w:t>
      </w:r>
      <w:r w:rsidR="005D62EF">
        <w:t>Viewed 14 September 2018,</w:t>
      </w:r>
      <w:r>
        <w:t xml:space="preserve"> </w:t>
      </w:r>
      <w:hyperlink r:id="rId89" w:history="1">
        <w:r w:rsidRPr="000A5D57">
          <w:rPr>
            <w:rStyle w:val="Hyperlink"/>
          </w:rPr>
          <w:t>http://www.pce.parliament.nz/media/pdfs/PCE-OilGas-web.pdf%5Cnwww.pce.parliament.nz</w:t>
        </w:r>
      </w:hyperlink>
      <w:r>
        <w:t>.</w:t>
      </w:r>
    </w:p>
    <w:p w14:paraId="6D7A0992" w14:textId="5FACBA7D" w:rsidR="005D62EF" w:rsidRDefault="005D62EF" w:rsidP="003036C3">
      <w:pPr>
        <w:pStyle w:val="References"/>
      </w:pPr>
      <w:r w:rsidRPr="005D62EF">
        <w:t>Wu</w:t>
      </w:r>
      <w:r w:rsidR="00334390">
        <w:t xml:space="preserve"> </w:t>
      </w:r>
      <w:r w:rsidRPr="005D62EF">
        <w:t>B, Doble R, Turnadge C and Mallants D (2016) ‘Bore and well induced inter-aquifer connectivity: a review of literature on failure mechanisms and conceptualisation of hydrocarbon reservoir - aquifer failure pathways’.doi: 10.4225/08/5997394464ce0.</w:t>
      </w:r>
    </w:p>
    <w:p w14:paraId="2FF4895D" w14:textId="5EC5F620" w:rsidR="00B02B61" w:rsidRDefault="00B02B61" w:rsidP="00B02B61">
      <w:pPr>
        <w:pStyle w:val="References"/>
      </w:pPr>
      <w:r w:rsidRPr="00B02B61">
        <w:t>Zoback, M., Kitasei, S., Copithorne, Brad and Copithorne, Bradford (2010) Briefing Paper 1 - Addressing the Environmental Risks from Shale Gas Development Natural Gas and Sustainable Energy Initiative Addressing the Environmental Risks from Shale Gas Development.</w:t>
      </w:r>
    </w:p>
    <w:p w14:paraId="0FF16FA8" w14:textId="434F19BE" w:rsidR="0016501A" w:rsidRDefault="0016501A" w:rsidP="0016501A">
      <w:pPr>
        <w:pStyle w:val="Heading2notnumbered"/>
      </w:pPr>
      <w:bookmarkStart w:id="197" w:name="_Toc36042876"/>
      <w:r>
        <w:t>Glossary</w:t>
      </w:r>
      <w:bookmarkEnd w:id="197"/>
    </w:p>
    <w:bookmarkEnd w:id="24"/>
    <w:p w14:paraId="0A294015" w14:textId="77777777" w:rsidR="00B362D0" w:rsidRPr="00B362D0" w:rsidRDefault="00B362D0" w:rsidP="00B362D0">
      <w:pPr>
        <w:spacing w:after="180"/>
      </w:pPr>
      <w:r w:rsidRPr="00B362D0">
        <w:t xml:space="preserve">The register of terms and definitions used in the Geological and Bioregional Assessment Program is available online at </w:t>
      </w:r>
      <w:hyperlink r:id="rId90" w:history="1">
        <w:r w:rsidRPr="00B362D0">
          <w:rPr>
            <w:color w:val="006D99"/>
          </w:rPr>
          <w:t>https://w3id.org/gba/glossary</w:t>
        </w:r>
      </w:hyperlink>
      <w:r w:rsidRPr="00B362D0">
        <w:t xml:space="preserve"> (note that terms and definitions are respectively listed under the 'Name' and 'Description' columns in this register). This register is a list of terms, which are the preferred descriptors for concepts. Other properties are included for each term, including licence information, source of definition and date of approval. Semantic relationships (such as hierarchical relationships) are formalised for some terms, as well as linkages to other terms in related vocabularies. Many of the definitions for these terms have been sourced from external glossaries – several from international sources; spelling variations have been preserved to maintain authenticity of the source.</w:t>
      </w:r>
    </w:p>
    <w:p w14:paraId="6B8C2564" w14:textId="77777777" w:rsidR="00B362D0" w:rsidRPr="00B362D0" w:rsidRDefault="00B362D0" w:rsidP="00B362D0">
      <w:pPr>
        <w:spacing w:after="180"/>
      </w:pPr>
      <w:hyperlink r:id="rId91" w:history="1">
        <w:r w:rsidRPr="00B362D0">
          <w:rPr>
            <w:color w:val="auto"/>
            <w:u w:val="dotted"/>
          </w:rPr>
          <w:t>abandonment</w:t>
        </w:r>
      </w:hyperlink>
      <w:r w:rsidRPr="00B362D0">
        <w:t>: a process which involves shutting down the well and rehabilitating the site. It includes decommissioning the well.</w:t>
      </w:r>
    </w:p>
    <w:p w14:paraId="7A835D45" w14:textId="77777777" w:rsidR="00B362D0" w:rsidRPr="00B362D0" w:rsidRDefault="00B362D0" w:rsidP="00B362D0">
      <w:pPr>
        <w:spacing w:after="180"/>
      </w:pPr>
      <w:hyperlink r:id="rId92" w:history="1">
        <w:r w:rsidRPr="00B362D0">
          <w:rPr>
            <w:color w:val="auto"/>
            <w:u w:val="dotted"/>
          </w:rPr>
          <w:t>accumulation</w:t>
        </w:r>
      </w:hyperlink>
      <w:r w:rsidRPr="00B362D0">
        <w:t>: in petroleum geosciences, an ‘accumulation’ is referred to as an individual body of moveable petroleum</w:t>
      </w:r>
    </w:p>
    <w:p w14:paraId="1C9E084B" w14:textId="77777777" w:rsidR="00B362D0" w:rsidRPr="00B362D0" w:rsidRDefault="00B362D0" w:rsidP="00B362D0">
      <w:pPr>
        <w:spacing w:after="180"/>
      </w:pPr>
      <w:hyperlink r:id="rId93" w:history="1">
        <w:r w:rsidRPr="00B362D0">
          <w:rPr>
            <w:color w:val="auto"/>
            <w:u w:val="dotted"/>
          </w:rPr>
          <w:t>activity</w:t>
        </w:r>
      </w:hyperlink>
      <w:r w:rsidRPr="00B362D0">
        <w:t>: for the purposes of Impact Modes and Effects Analysis (IMEA), a planned event associated with unconventional gas resource development. For example, activities during the exploration life-cycle stage include drilling and coring, ground-based geophysics and surface core testing. Activities are grouped into ten major activities, which can occur at different life-cycle stages.</w:t>
      </w:r>
    </w:p>
    <w:p w14:paraId="75B0F232" w14:textId="77777777" w:rsidR="00B362D0" w:rsidRPr="00B362D0" w:rsidRDefault="00B362D0" w:rsidP="00B362D0">
      <w:pPr>
        <w:spacing w:after="180"/>
      </w:pPr>
      <w:hyperlink r:id="rId94" w:history="1">
        <w:r w:rsidRPr="00B362D0">
          <w:rPr>
            <w:color w:val="auto"/>
            <w:u w:val="dotted"/>
          </w:rPr>
          <w:t>anticline</w:t>
        </w:r>
      </w:hyperlink>
      <w:r w:rsidRPr="00B362D0">
        <w:t xml:space="preserve">: an arch-shaped fold in rock in which rock layers are upwardly convex. The oldest rock layers form the core of the fold and, outward from the core, progressively younger rocks occur. </w:t>
      </w:r>
    </w:p>
    <w:p w14:paraId="204856E9" w14:textId="77777777" w:rsidR="00B362D0" w:rsidRPr="00B362D0" w:rsidRDefault="00B362D0" w:rsidP="00B362D0">
      <w:pPr>
        <w:spacing w:after="180"/>
      </w:pPr>
      <w:hyperlink r:id="rId95" w:history="1">
        <w:r w:rsidRPr="00B362D0">
          <w:rPr>
            <w:color w:val="auto"/>
            <w:u w:val="dotted"/>
          </w:rPr>
          <w:t>aquifer</w:t>
        </w:r>
      </w:hyperlink>
      <w:r w:rsidRPr="00B362D0">
        <w:t>: rock or sediment in a formation, group of formations, or part of a formation that is saturated and sufficiently permeable to transmit quantities of water to bores and springs</w:t>
      </w:r>
    </w:p>
    <w:p w14:paraId="123AEE1B" w14:textId="77777777" w:rsidR="00B362D0" w:rsidRPr="00B362D0" w:rsidRDefault="00B362D0" w:rsidP="00B362D0">
      <w:pPr>
        <w:spacing w:after="180"/>
      </w:pPr>
      <w:hyperlink r:id="rId96" w:history="1">
        <w:r w:rsidRPr="00B362D0">
          <w:rPr>
            <w:color w:val="auto"/>
            <w:u w:val="dotted"/>
          </w:rPr>
          <w:t>aquitard</w:t>
        </w:r>
      </w:hyperlink>
      <w:r w:rsidRPr="00B362D0">
        <w:t>: a saturated geological unit that is less permeable than an aquifer, and incapable of transmitting useful quantities of water. Aquitards commonly form a confining layer over an artesian aquifer.</w:t>
      </w:r>
    </w:p>
    <w:p w14:paraId="79CD43E4" w14:textId="77777777" w:rsidR="00B362D0" w:rsidRPr="00B362D0" w:rsidRDefault="00B362D0" w:rsidP="00B362D0">
      <w:pPr>
        <w:spacing w:after="180"/>
      </w:pPr>
      <w:hyperlink r:id="rId97" w:history="1">
        <w:r w:rsidRPr="00B362D0">
          <w:rPr>
            <w:color w:val="auto"/>
            <w:u w:val="dotted"/>
          </w:rPr>
          <w:t>asset</w:t>
        </w:r>
      </w:hyperlink>
      <w:r w:rsidRPr="00B362D0">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52B289F9" w14:textId="77777777" w:rsidR="00B362D0" w:rsidRPr="00B362D0" w:rsidRDefault="00B362D0" w:rsidP="00B362D0">
      <w:pPr>
        <w:spacing w:after="180"/>
      </w:pPr>
      <w:hyperlink r:id="rId98" w:history="1">
        <w:r w:rsidRPr="00B362D0">
          <w:rPr>
            <w:color w:val="auto"/>
            <w:u w:val="dotted"/>
          </w:rPr>
          <w:t>bed</w:t>
        </w:r>
      </w:hyperlink>
      <w:r w:rsidRPr="00B362D0">
        <w:t>: in geosciences, the term 'bed' refers to a layer of sediment or sedimentary rock, or stratum. A bed is the smallest stratigraphic unit, generally a centimetre or more in thickness. To be labeled a bed, the stratum must be distinguishable from adjacent beds.</w:t>
      </w:r>
    </w:p>
    <w:p w14:paraId="2663F0F2" w14:textId="77777777" w:rsidR="00B362D0" w:rsidRPr="00B362D0" w:rsidRDefault="00B362D0" w:rsidP="00B362D0">
      <w:pPr>
        <w:spacing w:after="180"/>
      </w:pPr>
      <w:hyperlink r:id="rId99" w:history="1">
        <w:r w:rsidRPr="00B362D0">
          <w:rPr>
            <w:color w:val="auto"/>
            <w:u w:val="dotted"/>
          </w:rPr>
          <w:t>biogenic gas</w:t>
        </w:r>
      </w:hyperlink>
      <w:r w:rsidRPr="00B362D0">
        <w:t>: hydrocarbon gases (which are overwhelmingly (greater than or equal to 99%) methane) produced as a direct consequence of bacterial activity</w:t>
      </w:r>
    </w:p>
    <w:p w14:paraId="631F456F" w14:textId="77777777" w:rsidR="00B362D0" w:rsidRPr="00B362D0" w:rsidRDefault="00B362D0" w:rsidP="00B362D0">
      <w:pPr>
        <w:spacing w:after="180"/>
      </w:pPr>
      <w:hyperlink r:id="rId100" w:history="1">
        <w:r w:rsidRPr="00B362D0">
          <w:rPr>
            <w:color w:val="auto"/>
            <w:u w:val="dotted"/>
          </w:rPr>
          <w:t>bore</w:t>
        </w:r>
      </w:hyperlink>
      <w:r w:rsidRPr="00B362D0">
        <w:t>: a narrow, artificially constructed hole or cavity used to intercept, collect or store water from an aquifer, or to passively observe or collect groundwater information. Also known as a borehole or piezometer.</w:t>
      </w:r>
    </w:p>
    <w:p w14:paraId="41B7A524" w14:textId="77777777" w:rsidR="00B362D0" w:rsidRPr="00B362D0" w:rsidRDefault="00B362D0" w:rsidP="00B362D0">
      <w:pPr>
        <w:spacing w:after="180"/>
      </w:pPr>
      <w:hyperlink r:id="rId101" w:history="1">
        <w:r w:rsidRPr="00B362D0">
          <w:rPr>
            <w:color w:val="auto"/>
            <w:u w:val="dotted"/>
          </w:rPr>
          <w:t>casing</w:t>
        </w:r>
      </w:hyperlink>
      <w:r w:rsidRPr="00B362D0">
        <w:t>: a pipe placed in a well to prevent the wall of the hole from caving in and to prevent movement of fluids from one formation to another</w:t>
      </w:r>
    </w:p>
    <w:p w14:paraId="3D472C8C" w14:textId="77777777" w:rsidR="00B362D0" w:rsidRPr="00B362D0" w:rsidRDefault="00B362D0" w:rsidP="00B362D0">
      <w:pPr>
        <w:spacing w:after="180"/>
      </w:pPr>
      <w:hyperlink r:id="rId102" w:history="1">
        <w:r w:rsidRPr="00B362D0">
          <w:rPr>
            <w:color w:val="auto"/>
            <w:u w:val="dotted"/>
          </w:rPr>
          <w:t>casing string</w:t>
        </w:r>
      </w:hyperlink>
      <w:r w:rsidRPr="00B362D0">
        <w:t>: steel pipe used to line a well and support the rock. The casing extends to the surface and is sealed by a cement sheath between the casing and the rock. Often, multiple casings are used to provide additional barriers between the formation and well.</w:t>
      </w:r>
    </w:p>
    <w:p w14:paraId="6E84C1DC" w14:textId="77777777" w:rsidR="00B362D0" w:rsidRPr="00B362D0" w:rsidRDefault="00B362D0" w:rsidP="00B362D0">
      <w:pPr>
        <w:spacing w:after="180"/>
      </w:pPr>
      <w:hyperlink r:id="rId103" w:history="1">
        <w:r w:rsidRPr="00B362D0">
          <w:rPr>
            <w:color w:val="auto"/>
            <w:u w:val="dotted"/>
          </w:rPr>
          <w:t>causal pathway</w:t>
        </w:r>
      </w:hyperlink>
      <w:r w:rsidRPr="00B362D0">
        <w:t>: for the purposes of geological and bioregional assessments, the logical chain of events ‒ either planned or unplanned ‒ that link unconventional gas resource development and potential impacts on water and the environment</w:t>
      </w:r>
    </w:p>
    <w:p w14:paraId="760E0E4D" w14:textId="77777777" w:rsidR="00B362D0" w:rsidRPr="00B362D0" w:rsidRDefault="00B362D0" w:rsidP="00B362D0">
      <w:pPr>
        <w:spacing w:after="180"/>
      </w:pPr>
      <w:hyperlink r:id="rId104" w:history="1">
        <w:r w:rsidRPr="00B362D0">
          <w:rPr>
            <w:color w:val="auto"/>
            <w:u w:val="dotted"/>
          </w:rPr>
          <w:t>cement bond log</w:t>
        </w:r>
      </w:hyperlink>
      <w:r w:rsidRPr="00B362D0">
        <w:t>: a key method for testing the integrity of cement used in the construction of the well, especially whether the cement is adhering effectively to both sides of the annulus between casings or between the outer casing and the rock sides</w:t>
      </w:r>
    </w:p>
    <w:p w14:paraId="1447AA12" w14:textId="77777777" w:rsidR="00B362D0" w:rsidRPr="00B362D0" w:rsidRDefault="00B362D0" w:rsidP="00B362D0">
      <w:pPr>
        <w:spacing w:after="180"/>
      </w:pPr>
      <w:hyperlink r:id="rId105" w:history="1">
        <w:r w:rsidRPr="00B362D0">
          <w:rPr>
            <w:color w:val="auto"/>
            <w:u w:val="dotted"/>
          </w:rPr>
          <w:t>cementing</w:t>
        </w:r>
      </w:hyperlink>
      <w:r w:rsidRPr="00B362D0">
        <w:t>: the application of a liquid slurry of cement and water to various points inside and outside the casing</w:t>
      </w:r>
    </w:p>
    <w:p w14:paraId="1C541F07" w14:textId="77777777" w:rsidR="00B362D0" w:rsidRPr="00B362D0" w:rsidRDefault="00B362D0" w:rsidP="00B362D0">
      <w:pPr>
        <w:spacing w:after="180"/>
      </w:pPr>
      <w:hyperlink r:id="rId106" w:history="1">
        <w:r w:rsidRPr="00B362D0">
          <w:rPr>
            <w:color w:val="auto"/>
            <w:u w:val="dotted"/>
          </w:rPr>
          <w:t>charge</w:t>
        </w:r>
      </w:hyperlink>
      <w:r w:rsidRPr="00B362D0">
        <w:t>: in petroleum geoscience, a 'charge' refers to the volume of expelled petroleum available for entrapment</w:t>
      </w:r>
    </w:p>
    <w:p w14:paraId="623702A4" w14:textId="77777777" w:rsidR="00B362D0" w:rsidRPr="00B362D0" w:rsidRDefault="00B362D0" w:rsidP="00B362D0">
      <w:pPr>
        <w:spacing w:after="180"/>
      </w:pPr>
      <w:hyperlink r:id="rId107" w:history="1">
        <w:r w:rsidRPr="00B362D0">
          <w:rPr>
            <w:color w:val="auto"/>
            <w:u w:val="dotted"/>
          </w:rPr>
          <w:t>Christmas tree</w:t>
        </w:r>
      </w:hyperlink>
      <w:r w:rsidRPr="00B362D0">
        <w:t>: control valves, pressure gauges and chokes assembled at the top of a well to control the flow of gas after the well has been drilled and completed</w:t>
      </w:r>
    </w:p>
    <w:p w14:paraId="736D4922" w14:textId="77777777" w:rsidR="00B362D0" w:rsidRPr="00B362D0" w:rsidRDefault="00B362D0" w:rsidP="00B362D0">
      <w:pPr>
        <w:spacing w:after="180"/>
      </w:pPr>
      <w:hyperlink r:id="rId108" w:history="1">
        <w:r w:rsidRPr="00B362D0">
          <w:rPr>
            <w:color w:val="auto"/>
            <w:u w:val="dotted"/>
          </w:rPr>
          <w:t>cleat</w:t>
        </w:r>
      </w:hyperlink>
      <w:r w:rsidRPr="00B362D0">
        <w:t>: the vertical cleavage of coal seams. The main set of joints along which coal breaks when mined.</w:t>
      </w:r>
    </w:p>
    <w:p w14:paraId="429B8B59" w14:textId="77777777" w:rsidR="00B362D0" w:rsidRPr="00B362D0" w:rsidRDefault="00B362D0" w:rsidP="00B362D0">
      <w:pPr>
        <w:spacing w:after="180"/>
      </w:pPr>
      <w:hyperlink r:id="rId109" w:history="1">
        <w:r w:rsidRPr="00B362D0">
          <w:rPr>
            <w:color w:val="auto"/>
            <w:u w:val="dotted"/>
          </w:rPr>
          <w:t>coal</w:t>
        </w:r>
      </w:hyperlink>
      <w:r w:rsidRPr="00B362D0">
        <w:t>: a rock containing greater than 50 wt.% organic matter</w:t>
      </w:r>
    </w:p>
    <w:p w14:paraId="643DA1AF" w14:textId="77777777" w:rsidR="00B362D0" w:rsidRPr="00B362D0" w:rsidRDefault="00B362D0" w:rsidP="00B362D0">
      <w:pPr>
        <w:spacing w:after="180"/>
      </w:pPr>
      <w:hyperlink r:id="rId110" w:history="1">
        <w:r w:rsidRPr="00B362D0">
          <w:rPr>
            <w:color w:val="auto"/>
            <w:u w:val="dotted"/>
          </w:rPr>
          <w:t>coal seam gas</w:t>
        </w:r>
      </w:hyperlink>
      <w:r w:rsidRPr="00B362D0">
        <w:t>: coal seam gas (CSG) is a form of natural gas (generally 95% to 97% pure methane, CH</w:t>
      </w:r>
      <w:r w:rsidRPr="00B362D0">
        <w:rPr>
          <w:vertAlign w:val="subscript"/>
        </w:rPr>
        <w:t>4</w:t>
      </w:r>
      <w:r w:rsidRPr="00B362D0">
        <w:t>) extracted from coal seams, typically at depths of 300 to 1000 m. Also called coal seam methane (CSM) or coalbed methane (CBM).</w:t>
      </w:r>
    </w:p>
    <w:p w14:paraId="2B7093F0" w14:textId="77777777" w:rsidR="00B362D0" w:rsidRPr="00B362D0" w:rsidRDefault="00B362D0" w:rsidP="00B362D0">
      <w:pPr>
        <w:spacing w:after="180"/>
      </w:pPr>
      <w:hyperlink r:id="rId111" w:history="1">
        <w:r w:rsidRPr="00B362D0">
          <w:rPr>
            <w:color w:val="auto"/>
            <w:u w:val="dotted"/>
          </w:rPr>
          <w:t>compression</w:t>
        </w:r>
      </w:hyperlink>
      <w:r w:rsidRPr="00B362D0">
        <w:t>: lateral force or stress (e.g. tectonic) that tends to decrease the volume of, or shorten, a substance</w:t>
      </w:r>
    </w:p>
    <w:p w14:paraId="18E81E1B" w14:textId="77777777" w:rsidR="00B362D0" w:rsidRPr="00B362D0" w:rsidRDefault="00B362D0" w:rsidP="00B362D0">
      <w:pPr>
        <w:spacing w:after="180"/>
      </w:pPr>
      <w:hyperlink r:id="rId112" w:history="1">
        <w:r w:rsidRPr="00B362D0">
          <w:rPr>
            <w:color w:val="auto"/>
            <w:u w:val="dotted"/>
          </w:rPr>
          <w:t>conceptual model</w:t>
        </w:r>
      </w:hyperlink>
      <w:r w:rsidRPr="00B362D0">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1BD7A2F7" w14:textId="77777777" w:rsidR="00B362D0" w:rsidRPr="00B362D0" w:rsidRDefault="00B362D0" w:rsidP="00B362D0">
      <w:pPr>
        <w:spacing w:after="180"/>
      </w:pPr>
      <w:hyperlink r:id="rId113" w:history="1">
        <w:r w:rsidRPr="00B362D0">
          <w:rPr>
            <w:color w:val="auto"/>
            <w:u w:val="dotted"/>
          </w:rPr>
          <w:t>confined aquifer</w:t>
        </w:r>
      </w:hyperlink>
      <w:r w:rsidRPr="00B362D0">
        <w:t>: an aquifer saturated with confining layers of low-permeability rock or sediment both above and below it. It is under pressure so that when the aquifer is penetrated by a bore, the water will rise above the top of the aquifer.</w:t>
      </w:r>
    </w:p>
    <w:p w14:paraId="3A939733" w14:textId="77777777" w:rsidR="00B362D0" w:rsidRPr="00B362D0" w:rsidRDefault="00B362D0" w:rsidP="00B362D0">
      <w:pPr>
        <w:spacing w:after="180"/>
      </w:pPr>
      <w:hyperlink r:id="rId114" w:history="1">
        <w:r w:rsidRPr="00B362D0">
          <w:rPr>
            <w:color w:val="auto"/>
            <w:u w:val="dotted"/>
          </w:rPr>
          <w:t>consequence</w:t>
        </w:r>
      </w:hyperlink>
      <w:r w:rsidRPr="00B362D0">
        <w:t>: synonym of impact</w:t>
      </w:r>
    </w:p>
    <w:p w14:paraId="4B1C6594" w14:textId="77777777" w:rsidR="00B362D0" w:rsidRPr="00B362D0" w:rsidRDefault="00B362D0" w:rsidP="00B362D0">
      <w:pPr>
        <w:spacing w:after="180"/>
      </w:pPr>
      <w:hyperlink r:id="rId115" w:history="1">
        <w:r w:rsidRPr="00B362D0">
          <w:rPr>
            <w:color w:val="auto"/>
            <w:u w:val="dotted"/>
          </w:rPr>
          <w:t>context</w:t>
        </w:r>
      </w:hyperlink>
      <w:r w:rsidRPr="00B362D0">
        <w:t>: the circumstances that form the setting for an event, statement or idea</w:t>
      </w:r>
    </w:p>
    <w:p w14:paraId="1B71C7BE" w14:textId="77777777" w:rsidR="00B362D0" w:rsidRPr="00B362D0" w:rsidRDefault="00B362D0" w:rsidP="00B362D0">
      <w:pPr>
        <w:spacing w:after="180"/>
      </w:pPr>
      <w:hyperlink r:id="rId116" w:history="1">
        <w:r w:rsidRPr="00B362D0">
          <w:rPr>
            <w:color w:val="auto"/>
            <w:u w:val="dotted"/>
          </w:rPr>
          <w:t>conventional gas</w:t>
        </w:r>
      </w:hyperlink>
      <w:r w:rsidRPr="00B362D0">
        <w:t>: conventional gas is obtained from reservoirs that largely consist of porous sandstone formations capped by impermeable rock, with the gas trapped by buoyancy. The gas can often move to the surface through the gas wells without the need to pump.</w:t>
      </w:r>
    </w:p>
    <w:p w14:paraId="770889DB" w14:textId="77777777" w:rsidR="00B362D0" w:rsidRPr="00B362D0" w:rsidRDefault="00B362D0" w:rsidP="00B362D0">
      <w:pPr>
        <w:spacing w:after="180"/>
      </w:pPr>
      <w:hyperlink r:id="rId117" w:history="1">
        <w:r w:rsidRPr="00B362D0">
          <w:rPr>
            <w:color w:val="auto"/>
            <w:u w:val="dotted"/>
          </w:rPr>
          <w:t>Cooper Basin</w:t>
        </w:r>
      </w:hyperlink>
      <w:r w:rsidRPr="00B362D0">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Pr="00B362D0">
        <w:rPr>
          <w:vertAlign w:val="superscript"/>
        </w:rPr>
        <w:t>2</w:t>
      </w:r>
      <w:r w:rsidRPr="00B362D0">
        <w:t>, including 95,740 km</w:t>
      </w:r>
      <w:r w:rsidRPr="00B362D0">
        <w:rPr>
          <w:vertAlign w:val="superscript"/>
        </w:rPr>
        <w:t>2</w:t>
      </w:r>
      <w:r w:rsidRPr="00B362D0">
        <w:t xml:space="preserve"> in Queensland, 34,310 km</w:t>
      </w:r>
      <w:r w:rsidRPr="00B362D0">
        <w:rPr>
          <w:vertAlign w:val="superscript"/>
        </w:rPr>
        <w:t>2</w:t>
      </w:r>
      <w:r w:rsidRPr="00B362D0">
        <w:t xml:space="preserve"> in SA and 8 km</w:t>
      </w:r>
      <w:r w:rsidRPr="00B362D0">
        <w:rPr>
          <w:vertAlign w:val="superscript"/>
        </w:rPr>
        <w:t>2</w:t>
      </w:r>
      <w:r w:rsidRPr="00B362D0">
        <w:t xml:space="preserve"> in NSW.</w:t>
      </w:r>
    </w:p>
    <w:p w14:paraId="1D9D7B7D" w14:textId="77777777" w:rsidR="00B362D0" w:rsidRPr="00B362D0" w:rsidRDefault="00B362D0" w:rsidP="00B362D0">
      <w:pPr>
        <w:spacing w:after="180"/>
      </w:pPr>
      <w:hyperlink r:id="rId118" w:history="1">
        <w:r w:rsidRPr="00B362D0">
          <w:rPr>
            <w:color w:val="auto"/>
            <w:u w:val="dotted"/>
          </w:rPr>
          <w:t>crude oil</w:t>
        </w:r>
      </w:hyperlink>
      <w:r w:rsidRPr="00B362D0">
        <w:t>: the portion of petroleum that exists in the liquid phase in natural underground reservoirs and remains liquid at atmospheric conditions of pressure and temperature. Crude oil may include small amounts of non-hydrocarbons produced with the liquids.</w:t>
      </w:r>
    </w:p>
    <w:p w14:paraId="3D9737A9" w14:textId="77777777" w:rsidR="00B362D0" w:rsidRPr="00B362D0" w:rsidRDefault="00B362D0" w:rsidP="00B362D0">
      <w:pPr>
        <w:spacing w:after="180"/>
      </w:pPr>
      <w:hyperlink r:id="rId119" w:history="1">
        <w:r w:rsidRPr="00B362D0">
          <w:rPr>
            <w:color w:val="auto"/>
            <w:u w:val="dotted"/>
          </w:rPr>
          <w:t>crust</w:t>
        </w:r>
      </w:hyperlink>
      <w:r w:rsidRPr="00B362D0">
        <w:t>: the outer part of the Earth, from the surface to the Mohorovicic discontinuity (Moho)</w:t>
      </w:r>
    </w:p>
    <w:p w14:paraId="6D3F32A5" w14:textId="77777777" w:rsidR="00B362D0" w:rsidRPr="00B362D0" w:rsidRDefault="00B362D0" w:rsidP="00B362D0">
      <w:pPr>
        <w:spacing w:after="180"/>
      </w:pPr>
      <w:hyperlink r:id="rId120" w:history="1">
        <w:r w:rsidRPr="00B362D0">
          <w:rPr>
            <w:color w:val="auto"/>
            <w:u w:val="dotted"/>
          </w:rPr>
          <w:t>cumulative impact</w:t>
        </w:r>
      </w:hyperlink>
      <w:r w:rsidRPr="00B362D0">
        <w:t>: for the purposes of geological and bioregional assessments, the total environmental change resulting from the development of selected unconventional hydrocarbon resources when all past, present and reasonably foreseeable actions are considered</w:t>
      </w:r>
    </w:p>
    <w:p w14:paraId="2C86E57E" w14:textId="77777777" w:rsidR="00B362D0" w:rsidRPr="00B362D0" w:rsidRDefault="00B362D0" w:rsidP="00B362D0">
      <w:pPr>
        <w:spacing w:after="180"/>
      </w:pPr>
      <w:hyperlink r:id="rId121" w:history="1">
        <w:r w:rsidRPr="00B362D0">
          <w:rPr>
            <w:color w:val="auto"/>
            <w:u w:val="dotted"/>
          </w:rPr>
          <w:t>current controls</w:t>
        </w:r>
      </w:hyperlink>
      <w:r w:rsidRPr="00B362D0">
        <w:t>: the methods or actions currently planned, or in place, to detect hazards when they occur or to reduce the likelihood and/or consequences of these hazards should they occur</w:t>
      </w:r>
    </w:p>
    <w:p w14:paraId="4E1EEEDC" w14:textId="77777777" w:rsidR="00B362D0" w:rsidRPr="00B362D0" w:rsidRDefault="00B362D0" w:rsidP="00B362D0">
      <w:pPr>
        <w:spacing w:after="180"/>
      </w:pPr>
      <w:hyperlink r:id="rId122" w:history="1">
        <w:r w:rsidRPr="00B362D0">
          <w:rPr>
            <w:color w:val="auto"/>
            <w:u w:val="dotted"/>
          </w:rPr>
          <w:t>dataset</w:t>
        </w:r>
      </w:hyperlink>
      <w:r w:rsidRPr="00B362D0">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13BE50D5" w14:textId="77777777" w:rsidR="00B362D0" w:rsidRPr="00B362D0" w:rsidRDefault="00B362D0" w:rsidP="00B362D0">
      <w:pPr>
        <w:spacing w:after="180"/>
      </w:pPr>
      <w:hyperlink r:id="rId123" w:history="1">
        <w:r w:rsidRPr="00B362D0">
          <w:rPr>
            <w:color w:val="auto"/>
            <w:u w:val="dotted"/>
          </w:rPr>
          <w:t>deep coal gas</w:t>
        </w:r>
      </w:hyperlink>
      <w:r w:rsidRPr="00B362D0">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072FA5DE" w14:textId="77777777" w:rsidR="00B362D0" w:rsidRPr="00B362D0" w:rsidRDefault="00B362D0" w:rsidP="00B362D0">
      <w:pPr>
        <w:spacing w:after="180"/>
      </w:pPr>
      <w:hyperlink r:id="rId124" w:history="1">
        <w:r w:rsidRPr="00B362D0">
          <w:rPr>
            <w:color w:val="auto"/>
            <w:u w:val="dotted"/>
          </w:rPr>
          <w:t>deformation</w:t>
        </w:r>
      </w:hyperlink>
      <w:r w:rsidRPr="00B362D0">
        <w:t>: folding, faulting, shearing, compression or extension of rocks due to the Earth’s forces</w:t>
      </w:r>
    </w:p>
    <w:p w14:paraId="49FAE8C0" w14:textId="77777777" w:rsidR="00B362D0" w:rsidRPr="00B362D0" w:rsidRDefault="00B362D0" w:rsidP="00B362D0">
      <w:pPr>
        <w:spacing w:after="180"/>
      </w:pPr>
      <w:hyperlink r:id="rId125" w:history="1">
        <w:r w:rsidRPr="00B362D0">
          <w:rPr>
            <w:color w:val="auto"/>
            <w:u w:val="dotted"/>
          </w:rPr>
          <w:t>development</w:t>
        </w:r>
      </w:hyperlink>
      <w:r w:rsidRPr="00B362D0">
        <w:t>: a phase in which newly discovered oil or gas fields are put into production by drilling and completing production wells</w:t>
      </w:r>
    </w:p>
    <w:p w14:paraId="39BFE2F2" w14:textId="77777777" w:rsidR="00B362D0" w:rsidRPr="00B362D0" w:rsidRDefault="00B362D0" w:rsidP="00B362D0">
      <w:pPr>
        <w:spacing w:after="180"/>
      </w:pPr>
      <w:hyperlink r:id="rId126" w:history="1">
        <w:r w:rsidRPr="00B362D0">
          <w:rPr>
            <w:color w:val="auto"/>
            <w:u w:val="dotted"/>
          </w:rPr>
          <w:t>discovered</w:t>
        </w:r>
      </w:hyperlink>
      <w:r w:rsidRPr="00B362D0">
        <w:t>: the term applied to a petroleum accumulation/reservoir whose existence has been determined by its actual penetration by a well, which has also clearly demonstrated the existence of moveable petroleum by flow to the surface or at least some recovery of a sample of petroleum. Log and/or core data may suffice for proof of existence of moveable petroleum if an analogous reservoir is available for comparison.</w:t>
      </w:r>
    </w:p>
    <w:p w14:paraId="1172258C" w14:textId="77777777" w:rsidR="00B362D0" w:rsidRPr="00B362D0" w:rsidRDefault="00B362D0" w:rsidP="00B362D0">
      <w:pPr>
        <w:spacing w:after="180"/>
      </w:pPr>
      <w:hyperlink r:id="rId127" w:history="1">
        <w:r w:rsidRPr="00B362D0">
          <w:rPr>
            <w:color w:val="auto"/>
            <w:u w:val="dotted"/>
          </w:rPr>
          <w:t>dome</w:t>
        </w:r>
      </w:hyperlink>
      <w:r w:rsidRPr="00B362D0">
        <w:t xml:space="preserve">: a type of anticline where rocks are folded into the shape of an inverted bowl. Strata in a dome dip outward and downward in all directions from a central area. </w:t>
      </w:r>
    </w:p>
    <w:p w14:paraId="63173836" w14:textId="77777777" w:rsidR="00B362D0" w:rsidRPr="00B362D0" w:rsidRDefault="00B362D0" w:rsidP="00B362D0">
      <w:pPr>
        <w:spacing w:after="180"/>
      </w:pPr>
      <w:hyperlink r:id="rId128" w:history="1">
        <w:r w:rsidRPr="00B362D0">
          <w:rPr>
            <w:color w:val="auto"/>
            <w:u w:val="dotted"/>
          </w:rPr>
          <w:t>ecosystem</w:t>
        </w:r>
      </w:hyperlink>
      <w:r w:rsidRPr="00B362D0">
        <w:t>: a dynamic complex of plant, animal, and micro-organism communities and their non-living environment interacting as a functional unit. Note: ecosystems include those that are human-influenced such as rural and urban ecosystems.</w:t>
      </w:r>
    </w:p>
    <w:p w14:paraId="0CD44CFB" w14:textId="77777777" w:rsidR="00B362D0" w:rsidRPr="00B362D0" w:rsidRDefault="00B362D0" w:rsidP="00B362D0">
      <w:pPr>
        <w:spacing w:after="180"/>
      </w:pPr>
      <w:hyperlink r:id="rId129" w:history="1">
        <w:r w:rsidRPr="00B362D0">
          <w:rPr>
            <w:color w:val="auto"/>
            <w:u w:val="dotted"/>
          </w:rPr>
          <w:t>effect</w:t>
        </w:r>
      </w:hyperlink>
      <w:r w:rsidRPr="00B362D0">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4799F919" w14:textId="77777777" w:rsidR="00B362D0" w:rsidRPr="00B362D0" w:rsidRDefault="00B362D0" w:rsidP="00B362D0">
      <w:pPr>
        <w:spacing w:after="180"/>
      </w:pPr>
      <w:hyperlink r:id="rId130" w:history="1">
        <w:r w:rsidRPr="00B362D0">
          <w:rPr>
            <w:color w:val="auto"/>
            <w:u w:val="dotted"/>
          </w:rPr>
          <w:t>Eromanga Basin</w:t>
        </w:r>
      </w:hyperlink>
      <w:r w:rsidRPr="00B362D0">
        <w:t>: an extensive geologic sedimentary basin formed from the Early Jurassic to the Late Cretaceous that can be over 2500 m thick. It overlies several older geological provinces including the Cooper Basin, and is in part overlain by the younger Cenozoic province, the Lake Eyre Basin. The Eromanga Basin is found across much of Queensland, northern SA, southern NT, as well as north-western NSW. The Eromanga Basin encompasses a significant portion of the Great Artesian Basin.</w:t>
      </w:r>
    </w:p>
    <w:p w14:paraId="78F60B98" w14:textId="77777777" w:rsidR="00B362D0" w:rsidRPr="00B362D0" w:rsidRDefault="00B362D0" w:rsidP="00B362D0">
      <w:pPr>
        <w:spacing w:after="180"/>
      </w:pPr>
      <w:hyperlink r:id="rId131" w:history="1">
        <w:r w:rsidRPr="00B362D0">
          <w:rPr>
            <w:color w:val="auto"/>
            <w:u w:val="dotted"/>
          </w:rPr>
          <w:t>exploration</w:t>
        </w:r>
      </w:hyperlink>
      <w:r w:rsidRPr="00B362D0">
        <w:t>: the search for new hydrocarbon resources by improving geological and prospectivity understanding of an area and/or play through data acquisition, data analysis and interpretation. Exploration may include desktop studies, field mapping, seismic or other geophysical surveys, and drilling.</w:t>
      </w:r>
    </w:p>
    <w:p w14:paraId="1227CC6B" w14:textId="77777777" w:rsidR="00B362D0" w:rsidRPr="00B362D0" w:rsidRDefault="00B362D0" w:rsidP="00B362D0">
      <w:pPr>
        <w:spacing w:after="180"/>
      </w:pPr>
      <w:hyperlink r:id="rId132" w:history="1">
        <w:r w:rsidRPr="00B362D0">
          <w:rPr>
            <w:color w:val="auto"/>
            <w:u w:val="dotted"/>
          </w:rPr>
          <w:t>extraction</w:t>
        </w:r>
      </w:hyperlink>
      <w:r w:rsidRPr="00B362D0">
        <w:t>: the removal of water for use from waterways or aquifers (including storages) by pumping or gravity channels. In the oil and gas industry, extraction refers to the removal of oil and gas from its reservoir rock.</w:t>
      </w:r>
    </w:p>
    <w:p w14:paraId="1BD9E4A3" w14:textId="77777777" w:rsidR="00B362D0" w:rsidRPr="00B362D0" w:rsidRDefault="00B362D0" w:rsidP="00B362D0">
      <w:pPr>
        <w:spacing w:after="180"/>
      </w:pPr>
      <w:hyperlink r:id="rId133" w:history="1">
        <w:r w:rsidRPr="00B362D0">
          <w:rPr>
            <w:color w:val="auto"/>
            <w:u w:val="dotted"/>
          </w:rPr>
          <w:t>fault</w:t>
        </w:r>
      </w:hyperlink>
      <w:r w:rsidRPr="00B362D0">
        <w:t>: a fracture or zone of fractures in the Earth’s crust along which rocks on one side were displaced relative to those on the other side</w:t>
      </w:r>
    </w:p>
    <w:p w14:paraId="11250ACC" w14:textId="77777777" w:rsidR="00B362D0" w:rsidRPr="00B362D0" w:rsidRDefault="00B362D0" w:rsidP="00B362D0">
      <w:pPr>
        <w:spacing w:after="180"/>
      </w:pPr>
      <w:hyperlink r:id="rId134" w:history="1">
        <w:r w:rsidRPr="00B362D0">
          <w:rPr>
            <w:color w:val="auto"/>
            <w:u w:val="dotted"/>
          </w:rPr>
          <w:t>field</w:t>
        </w:r>
      </w:hyperlink>
      <w:r w:rsidRPr="00B362D0">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551BF5D2" w14:textId="77777777" w:rsidR="00B362D0" w:rsidRPr="00B362D0" w:rsidRDefault="00B362D0" w:rsidP="00B362D0">
      <w:pPr>
        <w:spacing w:after="180"/>
      </w:pPr>
      <w:hyperlink r:id="rId135" w:history="1">
        <w:r w:rsidRPr="00B362D0">
          <w:rPr>
            <w:color w:val="auto"/>
            <w:u w:val="dotted"/>
          </w:rPr>
          <w:t>flowback</w:t>
        </w:r>
      </w:hyperlink>
      <w:r w:rsidRPr="00B362D0">
        <w:t>: the process of allowing fluids and entrained solids to flow from a well following a treatment, either in preparation for a subsequent phase of treatment or in preparation for cleanup and returning the well to production. The flowback period begins when material introduced into the well during the treatment returns to the surface following hydraulic fracturing or refracturing. The flowback period ends when either the well is shut in and permanently disconnected from the flowback equipment or at the startup of production.</w:t>
      </w:r>
    </w:p>
    <w:p w14:paraId="2CB25E98" w14:textId="77777777" w:rsidR="00B362D0" w:rsidRPr="00B362D0" w:rsidRDefault="00B362D0" w:rsidP="00B362D0">
      <w:pPr>
        <w:spacing w:after="180"/>
      </w:pPr>
      <w:hyperlink r:id="rId136" w:history="1">
        <w:r w:rsidRPr="00B362D0">
          <w:rPr>
            <w:color w:val="auto"/>
            <w:u w:val="dotted"/>
          </w:rPr>
          <w:t>flowback water</w:t>
        </w:r>
      </w:hyperlink>
      <w:r w:rsidRPr="00B362D0">
        <w:t>: the fluids and entrained solids that emerge from a well during flowback</w:t>
      </w:r>
    </w:p>
    <w:p w14:paraId="51E3B6DF" w14:textId="77777777" w:rsidR="00B362D0" w:rsidRPr="00B362D0" w:rsidRDefault="00B362D0" w:rsidP="00B362D0">
      <w:pPr>
        <w:spacing w:after="180"/>
      </w:pPr>
      <w:hyperlink r:id="rId137" w:history="1">
        <w:r w:rsidRPr="00B362D0">
          <w:rPr>
            <w:color w:val="auto"/>
            <w:u w:val="dotted"/>
          </w:rPr>
          <w:t>fold</w:t>
        </w:r>
      </w:hyperlink>
      <w:r w:rsidRPr="00B362D0">
        <w:t>: a curve or bend of a formerly planar structure, such as rock strata or bedding planes, that generally results from deformation</w:t>
      </w:r>
    </w:p>
    <w:p w14:paraId="27EB780F" w14:textId="77777777" w:rsidR="00B362D0" w:rsidRPr="00B362D0" w:rsidRDefault="00B362D0" w:rsidP="00B362D0">
      <w:pPr>
        <w:spacing w:after="180"/>
      </w:pPr>
      <w:hyperlink r:id="rId138" w:history="1">
        <w:r w:rsidRPr="00B362D0">
          <w:rPr>
            <w:color w:val="auto"/>
            <w:u w:val="dotted"/>
          </w:rPr>
          <w:t>formation</w:t>
        </w:r>
      </w:hyperlink>
      <w:r w:rsidRPr="00B362D0">
        <w:t>: rock layers that have common physical characteristics (lithology) deposited during a specific period of geological time</w:t>
      </w:r>
    </w:p>
    <w:p w14:paraId="0F699245" w14:textId="77777777" w:rsidR="00B362D0" w:rsidRPr="00B362D0" w:rsidRDefault="00B362D0" w:rsidP="00B362D0">
      <w:pPr>
        <w:spacing w:after="180"/>
      </w:pPr>
      <w:hyperlink r:id="rId139" w:history="1">
        <w:r w:rsidRPr="00B362D0">
          <w:rPr>
            <w:color w:val="auto"/>
            <w:u w:val="dotted"/>
          </w:rPr>
          <w:t>formation fluid</w:t>
        </w:r>
      </w:hyperlink>
      <w:r w:rsidRPr="00B362D0">
        <w:t>: any fluid within the pores of the rock. It may be water, oil, gas or a mixture. Formation water in shallow aquifers can be fresh. Formation water in deeper layers of rock is typically saline.</w:t>
      </w:r>
    </w:p>
    <w:p w14:paraId="601D2B18" w14:textId="77777777" w:rsidR="00B362D0" w:rsidRPr="00B362D0" w:rsidRDefault="00B362D0" w:rsidP="00B362D0">
      <w:pPr>
        <w:spacing w:after="180"/>
      </w:pPr>
      <w:hyperlink r:id="rId140" w:history="1">
        <w:r w:rsidRPr="00B362D0">
          <w:rPr>
            <w:color w:val="auto"/>
            <w:u w:val="dotted"/>
          </w:rPr>
          <w:t>formation water</w:t>
        </w:r>
      </w:hyperlink>
      <w:r w:rsidRPr="00B362D0">
        <w:t>: water that occurs naturally in sedimentary rocks</w:t>
      </w:r>
    </w:p>
    <w:p w14:paraId="5A0B233D" w14:textId="77777777" w:rsidR="00B362D0" w:rsidRPr="00B362D0" w:rsidRDefault="00B362D0" w:rsidP="00B362D0">
      <w:pPr>
        <w:spacing w:after="180"/>
      </w:pPr>
      <w:hyperlink r:id="rId141" w:history="1">
        <w:r w:rsidRPr="00B362D0">
          <w:rPr>
            <w:color w:val="auto"/>
            <w:u w:val="dotted"/>
          </w:rPr>
          <w:t>fracking</w:t>
        </w:r>
      </w:hyperlink>
      <w:r w:rsidRPr="00B362D0">
        <w:t>: see hydraulic fracturing</w:t>
      </w:r>
    </w:p>
    <w:p w14:paraId="7853CE19" w14:textId="77777777" w:rsidR="00B362D0" w:rsidRPr="00B362D0" w:rsidRDefault="00B362D0" w:rsidP="00B362D0">
      <w:pPr>
        <w:spacing w:after="180"/>
      </w:pPr>
      <w:hyperlink r:id="rId142" w:history="1">
        <w:r w:rsidRPr="00B362D0">
          <w:rPr>
            <w:color w:val="auto"/>
            <w:u w:val="dotted"/>
          </w:rPr>
          <w:t>fracture</w:t>
        </w:r>
      </w:hyperlink>
      <w:r w:rsidRPr="00B362D0">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42168759" w14:textId="77777777" w:rsidR="00B362D0" w:rsidRPr="00B362D0" w:rsidRDefault="00B362D0" w:rsidP="00B362D0">
      <w:pPr>
        <w:spacing w:after="180"/>
      </w:pPr>
      <w:hyperlink r:id="rId143" w:history="1">
        <w:r w:rsidRPr="00B362D0">
          <w:rPr>
            <w:color w:val="auto"/>
            <w:u w:val="dotted"/>
          </w:rPr>
          <w:t>free gas</w:t>
        </w:r>
      </w:hyperlink>
      <w:r w:rsidRPr="00B362D0">
        <w:t>: the gaseous phase present in a reservoir or other contained area. Gas may be found either dissolved in reservoir fluids or as free gas that tends to form a gas cap beneath the top seal on the reservoir trap. Both free gas and dissolved gas play important roles in the reservoir-drive mechanism.</w:t>
      </w:r>
    </w:p>
    <w:p w14:paraId="75533B51" w14:textId="77777777" w:rsidR="00B362D0" w:rsidRPr="00B362D0" w:rsidRDefault="00B362D0" w:rsidP="00B362D0">
      <w:pPr>
        <w:spacing w:after="180"/>
      </w:pPr>
      <w:hyperlink r:id="rId144" w:history="1">
        <w:r w:rsidRPr="00B362D0">
          <w:rPr>
            <w:color w:val="auto"/>
            <w:u w:val="dotted"/>
          </w:rPr>
          <w:t>geological formation</w:t>
        </w:r>
      </w:hyperlink>
      <w:r w:rsidRPr="00B362D0">
        <w:t>: stratigraphic unit with distinct rock types, which is able to mapped at surface or in the subsurface, and which formed at a specific period of geological time</w:t>
      </w:r>
    </w:p>
    <w:p w14:paraId="15179867" w14:textId="77777777" w:rsidR="00B362D0" w:rsidRPr="00B362D0" w:rsidRDefault="00B362D0" w:rsidP="00B362D0">
      <w:pPr>
        <w:spacing w:after="180"/>
      </w:pPr>
      <w:hyperlink r:id="rId145" w:history="1">
        <w:r w:rsidRPr="00B362D0">
          <w:rPr>
            <w:color w:val="auto"/>
            <w:u w:val="dotted"/>
          </w:rPr>
          <w:t>groundwater</w:t>
        </w:r>
      </w:hyperlink>
      <w:r w:rsidRPr="00B362D0">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453E5234" w14:textId="77777777" w:rsidR="00B362D0" w:rsidRPr="00B362D0" w:rsidRDefault="00B362D0" w:rsidP="00B362D0">
      <w:pPr>
        <w:spacing w:after="180"/>
      </w:pPr>
      <w:hyperlink r:id="rId146" w:history="1">
        <w:r w:rsidRPr="00B362D0">
          <w:rPr>
            <w:color w:val="auto"/>
            <w:u w:val="dotted"/>
          </w:rPr>
          <w:t>groundwater system</w:t>
        </w:r>
      </w:hyperlink>
      <w:r w:rsidRPr="00B362D0">
        <w:t>: see water system</w:t>
      </w:r>
    </w:p>
    <w:p w14:paraId="02E463DE" w14:textId="77777777" w:rsidR="00B362D0" w:rsidRPr="00B362D0" w:rsidRDefault="00B362D0" w:rsidP="00B362D0">
      <w:pPr>
        <w:spacing w:after="180"/>
      </w:pPr>
      <w:hyperlink r:id="rId147" w:history="1">
        <w:r w:rsidRPr="00B362D0">
          <w:rPr>
            <w:color w:val="auto"/>
            <w:u w:val="dotted"/>
          </w:rPr>
          <w:t>hazard</w:t>
        </w:r>
      </w:hyperlink>
      <w:r w:rsidRPr="00B362D0">
        <w:t>: an event, or chain of events, that might result in an effect (change in the quality and/or quantity of surface water or groundwater)</w:t>
      </w:r>
    </w:p>
    <w:p w14:paraId="0ED8005C" w14:textId="77777777" w:rsidR="00B362D0" w:rsidRPr="00B362D0" w:rsidRDefault="00B362D0" w:rsidP="00B362D0">
      <w:pPr>
        <w:spacing w:after="180"/>
      </w:pPr>
      <w:hyperlink r:id="rId148" w:history="1">
        <w:r w:rsidRPr="00B362D0">
          <w:rPr>
            <w:color w:val="auto"/>
            <w:u w:val="dotted"/>
          </w:rPr>
          <w:t>horizontal drilling</w:t>
        </w:r>
      </w:hyperlink>
      <w:r w:rsidRPr="00B362D0">
        <w:t>: drilling of a well in a horizontal or near-horizontal plane, usually within the target hydrocarbon-bearing formation. Requires the use of directional drilling techniques that allow the deviation of the well on to a desired trajectory.</w:t>
      </w:r>
    </w:p>
    <w:p w14:paraId="0F92928F" w14:textId="77777777" w:rsidR="00B362D0" w:rsidRPr="00B362D0" w:rsidRDefault="00B362D0" w:rsidP="00B362D0">
      <w:pPr>
        <w:spacing w:after="180"/>
      </w:pPr>
      <w:hyperlink r:id="rId149" w:history="1">
        <w:r w:rsidRPr="00B362D0">
          <w:rPr>
            <w:color w:val="auto"/>
            <w:u w:val="dotted"/>
          </w:rPr>
          <w:t>hydraulic fracturing</w:t>
        </w:r>
      </w:hyperlink>
      <w:r w:rsidRPr="00B362D0">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050D26DC" w14:textId="77777777" w:rsidR="00B362D0" w:rsidRPr="00B362D0" w:rsidRDefault="00B362D0" w:rsidP="00B362D0">
      <w:pPr>
        <w:spacing w:after="180"/>
      </w:pPr>
      <w:hyperlink r:id="rId150" w:history="1">
        <w:r w:rsidRPr="00B362D0">
          <w:rPr>
            <w:color w:val="auto"/>
            <w:u w:val="dotted"/>
          </w:rPr>
          <w:t>hydraulic fracturing fluid</w:t>
        </w:r>
      </w:hyperlink>
      <w:r w:rsidRPr="00B362D0">
        <w:t>: the fluid injected into a well for hydraulic fracturing. Consists of a primary carrier fluid (usually water or a gel), a proppant such as sand and chemicals to modify the fluid properties.</w:t>
      </w:r>
    </w:p>
    <w:p w14:paraId="64986E28" w14:textId="77777777" w:rsidR="00B362D0" w:rsidRPr="00B362D0" w:rsidRDefault="00B362D0" w:rsidP="00B362D0">
      <w:pPr>
        <w:spacing w:after="180"/>
      </w:pPr>
      <w:hyperlink r:id="rId151" w:history="1">
        <w:r w:rsidRPr="00B362D0">
          <w:rPr>
            <w:color w:val="auto"/>
            <w:u w:val="dotted"/>
          </w:rPr>
          <w:t>hydraulic fracturing stage</w:t>
        </w:r>
      </w:hyperlink>
      <w:r w:rsidRPr="00B362D0">
        <w:t>: hydraulic fracture stimulation conducted at a defined interval along a well. Hydraulic fracture stimulation of horizontal wells will often involve multiple hydraulic fracture stages so as to create hydraulic fractures at multiple locations along the length of the well.</w:t>
      </w:r>
    </w:p>
    <w:p w14:paraId="46C6E320" w14:textId="77777777" w:rsidR="00B362D0" w:rsidRPr="00B362D0" w:rsidRDefault="00B362D0" w:rsidP="00B362D0">
      <w:pPr>
        <w:spacing w:after="180"/>
      </w:pPr>
      <w:hyperlink r:id="rId152" w:history="1">
        <w:r w:rsidRPr="00B362D0">
          <w:rPr>
            <w:color w:val="auto"/>
            <w:u w:val="dotted"/>
          </w:rPr>
          <w:t>hydrocarbons</w:t>
        </w:r>
      </w:hyperlink>
      <w:r w:rsidRPr="00B362D0">
        <w:t>: various organic compounds composed of hydrogen and carbon atoms that can exist as solids, liquids or gases. Sometimes this term is used loosely to refer to petroleum.</w:t>
      </w:r>
    </w:p>
    <w:p w14:paraId="5704205C" w14:textId="77777777" w:rsidR="00B362D0" w:rsidRPr="00B362D0" w:rsidRDefault="00B362D0" w:rsidP="00B362D0">
      <w:pPr>
        <w:spacing w:after="180"/>
      </w:pPr>
      <w:hyperlink r:id="rId153" w:history="1">
        <w:r w:rsidRPr="00B362D0">
          <w:rPr>
            <w:color w:val="auto"/>
            <w:u w:val="dotted"/>
          </w:rPr>
          <w:t>hydrogeology</w:t>
        </w:r>
      </w:hyperlink>
      <w:r w:rsidRPr="00B362D0">
        <w:t>: the study of groundwater, including flow in aquifers, groundwater resource evaluation, and the chemistry of interactions between water and rock</w:t>
      </w:r>
    </w:p>
    <w:p w14:paraId="545A4C2D" w14:textId="77777777" w:rsidR="00B362D0" w:rsidRPr="00B362D0" w:rsidRDefault="00B362D0" w:rsidP="00B362D0">
      <w:pPr>
        <w:spacing w:after="180"/>
      </w:pPr>
      <w:hyperlink r:id="rId154" w:history="1">
        <w:r w:rsidRPr="00B362D0">
          <w:rPr>
            <w:color w:val="auto"/>
            <w:u w:val="dotted"/>
          </w:rPr>
          <w:t>hydrostatic pressure</w:t>
        </w:r>
      </w:hyperlink>
      <w:r w:rsidRPr="00B362D0">
        <w:t>: equal pressure in all direction, equivalent to the pressure which is exerted on a portion of a column of water as a result of the weight of the fluid above it</w:t>
      </w:r>
    </w:p>
    <w:p w14:paraId="272943A0" w14:textId="77777777" w:rsidR="00B362D0" w:rsidRPr="00B362D0" w:rsidRDefault="00B362D0" w:rsidP="00B362D0">
      <w:pPr>
        <w:spacing w:after="180"/>
      </w:pPr>
      <w:hyperlink r:id="rId155" w:history="1">
        <w:r w:rsidRPr="00B362D0">
          <w:rPr>
            <w:color w:val="auto"/>
            <w:u w:val="dotted"/>
          </w:rPr>
          <w:t>impact</w:t>
        </w:r>
      </w:hyperlink>
      <w:r w:rsidRPr="00B362D0">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75140C77" w14:textId="77777777" w:rsidR="00B362D0" w:rsidRPr="00B362D0" w:rsidRDefault="00B362D0" w:rsidP="00B362D0">
      <w:pPr>
        <w:spacing w:after="180"/>
      </w:pPr>
      <w:hyperlink r:id="rId156" w:history="1">
        <w:r w:rsidRPr="00B362D0">
          <w:rPr>
            <w:color w:val="auto"/>
            <w:u w:val="dotted"/>
          </w:rPr>
          <w:t>impact cause</w:t>
        </w:r>
      </w:hyperlink>
      <w:r w:rsidRPr="00B362D0">
        <w:t>: an activity (or aspect of an activity) that initiates a hazardous chain of events</w:t>
      </w:r>
    </w:p>
    <w:p w14:paraId="1D2F2C0A" w14:textId="77777777" w:rsidR="00B362D0" w:rsidRPr="00B362D0" w:rsidRDefault="00B362D0" w:rsidP="00B362D0">
      <w:pPr>
        <w:spacing w:after="180"/>
      </w:pPr>
      <w:hyperlink r:id="rId157" w:history="1">
        <w:r w:rsidRPr="00B362D0">
          <w:rPr>
            <w:color w:val="auto"/>
            <w:u w:val="dotted"/>
          </w:rPr>
          <w:t>impact mode</w:t>
        </w:r>
      </w:hyperlink>
      <w:r w:rsidRPr="00B362D0">
        <w:t>: the manner in which a hazardous chain of events (initiated by an impact cause) could result in an effect (change in the quality and/or quantity of surface water or groundwater). There might be multiple impact modes for each activity or chain of events.</w:t>
      </w:r>
    </w:p>
    <w:p w14:paraId="35B94A62" w14:textId="77777777" w:rsidR="00B362D0" w:rsidRPr="00B362D0" w:rsidRDefault="00B362D0" w:rsidP="00B362D0">
      <w:pPr>
        <w:spacing w:after="180"/>
      </w:pPr>
      <w:hyperlink r:id="rId158" w:history="1">
        <w:r w:rsidRPr="00B362D0">
          <w:rPr>
            <w:color w:val="auto"/>
            <w:u w:val="dotted"/>
          </w:rPr>
          <w:t>Impact Modes and Effects Analysis</w:t>
        </w:r>
      </w:hyperlink>
      <w:r w:rsidRPr="00B362D0">
        <w:t>: a systematic hazard identification and prioritisation technique based on Failure Modes and Effects Analysis</w:t>
      </w:r>
    </w:p>
    <w:p w14:paraId="206767C5" w14:textId="77777777" w:rsidR="00B362D0" w:rsidRPr="00B362D0" w:rsidRDefault="00B362D0" w:rsidP="00B362D0">
      <w:pPr>
        <w:spacing w:after="180"/>
      </w:pPr>
      <w:hyperlink r:id="rId159" w:history="1">
        <w:r w:rsidRPr="00B362D0">
          <w:rPr>
            <w:color w:val="auto"/>
            <w:u w:val="dotted"/>
          </w:rPr>
          <w:t>injection</w:t>
        </w:r>
      </w:hyperlink>
      <w:r w:rsidRPr="00B362D0">
        <w:t xml:space="preserve">: the forcing or pumping of substances into a porous and permeable subsurface rock formation. Examples of injected substances can include either gases or liquids. </w:t>
      </w:r>
    </w:p>
    <w:p w14:paraId="3A04C60F" w14:textId="77777777" w:rsidR="00B362D0" w:rsidRPr="00B362D0" w:rsidRDefault="00B362D0" w:rsidP="00B362D0">
      <w:pPr>
        <w:spacing w:after="180"/>
      </w:pPr>
      <w:hyperlink r:id="rId160" w:history="1">
        <w:r w:rsidRPr="00B362D0">
          <w:rPr>
            <w:color w:val="auto"/>
            <w:u w:val="dotted"/>
          </w:rPr>
          <w:t>Lake Eyre Basin</w:t>
        </w:r>
      </w:hyperlink>
      <w:r w:rsidRPr="00B362D0">
        <w:t>: a geologic province containing Cenozoic terrestrial sedimentary rocks within the Lake Eyre surface water catchment. It covers parts of northern and eastern SA, south-eastern NT, western Queensland and north-western NSW. In the Cooper GBA region, the basin sedimentary package is less than 300 m thick.</w:t>
      </w:r>
    </w:p>
    <w:p w14:paraId="642F10F4" w14:textId="77777777" w:rsidR="00B362D0" w:rsidRPr="00B362D0" w:rsidRDefault="00B362D0" w:rsidP="00B362D0">
      <w:pPr>
        <w:spacing w:after="180"/>
      </w:pPr>
      <w:hyperlink r:id="rId161" w:history="1">
        <w:r w:rsidRPr="00B362D0">
          <w:rPr>
            <w:color w:val="auto"/>
            <w:u w:val="dotted"/>
          </w:rPr>
          <w:t>life-cycle stage</w:t>
        </w:r>
      </w:hyperlink>
      <w:r w:rsidRPr="00B362D0">
        <w:t>: one of five stages of operations in unconventional gas resource development considered as part of the Impact Modes and Effects Analysis (IMEA). These are exploration, appraisal, development, production, and rehabilitation. Each life-cycle stage is further divided into major activities, which are further divided into activities.</w:t>
      </w:r>
    </w:p>
    <w:p w14:paraId="7CAA42DE" w14:textId="77777777" w:rsidR="00B362D0" w:rsidRPr="00B362D0" w:rsidRDefault="00B362D0" w:rsidP="00B362D0">
      <w:pPr>
        <w:spacing w:after="180"/>
      </w:pPr>
      <w:hyperlink r:id="rId162" w:history="1">
        <w:r w:rsidRPr="00B362D0">
          <w:rPr>
            <w:color w:val="auto"/>
            <w:u w:val="dotted"/>
          </w:rPr>
          <w:t>likelihood</w:t>
        </w:r>
      </w:hyperlink>
      <w:r w:rsidRPr="00B362D0">
        <w:t>: probability that something might happen</w:t>
      </w:r>
    </w:p>
    <w:p w14:paraId="2AD443DF" w14:textId="77777777" w:rsidR="00B362D0" w:rsidRPr="00B362D0" w:rsidRDefault="00B362D0" w:rsidP="00B362D0">
      <w:pPr>
        <w:spacing w:after="180"/>
      </w:pPr>
      <w:hyperlink r:id="rId163" w:history="1">
        <w:r w:rsidRPr="00B362D0">
          <w:rPr>
            <w:color w:val="auto"/>
            <w:u w:val="dotted"/>
          </w:rPr>
          <w:t>likelihood score</w:t>
        </w:r>
      </w:hyperlink>
      <w:r w:rsidRPr="00B362D0">
        <w:t>: for the purposes of Impact Modes and Effects Analysis (IMEA), the annual probability of a hazard occurring, which is scored so that a one-unit increase (or decrease) in score indicates a ten-fold increase (or decrease) in the probability of occurrence</w:t>
      </w:r>
    </w:p>
    <w:p w14:paraId="2C3C9A5B" w14:textId="77777777" w:rsidR="00B362D0" w:rsidRPr="00B362D0" w:rsidRDefault="00B362D0" w:rsidP="00B362D0">
      <w:pPr>
        <w:spacing w:after="180"/>
      </w:pPr>
      <w:hyperlink r:id="rId164" w:history="1">
        <w:r w:rsidRPr="00B362D0">
          <w:rPr>
            <w:color w:val="auto"/>
            <w:u w:val="dotted"/>
          </w:rPr>
          <w:t>lithology</w:t>
        </w:r>
      </w:hyperlink>
      <w:r w:rsidRPr="00B362D0">
        <w:t>: the description of rocks, especially in hand specimen and in outcrop, on the basis of characteristics such as colour, mineralogic composition and grain size</w:t>
      </w:r>
    </w:p>
    <w:p w14:paraId="2BFA4E75" w14:textId="77777777" w:rsidR="00B362D0" w:rsidRPr="00B362D0" w:rsidRDefault="00B362D0" w:rsidP="00B362D0">
      <w:pPr>
        <w:spacing w:after="180"/>
      </w:pPr>
      <w:hyperlink r:id="rId165" w:history="1">
        <w:r w:rsidRPr="00B362D0">
          <w:rPr>
            <w:color w:val="auto"/>
            <w:u w:val="dotted"/>
          </w:rPr>
          <w:t>major activity</w:t>
        </w:r>
      </w:hyperlink>
      <w:r w:rsidRPr="00B362D0">
        <w:t>: for the purposes of Impact Modes and Effects Analysis (IMEA), a group of activities associated with a common part of the shale, tight or deep coal gas resource development process. There are ten major activities used in geological and bioregional assessments ranging from ‘construction’ through to ‘well abandonment and rehabilitation’. Major activities may occur across different life cycles, though often with differing levels of intensity; for example, drilling may occur in the exploration, appraisal, development and production life cycles but is at its peak during development.</w:t>
      </w:r>
    </w:p>
    <w:p w14:paraId="3CA0973A" w14:textId="77777777" w:rsidR="00B362D0" w:rsidRPr="00B362D0" w:rsidRDefault="00B362D0" w:rsidP="00B362D0">
      <w:pPr>
        <w:spacing w:after="180"/>
      </w:pPr>
      <w:hyperlink r:id="rId166" w:history="1">
        <w:r w:rsidRPr="00B362D0">
          <w:rPr>
            <w:color w:val="auto"/>
            <w:u w:val="dotted"/>
          </w:rPr>
          <w:t>material</w:t>
        </w:r>
      </w:hyperlink>
      <w:r w:rsidRPr="00B362D0">
        <w:t>: pertinent or relevant</w:t>
      </w:r>
    </w:p>
    <w:p w14:paraId="77D652CD" w14:textId="77777777" w:rsidR="00B362D0" w:rsidRPr="00B362D0" w:rsidRDefault="00B362D0" w:rsidP="00B362D0">
      <w:pPr>
        <w:spacing w:after="180"/>
      </w:pPr>
      <w:hyperlink r:id="rId167" w:history="1">
        <w:r w:rsidRPr="00B362D0">
          <w:rPr>
            <w:color w:val="auto"/>
            <w:u w:val="dotted"/>
          </w:rPr>
          <w:t>mature</w:t>
        </w:r>
      </w:hyperlink>
      <w:r w:rsidRPr="00B362D0">
        <w:t>: a hydrocarbon source rock that has started generating hydrocarbons</w:t>
      </w:r>
    </w:p>
    <w:p w14:paraId="74336E4B" w14:textId="77777777" w:rsidR="00B362D0" w:rsidRPr="00B362D0" w:rsidRDefault="00B362D0" w:rsidP="00B362D0">
      <w:pPr>
        <w:spacing w:after="180"/>
      </w:pPr>
      <w:hyperlink r:id="rId168" w:history="1">
        <w:r w:rsidRPr="00B362D0">
          <w:rPr>
            <w:color w:val="auto"/>
            <w:u w:val="dotted"/>
          </w:rPr>
          <w:t xml:space="preserve">metamorphic rock </w:t>
        </w:r>
      </w:hyperlink>
      <w:r w:rsidRPr="00B362D0">
        <w:t>: a rock formed from pre-existing rock due to high temperature and pressure in the Earth’s crust, but without complete melting</w:t>
      </w:r>
    </w:p>
    <w:p w14:paraId="741B1BC5" w14:textId="77777777" w:rsidR="00B362D0" w:rsidRPr="00B362D0" w:rsidRDefault="00B362D0" w:rsidP="00B362D0">
      <w:pPr>
        <w:spacing w:after="180"/>
      </w:pPr>
      <w:hyperlink r:id="rId169" w:history="1">
        <w:r w:rsidRPr="00B362D0">
          <w:rPr>
            <w:color w:val="auto"/>
            <w:u w:val="dotted"/>
          </w:rPr>
          <w:t>methane</w:t>
        </w:r>
      </w:hyperlink>
      <w:r w:rsidRPr="00B362D0">
        <w:t xml:space="preserve">: a colourless, odourless gas, the simplest parafin hydrocarbon, formula CH4. It is the principal constituent of natural gas and is also found associated with crude oil. Methane is a greenhouse gas in the atmosphere because it absorbs long-wavelength radiation from the Earth's surface. </w:t>
      </w:r>
    </w:p>
    <w:p w14:paraId="4F053D64" w14:textId="77777777" w:rsidR="00B362D0" w:rsidRPr="00B362D0" w:rsidRDefault="00B362D0" w:rsidP="00B362D0">
      <w:pPr>
        <w:spacing w:after="180"/>
      </w:pPr>
      <w:hyperlink r:id="rId170" w:history="1">
        <w:r w:rsidRPr="00B362D0">
          <w:rPr>
            <w:color w:val="auto"/>
            <w:u w:val="dotted"/>
          </w:rPr>
          <w:t>migration</w:t>
        </w:r>
      </w:hyperlink>
      <w:r w:rsidRPr="00B362D0">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171103AA" w14:textId="77777777" w:rsidR="00B362D0" w:rsidRPr="00B362D0" w:rsidRDefault="00B362D0" w:rsidP="00B362D0">
      <w:pPr>
        <w:spacing w:after="180"/>
      </w:pPr>
      <w:hyperlink r:id="rId171" w:history="1">
        <w:r w:rsidRPr="00B362D0">
          <w:rPr>
            <w:color w:val="auto"/>
            <w:u w:val="dotted"/>
          </w:rPr>
          <w:t>natural gas</w:t>
        </w:r>
      </w:hyperlink>
      <w:r w:rsidRPr="00B362D0">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02C65E8A" w14:textId="77777777" w:rsidR="00B362D0" w:rsidRPr="00B362D0" w:rsidRDefault="00B362D0" w:rsidP="00B362D0">
      <w:pPr>
        <w:spacing w:after="180"/>
      </w:pPr>
      <w:hyperlink r:id="rId172" w:history="1">
        <w:r w:rsidRPr="00B362D0">
          <w:rPr>
            <w:color w:val="auto"/>
            <w:u w:val="dotted"/>
          </w:rPr>
          <w:t>oil</w:t>
        </w:r>
      </w:hyperlink>
      <w:r w:rsidRPr="00B362D0">
        <w:t>: a mixture of liquid hydrocarbons and other compounds of different molecular weights. Gas is often found in association with oil. Also see petroleum.</w:t>
      </w:r>
    </w:p>
    <w:p w14:paraId="0F257614" w14:textId="77777777" w:rsidR="00B362D0" w:rsidRPr="00B362D0" w:rsidRDefault="00B362D0" w:rsidP="00B362D0">
      <w:pPr>
        <w:spacing w:after="180"/>
      </w:pPr>
      <w:hyperlink r:id="rId173" w:history="1">
        <w:r w:rsidRPr="00B362D0">
          <w:rPr>
            <w:color w:val="auto"/>
            <w:u w:val="dotted"/>
          </w:rPr>
          <w:t>operator</w:t>
        </w:r>
      </w:hyperlink>
      <w:r w:rsidRPr="00B362D0">
        <w:t>: the company or individual responsible for managing an exploration, development or production operation</w:t>
      </w:r>
    </w:p>
    <w:p w14:paraId="2B2F9B9C" w14:textId="77777777" w:rsidR="00B362D0" w:rsidRPr="00B362D0" w:rsidRDefault="00B362D0" w:rsidP="00B362D0">
      <w:pPr>
        <w:spacing w:after="180"/>
      </w:pPr>
      <w:hyperlink r:id="rId174" w:history="1">
        <w:r w:rsidRPr="00B362D0">
          <w:rPr>
            <w:color w:val="auto"/>
            <w:u w:val="dotted"/>
          </w:rPr>
          <w:t>organic matter</w:t>
        </w:r>
      </w:hyperlink>
      <w:r w:rsidRPr="00B362D0">
        <w:t>: biogenic, carbonaceous materials. Organic matter preserved in rocks includes kerogen, bitumen, oil and gas. Different types of organic matter can have different oil-generative potential.</w:t>
      </w:r>
    </w:p>
    <w:p w14:paraId="5C717EF2" w14:textId="77777777" w:rsidR="00B362D0" w:rsidRPr="00B362D0" w:rsidRDefault="00B362D0" w:rsidP="00B362D0">
      <w:pPr>
        <w:spacing w:after="180"/>
      </w:pPr>
      <w:hyperlink r:id="rId175" w:history="1">
        <w:r w:rsidRPr="00B362D0">
          <w:rPr>
            <w:color w:val="auto"/>
            <w:u w:val="dotted"/>
          </w:rPr>
          <w:t>outcrop</w:t>
        </w:r>
      </w:hyperlink>
      <w:r w:rsidRPr="00B362D0">
        <w:t>: a body of rock exposed at the surface of the Earth</w:t>
      </w:r>
    </w:p>
    <w:p w14:paraId="091FEA80" w14:textId="77777777" w:rsidR="00B362D0" w:rsidRPr="00B362D0" w:rsidRDefault="00B362D0" w:rsidP="00B362D0">
      <w:pPr>
        <w:spacing w:after="180"/>
      </w:pPr>
      <w:hyperlink r:id="rId176" w:history="1">
        <w:r w:rsidRPr="00B362D0">
          <w:rPr>
            <w:color w:val="auto"/>
            <w:u w:val="dotted"/>
          </w:rPr>
          <w:t>overpressure</w:t>
        </w:r>
      </w:hyperlink>
      <w:r w:rsidRPr="00B362D0">
        <w:t>: occurs when the pore pressure is higher than the hydrostatic pressure, caused by an increase in the amount of fluid or gas in the rock, or changes to the rock that reduce the amount of pore space. If the fluid cannot escape, the result is an increase in pore pressure. Overpressure can only occur where there are impermeable layers preventing the vertical flow of water, otherwise the water would flow upwards to equalise back to hydrostatic pressure.</w:t>
      </w:r>
    </w:p>
    <w:p w14:paraId="2873E926" w14:textId="77777777" w:rsidR="00B362D0" w:rsidRPr="00B362D0" w:rsidRDefault="00B362D0" w:rsidP="00B362D0">
      <w:pPr>
        <w:spacing w:after="180"/>
      </w:pPr>
      <w:hyperlink r:id="rId177" w:history="1">
        <w:r w:rsidRPr="00B362D0">
          <w:rPr>
            <w:color w:val="auto"/>
            <w:u w:val="dotted"/>
          </w:rPr>
          <w:t>P10</w:t>
        </w:r>
      </w:hyperlink>
      <w:r w:rsidRPr="00B362D0">
        <w:t>: in terms of petroleum resource classification, P10 indicates a 10% probability that this volume of oil or gas will be found or exceeded</w:t>
      </w:r>
    </w:p>
    <w:p w14:paraId="01C41693" w14:textId="77777777" w:rsidR="00B362D0" w:rsidRPr="00B362D0" w:rsidRDefault="00B362D0" w:rsidP="00B362D0">
      <w:pPr>
        <w:spacing w:after="180"/>
      </w:pPr>
      <w:hyperlink r:id="rId178" w:history="1">
        <w:r w:rsidRPr="00B362D0">
          <w:rPr>
            <w:color w:val="auto"/>
            <w:u w:val="dotted"/>
          </w:rPr>
          <w:t>pay</w:t>
        </w:r>
      </w:hyperlink>
      <w:r w:rsidRPr="00B362D0">
        <w:t>: a reservoir or portion of a reservoir that contains economically producible hydrocarbons. The term derives from the fact that it is capable of ‘paying’ an income. Pay is also called pay sand or pay zone. The overall interval in which pay sections occur is the gross pay; the smaller portions of the gross pay that meet local criteria for pay (such as minimum porosity, permeability and hydrocarbon saturation) are net pay.</w:t>
      </w:r>
    </w:p>
    <w:p w14:paraId="5AA2A89E" w14:textId="77777777" w:rsidR="00B362D0" w:rsidRPr="00B362D0" w:rsidRDefault="00B362D0" w:rsidP="00B362D0">
      <w:pPr>
        <w:spacing w:after="180"/>
      </w:pPr>
      <w:hyperlink r:id="rId179" w:history="1">
        <w:r w:rsidRPr="00B362D0">
          <w:rPr>
            <w:color w:val="auto"/>
            <w:u w:val="dotted"/>
          </w:rPr>
          <w:t>pay zone</w:t>
        </w:r>
      </w:hyperlink>
      <w:r w:rsidRPr="00B362D0">
        <w:t>: see pay</w:t>
      </w:r>
    </w:p>
    <w:p w14:paraId="2D2B9D7A" w14:textId="77777777" w:rsidR="00B362D0" w:rsidRPr="00B362D0" w:rsidRDefault="00B362D0" w:rsidP="00B362D0">
      <w:pPr>
        <w:spacing w:after="180"/>
      </w:pPr>
      <w:hyperlink r:id="rId180" w:history="1">
        <w:r w:rsidRPr="00B362D0">
          <w:rPr>
            <w:color w:val="auto"/>
            <w:u w:val="dotted"/>
          </w:rPr>
          <w:t>perforation</w:t>
        </w:r>
      </w:hyperlink>
      <w:r w:rsidRPr="00B362D0">
        <w:t>: a channel created through the casing and cement in a well to allow fluid to flow between the well and the reservoir (hydraulic fracturing fluids into the reservoir, or gas and oil into the well). The most common method uses perforating guns equipped with shaped explosive charges that produce a jet.</w:t>
      </w:r>
    </w:p>
    <w:p w14:paraId="7D452742" w14:textId="77777777" w:rsidR="00B362D0" w:rsidRPr="00B362D0" w:rsidRDefault="00B362D0" w:rsidP="00B362D0">
      <w:pPr>
        <w:spacing w:after="180"/>
      </w:pPr>
      <w:hyperlink r:id="rId181" w:history="1">
        <w:r w:rsidRPr="00B362D0">
          <w:rPr>
            <w:color w:val="auto"/>
            <w:u w:val="dotted"/>
          </w:rPr>
          <w:t>permeability</w:t>
        </w:r>
      </w:hyperlink>
      <w:r w:rsidRPr="00B362D0">
        <w:t>: the measure of the ability of a rock, soil or sediment to yield or transmit a fluid. The magnitude of permeability depends largely on the porosity and the interconnectivity of pores and spaces in the ground.</w:t>
      </w:r>
    </w:p>
    <w:p w14:paraId="61001C4A" w14:textId="77777777" w:rsidR="00B362D0" w:rsidRPr="00B362D0" w:rsidRDefault="00B362D0" w:rsidP="00B362D0">
      <w:pPr>
        <w:spacing w:after="180"/>
      </w:pPr>
      <w:hyperlink r:id="rId182" w:history="1">
        <w:r w:rsidRPr="00B362D0">
          <w:rPr>
            <w:color w:val="auto"/>
            <w:u w:val="dotted"/>
          </w:rPr>
          <w:t>petroleum</w:t>
        </w:r>
      </w:hyperlink>
      <w:r w:rsidRPr="00B362D0">
        <w:t>: a naturally occurring mixture consisting predominantly of hydrocarbons in the gaseous, liquid or solid phase</w:t>
      </w:r>
    </w:p>
    <w:p w14:paraId="5C4A32E6" w14:textId="77777777" w:rsidR="00B362D0" w:rsidRPr="00B362D0" w:rsidRDefault="00B362D0" w:rsidP="00B362D0">
      <w:pPr>
        <w:spacing w:after="180"/>
      </w:pPr>
      <w:hyperlink r:id="rId183" w:history="1">
        <w:r w:rsidRPr="00B362D0">
          <w:rPr>
            <w:color w:val="auto"/>
            <w:u w:val="dotted"/>
          </w:rPr>
          <w:t>petroleum system</w:t>
        </w:r>
      </w:hyperlink>
      <w:r w:rsidRPr="00B362D0">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258F909A" w14:textId="77777777" w:rsidR="00B362D0" w:rsidRPr="00B362D0" w:rsidRDefault="00B362D0" w:rsidP="00B362D0">
      <w:pPr>
        <w:spacing w:after="180"/>
      </w:pPr>
      <w:hyperlink r:id="rId184" w:history="1">
        <w:r w:rsidRPr="00B362D0">
          <w:rPr>
            <w:color w:val="auto"/>
            <w:u w:val="dotted"/>
          </w:rPr>
          <w:t>play</w:t>
        </w:r>
      </w:hyperlink>
      <w:r w:rsidRPr="00B362D0">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0FAB1EC4" w14:textId="77777777" w:rsidR="00B362D0" w:rsidRPr="00B362D0" w:rsidRDefault="00B362D0" w:rsidP="00B362D0">
      <w:pPr>
        <w:spacing w:after="180"/>
      </w:pPr>
      <w:hyperlink r:id="rId185" w:history="1">
        <w:r w:rsidRPr="00B362D0">
          <w:rPr>
            <w:color w:val="auto"/>
            <w:u w:val="dotted"/>
          </w:rPr>
          <w:t>plug</w:t>
        </w:r>
      </w:hyperlink>
      <w:r w:rsidRPr="00B362D0">
        <w:t>: a mechanical device or material (such as cement) placed within a well to prevent vertical movement of fluids</w:t>
      </w:r>
    </w:p>
    <w:p w14:paraId="32C80F3C" w14:textId="77777777" w:rsidR="00B362D0" w:rsidRPr="00B362D0" w:rsidRDefault="00B362D0" w:rsidP="00B362D0">
      <w:pPr>
        <w:spacing w:after="180"/>
      </w:pPr>
      <w:hyperlink r:id="rId186" w:history="1">
        <w:r w:rsidRPr="00B362D0">
          <w:rPr>
            <w:color w:val="auto"/>
            <w:u w:val="dotted"/>
          </w:rPr>
          <w:t>porosity</w:t>
        </w:r>
      </w:hyperlink>
      <w:r w:rsidRPr="00B362D0">
        <w:t>: the proportion of the volume of rock consisting of pores, usually expressed as a percentage of the total rock or soil mass</w:t>
      </w:r>
    </w:p>
    <w:p w14:paraId="3FFD35F5" w14:textId="77777777" w:rsidR="00B362D0" w:rsidRPr="00B362D0" w:rsidRDefault="00B362D0" w:rsidP="00B362D0">
      <w:pPr>
        <w:spacing w:after="180"/>
      </w:pPr>
      <w:hyperlink r:id="rId187" w:history="1">
        <w:r w:rsidRPr="00B362D0">
          <w:rPr>
            <w:color w:val="auto"/>
            <w:u w:val="dotted"/>
          </w:rPr>
          <w:t>potential effect</w:t>
        </w:r>
      </w:hyperlink>
      <w:r w:rsidRPr="00B362D0">
        <w:t>: specific types of impacts or changes to water or the environment, such as changes to the quantity and/or quality of surface water or groundwater, or to the availability of suitable habitat</w:t>
      </w:r>
    </w:p>
    <w:p w14:paraId="700BC494" w14:textId="77777777" w:rsidR="00B362D0" w:rsidRPr="00B362D0" w:rsidRDefault="00B362D0" w:rsidP="00B362D0">
      <w:pPr>
        <w:spacing w:after="180"/>
      </w:pPr>
      <w:hyperlink r:id="rId188" w:history="1">
        <w:r w:rsidRPr="00B362D0">
          <w:rPr>
            <w:color w:val="auto"/>
            <w:u w:val="dotted"/>
          </w:rPr>
          <w:t>produced water</w:t>
        </w:r>
      </w:hyperlink>
      <w:r w:rsidRPr="00B362D0">
        <w:t>: a term used in the oil industry to describe water that is produced as a by-product along with the oil and gas. Oil and gas reservoirs often have water as well as hydrocarbons, sometimes in a zone that lies under the hydrocarbons, and sometimes in the same zone with the oil and gas. The terms 'co-produced water' and 'produced water' are sometimes used interchangeably by government and industry. However, in the geological and bioregional assessments, 'produced water' is used to describe water produced as a by-product of shale and tight gas resource development, whereas 'co-produced water' refers to the large amounts of water produced as a by-product of coal seam gas development.</w:t>
      </w:r>
    </w:p>
    <w:p w14:paraId="0E815409" w14:textId="77777777" w:rsidR="00B362D0" w:rsidRPr="00B362D0" w:rsidRDefault="00B362D0" w:rsidP="00B362D0">
      <w:pPr>
        <w:spacing w:after="180"/>
      </w:pPr>
      <w:hyperlink r:id="rId189" w:history="1">
        <w:r w:rsidRPr="00B362D0">
          <w:rPr>
            <w:color w:val="auto"/>
            <w:u w:val="dotted"/>
          </w:rPr>
          <w:t>producing</w:t>
        </w:r>
      </w:hyperlink>
      <w:r w:rsidRPr="00B362D0">
        <w:t>: a well or rock formation from which oil, gas or water is produced</w:t>
      </w:r>
    </w:p>
    <w:p w14:paraId="128190E6" w14:textId="77777777" w:rsidR="00B362D0" w:rsidRPr="00B362D0" w:rsidRDefault="00B362D0" w:rsidP="00B362D0">
      <w:pPr>
        <w:spacing w:after="180"/>
      </w:pPr>
      <w:hyperlink r:id="rId190" w:history="1">
        <w:r w:rsidRPr="00B362D0">
          <w:rPr>
            <w:color w:val="auto"/>
            <w:u w:val="dotted"/>
          </w:rPr>
          <w:t>production</w:t>
        </w:r>
      </w:hyperlink>
      <w:r w:rsidRPr="00B362D0">
        <w:t xml:space="preserve">: in petroleum resource assessments, 'production' refers to the cumulative quantity of oil and natural gas that has been recovered already (by a specified date). This is primarily output from operations that has already been produced. </w:t>
      </w:r>
    </w:p>
    <w:p w14:paraId="0FA080CE" w14:textId="77777777" w:rsidR="00B362D0" w:rsidRPr="00B362D0" w:rsidRDefault="00B362D0" w:rsidP="00B362D0">
      <w:pPr>
        <w:spacing w:after="180"/>
      </w:pPr>
      <w:hyperlink r:id="rId191" w:history="1">
        <w:r w:rsidRPr="00B362D0">
          <w:rPr>
            <w:color w:val="auto"/>
            <w:u w:val="dotted"/>
          </w:rPr>
          <w:t>production activity</w:t>
        </w:r>
      </w:hyperlink>
      <w:r w:rsidRPr="00B362D0">
        <w:t>: any physical activity associated with drilling and hydraulic fracturing (which may include clearing and/or well construction) pursuant to the granting of production approvals for onshore shale gas on a production licence</w:t>
      </w:r>
    </w:p>
    <w:p w14:paraId="1B7A099F" w14:textId="77777777" w:rsidR="00B362D0" w:rsidRPr="00B362D0" w:rsidRDefault="00B362D0" w:rsidP="00B362D0">
      <w:pPr>
        <w:spacing w:after="180"/>
      </w:pPr>
      <w:hyperlink r:id="rId192" w:history="1">
        <w:r w:rsidRPr="00B362D0">
          <w:rPr>
            <w:color w:val="auto"/>
            <w:u w:val="dotted"/>
          </w:rPr>
          <w:t>production approvals</w:t>
        </w:r>
      </w:hyperlink>
      <w:r w:rsidRPr="00B362D0">
        <w:t>: all operational approvals granted under the Schedule and all environmental approvals granted under the Petroleum Environment Regulations on a production licence for a production activity</w:t>
      </w:r>
    </w:p>
    <w:p w14:paraId="33CFE7BD" w14:textId="77777777" w:rsidR="00B362D0" w:rsidRPr="00B362D0" w:rsidRDefault="00B362D0" w:rsidP="00B362D0">
      <w:pPr>
        <w:spacing w:after="180"/>
      </w:pPr>
      <w:hyperlink r:id="rId193" w:history="1">
        <w:r w:rsidRPr="00B362D0">
          <w:rPr>
            <w:color w:val="auto"/>
            <w:u w:val="dotted"/>
          </w:rPr>
          <w:t>production casing</w:t>
        </w:r>
      </w:hyperlink>
      <w:r w:rsidRPr="00B362D0">
        <w:t>: a casing string that is set across the reservoir interval and within which the primary completion components are installed</w:t>
      </w:r>
    </w:p>
    <w:p w14:paraId="49FA025E" w14:textId="77777777" w:rsidR="00B362D0" w:rsidRPr="00B362D0" w:rsidRDefault="00B362D0" w:rsidP="00B362D0">
      <w:pPr>
        <w:spacing w:after="180"/>
      </w:pPr>
      <w:hyperlink r:id="rId194" w:history="1">
        <w:r w:rsidRPr="00B362D0">
          <w:rPr>
            <w:color w:val="auto"/>
            <w:u w:val="dotted"/>
          </w:rPr>
          <w:t>production well</w:t>
        </w:r>
      </w:hyperlink>
      <w:r w:rsidRPr="00B362D0">
        <w:t>: a well used to remove oil or gas from a reservoir</w:t>
      </w:r>
    </w:p>
    <w:p w14:paraId="1739BFA5" w14:textId="77777777" w:rsidR="00B362D0" w:rsidRPr="00B362D0" w:rsidRDefault="00B362D0" w:rsidP="00B362D0">
      <w:pPr>
        <w:spacing w:after="180"/>
      </w:pPr>
      <w:hyperlink r:id="rId195" w:history="1">
        <w:r w:rsidRPr="00B362D0">
          <w:rPr>
            <w:color w:val="auto"/>
            <w:u w:val="dotted"/>
          </w:rPr>
          <w:t>production zone</w:t>
        </w:r>
      </w:hyperlink>
      <w:r w:rsidRPr="00B362D0">
        <w:t>: hydrocarbon producing zone of the shale formation</w:t>
      </w:r>
    </w:p>
    <w:p w14:paraId="1D79DB36" w14:textId="77777777" w:rsidR="00B362D0" w:rsidRPr="00B362D0" w:rsidRDefault="00B362D0" w:rsidP="00B362D0">
      <w:pPr>
        <w:spacing w:after="180"/>
      </w:pPr>
      <w:hyperlink r:id="rId196" w:history="1">
        <w:r w:rsidRPr="00B362D0">
          <w:rPr>
            <w:color w:val="auto"/>
            <w:u w:val="dotted"/>
          </w:rPr>
          <w:t>proppant</w:t>
        </w:r>
      </w:hyperlink>
      <w:r w:rsidRPr="00B362D0">
        <w:t>: a component of the hydraulic fracturing fluid system comprising sand, ceramics or other granular material that 'prop' open fractures to prevent them from closing when the injection is stopped</w:t>
      </w:r>
    </w:p>
    <w:p w14:paraId="66DB57EB" w14:textId="77777777" w:rsidR="00B362D0" w:rsidRPr="00B362D0" w:rsidRDefault="00B362D0" w:rsidP="00B362D0">
      <w:pPr>
        <w:spacing w:after="180"/>
      </w:pPr>
      <w:hyperlink r:id="rId197" w:history="1">
        <w:r w:rsidRPr="00B362D0">
          <w:rPr>
            <w:color w:val="auto"/>
            <w:u w:val="dotted"/>
          </w:rPr>
          <w:t>reservoir</w:t>
        </w:r>
      </w:hyperlink>
      <w:r w:rsidRPr="00B362D0">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07C8C025" w14:textId="77777777" w:rsidR="00B362D0" w:rsidRPr="00B362D0" w:rsidRDefault="00B362D0" w:rsidP="00B362D0">
      <w:pPr>
        <w:spacing w:after="180"/>
      </w:pPr>
      <w:hyperlink r:id="rId198" w:history="1">
        <w:r w:rsidRPr="00B362D0">
          <w:rPr>
            <w:color w:val="auto"/>
            <w:u w:val="dotted"/>
          </w:rPr>
          <w:t>reservoir rock</w:t>
        </w:r>
      </w:hyperlink>
      <w:r w:rsidRPr="00B362D0">
        <w:t>: any porous and permeable rock that contains liquids or gases (e.g. petroleum, water, CO</w:t>
      </w:r>
      <w:r w:rsidRPr="00B362D0">
        <w:rPr>
          <w:vertAlign w:val="subscript"/>
        </w:rPr>
        <w:t>2</w:t>
      </w:r>
      <w:r w:rsidRPr="00B362D0">
        <w:t>), such as porous sandstone, vuggy carbonate and fractured shale</w:t>
      </w:r>
    </w:p>
    <w:p w14:paraId="3B8002E4" w14:textId="77777777" w:rsidR="00B362D0" w:rsidRPr="00B362D0" w:rsidRDefault="00B362D0" w:rsidP="00B362D0">
      <w:pPr>
        <w:spacing w:after="180"/>
      </w:pPr>
      <w:hyperlink r:id="rId199" w:history="1">
        <w:r w:rsidRPr="00B362D0">
          <w:rPr>
            <w:color w:val="auto"/>
            <w:u w:val="dotted"/>
          </w:rPr>
          <w:t>ridge</w:t>
        </w:r>
      </w:hyperlink>
      <w:r w:rsidRPr="00B362D0">
        <w:t>: a narrow, linear geological feature that forms a continuous elevated crest for some distance (e.g. a chain of hills or mountains or a watershed)</w:t>
      </w:r>
    </w:p>
    <w:p w14:paraId="38FBA830" w14:textId="77777777" w:rsidR="00B362D0" w:rsidRPr="00B362D0" w:rsidRDefault="00B362D0" w:rsidP="00B362D0">
      <w:pPr>
        <w:spacing w:after="180"/>
      </w:pPr>
      <w:hyperlink r:id="rId200" w:history="1">
        <w:r w:rsidRPr="00B362D0">
          <w:rPr>
            <w:color w:val="auto"/>
            <w:u w:val="dotted"/>
          </w:rPr>
          <w:t>risk</w:t>
        </w:r>
      </w:hyperlink>
      <w:r w:rsidRPr="00B362D0">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29701E98" w14:textId="77777777" w:rsidR="00B362D0" w:rsidRPr="00B362D0" w:rsidRDefault="00B362D0" w:rsidP="00B362D0">
      <w:pPr>
        <w:spacing w:after="180"/>
      </w:pPr>
      <w:hyperlink r:id="rId201" w:history="1">
        <w:r w:rsidRPr="00B362D0">
          <w:rPr>
            <w:color w:val="auto"/>
            <w:u w:val="dotted"/>
          </w:rPr>
          <w:t>sandstone</w:t>
        </w:r>
      </w:hyperlink>
      <w:r w:rsidRPr="00B362D0">
        <w:t>: a sedimentary rock composed of sand-sized particles (measuring 0.05–2.0 mm in diameter), typically quartz</w:t>
      </w:r>
    </w:p>
    <w:p w14:paraId="4D5268F0" w14:textId="77777777" w:rsidR="00B362D0" w:rsidRPr="00B362D0" w:rsidRDefault="00B362D0" w:rsidP="00B362D0">
      <w:pPr>
        <w:spacing w:after="180"/>
      </w:pPr>
      <w:hyperlink r:id="rId202" w:history="1">
        <w:r w:rsidRPr="00B362D0">
          <w:rPr>
            <w:color w:val="auto"/>
            <w:u w:val="dotted"/>
          </w:rPr>
          <w:t>seal</w:t>
        </w:r>
      </w:hyperlink>
      <w:r w:rsidRPr="00B362D0">
        <w:t>: a relatively impermeable rock, commonly shale, anhydrite or salt, that forms a barrier or cap above and around reservoir rock such that fluids cannot migrate beyond the reservoir. A seal is a critical component of a complete petroleum system.</w:t>
      </w:r>
    </w:p>
    <w:p w14:paraId="6D90901C" w14:textId="77777777" w:rsidR="00B362D0" w:rsidRPr="00B362D0" w:rsidRDefault="00B362D0" w:rsidP="00B362D0">
      <w:pPr>
        <w:spacing w:after="180"/>
      </w:pPr>
      <w:hyperlink r:id="rId203" w:history="1">
        <w:r w:rsidRPr="00B362D0">
          <w:rPr>
            <w:color w:val="auto"/>
            <w:u w:val="dotted"/>
          </w:rPr>
          <w:t>sediment</w:t>
        </w:r>
      </w:hyperlink>
      <w:r w:rsidRPr="00B362D0">
        <w:t>: various materials deposited by water, wind or glacial ice, or by precipitation from water by chemical or biological action (e.g. clay, sand, carbonate)</w:t>
      </w:r>
    </w:p>
    <w:p w14:paraId="5DF5629A" w14:textId="77777777" w:rsidR="00B362D0" w:rsidRPr="00B362D0" w:rsidRDefault="00B362D0" w:rsidP="00B362D0">
      <w:pPr>
        <w:spacing w:after="180"/>
      </w:pPr>
      <w:hyperlink r:id="rId204" w:history="1">
        <w:r w:rsidRPr="00B362D0">
          <w:rPr>
            <w:color w:val="auto"/>
            <w:u w:val="dotted"/>
          </w:rPr>
          <w:t>sedimentary rock</w:t>
        </w:r>
      </w:hyperlink>
      <w:r w:rsidRPr="00B362D0">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29D4A575" w14:textId="77777777" w:rsidR="00B362D0" w:rsidRPr="00B362D0" w:rsidRDefault="00B362D0" w:rsidP="00B362D0">
      <w:pPr>
        <w:spacing w:after="180"/>
      </w:pPr>
      <w:hyperlink r:id="rId205" w:history="1">
        <w:r w:rsidRPr="00B362D0">
          <w:rPr>
            <w:color w:val="auto"/>
            <w:u w:val="dotted"/>
          </w:rPr>
          <w:t>seismic survey</w:t>
        </w:r>
      </w:hyperlink>
      <w:r w:rsidRPr="00B362D0">
        <w:t>: a method for imaging the subsurface using controlled seismic energy sources and receivers at the surface. Measures the reflection and refraction of seismic energy as it travels through rock.</w:t>
      </w:r>
    </w:p>
    <w:p w14:paraId="5DDC487A" w14:textId="77777777" w:rsidR="00B362D0" w:rsidRPr="00B362D0" w:rsidRDefault="00B362D0" w:rsidP="00B362D0">
      <w:pPr>
        <w:spacing w:after="180"/>
      </w:pPr>
      <w:hyperlink r:id="rId206" w:history="1">
        <w:r w:rsidRPr="00B362D0">
          <w:rPr>
            <w:color w:val="auto"/>
            <w:u w:val="dotted"/>
          </w:rPr>
          <w:t>sensitivity</w:t>
        </w:r>
      </w:hyperlink>
      <w:r w:rsidRPr="00B362D0">
        <w:t>: the degree to which the output of a model (numerical or otherwise) responds to uncertainty in a model input</w:t>
      </w:r>
    </w:p>
    <w:p w14:paraId="66D55B64" w14:textId="77777777" w:rsidR="00B362D0" w:rsidRPr="00B362D0" w:rsidRDefault="00B362D0" w:rsidP="00B362D0">
      <w:pPr>
        <w:spacing w:after="180"/>
      </w:pPr>
      <w:hyperlink r:id="rId207" w:history="1">
        <w:r w:rsidRPr="00B362D0">
          <w:rPr>
            <w:color w:val="auto"/>
            <w:u w:val="dotted"/>
          </w:rPr>
          <w:t>severity</w:t>
        </w:r>
      </w:hyperlink>
      <w:r w:rsidRPr="00B362D0">
        <w:t>: magnitude of an impact</w:t>
      </w:r>
    </w:p>
    <w:p w14:paraId="221FFAD3" w14:textId="77777777" w:rsidR="00B362D0" w:rsidRPr="00B362D0" w:rsidRDefault="00B362D0" w:rsidP="00B362D0">
      <w:pPr>
        <w:spacing w:after="180"/>
      </w:pPr>
      <w:hyperlink r:id="rId208" w:history="1">
        <w:r w:rsidRPr="00B362D0">
          <w:rPr>
            <w:color w:val="auto"/>
            <w:u w:val="dotted"/>
          </w:rPr>
          <w:t>shale</w:t>
        </w:r>
      </w:hyperlink>
      <w:r w:rsidRPr="00B362D0">
        <w:t>: a fine-grained sedimentary rock formed by lithification of mud that is fissile or fractures easily along bedding planes and is dominated by clay-sized particles</w:t>
      </w:r>
    </w:p>
    <w:p w14:paraId="3FE62EEB" w14:textId="77777777" w:rsidR="00B362D0" w:rsidRPr="00B362D0" w:rsidRDefault="00B362D0" w:rsidP="00B362D0">
      <w:pPr>
        <w:spacing w:after="180"/>
      </w:pPr>
      <w:hyperlink r:id="rId209" w:history="1">
        <w:r w:rsidRPr="00B362D0">
          <w:rPr>
            <w:color w:val="auto"/>
            <w:u w:val="dotted"/>
          </w:rPr>
          <w:t>shale gas</w:t>
        </w:r>
      </w:hyperlink>
      <w:r w:rsidRPr="00B362D0">
        <w:t>: generally extracted from a clay-rich sedimentary rock, which has naturally low permeability. The gas it contains is either adsorbed or in a free state in the pores of the rock.</w:t>
      </w:r>
    </w:p>
    <w:p w14:paraId="7CA2C509" w14:textId="77777777" w:rsidR="00B362D0" w:rsidRPr="00B362D0" w:rsidRDefault="00B362D0" w:rsidP="00B362D0">
      <w:pPr>
        <w:spacing w:after="180"/>
      </w:pPr>
      <w:hyperlink r:id="rId210" w:history="1">
        <w:r w:rsidRPr="00B362D0">
          <w:rPr>
            <w:color w:val="auto"/>
            <w:u w:val="dotted"/>
          </w:rPr>
          <w:t>shear</w:t>
        </w:r>
      </w:hyperlink>
      <w:r w:rsidRPr="00B362D0">
        <w:t>: a frictional force that tends to cause contiguous parts of a body to slide relative to each other in a direction parallel to their plane of contact</w:t>
      </w:r>
    </w:p>
    <w:p w14:paraId="0B6DD80B" w14:textId="77777777" w:rsidR="00B362D0" w:rsidRPr="00B362D0" w:rsidRDefault="00B362D0" w:rsidP="00B362D0">
      <w:pPr>
        <w:spacing w:after="180"/>
      </w:pPr>
      <w:hyperlink r:id="rId211" w:history="1">
        <w:r w:rsidRPr="00B362D0">
          <w:rPr>
            <w:color w:val="auto"/>
            <w:u w:val="dotted"/>
          </w:rPr>
          <w:t>source rock</w:t>
        </w:r>
      </w:hyperlink>
      <w:r w:rsidRPr="00B362D0">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1005D585" w14:textId="77777777" w:rsidR="00B362D0" w:rsidRPr="00B362D0" w:rsidRDefault="00B362D0" w:rsidP="00B362D0">
      <w:pPr>
        <w:spacing w:after="180"/>
      </w:pPr>
      <w:hyperlink r:id="rId212" w:history="1">
        <w:r w:rsidRPr="00B362D0">
          <w:rPr>
            <w:color w:val="auto"/>
            <w:u w:val="dotted"/>
          </w:rPr>
          <w:t>spring</w:t>
        </w:r>
      </w:hyperlink>
      <w:r w:rsidRPr="00B362D0">
        <w:t>: a naturally occurring discharge of groundwater flowing out of the ground, often forming a small stream or pool of water. Typically, it represents the point at which the watertable intersects ground level.</w:t>
      </w:r>
    </w:p>
    <w:p w14:paraId="4ADD19A5" w14:textId="77777777" w:rsidR="00B362D0" w:rsidRPr="00B362D0" w:rsidRDefault="00B362D0" w:rsidP="00B362D0">
      <w:pPr>
        <w:spacing w:after="180"/>
      </w:pPr>
      <w:hyperlink r:id="rId213" w:history="1">
        <w:r w:rsidRPr="00B362D0">
          <w:rPr>
            <w:color w:val="auto"/>
            <w:u w:val="dotted"/>
          </w:rPr>
          <w:t>stratigraphy</w:t>
        </w:r>
      </w:hyperlink>
      <w:r w:rsidRPr="00B362D0">
        <w:t>: the study of the history, composition, relative ages and distribution of stratified rock strata, and its interpretation to reveal Earth’s history. However, it has gained broader usage to refer to the sequential order and description of rocks in a region.</w:t>
      </w:r>
    </w:p>
    <w:p w14:paraId="1F2DAFFA" w14:textId="77777777" w:rsidR="00B362D0" w:rsidRPr="00B362D0" w:rsidRDefault="00B362D0" w:rsidP="00B362D0">
      <w:pPr>
        <w:spacing w:after="180"/>
      </w:pPr>
      <w:hyperlink r:id="rId214" w:history="1">
        <w:r w:rsidRPr="00B362D0">
          <w:rPr>
            <w:color w:val="auto"/>
            <w:u w:val="dotted"/>
          </w:rPr>
          <w:t>stress</w:t>
        </w:r>
      </w:hyperlink>
      <w:r w:rsidRPr="00B362D0">
        <w:t>: the force applied to a body that can result in deformation, or strain, usually described in terms of magnitude per unit of area, or intensity</w:t>
      </w:r>
    </w:p>
    <w:p w14:paraId="36C4C5EA" w14:textId="77777777" w:rsidR="00B362D0" w:rsidRPr="00B362D0" w:rsidRDefault="00B362D0" w:rsidP="00B362D0">
      <w:pPr>
        <w:spacing w:after="180"/>
      </w:pPr>
      <w:hyperlink r:id="rId215" w:history="1">
        <w:r w:rsidRPr="00B362D0">
          <w:rPr>
            <w:color w:val="auto"/>
            <w:u w:val="dotted"/>
          </w:rPr>
          <w:t>stressor</w:t>
        </w:r>
      </w:hyperlink>
      <w:r w:rsidRPr="00B362D0">
        <w:t>: chemical or biological agent, environmental condition or external stimulus that might contribute to an impact mode</w:t>
      </w:r>
    </w:p>
    <w:p w14:paraId="35E96F69" w14:textId="77777777" w:rsidR="00B362D0" w:rsidRPr="00B362D0" w:rsidRDefault="00B362D0" w:rsidP="00B362D0">
      <w:pPr>
        <w:spacing w:after="180"/>
      </w:pPr>
      <w:hyperlink r:id="rId216" w:history="1">
        <w:r w:rsidRPr="00B362D0">
          <w:rPr>
            <w:color w:val="auto"/>
            <w:u w:val="dotted"/>
          </w:rPr>
          <w:t>structure</w:t>
        </w:r>
      </w:hyperlink>
      <w:r w:rsidRPr="00B362D0">
        <w:t>: a geological feature produced by deformation of the Earth’s crust, such as a fold or a fault; a feature within a rock, such as a fracture or bedding surface; or, more generally, the spatial arrangement of rocks</w:t>
      </w:r>
    </w:p>
    <w:p w14:paraId="5763DAF9" w14:textId="77777777" w:rsidR="00B362D0" w:rsidRPr="00B362D0" w:rsidRDefault="00B362D0" w:rsidP="00B362D0">
      <w:pPr>
        <w:spacing w:after="180"/>
      </w:pPr>
      <w:hyperlink r:id="rId217" w:history="1">
        <w:r w:rsidRPr="00B362D0">
          <w:rPr>
            <w:color w:val="auto"/>
            <w:u w:val="dotted"/>
          </w:rPr>
          <w:t>surface casing vent flow</w:t>
        </w:r>
      </w:hyperlink>
      <w:r w:rsidRPr="00B362D0">
        <w:t>: flow of gas from a vent in the annulus between surface casing and other casing strings in a well</w:t>
      </w:r>
    </w:p>
    <w:p w14:paraId="2CD45567" w14:textId="77777777" w:rsidR="00B362D0" w:rsidRPr="00B362D0" w:rsidRDefault="00B362D0" w:rsidP="00B362D0">
      <w:pPr>
        <w:spacing w:after="180"/>
      </w:pPr>
      <w:hyperlink r:id="rId218" w:history="1">
        <w:r w:rsidRPr="00B362D0">
          <w:rPr>
            <w:color w:val="auto"/>
            <w:u w:val="dotted"/>
          </w:rPr>
          <w:t>surface water</w:t>
        </w:r>
      </w:hyperlink>
      <w:r w:rsidRPr="00B362D0">
        <w:t>: water that flows over land and in watercourses or artificial channels and can be captured, stored and supplemented from dams and reservoirs</w:t>
      </w:r>
    </w:p>
    <w:p w14:paraId="68DD2D2D" w14:textId="77777777" w:rsidR="00B362D0" w:rsidRPr="00B362D0" w:rsidRDefault="00B362D0" w:rsidP="00B362D0">
      <w:pPr>
        <w:spacing w:after="180"/>
      </w:pPr>
      <w:hyperlink r:id="rId219" w:history="1">
        <w:r w:rsidRPr="00B362D0">
          <w:rPr>
            <w:color w:val="auto"/>
            <w:u w:val="dotted"/>
          </w:rPr>
          <w:t>sustained casing pressure</w:t>
        </w:r>
      </w:hyperlink>
      <w:r w:rsidRPr="00B362D0">
        <w:t>: sustained pressure in the annulus between casing strings</w:t>
      </w:r>
    </w:p>
    <w:p w14:paraId="081B129C" w14:textId="77777777" w:rsidR="00B362D0" w:rsidRPr="00B362D0" w:rsidRDefault="00B362D0" w:rsidP="00B362D0">
      <w:pPr>
        <w:spacing w:after="180"/>
      </w:pPr>
      <w:hyperlink r:id="rId220" w:history="1">
        <w:r w:rsidRPr="00B362D0">
          <w:rPr>
            <w:color w:val="auto"/>
            <w:u w:val="dotted"/>
          </w:rPr>
          <w:t>thermogenic gas</w:t>
        </w:r>
      </w:hyperlink>
      <w:r w:rsidRPr="00B362D0">
        <w:t>: hydrocarbon gases generated by the thermal breakdown of organic matter. These usually occur at depths exceeding 1000 m below the land surface or seabed</w:t>
      </w:r>
    </w:p>
    <w:p w14:paraId="11A5966F" w14:textId="77777777" w:rsidR="00B362D0" w:rsidRPr="00B362D0" w:rsidRDefault="00B362D0" w:rsidP="00B362D0">
      <w:pPr>
        <w:spacing w:after="180"/>
      </w:pPr>
      <w:hyperlink r:id="rId221" w:history="1">
        <w:r w:rsidRPr="00B362D0">
          <w:rPr>
            <w:color w:val="auto"/>
            <w:u w:val="dotted"/>
          </w:rPr>
          <w:t>tight gas</w:t>
        </w:r>
      </w:hyperlink>
      <w:r w:rsidRPr="00B362D0">
        <w:t>: tight gas is trapped in reservoirs characterised by very low porosity and permeability. The rock pores that contain the gas are minuscule, and the interconnections between them are so limited that the gas can only migrate through it with great difficulty.</w:t>
      </w:r>
    </w:p>
    <w:p w14:paraId="1888D6CD" w14:textId="77777777" w:rsidR="00B362D0" w:rsidRPr="00B362D0" w:rsidRDefault="00B362D0" w:rsidP="00B362D0">
      <w:pPr>
        <w:spacing w:after="180"/>
      </w:pPr>
      <w:hyperlink r:id="rId222" w:history="1">
        <w:r w:rsidRPr="00B362D0">
          <w:rPr>
            <w:color w:val="auto"/>
            <w:u w:val="dotted"/>
          </w:rPr>
          <w:t>trap</w:t>
        </w:r>
      </w:hyperlink>
      <w:r w:rsidRPr="00B362D0">
        <w:t>: a geologic feature that permits an accumulation of liquid or gas (e.g. natural gas, water, oil, injected CO</w:t>
      </w:r>
      <w:r w:rsidRPr="00B362D0">
        <w:rPr>
          <w:vertAlign w:val="subscript"/>
        </w:rPr>
        <w:t>2</w:t>
      </w:r>
      <w:r w:rsidRPr="00B362D0">
        <w:t>) and prevents its escape. Traps may be structural (e.g. domes, anticlines), stratigraphic (pinchouts, permeability changes) or combinations of both.</w:t>
      </w:r>
    </w:p>
    <w:p w14:paraId="54A52BF8" w14:textId="77777777" w:rsidR="00B362D0" w:rsidRPr="00B362D0" w:rsidRDefault="00B362D0" w:rsidP="00B362D0">
      <w:pPr>
        <w:spacing w:after="180"/>
      </w:pPr>
      <w:hyperlink r:id="rId223" w:history="1">
        <w:r w:rsidRPr="00B362D0">
          <w:rPr>
            <w:color w:val="auto"/>
            <w:u w:val="dotted"/>
          </w:rPr>
          <w:t>unconventional gas</w:t>
        </w:r>
      </w:hyperlink>
      <w:r w:rsidRPr="00B362D0">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5F94BD75" w14:textId="77777777" w:rsidR="00B362D0" w:rsidRPr="00B362D0" w:rsidRDefault="00B362D0" w:rsidP="00B362D0">
      <w:pPr>
        <w:spacing w:after="180"/>
      </w:pPr>
      <w:hyperlink r:id="rId224" w:history="1">
        <w:r w:rsidRPr="00B362D0">
          <w:rPr>
            <w:color w:val="auto"/>
            <w:u w:val="dotted"/>
          </w:rPr>
          <w:t>water system</w:t>
        </w:r>
      </w:hyperlink>
      <w:r w:rsidRPr="00B362D0">
        <w:t>: a system that is hydrologically connected and described at the level desired for management purposes (e.g. subcatchment, catchment, basin or drainage division, or groundwater management unit, subaquifer, aquifer, groundwater basin)</w:t>
      </w:r>
    </w:p>
    <w:p w14:paraId="68350EB6" w14:textId="77777777" w:rsidR="00B362D0" w:rsidRPr="00B362D0" w:rsidRDefault="00B362D0" w:rsidP="00B362D0">
      <w:pPr>
        <w:spacing w:after="180"/>
      </w:pPr>
      <w:hyperlink r:id="rId225" w:history="1">
        <w:r w:rsidRPr="00B362D0">
          <w:rPr>
            <w:color w:val="auto"/>
            <w:u w:val="dotted"/>
          </w:rPr>
          <w:t>watertable</w:t>
        </w:r>
      </w:hyperlink>
      <w:r w:rsidRPr="00B362D0">
        <w:t>: the upper surface of a body of groundwater occurring in an unconfined aquifer. At the watertable, pore water pressure equals atmospheric pressure.</w:t>
      </w:r>
    </w:p>
    <w:p w14:paraId="56825AD2" w14:textId="77777777" w:rsidR="00B362D0" w:rsidRPr="00B362D0" w:rsidRDefault="00B362D0" w:rsidP="00B362D0">
      <w:pPr>
        <w:spacing w:after="180"/>
      </w:pPr>
      <w:hyperlink r:id="rId226" w:history="1">
        <w:r w:rsidRPr="00B362D0">
          <w:rPr>
            <w:color w:val="auto"/>
            <w:u w:val="dotted"/>
          </w:rPr>
          <w:t>well</w:t>
        </w:r>
      </w:hyperlink>
      <w:r w:rsidRPr="00B362D0">
        <w:t>: typically a narrow diameter hole drilled into the earth for the purposes of exploring, evaluating, injecting or recovering various natural resources, such as hydrocarbons (oil and gas), water or carbon dioxide. Wells are sometimes known as a ‘wellbore’.</w:t>
      </w:r>
    </w:p>
    <w:p w14:paraId="61E30A0C" w14:textId="77777777" w:rsidR="00B362D0" w:rsidRPr="00B362D0" w:rsidRDefault="00B362D0" w:rsidP="00B362D0">
      <w:pPr>
        <w:keepNext/>
        <w:keepLines/>
        <w:spacing w:after="180"/>
      </w:pPr>
      <w:hyperlink r:id="rId227" w:history="1">
        <w:r w:rsidRPr="00B362D0">
          <w:rPr>
            <w:color w:val="auto"/>
            <w:u w:val="dotted"/>
          </w:rPr>
          <w:t>well barrier</w:t>
        </w:r>
      </w:hyperlink>
      <w:r w:rsidRPr="00B362D0">
        <w:t>: envelope of one or several dependent barrier elements (including casing, cement, and any other downhole or surface sealing components) that prevent fluids from flowing unintentionally between a bore or a well and geological formations, between geological formations or to the surface.</w:t>
      </w:r>
    </w:p>
    <w:p w14:paraId="5E054D71" w14:textId="77777777" w:rsidR="00B362D0" w:rsidRPr="00B362D0" w:rsidRDefault="00B362D0" w:rsidP="00B362D0">
      <w:pPr>
        <w:spacing w:after="180"/>
      </w:pPr>
      <w:hyperlink r:id="rId228" w:history="1">
        <w:r w:rsidRPr="00B362D0">
          <w:rPr>
            <w:color w:val="auto"/>
            <w:u w:val="dotted"/>
          </w:rPr>
          <w:t>well barrier failure</w:t>
        </w:r>
      </w:hyperlink>
      <w:r w:rsidRPr="00B362D0">
        <w:t>: when a single, specific barrier fails to contain fluids (remaining barriers maintaining containment)</w:t>
      </w:r>
    </w:p>
    <w:p w14:paraId="0C78D526" w14:textId="77777777" w:rsidR="00B362D0" w:rsidRPr="00B362D0" w:rsidRDefault="00B362D0" w:rsidP="00B362D0">
      <w:pPr>
        <w:spacing w:after="180"/>
      </w:pPr>
      <w:hyperlink r:id="rId229" w:history="1">
        <w:r w:rsidRPr="00B362D0">
          <w:rPr>
            <w:color w:val="auto"/>
            <w:u w:val="dotted"/>
          </w:rPr>
          <w:t>well integrity</w:t>
        </w:r>
      </w:hyperlink>
      <w:r w:rsidRPr="00B362D0">
        <w:t>: 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1295D844" w14:textId="77777777" w:rsidR="00B362D0" w:rsidRPr="00B362D0" w:rsidRDefault="00B362D0" w:rsidP="00B362D0">
      <w:pPr>
        <w:spacing w:after="180"/>
      </w:pPr>
      <w:hyperlink r:id="rId230" w:history="1">
        <w:r w:rsidRPr="00B362D0">
          <w:rPr>
            <w:color w:val="auto"/>
            <w:u w:val="dotted"/>
          </w:rPr>
          <w:t>well integrity failure</w:t>
        </w:r>
      </w:hyperlink>
      <w:r w:rsidRPr="00B362D0">
        <w:t>: when all well barriers have failed and there is a pathway for fluid to flow in or out of the well</w:t>
      </w:r>
    </w:p>
    <w:p w14:paraId="19966ACB" w14:textId="77777777" w:rsidR="00B362D0" w:rsidRPr="00B362D0" w:rsidRDefault="00B362D0" w:rsidP="00B362D0">
      <w:pPr>
        <w:spacing w:after="180"/>
      </w:pPr>
      <w:hyperlink r:id="rId231" w:history="1">
        <w:r w:rsidRPr="00B362D0">
          <w:rPr>
            <w:color w:val="auto"/>
            <w:u w:val="dotted"/>
          </w:rPr>
          <w:t>well pad</w:t>
        </w:r>
      </w:hyperlink>
      <w:r w:rsidRPr="00B362D0">
        <w:t>: the area of land on which the surface infrastructure for drilling and hydraulic fracturing operations are placed. The size of a well pad depends on the type of operation (for example, well pads are larger during the initial drilling and hydraulic fracturing than at production).</w:t>
      </w:r>
    </w:p>
    <w:p w14:paraId="3A8BA92A" w14:textId="77777777" w:rsidR="00B362D0" w:rsidRPr="00B362D0" w:rsidRDefault="00B362D0" w:rsidP="00B362D0">
      <w:pPr>
        <w:spacing w:before="0" w:after="160" w:line="259" w:lineRule="auto"/>
        <w:rPr>
          <w:color w:val="auto"/>
          <w:sz w:val="22"/>
          <w:szCs w:val="22"/>
          <w:lang w:eastAsia="en-US"/>
        </w:rPr>
      </w:pPr>
      <w:hyperlink r:id="rId232" w:history="1">
        <w:r w:rsidRPr="00B362D0">
          <w:rPr>
            <w:color w:val="auto"/>
            <w:u w:val="dotted"/>
          </w:rPr>
          <w:t>zonal isolation</w:t>
        </w:r>
      </w:hyperlink>
      <w:r w:rsidRPr="00B362D0">
        <w:t>: exclusion of fluids such as water or gas in one zone from mixing with fluids in another zone</w:t>
      </w:r>
    </w:p>
    <w:p w14:paraId="19B0C494" w14:textId="7CC77039" w:rsidR="00CA0859" w:rsidRDefault="00CA0859" w:rsidP="00CA0859">
      <w:pPr>
        <w:pStyle w:val="BodyText"/>
      </w:pPr>
    </w:p>
    <w:p w14:paraId="27C0EF46" w14:textId="5F58CDD9" w:rsidR="00BC754A" w:rsidRPr="00BC754A" w:rsidRDefault="00BC754A" w:rsidP="0079371A"/>
    <w:p w14:paraId="53BA712F" w14:textId="2FA818E3" w:rsidR="00BC754A" w:rsidRDefault="00BC754A" w:rsidP="00BC754A"/>
    <w:p w14:paraId="5ECF88BE" w14:textId="77777777" w:rsidR="00500A4A" w:rsidRPr="00BC754A" w:rsidRDefault="00500A4A" w:rsidP="00BC754A">
      <w:pPr>
        <w:sectPr w:rsidR="00500A4A" w:rsidRPr="00BC754A" w:rsidSect="00A2118F">
          <w:headerReference w:type="even" r:id="rId233"/>
          <w:headerReference w:type="default" r:id="rId234"/>
          <w:footerReference w:type="even" r:id="rId235"/>
          <w:footerReference w:type="default" r:id="rId236"/>
          <w:pgSz w:w="11906" w:h="16838" w:code="9"/>
          <w:pgMar w:top="1247" w:right="1134" w:bottom="1134" w:left="1134" w:header="510" w:footer="624" w:gutter="0"/>
          <w:cols w:space="284"/>
          <w:docGrid w:linePitch="360"/>
        </w:sectPr>
      </w:pPr>
    </w:p>
    <w:sdt>
      <w:sdtPr>
        <w:id w:val="5606899"/>
        <w:docPartObj>
          <w:docPartGallery w:val="Cover Pages"/>
        </w:docPartObj>
      </w:sdtPr>
      <w:sdtEndPr/>
      <w:sdtContent>
        <w:p w14:paraId="011E3FFB" w14:textId="77777777" w:rsidR="000F047C" w:rsidRDefault="000F047C" w:rsidP="000F047C">
          <w:pPr>
            <w:pStyle w:val="BodyText"/>
          </w:pPr>
          <w:r>
            <w:rPr>
              <w:noProof/>
            </w:rPr>
            <w:drawing>
              <wp:anchor distT="0" distB="0" distL="114300" distR="114300" simplePos="0" relativeHeight="251658240" behindDoc="0" locked="1" layoutInCell="1" allowOverlap="1" wp14:anchorId="38F4A25D" wp14:editId="1C05A979">
                <wp:simplePos x="0" y="0"/>
                <wp:positionH relativeFrom="page">
                  <wp:posOffset>2540</wp:posOffset>
                </wp:positionH>
                <wp:positionV relativeFrom="page">
                  <wp:posOffset>-31115</wp:posOffset>
                </wp:positionV>
                <wp:extent cx="7590790" cy="2353945"/>
                <wp:effectExtent l="0" t="0" r="0"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00891DDC" w14:textId="5DE56944" w:rsidR="000F047C" w:rsidRPr="000F047C" w:rsidRDefault="00C122F9" w:rsidP="000F047C">
      <w:pPr>
        <w:pStyle w:val="BackCoverText"/>
      </w:pPr>
      <w:r>
        <w:drawing>
          <wp:anchor distT="0" distB="0" distL="114300" distR="114300" simplePos="0" relativeHeight="251658249" behindDoc="0" locked="0" layoutInCell="1" allowOverlap="1" wp14:anchorId="76EB997D" wp14:editId="7B17E689">
            <wp:simplePos x="0" y="0"/>
            <wp:positionH relativeFrom="column">
              <wp:posOffset>1382214</wp:posOffset>
            </wp:positionH>
            <wp:positionV relativeFrom="paragraph">
              <wp:posOffset>674189</wp:posOffset>
            </wp:positionV>
            <wp:extent cx="2157730" cy="207518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DAWE_Government_crest_w_partners.jpg"/>
                    <pic:cNvPicPr/>
                  </pic:nvPicPr>
                  <pic:blipFill>
                    <a:blip r:embed="rId237"/>
                    <a:stretch>
                      <a:fillRect/>
                    </a:stretch>
                  </pic:blipFill>
                  <pic:spPr>
                    <a:xfrm>
                      <a:off x="0" y="0"/>
                      <a:ext cx="2157730" cy="2075180"/>
                    </a:xfrm>
                    <a:prstGeom prst="rect">
                      <a:avLst/>
                    </a:prstGeom>
                  </pic:spPr>
                </pic:pic>
              </a:graphicData>
            </a:graphic>
            <wp14:sizeRelH relativeFrom="margin">
              <wp14:pctWidth>0</wp14:pctWidth>
            </wp14:sizeRelH>
            <wp14:sizeRelV relativeFrom="margin">
              <wp14:pctHeight>0</wp14:pctHeight>
            </wp14:sizeRelV>
          </wp:anchor>
        </w:drawing>
      </w:r>
      <w:hyperlink r:id="rId238" w:tooltip="Bioregional Assessments Programme website" w:history="1">
        <w:r w:rsidR="000F047C">
          <w:rPr>
            <w:rStyle w:val="Hyperlink"/>
          </w:rPr>
          <w:t>www.bioregionalassessments.gov.au</w:t>
        </w:r>
      </w:hyperlink>
    </w:p>
    <w:p w14:paraId="274B31B4" w14:textId="2B8A1068" w:rsidR="000F047C" w:rsidRDefault="000F047C" w:rsidP="000F047C">
      <w:pPr>
        <w:pStyle w:val="BodyText"/>
      </w:pPr>
      <w:r>
        <w:rPr>
          <w:noProof/>
        </w:rPr>
        <w:drawing>
          <wp:anchor distT="0" distB="0" distL="114300" distR="114300" simplePos="0" relativeHeight="251658241" behindDoc="0" locked="1" layoutInCell="1" allowOverlap="1" wp14:anchorId="204338B6" wp14:editId="4DE368F8">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7593965" cy="5629910"/>
                    </a:xfrm>
                    <a:prstGeom prst="rect">
                      <a:avLst/>
                    </a:prstGeom>
                    <a:noFill/>
                  </pic:spPr>
                </pic:pic>
              </a:graphicData>
            </a:graphic>
          </wp:anchor>
        </w:drawing>
      </w:r>
    </w:p>
    <w:p w14:paraId="1339281E" w14:textId="37762C2D" w:rsidR="00CA0859" w:rsidRDefault="0045301B" w:rsidP="00CA0859">
      <w:pPr>
        <w:pStyle w:val="Heading4notnumbered"/>
      </w:pPr>
      <w:r w:rsidRPr="00F170E9">
        <w:rPr>
          <w:noProof/>
        </w:rPr>
        <w:drawing>
          <wp:inline distT="0" distB="0" distL="0" distR="0" wp14:anchorId="4BEDE454" wp14:editId="6FEDDE57">
            <wp:extent cx="1458000" cy="1209600"/>
            <wp:effectExtent l="0" t="0" r="8890" b="0"/>
            <wp:docPr id="57" name="Picture 57" descr="CSI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RO [logo]"/>
                    <pic:cNvPicPr>
                      <a:picLocks noChangeAspect="1" noChangeArrowheads="1"/>
                    </pic:cNvPicPr>
                  </pic:nvPicPr>
                  <pic:blipFill>
                    <a:blip r:embed="rId240">
                      <a:extLst>
                        <a:ext uri="{28A0092B-C50C-407E-A947-70E740481C1C}">
                          <a14:useLocalDpi xmlns:a14="http://schemas.microsoft.com/office/drawing/2010/main" val="0"/>
                        </a:ext>
                      </a:extLst>
                    </a:blip>
                    <a:srcRect l="-46114" t="-13635" b="-9212"/>
                    <a:stretch>
                      <a:fillRect/>
                    </a:stretch>
                  </pic:blipFill>
                  <pic:spPr bwMode="auto">
                    <a:xfrm>
                      <a:off x="0" y="0"/>
                      <a:ext cx="1458000" cy="1209600"/>
                    </a:xfrm>
                    <a:prstGeom prst="rect">
                      <a:avLst/>
                    </a:prstGeom>
                    <a:noFill/>
                    <a:ln>
                      <a:noFill/>
                    </a:ln>
                  </pic:spPr>
                </pic:pic>
              </a:graphicData>
            </a:graphic>
          </wp:inline>
        </w:drawing>
      </w:r>
      <w:r w:rsidR="00CB712C">
        <w:rPr>
          <w:noProof/>
        </w:rPr>
        <mc:AlternateContent>
          <mc:Choice Requires="wpg">
            <w:drawing>
              <wp:anchor distT="0" distB="0" distL="114300" distR="114300" simplePos="0" relativeHeight="251658243" behindDoc="1" locked="0" layoutInCell="1" allowOverlap="1" wp14:anchorId="283EDD8B" wp14:editId="0EC5E31C">
                <wp:simplePos x="0" y="0"/>
                <wp:positionH relativeFrom="column">
                  <wp:posOffset>-1519555</wp:posOffset>
                </wp:positionH>
                <wp:positionV relativeFrom="page">
                  <wp:posOffset>7427595</wp:posOffset>
                </wp:positionV>
                <wp:extent cx="14799310" cy="3970655"/>
                <wp:effectExtent l="0" t="0" r="0" b="0"/>
                <wp:wrapNone/>
                <wp:docPr id="59" name="Group 59"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Rectangle 60"/>
                        <wps:cNvSpPr/>
                        <wps:spPr>
                          <a:xfrm>
                            <a:off x="0" y="5584169"/>
                            <a:ext cx="14799310" cy="3970655"/>
                          </a:xfrm>
                          <a:prstGeom prst="rect">
                            <a:avLst/>
                          </a:prstGeom>
                          <a:noFill/>
                        </wps:spPr>
                        <wps:bodyPr/>
                      </wps:wsp>
                      <wps:wsp>
                        <wps:cNvPr id="61"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4BB6FA" w14:textId="77777777" w:rsidR="001C580C" w:rsidRDefault="001C580C"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EDD8B" id="Group 59" o:spid="_x0000_s1026" alt="background image" style="position:absolute;margin-left:-119.65pt;margin-top:584.85pt;width:1165.3pt;height:312.65pt;z-index:-251658237;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">
                <v:rect id="Rectangle 60" o:spid="_x0000_s1027" style="position:absolute;top:55841;width:147993;height:3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shape id="Freeform 61" o:spid="_x0000_s1028" style="position:absolute;left:8025;width:136843;height:2806;visibility:visible;mso-wrap-style:square;v-text-anchor:top" coordsize="423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324BB6FA" w14:textId="77777777" w:rsidR="001C580C" w:rsidRDefault="001C580C" w:rsidP="000F047C">
                        <w:pPr>
                          <w:rPr>
                            <w:rFonts w:eastAsia="Times New Roman"/>
                          </w:rPr>
                        </w:pPr>
                      </w:p>
                    </w:txbxContent>
                  </v:textbox>
                </v:shape>
                <w10:wrap anchory="page"/>
              </v:group>
            </w:pict>
          </mc:Fallback>
        </mc:AlternateContent>
      </w:r>
      <w:r w:rsidR="00CB712C">
        <w:rPr>
          <w:noProof/>
        </w:rPr>
        <mc:AlternateContent>
          <mc:Choice Requires="wpc">
            <w:drawing>
              <wp:anchor distT="0" distB="0" distL="114300" distR="114300" simplePos="0" relativeHeight="251658242" behindDoc="1" locked="0" layoutInCell="1" allowOverlap="1" wp14:anchorId="58A652D5" wp14:editId="7FC48EEA">
                <wp:simplePos x="0" y="0"/>
                <wp:positionH relativeFrom="column">
                  <wp:posOffset>-1519555</wp:posOffset>
                </wp:positionH>
                <wp:positionV relativeFrom="page">
                  <wp:posOffset>7427595</wp:posOffset>
                </wp:positionV>
                <wp:extent cx="14799310" cy="3970655"/>
                <wp:effectExtent l="0" t="0" r="0" b="0"/>
                <wp:wrapNone/>
                <wp:docPr id="8"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4B3FDCF" id="Canvas 1072" o:spid="_x0000_s1026" editas="canvas" alt="background image" style="position:absolute;margin-left:-119.65pt;margin-top:584.85pt;width:1165.3pt;height:312.65pt;z-index:-251658238;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background image"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" path="m4080,87v93,,127,-28,153,-37c4192,26,4159,,4082,,,,,,,,,87,,87,,87r4080,xe" stroked="f">
                  <v:path arrowok="t" o:connecttype="custom" o:connectlocs="2147483646,905254307;2147483646,520262393;2147483646,0;0,0;0,905254307;2147483646,905254307" o:connectangles="0,0,0,0,0,0"/>
                </v:shape>
                <w10:wrap anchory="page"/>
              </v:group>
            </w:pict>
          </mc:Fallback>
        </mc:AlternateContent>
      </w:r>
      <w:bookmarkStart w:id="198" w:name="Glossary"/>
    </w:p>
    <w:bookmarkEnd w:id="198"/>
    <w:p w14:paraId="2F1B8559" w14:textId="4D98FDD6" w:rsidR="00CA0859" w:rsidRPr="00CA0859" w:rsidRDefault="00CA0859" w:rsidP="00CA0859">
      <w:pPr>
        <w:pStyle w:val="BodyText"/>
        <w:rPr>
          <w:rStyle w:val="Glossaryhyperlink"/>
        </w:rPr>
      </w:pPr>
    </w:p>
    <w:sectPr w:rsidR="00CA0859" w:rsidRPr="00CA0859" w:rsidSect="005C0B56">
      <w:headerReference w:type="even" r:id="rId241"/>
      <w:footerReference w:type="even" r:id="rId242"/>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B1005D" w14:textId="77777777" w:rsidR="00672B9D" w:rsidRDefault="00672B9D" w:rsidP="009964E7">
      <w:r>
        <w:separator/>
      </w:r>
    </w:p>
  </w:endnote>
  <w:endnote w:type="continuationSeparator" w:id="0">
    <w:p w14:paraId="7A5382F9" w14:textId="77777777" w:rsidR="00672B9D" w:rsidRDefault="00672B9D" w:rsidP="009964E7">
      <w:r>
        <w:continuationSeparator/>
      </w:r>
    </w:p>
  </w:endnote>
  <w:endnote w:type="continuationNotice" w:id="1">
    <w:p w14:paraId="22EF9D21" w14:textId="77777777" w:rsidR="00672B9D" w:rsidRDefault="00672B9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043CF" w14:textId="2616A18D" w:rsidR="001C580C" w:rsidRPr="00B111AD" w:rsidRDefault="00651639" w:rsidP="00B111AD">
    <w:pPr>
      <w:pStyle w:val="Footer"/>
    </w:pPr>
    <w:r>
      <w:t>v202</w:t>
    </w:r>
    <w:r w:rsidR="00B362D0">
      <w:t>10629</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E96A7" w14:textId="1D6C8D77"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B362D0">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C0D83" w14:textId="49298324"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B362D0">
      <w:rPr>
        <w:noProof/>
      </w:rPr>
      <w:t>Hydraulic fracturing and well integrity review for the GBA regions</w:t>
    </w:r>
    <w:r w:rsidRPr="1042357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CF418" w14:textId="2F76682E"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B362D0">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AE0BE" w14:textId="77777777" w:rsidR="001C580C" w:rsidRDefault="001C580C" w:rsidP="00AE0D97">
    <w:pPr>
      <w:pStyle w:val="Footer"/>
      <w:tabs>
        <w:tab w:val="clear" w:pos="4513"/>
        <w:tab w:val="clear" w:pos="902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4F2DE" w14:textId="731A11EB" w:rsidR="001C580C" w:rsidRPr="00D77453" w:rsidRDefault="001C580C" w:rsidP="004E6138">
    <w:pPr>
      <w:pStyle w:val="Footer"/>
      <w:tabs>
        <w:tab w:val="left" w:pos="720"/>
      </w:tabs>
    </w:pPr>
    <w:r>
      <w:t>v</w:t>
    </w:r>
    <w:r>
      <w:fldChar w:fldCharType="begin"/>
    </w:r>
    <w:r>
      <w:instrText>Date \@ yyyyMMdd</w:instrText>
    </w:r>
    <w:r>
      <w:fldChar w:fldCharType="separate"/>
    </w:r>
    <w:r w:rsidR="00BC2744">
      <w:rPr>
        <w:noProof/>
      </w:rPr>
      <w:t>20210629</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C5540" w14:textId="3620F87E" w:rsidR="001C580C" w:rsidRPr="0086578A" w:rsidRDefault="001C580C" w:rsidP="0086578A">
    <w:pPr>
      <w:tabs>
        <w:tab w:val="center" w:pos="4513"/>
        <w:tab w:val="right" w:pos="9026"/>
      </w:tabs>
      <w:spacing w:before="0" w:after="0" w:line="240" w:lineRule="auto"/>
      <w:ind w:left="720"/>
      <w:rPr>
        <w:color w:val="7F7F7F"/>
        <w:sz w:val="18"/>
      </w:rPr>
    </w:pPr>
    <w:r>
      <w:rPr>
        <w:rFonts w:cs="Calibri"/>
        <w:b/>
        <w:color w:val="FFFFFF"/>
        <w:sz w:val="22"/>
        <w:szCs w:val="22"/>
      </w:rPr>
      <w:t xml:space="preserve">A </w:t>
    </w:r>
    <w:r w:rsidRPr="0086578A">
      <w:rPr>
        <w:rFonts w:cs="Calibri"/>
        <w:b/>
        <w:color w:val="FFFFFF"/>
        <w:sz w:val="22"/>
        <w:szCs w:val="22"/>
      </w:rPr>
      <w:t xml:space="preserve">scientific collaboration between the Department of </w:t>
    </w:r>
    <w:r w:rsidR="00C122F9">
      <w:rPr>
        <w:rFonts w:cs="Calibri"/>
        <w:b/>
        <w:color w:val="FFFFFF"/>
        <w:sz w:val="22"/>
        <w:szCs w:val="22"/>
      </w:rPr>
      <w:t xml:space="preserve">Agriculture, Water and </w:t>
    </w:r>
    <w:r w:rsidRPr="0086578A">
      <w:rPr>
        <w:rFonts w:cs="Calibri"/>
        <w:b/>
        <w:color w:val="FFFFFF"/>
        <w:sz w:val="22"/>
        <w:szCs w:val="22"/>
      </w:rPr>
      <w:t>the Environment,</w:t>
    </w:r>
    <w:r w:rsidRPr="0086578A">
      <w:rPr>
        <w:rFonts w:cs="Calibri"/>
        <w:b/>
        <w:color w:val="FFFFFF"/>
        <w:sz w:val="22"/>
        <w:szCs w:val="22"/>
      </w:rPr>
      <w:br/>
      <w:t>Bureau of Meteorology, CSIRO</w:t>
    </w:r>
    <w:r w:rsidRPr="0086578A">
      <w:rPr>
        <w:rFonts w:cs="Calibri"/>
        <w:color w:val="FFFFFF"/>
        <w:sz w:val="22"/>
        <w:szCs w:val="22"/>
      </w:rPr>
      <w:t xml:space="preserve"> </w:t>
    </w:r>
    <w:r w:rsidRPr="0086578A">
      <w:rPr>
        <w:rFonts w:cs="Calibri"/>
        <w:b/>
        <w:color w:val="FFFFFF"/>
        <w:sz w:val="22"/>
        <w:szCs w:val="22"/>
      </w:rPr>
      <w:t>and Geoscience Australia</w:t>
    </w:r>
  </w:p>
  <w:p w14:paraId="4D157BBE" w14:textId="77777777" w:rsidR="001C580C" w:rsidRDefault="001C580C">
    <w:pPr>
      <w:pStyle w:val="Footer"/>
    </w:pPr>
    <w:r>
      <w:rPr>
        <w:noProof/>
      </w:rPr>
      <w:drawing>
        <wp:anchor distT="0" distB="0" distL="114300" distR="114300" simplePos="0" relativeHeight="251658244" behindDoc="1" locked="1" layoutInCell="1" allowOverlap="1" wp14:anchorId="58719B98" wp14:editId="7875DC9C">
          <wp:simplePos x="0" y="0"/>
          <wp:positionH relativeFrom="page">
            <wp:posOffset>-53340</wp:posOffset>
          </wp:positionH>
          <wp:positionV relativeFrom="page">
            <wp:posOffset>9243060</wp:posOffset>
          </wp:positionV>
          <wp:extent cx="7649210" cy="1487170"/>
          <wp:effectExtent l="0" t="0" r="8890" b="0"/>
          <wp:wrapNone/>
          <wp:docPr id="5" name="Picture 5"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532865" descr="background ima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9210" cy="148717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23A83" w14:textId="73BA6454" w:rsidR="001C580C" w:rsidRPr="00D744D2" w:rsidRDefault="001C580C" w:rsidP="00D744D2">
    <w:pPr>
      <w:pStyle w:val="Footer"/>
      <w:tabs>
        <w:tab w:val="clear" w:pos="4513"/>
        <w:tab w:val="clear" w:pos="9026"/>
      </w:tabs>
    </w:pPr>
    <w:r w:rsidRPr="65431716">
      <w:rPr>
        <w:rStyle w:val="PageNumber"/>
        <w:noProof/>
      </w:rPr>
      <w:fldChar w:fldCharType="begin"/>
    </w:r>
    <w:r>
      <w:rPr>
        <w:rStyle w:val="PageNumber"/>
      </w:rPr>
      <w:instrText xml:space="preserve"> PAGE </w:instrText>
    </w:r>
    <w:r w:rsidRPr="65431716">
      <w:rPr>
        <w:rStyle w:val="PageNumber"/>
      </w:rPr>
      <w:fldChar w:fldCharType="separate"/>
    </w:r>
    <w:r>
      <w:rPr>
        <w:rStyle w:val="PageNumber"/>
      </w:rPr>
      <w:t>ii</w:t>
    </w:r>
    <w:r w:rsidRPr="65431716">
      <w:rPr>
        <w:rStyle w:val="PageNumber"/>
        <w:noProof/>
      </w:rPr>
      <w:fldChar w:fldCharType="end"/>
    </w:r>
    <w:r>
      <w:rPr>
        <w:rStyle w:val="PageNumber"/>
      </w:rPr>
      <w:t xml:space="preserve"> | </w:t>
    </w:r>
    <w:r w:rsidRPr="00BF258F">
      <w:fldChar w:fldCharType="begin"/>
    </w:r>
    <w:r>
      <w:rPr>
        <w:noProof/>
      </w:rPr>
      <w:instrText xml:space="preserve"> STYLEREF  CoverTitle </w:instrText>
    </w:r>
    <w:r w:rsidRPr="00BF258F">
      <w:rPr>
        <w:noProof/>
      </w:rPr>
      <w:fldChar w:fldCharType="separate"/>
    </w:r>
    <w:r w:rsidR="00B362D0">
      <w:rPr>
        <w:noProof/>
      </w:rPr>
      <w:t>Hydraulic fracturing and well integrity review for the GBA regions</w:t>
    </w:r>
    <w:r w:rsidRPr="00BF258F">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1DBCA3" w14:textId="3CC3B590"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B362D0">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5440E" w14:textId="740833D6" w:rsidR="001C580C" w:rsidRPr="006001FE" w:rsidRDefault="001C580C" w:rsidP="006001FE">
    <w:pPr>
      <w:pStyle w:val="Footer"/>
      <w:jc w:val="right"/>
    </w:pPr>
    <w:r w:rsidRPr="7DE8E393">
      <w:fldChar w:fldCharType="begin"/>
    </w:r>
    <w:r>
      <w:instrText xml:space="preserve"> STYLEREF  "Heading 1" </w:instrText>
    </w:r>
    <w:r w:rsidRPr="7DE8E393">
      <w:fldChar w:fldCharType="separate"/>
    </w:r>
    <w:r>
      <w:rPr>
        <w:b/>
        <w:bCs/>
        <w:noProof/>
        <w:lang w:val="en-US"/>
      </w:rPr>
      <w:t>Error! No text of specified style in document.</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sidRPr="7DE8E393">
      <w:rPr>
        <w:rStyle w:val="PageNumber"/>
        <w:noProof/>
        <w:sz w:val="18"/>
        <w:szCs w:val="18"/>
      </w:rPr>
      <w:t>i</w:t>
    </w:r>
    <w:r w:rsidRPr="7DE8E393">
      <w:rPr>
        <w:rStyle w:val="PageNumber"/>
        <w:noProof/>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F3D23" w14:textId="3929853C"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B362D0">
      <w:rPr>
        <w:noProof/>
      </w:rPr>
      <w:t>Hydraulic fracturing and well integrity review for the GBA regions</w:t>
    </w:r>
    <w:r w:rsidRPr="10423575">
      <w:fldChar w:fldCharType="end"/>
    </w:r>
    <w:r w:rsidRPr="00C0099E">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441DC" w14:textId="3516D621"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B362D0">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905FD" w14:textId="2FB51692"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B362D0">
      <w:rPr>
        <w:noProof/>
      </w:rPr>
      <w:t>Hydraulic fracturing and well integrity review for the GBA regions</w:t>
    </w:r>
    <w:r w:rsidRPr="10423575">
      <w:fldChar w:fldCharType="end"/>
    </w:r>
    <w:r w:rsidRPr="00C0099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45FF7A" w14:textId="77777777" w:rsidR="00672B9D" w:rsidRDefault="00672B9D">
      <w:r>
        <w:separator/>
      </w:r>
    </w:p>
  </w:footnote>
  <w:footnote w:type="continuationSeparator" w:id="0">
    <w:p w14:paraId="630AF787" w14:textId="77777777" w:rsidR="00672B9D" w:rsidRDefault="00672B9D">
      <w:r>
        <w:continuationSeparator/>
      </w:r>
    </w:p>
  </w:footnote>
  <w:footnote w:type="continuationNotice" w:id="1">
    <w:p w14:paraId="07F8F68C" w14:textId="77777777" w:rsidR="00672B9D" w:rsidRDefault="00672B9D"/>
  </w:footnote>
  <w:footnote w:id="2">
    <w:p w14:paraId="676A2A09" w14:textId="6A446880" w:rsidR="001C580C" w:rsidRDefault="001C580C">
      <w:pPr>
        <w:pStyle w:val="FootnoteText"/>
      </w:pPr>
      <w:r w:rsidRPr="00D70B5C">
        <w:rPr>
          <w:rStyle w:val="FootnoteReference"/>
        </w:rPr>
        <w:footnoteRef/>
      </w:r>
      <w:r>
        <w:t xml:space="preserve"> </w:t>
      </w:r>
      <w:r w:rsidRPr="00117AF2">
        <w:t>Surface Casing Vent Flow</w:t>
      </w:r>
    </w:p>
  </w:footnote>
  <w:footnote w:id="3">
    <w:p w14:paraId="29857CF3" w14:textId="79BD82EB" w:rsidR="001C580C" w:rsidRDefault="001C580C" w:rsidP="00070432">
      <w:pPr>
        <w:pStyle w:val="FootnoteText"/>
      </w:pPr>
      <w:r w:rsidRPr="00D70B5C">
        <w:rPr>
          <w:rStyle w:val="FootnoteReference"/>
        </w:rPr>
        <w:footnoteRef/>
      </w:r>
      <w:r>
        <w:t xml:space="preserve"> C</w:t>
      </w:r>
      <w:r w:rsidRPr="00070432">
        <w:t xml:space="preserve">ited as Bexte et al., </w:t>
      </w:r>
      <w:r>
        <w:t>(</w:t>
      </w:r>
      <w:r w:rsidRPr="00070432">
        <w:t>2012</w:t>
      </w:r>
      <w:r>
        <w:t>)</w:t>
      </w:r>
      <w:r w:rsidRPr="00070432">
        <w:t xml:space="preserve"> in Atherton et al. (2014) but believed to be Bexte et al., </w:t>
      </w:r>
      <w:r>
        <w:t>(</w:t>
      </w:r>
      <w:r w:rsidRPr="00070432">
        <w:t>2008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CF02C" w14:textId="68153203" w:rsidR="001C580C" w:rsidRPr="0086578A" w:rsidRDefault="001C580C" w:rsidP="00821A8F">
    <w:pPr>
      <w:pStyle w:val="HeaderSection"/>
      <w:jc w:val="center"/>
      <w:rPr>
        <w:color w:val="BFBFBF" w:themeColor="background1" w:themeShade="BF"/>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8A708" w14:textId="77777777" w:rsidR="001C580C" w:rsidRPr="006001FE" w:rsidRDefault="001C580C" w:rsidP="006001FE">
    <w:pPr>
      <w:pStyle w:val="HeaderSection"/>
      <w:jc w:val="right"/>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0FF63C" w14:textId="0D64C317" w:rsidR="001C580C" w:rsidRPr="00936E7A" w:rsidRDefault="001C580C" w:rsidP="001F4181">
    <w:pPr>
      <w:pStyle w:val="HeaderSection"/>
    </w:pPr>
    <w:r>
      <w:rPr>
        <w:noProof/>
      </w:rPr>
      <w:fldChar w:fldCharType="begin"/>
    </w:r>
    <w:r>
      <w:rPr>
        <w:noProof/>
      </w:rPr>
      <w:instrText xml:space="preserve"> STYLEREF  "Heading 2" \n  \* MERGEFORMAT </w:instrText>
    </w:r>
    <w:r>
      <w:rPr>
        <w:noProof/>
      </w:rPr>
      <w:fldChar w:fldCharType="separate"/>
    </w:r>
    <w:r w:rsidR="00B362D0">
      <w:rPr>
        <w:noProof/>
      </w:rPr>
      <w:t>1</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B362D0">
      <w:rPr>
        <w:noProof/>
      </w:rPr>
      <w:t>Causal pathway overviews for hydraulic fracturing and compromised well integrity</w:t>
    </w:r>
    <w:r>
      <w:rPr>
        <w:noProof/>
      </w:rPr>
      <w:fldChar w:fldCharType="end"/>
    </w:r>
    <w:r>
      <w:rPr>
        <w:noProof/>
      </w:rPr>
      <mc:AlternateContent>
        <mc:Choice Requires="wps">
          <w:drawing>
            <wp:anchor distT="0" distB="0" distL="114300" distR="114300" simplePos="0" relativeHeight="251658241" behindDoc="0" locked="1" layoutInCell="1" allowOverlap="1" wp14:anchorId="03664BD2" wp14:editId="0677599C">
              <wp:simplePos x="0" y="0"/>
              <wp:positionH relativeFrom="column">
                <wp:posOffset>-774065</wp:posOffset>
              </wp:positionH>
              <wp:positionV relativeFrom="margin">
                <wp:posOffset>0</wp:posOffset>
              </wp:positionV>
              <wp:extent cx="683895" cy="7479030"/>
              <wp:effectExtent l="0" t="0" r="0" b="0"/>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C465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64BD2" id="_x0000_t202" coordsize="21600,21600" o:spt="202" path="m,l,21600r21600,l21600,xe">
              <v:stroke joinstyle="miter"/>
              <v:path gradientshapeok="t" o:connecttype="rect"/>
            </v:shapetype>
            <v:shape id="Text Box 5" o:spid="_x0000_s1029" type="#_x0000_t202" style="position:absolute;margin-left:-60.95pt;margin-top:0;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" filled="f" stroked="f">
              <v:textbox style="layout-flow:vertical;mso-layout-flow-alt:bottom-to-top">
                <w:txbxContent>
                  <w:p w14:paraId="058C465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B72C8" w14:textId="6904A632" w:rsidR="001C580C" w:rsidRPr="00977621" w:rsidRDefault="001C580C"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B362D0">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362D0">
      <w:rPr>
        <w:noProof/>
      </w:rPr>
      <w:t>Line of evidence 2: Findings from relevant reviews and inquiries</w:t>
    </w:r>
    <w:r>
      <w:rPr>
        <w:noProof/>
      </w:rPr>
      <w:fldChar w:fldCharType="end"/>
    </w:r>
    <w:r>
      <w:rPr>
        <w:noProof/>
      </w:rPr>
      <mc:AlternateContent>
        <mc:Choice Requires="wps">
          <w:drawing>
            <wp:anchor distT="0" distB="0" distL="114300" distR="114300" simplePos="0" relativeHeight="251658240" behindDoc="0" locked="1" layoutInCell="1" allowOverlap="1" wp14:anchorId="6D7F3DB1" wp14:editId="456EA3BD">
              <wp:simplePos x="0" y="0"/>
              <wp:positionH relativeFrom="rightMargin">
                <wp:posOffset>163195</wp:posOffset>
              </wp:positionH>
              <wp:positionV relativeFrom="margin">
                <wp:posOffset>0</wp:posOffset>
              </wp:positionV>
              <wp:extent cx="683895" cy="7479030"/>
              <wp:effectExtent l="0" t="0" r="0" b="7620"/>
              <wp:wrapNone/>
              <wp:docPr id="1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19C40"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5E3408A2"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F3DB1" id="_x0000_t202" coordsize="21600,21600" o:spt="202" path="m,l,21600r21600,l21600,xe">
              <v:stroke joinstyle="miter"/>
              <v:path gradientshapeok="t" o:connecttype="rect"/>
            </v:shapetype>
            <v:shape id="Text Box 16" o:spid="_x0000_s1030" type="#_x0000_t202" style="position:absolute;left:0;text-align:left;margin-left:12.85pt;margin-top:0;width:53.85pt;height:588.9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S/uQIAAMI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" filled="f" stroked="f">
              <v:textbox style="layout-flow:vertical">
                <w:txbxContent>
                  <w:p w14:paraId="04E19C40"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5E3408A2"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AE53C" w14:textId="16C1C8BC" w:rsidR="001C580C" w:rsidRPr="00936E7A" w:rsidRDefault="001C580C" w:rsidP="001F4181">
    <w:pPr>
      <w:pStyle w:val="HeaderSection"/>
    </w:pPr>
    <w:r>
      <w:rPr>
        <w:noProof/>
      </w:rPr>
      <w:fldChar w:fldCharType="begin"/>
    </w:r>
    <w:r>
      <w:rPr>
        <w:noProof/>
      </w:rPr>
      <w:instrText xml:space="preserve"> STYLEREF  "Heading 2" \n  \* MERGEFORMAT </w:instrText>
    </w:r>
    <w:r>
      <w:rPr>
        <w:noProof/>
      </w:rPr>
      <w:fldChar w:fldCharType="separate"/>
    </w:r>
    <w:r w:rsidR="00B362D0">
      <w:rPr>
        <w:noProof/>
      </w:rPr>
      <w:t>2</w:t>
    </w:r>
    <w:r>
      <w:rPr>
        <w:noProof/>
      </w:rPr>
      <w:fldChar w:fldCharType="end"/>
    </w:r>
    <w:r>
      <w:rPr>
        <w:noProof/>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B362D0">
      <w:rPr>
        <w:noProof/>
        <w:szCs w:val="18"/>
      </w:rPr>
      <w:t>Line of evidence 2: Findings from relevant reviews and inquiries</w:t>
    </w:r>
    <w:r>
      <w:rPr>
        <w:noProof/>
        <w:szCs w:val="18"/>
      </w:rPr>
      <w:fldChar w:fldCharType="end"/>
    </w:r>
    <w:r>
      <w:rPr>
        <w:noProof/>
      </w:rPr>
      <mc:AlternateContent>
        <mc:Choice Requires="wps">
          <w:drawing>
            <wp:anchor distT="0" distB="0" distL="114300" distR="114300" simplePos="0" relativeHeight="251658243" behindDoc="0" locked="1" layoutInCell="1" allowOverlap="1" wp14:anchorId="6DB8E7BD" wp14:editId="699F3FA9">
              <wp:simplePos x="0" y="0"/>
              <wp:positionH relativeFrom="column">
                <wp:posOffset>-774065</wp:posOffset>
              </wp:positionH>
              <wp:positionV relativeFrom="margin">
                <wp:posOffset>0</wp:posOffset>
              </wp:positionV>
              <wp:extent cx="683895" cy="747903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BA451"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B8E7BD" id="_x0000_t202" coordsize="21600,21600" o:spt="202" path="m,l,21600r21600,l21600,xe">
              <v:stroke joinstyle="miter"/>
              <v:path gradientshapeok="t" o:connecttype="rect"/>
            </v:shapetype>
            <v:shape id="_x0000_s1031" type="#_x0000_t202" style="position:absolute;margin-left:-60.95pt;margin-top:0;width:53.85pt;height:588.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DUYuwIAAMM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" filled="f" stroked="f">
              <v:textbox style="layout-flow:vertical;mso-layout-flow-alt:bottom-to-top">
                <w:txbxContent>
                  <w:p w14:paraId="38FBA451"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80CFB" w14:textId="31395928" w:rsidR="001C580C" w:rsidRPr="00977621" w:rsidRDefault="001C580C"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B362D0">
      <w:rPr>
        <w:noProof/>
      </w:rPr>
      <w:t>2</w:t>
    </w:r>
    <w:r>
      <w:rPr>
        <w:noProof/>
      </w:rPr>
      <w:fldChar w:fldCharType="end"/>
    </w:r>
    <w:r>
      <w:rPr>
        <w:noProof/>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B362D0">
      <w:rPr>
        <w:noProof/>
        <w:szCs w:val="18"/>
      </w:rPr>
      <w:t>Line of evidence 2: Findings from relevant reviews and inquiries</w:t>
    </w:r>
    <w:r>
      <w:rPr>
        <w:noProof/>
        <w:szCs w:val="18"/>
      </w:rPr>
      <w:fldChar w:fldCharType="end"/>
    </w:r>
    <w:r w:rsidRPr="008B4858">
      <w:rPr>
        <w:noProof/>
      </w:rPr>
      <w:t xml:space="preserve"> </w:t>
    </w:r>
    <w:r>
      <w:rPr>
        <w:noProof/>
      </w:rPr>
      <mc:AlternateContent>
        <mc:Choice Requires="wps">
          <w:drawing>
            <wp:anchor distT="0" distB="0" distL="114300" distR="114300" simplePos="0" relativeHeight="251658242" behindDoc="0" locked="1" layoutInCell="1" allowOverlap="1" wp14:anchorId="4D96C4DC" wp14:editId="2C0B174C">
              <wp:simplePos x="0" y="0"/>
              <wp:positionH relativeFrom="rightMargin">
                <wp:posOffset>163195</wp:posOffset>
              </wp:positionH>
              <wp:positionV relativeFrom="margin">
                <wp:posOffset>0</wp:posOffset>
              </wp:positionV>
              <wp:extent cx="683895" cy="7479030"/>
              <wp:effectExtent l="0" t="0" r="0" b="762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121EB"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6C6F358C"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96C4DC" id="_x0000_t202" coordsize="21600,21600" o:spt="202" path="m,l,21600r21600,l21600,xe">
              <v:stroke joinstyle="miter"/>
              <v:path gradientshapeok="t" o:connecttype="rect"/>
            </v:shapetype>
            <v:shape id="_x0000_s1032" type="#_x0000_t202" style="position:absolute;left:0;text-align:left;margin-left:12.85pt;margin-top:0;width:53.85pt;height:588.9pt;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" filled="f" stroked="f">
              <v:textbox style="layout-flow:vertical">
                <w:txbxContent>
                  <w:p w14:paraId="7EB121EB"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6C6F358C"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27CE5" w14:textId="7F429F09" w:rsidR="001C580C" w:rsidRPr="00936E7A" w:rsidRDefault="001C580C" w:rsidP="001F4181">
    <w:pPr>
      <w:pStyle w:val="HeaderSection"/>
    </w:pPr>
    <w:r>
      <w:rPr>
        <w:noProof/>
        <w:szCs w:val="18"/>
      </w:rPr>
      <w:fldChar w:fldCharType="begin"/>
    </w:r>
    <w:r>
      <w:rPr>
        <w:noProof/>
        <w:szCs w:val="18"/>
      </w:rPr>
      <w:instrText xml:space="preserve"> STYLEREF  "Heading 2 not numbered" </w:instrText>
    </w:r>
    <w:r>
      <w:rPr>
        <w:noProof/>
        <w:szCs w:val="18"/>
      </w:rPr>
      <w:fldChar w:fldCharType="separate"/>
    </w:r>
    <w:r w:rsidR="00B362D0">
      <w:rPr>
        <w:noProof/>
        <w:szCs w:val="18"/>
      </w:rPr>
      <w:t>Glossary</w:t>
    </w:r>
    <w:r>
      <w:rPr>
        <w:noProof/>
        <w:szCs w:val="18"/>
      </w:rPr>
      <w:fldChar w:fldCharType="end"/>
    </w:r>
    <w:r>
      <w:rPr>
        <w:noProof/>
      </w:rPr>
      <mc:AlternateContent>
        <mc:Choice Requires="wps">
          <w:drawing>
            <wp:anchor distT="0" distB="0" distL="114300" distR="114300" simplePos="0" relativeHeight="251658246" behindDoc="0" locked="1" layoutInCell="1" allowOverlap="1" wp14:anchorId="1AAE2FEA" wp14:editId="2770EBDE">
              <wp:simplePos x="0" y="0"/>
              <wp:positionH relativeFrom="column">
                <wp:posOffset>-774065</wp:posOffset>
              </wp:positionH>
              <wp:positionV relativeFrom="margin">
                <wp:posOffset>0</wp:posOffset>
              </wp:positionV>
              <wp:extent cx="683895" cy="747903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2361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AE2FEA" id="_x0000_t202" coordsize="21600,21600" o:spt="202" path="m,l,21600r21600,l21600,xe">
              <v:stroke joinstyle="miter"/>
              <v:path gradientshapeok="t" o:connecttype="rect"/>
            </v:shapetype>
            <v:shape id="_x0000_s1033" type="#_x0000_t202" style="position:absolute;margin-left:-60.95pt;margin-top:0;width:53.85pt;height:588.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" filled="f" stroked="f">
              <v:textbox style="layout-flow:vertical;mso-layout-flow-alt:bottom-to-top">
                <w:txbxContent>
                  <w:p w14:paraId="4A42361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0395A" w14:textId="780BE44B" w:rsidR="001C580C" w:rsidRPr="00977621" w:rsidRDefault="001C580C" w:rsidP="00977621">
    <w:pPr>
      <w:pStyle w:val="HeaderSection"/>
      <w:jc w:val="right"/>
    </w:pPr>
    <w:r>
      <w:rPr>
        <w:noProof/>
        <w:szCs w:val="18"/>
      </w:rPr>
      <w:fldChar w:fldCharType="begin"/>
    </w:r>
    <w:r>
      <w:rPr>
        <w:noProof/>
        <w:szCs w:val="18"/>
      </w:rPr>
      <w:instrText xml:space="preserve"> STYLEREF  "Heading 2 not numbered" </w:instrText>
    </w:r>
    <w:r>
      <w:rPr>
        <w:noProof/>
        <w:szCs w:val="18"/>
      </w:rPr>
      <w:fldChar w:fldCharType="separate"/>
    </w:r>
    <w:r w:rsidR="00B362D0">
      <w:rPr>
        <w:noProof/>
        <w:szCs w:val="18"/>
      </w:rPr>
      <w:t>References</w:t>
    </w:r>
    <w:r>
      <w:rPr>
        <w:noProof/>
        <w:szCs w:val="18"/>
      </w:rPr>
      <w:fldChar w:fldCharType="end"/>
    </w:r>
    <w:r w:rsidRPr="008B4858">
      <w:rPr>
        <w:noProof/>
      </w:rPr>
      <w:t xml:space="preserve"> </w:t>
    </w:r>
    <w:r>
      <w:rPr>
        <w:noProof/>
      </w:rPr>
      <mc:AlternateContent>
        <mc:Choice Requires="wps">
          <w:drawing>
            <wp:anchor distT="0" distB="0" distL="114300" distR="114300" simplePos="0" relativeHeight="251658245" behindDoc="0" locked="1" layoutInCell="1" allowOverlap="1" wp14:anchorId="3CB5046B" wp14:editId="077744BB">
              <wp:simplePos x="0" y="0"/>
              <wp:positionH relativeFrom="rightMargin">
                <wp:posOffset>163195</wp:posOffset>
              </wp:positionH>
              <wp:positionV relativeFrom="margin">
                <wp:posOffset>0</wp:posOffset>
              </wp:positionV>
              <wp:extent cx="683895" cy="7479030"/>
              <wp:effectExtent l="0" t="0" r="0" b="7620"/>
              <wp:wrapNone/>
              <wp:docPr id="1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E2561"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265CAC71"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B5046B" id="_x0000_t202" coordsize="21600,21600" o:spt="202" path="m,l,21600r21600,l21600,xe">
              <v:stroke joinstyle="miter"/>
              <v:path gradientshapeok="t" o:connecttype="rect"/>
            </v:shapetype>
            <v:shape id="_x0000_s1034" type="#_x0000_t202" style="position:absolute;left:0;text-align:left;margin-left:12.85pt;margin-top:0;width:53.85pt;height:588.9pt;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l7augIAAMI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" filled="f" stroked="f">
              <v:textbox style="layout-flow:vertical">
                <w:txbxContent>
                  <w:p w14:paraId="152E2561"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265CAC71"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D954F" w14:textId="77777777" w:rsidR="001C580C" w:rsidRPr="000902F6" w:rsidRDefault="001C580C" w:rsidP="001F4181">
    <w:pPr>
      <w:pStyle w:val="HeaderSectio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0C4F594E"/>
    <w:multiLevelType w:val="hybridMultilevel"/>
    <w:tmpl w:val="70722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642911"/>
    <w:multiLevelType w:val="hybridMultilevel"/>
    <w:tmpl w:val="558EA9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4B80D3E"/>
    <w:multiLevelType w:val="hybridMultilevel"/>
    <w:tmpl w:val="87D80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10" w15:restartNumberingAfterBreak="0">
    <w:nsid w:val="1A253281"/>
    <w:multiLevelType w:val="hybridMultilevel"/>
    <w:tmpl w:val="816EE2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3A4D69"/>
    <w:multiLevelType w:val="hybridMultilevel"/>
    <w:tmpl w:val="14B6EC5C"/>
    <w:lvl w:ilvl="0" w:tplc="FFFFFFFF">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3"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70806C8"/>
    <w:multiLevelType w:val="hybridMultilevel"/>
    <w:tmpl w:val="9B022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1914B10"/>
    <w:multiLevelType w:val="hybridMultilevel"/>
    <w:tmpl w:val="D1343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2DE3104"/>
    <w:multiLevelType w:val="hybridMultilevel"/>
    <w:tmpl w:val="00C87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A3B19D5"/>
    <w:multiLevelType w:val="hybridMultilevel"/>
    <w:tmpl w:val="46A23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C7B010A"/>
    <w:multiLevelType w:val="hybridMultilevel"/>
    <w:tmpl w:val="F81E4C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EE757D6"/>
    <w:multiLevelType w:val="hybridMultilevel"/>
    <w:tmpl w:val="EDB83E40"/>
    <w:lvl w:ilvl="0" w:tplc="0C090001">
      <w:start w:val="1"/>
      <w:numFmt w:val="bullet"/>
      <w:lvlText w:val=""/>
      <w:lvlJc w:val="left"/>
      <w:pPr>
        <w:ind w:left="720" w:hanging="360"/>
      </w:pPr>
      <w:rPr>
        <w:rFonts w:ascii="Symbol" w:hAnsi="Symbol" w:hint="default"/>
      </w:rPr>
    </w:lvl>
    <w:lvl w:ilvl="1" w:tplc="682CF6BE">
      <w:numFmt w:val="bullet"/>
      <w:lvlText w:val="•"/>
      <w:lvlJc w:val="left"/>
      <w:pPr>
        <w:ind w:left="1440" w:hanging="360"/>
      </w:pPr>
      <w:rPr>
        <w:rFonts w:ascii="Calibri" w:eastAsia="Calibr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3C81F17"/>
    <w:multiLevelType w:val="hybridMultilevel"/>
    <w:tmpl w:val="B7605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BE01407"/>
    <w:multiLevelType w:val="hybridMultilevel"/>
    <w:tmpl w:val="E6923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C9635F"/>
    <w:multiLevelType w:val="hybridMultilevel"/>
    <w:tmpl w:val="F52C410C"/>
    <w:lvl w:ilvl="0" w:tplc="CBF65370">
      <w:numFmt w:val="bullet"/>
      <w:lvlText w:val="•"/>
      <w:lvlJc w:val="left"/>
      <w:pPr>
        <w:ind w:left="720" w:hanging="36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292A8F"/>
    <w:multiLevelType w:val="hybridMultilevel"/>
    <w:tmpl w:val="E584AAE2"/>
    <w:lvl w:ilvl="0" w:tplc="1B0297F6">
      <w:start w:val="1"/>
      <w:numFmt w:val="bullet"/>
      <w:lvlText w:val=""/>
      <w:lvlJc w:val="left"/>
      <w:pPr>
        <w:ind w:left="720" w:hanging="360"/>
      </w:pPr>
      <w:rPr>
        <w:rFonts w:ascii="Symbol" w:hAnsi="Symbol" w:hint="default"/>
      </w:rPr>
    </w:lvl>
    <w:lvl w:ilvl="1" w:tplc="4A18F724">
      <w:start w:val="1"/>
      <w:numFmt w:val="bullet"/>
      <w:lvlText w:val="o"/>
      <w:lvlJc w:val="left"/>
      <w:pPr>
        <w:ind w:left="1440" w:hanging="360"/>
      </w:pPr>
      <w:rPr>
        <w:rFonts w:ascii="Courier New" w:hAnsi="Courier New" w:hint="default"/>
      </w:rPr>
    </w:lvl>
    <w:lvl w:ilvl="2" w:tplc="BA8293A6">
      <w:start w:val="1"/>
      <w:numFmt w:val="bullet"/>
      <w:lvlText w:val=""/>
      <w:lvlJc w:val="left"/>
      <w:pPr>
        <w:ind w:left="2160" w:hanging="360"/>
      </w:pPr>
      <w:rPr>
        <w:rFonts w:ascii="Wingdings" w:hAnsi="Wingdings" w:hint="default"/>
      </w:rPr>
    </w:lvl>
    <w:lvl w:ilvl="3" w:tplc="CFD26B8E">
      <w:start w:val="1"/>
      <w:numFmt w:val="bullet"/>
      <w:lvlText w:val=""/>
      <w:lvlJc w:val="left"/>
      <w:pPr>
        <w:ind w:left="2880" w:hanging="360"/>
      </w:pPr>
      <w:rPr>
        <w:rFonts w:ascii="Symbol" w:hAnsi="Symbol" w:hint="default"/>
      </w:rPr>
    </w:lvl>
    <w:lvl w:ilvl="4" w:tplc="8B1C3B00">
      <w:start w:val="1"/>
      <w:numFmt w:val="bullet"/>
      <w:lvlText w:val="o"/>
      <w:lvlJc w:val="left"/>
      <w:pPr>
        <w:ind w:left="3600" w:hanging="360"/>
      </w:pPr>
      <w:rPr>
        <w:rFonts w:ascii="Courier New" w:hAnsi="Courier New" w:hint="default"/>
      </w:rPr>
    </w:lvl>
    <w:lvl w:ilvl="5" w:tplc="B7862258">
      <w:start w:val="1"/>
      <w:numFmt w:val="bullet"/>
      <w:lvlText w:val=""/>
      <w:lvlJc w:val="left"/>
      <w:pPr>
        <w:ind w:left="4320" w:hanging="360"/>
      </w:pPr>
      <w:rPr>
        <w:rFonts w:ascii="Wingdings" w:hAnsi="Wingdings" w:hint="default"/>
      </w:rPr>
    </w:lvl>
    <w:lvl w:ilvl="6" w:tplc="FA42828A">
      <w:start w:val="1"/>
      <w:numFmt w:val="bullet"/>
      <w:lvlText w:val=""/>
      <w:lvlJc w:val="left"/>
      <w:pPr>
        <w:ind w:left="5040" w:hanging="360"/>
      </w:pPr>
      <w:rPr>
        <w:rFonts w:ascii="Symbol" w:hAnsi="Symbol" w:hint="default"/>
      </w:rPr>
    </w:lvl>
    <w:lvl w:ilvl="7" w:tplc="6282A248">
      <w:start w:val="1"/>
      <w:numFmt w:val="bullet"/>
      <w:lvlText w:val="o"/>
      <w:lvlJc w:val="left"/>
      <w:pPr>
        <w:ind w:left="5760" w:hanging="360"/>
      </w:pPr>
      <w:rPr>
        <w:rFonts w:ascii="Courier New" w:hAnsi="Courier New" w:hint="default"/>
      </w:rPr>
    </w:lvl>
    <w:lvl w:ilvl="8" w:tplc="0EB6A3DC">
      <w:start w:val="1"/>
      <w:numFmt w:val="bullet"/>
      <w:lvlText w:val=""/>
      <w:lvlJc w:val="left"/>
      <w:pPr>
        <w:ind w:left="6480" w:hanging="360"/>
      </w:pPr>
      <w:rPr>
        <w:rFonts w:ascii="Wingdings" w:hAnsi="Wingdings" w:hint="default"/>
      </w:rPr>
    </w:lvl>
  </w:abstractNum>
  <w:abstractNum w:abstractNumId="24" w15:restartNumberingAfterBreak="0">
    <w:nsid w:val="54645970"/>
    <w:multiLevelType w:val="hybridMultilevel"/>
    <w:tmpl w:val="B4524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6E67875"/>
    <w:multiLevelType w:val="hybridMultilevel"/>
    <w:tmpl w:val="D1C86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8557317"/>
    <w:multiLevelType w:val="hybridMultilevel"/>
    <w:tmpl w:val="11A2F2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8AF74C2"/>
    <w:multiLevelType w:val="hybridMultilevel"/>
    <w:tmpl w:val="2F8216FA"/>
    <w:lvl w:ilvl="0" w:tplc="F2AC6890">
      <w:start w:val="1"/>
      <w:numFmt w:val="bullet"/>
      <w:lvlText w:val=""/>
      <w:lvlJc w:val="left"/>
      <w:pPr>
        <w:ind w:left="720" w:hanging="360"/>
      </w:pPr>
      <w:rPr>
        <w:rFonts w:ascii="Symbol" w:hAnsi="Symbol" w:hint="default"/>
      </w:rPr>
    </w:lvl>
    <w:lvl w:ilvl="1" w:tplc="CDB426B6">
      <w:start w:val="1"/>
      <w:numFmt w:val="bullet"/>
      <w:lvlText w:val="o"/>
      <w:lvlJc w:val="left"/>
      <w:pPr>
        <w:ind w:left="1440" w:hanging="360"/>
      </w:pPr>
      <w:rPr>
        <w:rFonts w:ascii="Courier New" w:hAnsi="Courier New" w:hint="default"/>
      </w:rPr>
    </w:lvl>
    <w:lvl w:ilvl="2" w:tplc="6C5C64E8">
      <w:start w:val="1"/>
      <w:numFmt w:val="bullet"/>
      <w:lvlText w:val=""/>
      <w:lvlJc w:val="left"/>
      <w:pPr>
        <w:ind w:left="2160" w:hanging="360"/>
      </w:pPr>
      <w:rPr>
        <w:rFonts w:ascii="Wingdings" w:hAnsi="Wingdings" w:hint="default"/>
      </w:rPr>
    </w:lvl>
    <w:lvl w:ilvl="3" w:tplc="A16AD0E4">
      <w:start w:val="1"/>
      <w:numFmt w:val="bullet"/>
      <w:lvlText w:val=""/>
      <w:lvlJc w:val="left"/>
      <w:pPr>
        <w:ind w:left="2880" w:hanging="360"/>
      </w:pPr>
      <w:rPr>
        <w:rFonts w:ascii="Symbol" w:hAnsi="Symbol" w:hint="default"/>
      </w:rPr>
    </w:lvl>
    <w:lvl w:ilvl="4" w:tplc="493AC452">
      <w:start w:val="1"/>
      <w:numFmt w:val="bullet"/>
      <w:lvlText w:val="o"/>
      <w:lvlJc w:val="left"/>
      <w:pPr>
        <w:ind w:left="3600" w:hanging="360"/>
      </w:pPr>
      <w:rPr>
        <w:rFonts w:ascii="Courier New" w:hAnsi="Courier New" w:hint="default"/>
      </w:rPr>
    </w:lvl>
    <w:lvl w:ilvl="5" w:tplc="FB4A0070">
      <w:start w:val="1"/>
      <w:numFmt w:val="bullet"/>
      <w:lvlText w:val=""/>
      <w:lvlJc w:val="left"/>
      <w:pPr>
        <w:ind w:left="4320" w:hanging="360"/>
      </w:pPr>
      <w:rPr>
        <w:rFonts w:ascii="Wingdings" w:hAnsi="Wingdings" w:hint="default"/>
      </w:rPr>
    </w:lvl>
    <w:lvl w:ilvl="6" w:tplc="FFB46784">
      <w:start w:val="1"/>
      <w:numFmt w:val="bullet"/>
      <w:lvlText w:val=""/>
      <w:lvlJc w:val="left"/>
      <w:pPr>
        <w:ind w:left="5040" w:hanging="360"/>
      </w:pPr>
      <w:rPr>
        <w:rFonts w:ascii="Symbol" w:hAnsi="Symbol" w:hint="default"/>
      </w:rPr>
    </w:lvl>
    <w:lvl w:ilvl="7" w:tplc="CE3C8908">
      <w:start w:val="1"/>
      <w:numFmt w:val="bullet"/>
      <w:lvlText w:val="o"/>
      <w:lvlJc w:val="left"/>
      <w:pPr>
        <w:ind w:left="5760" w:hanging="360"/>
      </w:pPr>
      <w:rPr>
        <w:rFonts w:ascii="Courier New" w:hAnsi="Courier New" w:hint="default"/>
      </w:rPr>
    </w:lvl>
    <w:lvl w:ilvl="8" w:tplc="854649CC">
      <w:start w:val="1"/>
      <w:numFmt w:val="bullet"/>
      <w:lvlText w:val=""/>
      <w:lvlJc w:val="left"/>
      <w:pPr>
        <w:ind w:left="6480" w:hanging="360"/>
      </w:pPr>
      <w:rPr>
        <w:rFonts w:ascii="Wingdings" w:hAnsi="Wingdings" w:hint="default"/>
      </w:rPr>
    </w:lvl>
  </w:abstractNum>
  <w:abstractNum w:abstractNumId="28" w15:restartNumberingAfterBreak="0">
    <w:nsid w:val="5B271E5F"/>
    <w:multiLevelType w:val="hybridMultilevel"/>
    <w:tmpl w:val="51FE1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30" w15:restartNumberingAfterBreak="0">
    <w:nsid w:val="5C2C5223"/>
    <w:multiLevelType w:val="hybridMultilevel"/>
    <w:tmpl w:val="45ECE100"/>
    <w:lvl w:ilvl="0" w:tplc="CBF65370">
      <w:numFmt w:val="bullet"/>
      <w:lvlText w:val="•"/>
      <w:lvlJc w:val="left"/>
      <w:pPr>
        <w:ind w:left="720" w:hanging="36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DB36154"/>
    <w:multiLevelType w:val="hybridMultilevel"/>
    <w:tmpl w:val="C8028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33" w15:restartNumberingAfterBreak="0">
    <w:nsid w:val="5DC77582"/>
    <w:multiLevelType w:val="hybridMultilevel"/>
    <w:tmpl w:val="B150E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1C1072B"/>
    <w:multiLevelType w:val="hybridMultilevel"/>
    <w:tmpl w:val="3DA42F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6"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37" w15:restartNumberingAfterBreak="0">
    <w:nsid w:val="69104FC8"/>
    <w:multiLevelType w:val="hybridMultilevel"/>
    <w:tmpl w:val="1376FD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AE06E9B"/>
    <w:multiLevelType w:val="hybridMultilevel"/>
    <w:tmpl w:val="05421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E1C7770"/>
    <w:multiLevelType w:val="hybridMultilevel"/>
    <w:tmpl w:val="C5CCC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E8E0181"/>
    <w:multiLevelType w:val="hybridMultilevel"/>
    <w:tmpl w:val="4BBC0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2EF09F8"/>
    <w:multiLevelType w:val="hybridMultilevel"/>
    <w:tmpl w:val="21D09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49F5912"/>
    <w:multiLevelType w:val="hybridMultilevel"/>
    <w:tmpl w:val="F2B47DC6"/>
    <w:lvl w:ilvl="0" w:tplc="A12240B0">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3"/>
  </w:num>
  <w:num w:numId="2">
    <w:abstractNumId w:val="4"/>
  </w:num>
  <w:num w:numId="3">
    <w:abstractNumId w:val="3"/>
  </w:num>
  <w:num w:numId="4">
    <w:abstractNumId w:val="2"/>
  </w:num>
  <w:num w:numId="5">
    <w:abstractNumId w:val="13"/>
  </w:num>
  <w:num w:numId="6">
    <w:abstractNumId w:val="35"/>
  </w:num>
  <w:num w:numId="7">
    <w:abstractNumId w:val="5"/>
  </w:num>
  <w:num w:numId="8">
    <w:abstractNumId w:val="32"/>
  </w:num>
  <w:num w:numId="9">
    <w:abstractNumId w:val="12"/>
  </w:num>
  <w:num w:numId="10">
    <w:abstractNumId w:val="1"/>
  </w:num>
  <w:num w:numId="11">
    <w:abstractNumId w:val="0"/>
  </w:num>
  <w:num w:numId="12">
    <w:abstractNumId w:val="29"/>
  </w:num>
  <w:num w:numId="13">
    <w:abstractNumId w:val="36"/>
  </w:num>
  <w:num w:numId="14">
    <w:abstractNumId w:val="37"/>
  </w:num>
  <w:num w:numId="15">
    <w:abstractNumId w:val="42"/>
  </w:num>
  <w:num w:numId="16">
    <w:abstractNumId w:val="11"/>
  </w:num>
  <w:num w:numId="17">
    <w:abstractNumId w:val="26"/>
  </w:num>
  <w:num w:numId="18">
    <w:abstractNumId w:val="19"/>
  </w:num>
  <w:num w:numId="19">
    <w:abstractNumId w:val="30"/>
  </w:num>
  <w:num w:numId="20">
    <w:abstractNumId w:val="38"/>
  </w:num>
  <w:num w:numId="21">
    <w:abstractNumId w:val="9"/>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hint="default"/>
          <w:bCs w:val="0"/>
          <w:i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22">
    <w:abstractNumId w:val="7"/>
  </w:num>
  <w:num w:numId="23">
    <w:abstractNumId w:val="41"/>
  </w:num>
  <w:num w:numId="24">
    <w:abstractNumId w:val="9"/>
    <w:lvlOverride w:ilvl="0">
      <w:startOverride w:val="3"/>
      <w:lvl w:ilvl="0">
        <w:start w:val="3"/>
        <w:numFmt w:val="decimal"/>
        <w:pStyle w:val="Heading2"/>
        <w:lvlText w:val="%1"/>
        <w:lvlJc w:val="left"/>
        <w:pPr>
          <w:ind w:left="1134" w:hanging="1134"/>
        </w:pPr>
        <w:rPr>
          <w:rFonts w:hint="default"/>
        </w:rPr>
      </w:lvl>
    </w:lvlOverride>
    <w:lvlOverride w:ilvl="1">
      <w:startOverride w:val="4"/>
      <w:lvl w:ilvl="1">
        <w:start w:val="4"/>
        <w:numFmt w:val="decimal"/>
        <w:pStyle w:val="Heading3"/>
        <w:lvlText w:val="%1.%2"/>
        <w:lvlJc w:val="left"/>
        <w:pPr>
          <w:ind w:left="1134" w:hanging="1134"/>
        </w:pPr>
        <w:rPr>
          <w:rFonts w:hint="default"/>
        </w:rPr>
      </w:lvl>
    </w:lvlOverride>
    <w:lvlOverride w:ilvl="2">
      <w:startOverride w:val="1"/>
      <w:lvl w:ilvl="2">
        <w:start w:val="1"/>
        <w:numFmt w:val="decimal"/>
        <w:pStyle w:val="Heading4"/>
        <w:lvlText w:val="%1.%2.%3"/>
        <w:lvlJc w:val="left"/>
        <w:pPr>
          <w:ind w:left="1134" w:hanging="1134"/>
        </w:pPr>
        <w:rPr>
          <w:rFonts w:hint="default"/>
        </w:rPr>
      </w:lvl>
    </w:lvlOverride>
    <w:lvlOverride w:ilvl="3">
      <w:startOverride w:val="1"/>
      <w:lvl w:ilvl="3">
        <w:start w:val="1"/>
        <w:numFmt w:val="decimal"/>
        <w:pStyle w:val="Heading5"/>
        <w:lvlText w:val="%1.%2.%3.%4"/>
        <w:lvlJc w:val="left"/>
        <w:pPr>
          <w:ind w:left="1134" w:hanging="1134"/>
        </w:pPr>
        <w:rPr>
          <w:rFonts w:hint="default"/>
        </w:rPr>
      </w:lvl>
    </w:lvlOverride>
    <w:lvlOverride w:ilvl="4">
      <w:startOverride w:val="1"/>
      <w:lvl w:ilvl="4">
        <w:start w:val="1"/>
        <w:numFmt w:val="decimal"/>
        <w:lvlRestart w:val="0"/>
        <w:pStyle w:val="Heading6"/>
        <w:lvlText w:val="%1.%2.%3.%4.%5"/>
        <w:lvlJc w:val="left"/>
        <w:pPr>
          <w:tabs>
            <w:tab w:val="num" w:pos="1134"/>
          </w:tabs>
          <w:ind w:left="1134" w:hanging="1134"/>
        </w:pPr>
        <w:rPr>
          <w:rFonts w:cs="Times New Roman" w:hint="default"/>
          <w:bCs w:val="0"/>
          <w:i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5">
      <w:startOverride w:val="1"/>
      <w:lvl w:ilvl="5">
        <w:start w:val="1"/>
        <w:numFmt w:val="decimal"/>
        <w:lvlText w:val="%1.%2.%3.%4.%6"/>
        <w:lvlJc w:val="right"/>
        <w:pPr>
          <w:ind w:left="1134" w:hanging="1134"/>
        </w:pPr>
        <w:rPr>
          <w:rFonts w:hint="default"/>
        </w:rPr>
      </w:lvl>
    </w:lvlOverride>
    <w:lvlOverride w:ilvl="6">
      <w:startOverride w:val="1"/>
      <w:lvl w:ilvl="6">
        <w:start w:val="1"/>
        <w:numFmt w:val="decimal"/>
        <w:lvlText w:val="%7."/>
        <w:lvlJc w:val="left"/>
        <w:pPr>
          <w:ind w:left="1134" w:hanging="1134"/>
        </w:pPr>
        <w:rPr>
          <w:rFonts w:hint="default"/>
        </w:rPr>
      </w:lvl>
    </w:lvlOverride>
    <w:lvlOverride w:ilvl="7">
      <w:startOverride w:val="1"/>
      <w:lvl w:ilvl="7">
        <w:start w:val="1"/>
        <w:numFmt w:val="lowerLetter"/>
        <w:lvlText w:val="%8."/>
        <w:lvlJc w:val="left"/>
        <w:pPr>
          <w:ind w:left="1134" w:hanging="1134"/>
        </w:pPr>
        <w:rPr>
          <w:rFonts w:hint="default"/>
        </w:rPr>
      </w:lvl>
    </w:lvlOverride>
    <w:lvlOverride w:ilvl="8">
      <w:startOverride w:val="1"/>
      <w:lvl w:ilvl="8">
        <w:start w:val="1"/>
        <w:numFmt w:val="lowerRoman"/>
        <w:lvlText w:val="%9."/>
        <w:lvlJc w:val="right"/>
        <w:pPr>
          <w:ind w:left="1134" w:hanging="1134"/>
        </w:pPr>
        <w:rPr>
          <w:rFonts w:hint="default"/>
        </w:rPr>
      </w:lvl>
    </w:lvlOverride>
  </w:num>
  <w:num w:numId="25">
    <w:abstractNumId w:val="22"/>
  </w:num>
  <w:num w:numId="26">
    <w:abstractNumId w:val="14"/>
  </w:num>
  <w:num w:numId="27">
    <w:abstractNumId w:val="15"/>
  </w:num>
  <w:num w:numId="28">
    <w:abstractNumId w:val="21"/>
  </w:num>
  <w:num w:numId="29">
    <w:abstractNumId w:val="18"/>
  </w:num>
  <w:num w:numId="30">
    <w:abstractNumId w:val="17"/>
  </w:num>
  <w:num w:numId="31">
    <w:abstractNumId w:val="24"/>
  </w:num>
  <w:num w:numId="32">
    <w:abstractNumId w:val="39"/>
  </w:num>
  <w:num w:numId="33">
    <w:abstractNumId w:val="25"/>
  </w:num>
  <w:num w:numId="34">
    <w:abstractNumId w:val="40"/>
  </w:num>
  <w:num w:numId="35">
    <w:abstractNumId w:val="31"/>
  </w:num>
  <w:num w:numId="36">
    <w:abstractNumId w:val="20"/>
  </w:num>
  <w:num w:numId="37">
    <w:abstractNumId w:val="6"/>
  </w:num>
  <w:num w:numId="38">
    <w:abstractNumId w:val="28"/>
  </w:num>
  <w:num w:numId="39">
    <w:abstractNumId w:val="10"/>
  </w:num>
  <w:num w:numId="40">
    <w:abstractNumId w:val="16"/>
  </w:num>
  <w:num w:numId="41">
    <w:abstractNumId w:val="8"/>
  </w:num>
  <w:num w:numId="42">
    <w:abstractNumId w:val="33"/>
  </w:num>
  <w:num w:numId="43">
    <w:abstractNumId w:val="34"/>
  </w:num>
  <w:num w:numId="44">
    <w:abstractNumId w:val="2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stylePaneFormatFilter w:val="0708" w:allStyles="0" w:customStyles="0" w:latentStyles="0" w:stylesInUse="1" w:headingStyles="0" w:numberingStyles="0" w:tableStyles="0" w:directFormattingOnRuns="1" w:directFormattingOnParagraphs="1" w:directFormattingOnNumbering="1" w:directFormattingOnTables="0" w:clearFormatting="0" w:top3HeadingStyles="0" w:visibleStyles="0" w:alternateStyleNames="0"/>
  <w:stylePaneSortMethod w:val="000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EN.InstantFormat" w:val="&lt;ENInstantFormat&gt;&lt;Enabled&gt;1&lt;/Enabled&gt;&lt;ScanUnformatted&gt;1&lt;/ScanUnformatted&gt;&lt;ScanChanges&gt;1&lt;/ScanChanges&gt;&lt;Suspended&gt;1&lt;/Suspended&gt;&lt;/ENInstantFormat&gt;"/>
  </w:docVars>
  <w:rsids>
    <w:rsidRoot w:val="003E135D"/>
    <w:rsid w:val="00000EEA"/>
    <w:rsid w:val="00001392"/>
    <w:rsid w:val="00001864"/>
    <w:rsid w:val="00002AA7"/>
    <w:rsid w:val="000031E1"/>
    <w:rsid w:val="00003E92"/>
    <w:rsid w:val="00004F82"/>
    <w:rsid w:val="000056C6"/>
    <w:rsid w:val="00005C37"/>
    <w:rsid w:val="00006025"/>
    <w:rsid w:val="00006A38"/>
    <w:rsid w:val="00006A9F"/>
    <w:rsid w:val="0000789E"/>
    <w:rsid w:val="00007B81"/>
    <w:rsid w:val="000109B6"/>
    <w:rsid w:val="00010A4E"/>
    <w:rsid w:val="0001104A"/>
    <w:rsid w:val="0001123F"/>
    <w:rsid w:val="00011ACD"/>
    <w:rsid w:val="00011F7F"/>
    <w:rsid w:val="00011FC6"/>
    <w:rsid w:val="0001255C"/>
    <w:rsid w:val="000126EB"/>
    <w:rsid w:val="00012B9D"/>
    <w:rsid w:val="00012BC5"/>
    <w:rsid w:val="00013164"/>
    <w:rsid w:val="000137B6"/>
    <w:rsid w:val="000137DF"/>
    <w:rsid w:val="000156B2"/>
    <w:rsid w:val="00015B73"/>
    <w:rsid w:val="00015E13"/>
    <w:rsid w:val="00015E82"/>
    <w:rsid w:val="000163E4"/>
    <w:rsid w:val="00016790"/>
    <w:rsid w:val="00016926"/>
    <w:rsid w:val="0001775B"/>
    <w:rsid w:val="00020C4A"/>
    <w:rsid w:val="0002230E"/>
    <w:rsid w:val="000228E5"/>
    <w:rsid w:val="00022AC3"/>
    <w:rsid w:val="00022CFC"/>
    <w:rsid w:val="00022E12"/>
    <w:rsid w:val="00023B16"/>
    <w:rsid w:val="00023BE1"/>
    <w:rsid w:val="00023E83"/>
    <w:rsid w:val="00024645"/>
    <w:rsid w:val="00024F6E"/>
    <w:rsid w:val="00024FFF"/>
    <w:rsid w:val="00025383"/>
    <w:rsid w:val="00025FD5"/>
    <w:rsid w:val="0002686D"/>
    <w:rsid w:val="00026B9C"/>
    <w:rsid w:val="000276A1"/>
    <w:rsid w:val="00027D8A"/>
    <w:rsid w:val="00027E14"/>
    <w:rsid w:val="00030A53"/>
    <w:rsid w:val="000316D4"/>
    <w:rsid w:val="00031D50"/>
    <w:rsid w:val="0003217B"/>
    <w:rsid w:val="0003219B"/>
    <w:rsid w:val="000321E0"/>
    <w:rsid w:val="000325BA"/>
    <w:rsid w:val="00032C10"/>
    <w:rsid w:val="00032E4B"/>
    <w:rsid w:val="000331D4"/>
    <w:rsid w:val="0003326A"/>
    <w:rsid w:val="000332B0"/>
    <w:rsid w:val="00033BCF"/>
    <w:rsid w:val="00033DBB"/>
    <w:rsid w:val="00034321"/>
    <w:rsid w:val="00035B54"/>
    <w:rsid w:val="000364AA"/>
    <w:rsid w:val="0003778E"/>
    <w:rsid w:val="000379A9"/>
    <w:rsid w:val="000401F8"/>
    <w:rsid w:val="000402AE"/>
    <w:rsid w:val="00040478"/>
    <w:rsid w:val="000404B8"/>
    <w:rsid w:val="000418C1"/>
    <w:rsid w:val="000419A1"/>
    <w:rsid w:val="00041B9D"/>
    <w:rsid w:val="00042314"/>
    <w:rsid w:val="000426C5"/>
    <w:rsid w:val="00042A1A"/>
    <w:rsid w:val="00042E47"/>
    <w:rsid w:val="00042EFC"/>
    <w:rsid w:val="000433DD"/>
    <w:rsid w:val="00043876"/>
    <w:rsid w:val="00043B61"/>
    <w:rsid w:val="00043BDF"/>
    <w:rsid w:val="000441D5"/>
    <w:rsid w:val="000443E1"/>
    <w:rsid w:val="00044BEF"/>
    <w:rsid w:val="00044DA5"/>
    <w:rsid w:val="000462B2"/>
    <w:rsid w:val="00046533"/>
    <w:rsid w:val="000467A6"/>
    <w:rsid w:val="00046FA9"/>
    <w:rsid w:val="00047223"/>
    <w:rsid w:val="00047B3F"/>
    <w:rsid w:val="00047DC8"/>
    <w:rsid w:val="000500D4"/>
    <w:rsid w:val="0005048B"/>
    <w:rsid w:val="00050B10"/>
    <w:rsid w:val="0005111C"/>
    <w:rsid w:val="00051219"/>
    <w:rsid w:val="00051456"/>
    <w:rsid w:val="00051715"/>
    <w:rsid w:val="00051BC3"/>
    <w:rsid w:val="0005219C"/>
    <w:rsid w:val="0005226F"/>
    <w:rsid w:val="00052312"/>
    <w:rsid w:val="0005242E"/>
    <w:rsid w:val="00052CD5"/>
    <w:rsid w:val="0005361B"/>
    <w:rsid w:val="0005371F"/>
    <w:rsid w:val="00053E83"/>
    <w:rsid w:val="0005519D"/>
    <w:rsid w:val="0005535B"/>
    <w:rsid w:val="00055C09"/>
    <w:rsid w:val="00056956"/>
    <w:rsid w:val="00056D3C"/>
    <w:rsid w:val="00056FD0"/>
    <w:rsid w:val="000606CC"/>
    <w:rsid w:val="000614AE"/>
    <w:rsid w:val="00061956"/>
    <w:rsid w:val="00061BF6"/>
    <w:rsid w:val="00061F4D"/>
    <w:rsid w:val="0006256D"/>
    <w:rsid w:val="0006336D"/>
    <w:rsid w:val="00064612"/>
    <w:rsid w:val="00064F25"/>
    <w:rsid w:val="000667A4"/>
    <w:rsid w:val="00066DDE"/>
    <w:rsid w:val="0006710A"/>
    <w:rsid w:val="00067242"/>
    <w:rsid w:val="0006734C"/>
    <w:rsid w:val="000678FA"/>
    <w:rsid w:val="00070432"/>
    <w:rsid w:val="00071FD0"/>
    <w:rsid w:val="000733DC"/>
    <w:rsid w:val="00073927"/>
    <w:rsid w:val="00073961"/>
    <w:rsid w:val="00073BED"/>
    <w:rsid w:val="00074CDA"/>
    <w:rsid w:val="00074DFE"/>
    <w:rsid w:val="00075736"/>
    <w:rsid w:val="00075774"/>
    <w:rsid w:val="00075B0B"/>
    <w:rsid w:val="00076B76"/>
    <w:rsid w:val="00077B8A"/>
    <w:rsid w:val="0008158F"/>
    <w:rsid w:val="000815C2"/>
    <w:rsid w:val="00081707"/>
    <w:rsid w:val="000820D5"/>
    <w:rsid w:val="00082543"/>
    <w:rsid w:val="00082C56"/>
    <w:rsid w:val="000832D0"/>
    <w:rsid w:val="00083CBE"/>
    <w:rsid w:val="00083FBD"/>
    <w:rsid w:val="00085DC0"/>
    <w:rsid w:val="00085F38"/>
    <w:rsid w:val="00086C2A"/>
    <w:rsid w:val="00087ADA"/>
    <w:rsid w:val="000902F6"/>
    <w:rsid w:val="00090B1A"/>
    <w:rsid w:val="0009111F"/>
    <w:rsid w:val="000916DE"/>
    <w:rsid w:val="00091B7A"/>
    <w:rsid w:val="00091EA2"/>
    <w:rsid w:val="00092249"/>
    <w:rsid w:val="00092E2E"/>
    <w:rsid w:val="00093BE1"/>
    <w:rsid w:val="0009451D"/>
    <w:rsid w:val="00094B51"/>
    <w:rsid w:val="0009584B"/>
    <w:rsid w:val="000962A0"/>
    <w:rsid w:val="00096821"/>
    <w:rsid w:val="00096CC9"/>
    <w:rsid w:val="000979AD"/>
    <w:rsid w:val="000A0052"/>
    <w:rsid w:val="000A014E"/>
    <w:rsid w:val="000A1CA8"/>
    <w:rsid w:val="000A4785"/>
    <w:rsid w:val="000A59BD"/>
    <w:rsid w:val="000A5D57"/>
    <w:rsid w:val="000A5E40"/>
    <w:rsid w:val="000A5ED6"/>
    <w:rsid w:val="000A6203"/>
    <w:rsid w:val="000A69D5"/>
    <w:rsid w:val="000A6A1D"/>
    <w:rsid w:val="000A6F40"/>
    <w:rsid w:val="000A7721"/>
    <w:rsid w:val="000A7A50"/>
    <w:rsid w:val="000A7B2D"/>
    <w:rsid w:val="000B0A3D"/>
    <w:rsid w:val="000B0C8C"/>
    <w:rsid w:val="000B0D55"/>
    <w:rsid w:val="000B144F"/>
    <w:rsid w:val="000B1470"/>
    <w:rsid w:val="000B164D"/>
    <w:rsid w:val="000B171C"/>
    <w:rsid w:val="000B293C"/>
    <w:rsid w:val="000B2EFA"/>
    <w:rsid w:val="000B316A"/>
    <w:rsid w:val="000B3486"/>
    <w:rsid w:val="000B3B62"/>
    <w:rsid w:val="000B5394"/>
    <w:rsid w:val="000B5AD4"/>
    <w:rsid w:val="000B6451"/>
    <w:rsid w:val="000B6C88"/>
    <w:rsid w:val="000B7667"/>
    <w:rsid w:val="000C0171"/>
    <w:rsid w:val="000C01D6"/>
    <w:rsid w:val="000C02C0"/>
    <w:rsid w:val="000C0326"/>
    <w:rsid w:val="000C05F1"/>
    <w:rsid w:val="000C0940"/>
    <w:rsid w:val="000C0E41"/>
    <w:rsid w:val="000C1C2A"/>
    <w:rsid w:val="000C2353"/>
    <w:rsid w:val="000C2FBB"/>
    <w:rsid w:val="000C32BF"/>
    <w:rsid w:val="000C4051"/>
    <w:rsid w:val="000C43C6"/>
    <w:rsid w:val="000C5523"/>
    <w:rsid w:val="000C606C"/>
    <w:rsid w:val="000C61C0"/>
    <w:rsid w:val="000C64CC"/>
    <w:rsid w:val="000C7D15"/>
    <w:rsid w:val="000D0298"/>
    <w:rsid w:val="000D03FB"/>
    <w:rsid w:val="000D19DE"/>
    <w:rsid w:val="000D230A"/>
    <w:rsid w:val="000D2679"/>
    <w:rsid w:val="000D3BA7"/>
    <w:rsid w:val="000D3C89"/>
    <w:rsid w:val="000D436B"/>
    <w:rsid w:val="000D6781"/>
    <w:rsid w:val="000D6D2F"/>
    <w:rsid w:val="000D6DA2"/>
    <w:rsid w:val="000D6EC9"/>
    <w:rsid w:val="000E07A0"/>
    <w:rsid w:val="000E0D4D"/>
    <w:rsid w:val="000E1CF3"/>
    <w:rsid w:val="000E1DB7"/>
    <w:rsid w:val="000E2422"/>
    <w:rsid w:val="000E294D"/>
    <w:rsid w:val="000E324D"/>
    <w:rsid w:val="000E341B"/>
    <w:rsid w:val="000E599F"/>
    <w:rsid w:val="000E60CD"/>
    <w:rsid w:val="000E6F2E"/>
    <w:rsid w:val="000E7545"/>
    <w:rsid w:val="000E75E1"/>
    <w:rsid w:val="000E7656"/>
    <w:rsid w:val="000F0239"/>
    <w:rsid w:val="000F047C"/>
    <w:rsid w:val="000F04B5"/>
    <w:rsid w:val="000F0550"/>
    <w:rsid w:val="000F1264"/>
    <w:rsid w:val="000F1D45"/>
    <w:rsid w:val="000F1EC3"/>
    <w:rsid w:val="000F1FE4"/>
    <w:rsid w:val="000F23DA"/>
    <w:rsid w:val="000F3B02"/>
    <w:rsid w:val="000F3B74"/>
    <w:rsid w:val="000F3E6F"/>
    <w:rsid w:val="000F406B"/>
    <w:rsid w:val="000F4EFE"/>
    <w:rsid w:val="000F5BED"/>
    <w:rsid w:val="000F6A38"/>
    <w:rsid w:val="000F70E3"/>
    <w:rsid w:val="000F7119"/>
    <w:rsid w:val="000F7958"/>
    <w:rsid w:val="000F7F01"/>
    <w:rsid w:val="0010067E"/>
    <w:rsid w:val="00101621"/>
    <w:rsid w:val="00101A2A"/>
    <w:rsid w:val="001040E4"/>
    <w:rsid w:val="0010473B"/>
    <w:rsid w:val="00104D61"/>
    <w:rsid w:val="00104FBD"/>
    <w:rsid w:val="0010636B"/>
    <w:rsid w:val="00106657"/>
    <w:rsid w:val="001067F0"/>
    <w:rsid w:val="001068F9"/>
    <w:rsid w:val="00106C27"/>
    <w:rsid w:val="0010707D"/>
    <w:rsid w:val="001100D4"/>
    <w:rsid w:val="00110E6A"/>
    <w:rsid w:val="00110F5D"/>
    <w:rsid w:val="0011172B"/>
    <w:rsid w:val="001119A4"/>
    <w:rsid w:val="00111DB3"/>
    <w:rsid w:val="0011241D"/>
    <w:rsid w:val="001125A5"/>
    <w:rsid w:val="00113034"/>
    <w:rsid w:val="0011346D"/>
    <w:rsid w:val="00113FAC"/>
    <w:rsid w:val="0011456F"/>
    <w:rsid w:val="0011470B"/>
    <w:rsid w:val="00114B30"/>
    <w:rsid w:val="00114F91"/>
    <w:rsid w:val="001153A7"/>
    <w:rsid w:val="001158D1"/>
    <w:rsid w:val="001158DC"/>
    <w:rsid w:val="00115969"/>
    <w:rsid w:val="00116ABB"/>
    <w:rsid w:val="00116C3E"/>
    <w:rsid w:val="00117AF2"/>
    <w:rsid w:val="00117DB0"/>
    <w:rsid w:val="00117E59"/>
    <w:rsid w:val="001202C3"/>
    <w:rsid w:val="00120330"/>
    <w:rsid w:val="0012093A"/>
    <w:rsid w:val="00120FEF"/>
    <w:rsid w:val="0012201E"/>
    <w:rsid w:val="001228CE"/>
    <w:rsid w:val="00122C47"/>
    <w:rsid w:val="00122D3A"/>
    <w:rsid w:val="001235BB"/>
    <w:rsid w:val="00123A60"/>
    <w:rsid w:val="00123B2E"/>
    <w:rsid w:val="00123BCC"/>
    <w:rsid w:val="00123F36"/>
    <w:rsid w:val="00123FD7"/>
    <w:rsid w:val="001249CC"/>
    <w:rsid w:val="00124B05"/>
    <w:rsid w:val="00124B0B"/>
    <w:rsid w:val="00124E8E"/>
    <w:rsid w:val="00126731"/>
    <w:rsid w:val="001268FC"/>
    <w:rsid w:val="0012745E"/>
    <w:rsid w:val="001274D1"/>
    <w:rsid w:val="00127A64"/>
    <w:rsid w:val="00127AF0"/>
    <w:rsid w:val="00127D6D"/>
    <w:rsid w:val="0013089B"/>
    <w:rsid w:val="00130D5C"/>
    <w:rsid w:val="00131A46"/>
    <w:rsid w:val="00131AA6"/>
    <w:rsid w:val="0013230B"/>
    <w:rsid w:val="001323AD"/>
    <w:rsid w:val="00132748"/>
    <w:rsid w:val="00132D7E"/>
    <w:rsid w:val="00132E14"/>
    <w:rsid w:val="00132F76"/>
    <w:rsid w:val="00132F9A"/>
    <w:rsid w:val="0013357B"/>
    <w:rsid w:val="0013384F"/>
    <w:rsid w:val="00133C14"/>
    <w:rsid w:val="0013472C"/>
    <w:rsid w:val="00134D5C"/>
    <w:rsid w:val="00134FC3"/>
    <w:rsid w:val="0013537C"/>
    <w:rsid w:val="001359B2"/>
    <w:rsid w:val="001359D6"/>
    <w:rsid w:val="001362D8"/>
    <w:rsid w:val="0013687D"/>
    <w:rsid w:val="00136B7F"/>
    <w:rsid w:val="00136DBC"/>
    <w:rsid w:val="0014043D"/>
    <w:rsid w:val="001408A3"/>
    <w:rsid w:val="001408BA"/>
    <w:rsid w:val="00140A50"/>
    <w:rsid w:val="00141D5A"/>
    <w:rsid w:val="0014217F"/>
    <w:rsid w:val="0014223B"/>
    <w:rsid w:val="00143047"/>
    <w:rsid w:val="0014340E"/>
    <w:rsid w:val="001449D4"/>
    <w:rsid w:val="00145160"/>
    <w:rsid w:val="001451B1"/>
    <w:rsid w:val="00145C4B"/>
    <w:rsid w:val="001474C2"/>
    <w:rsid w:val="00147941"/>
    <w:rsid w:val="001511A7"/>
    <w:rsid w:val="00152753"/>
    <w:rsid w:val="00152887"/>
    <w:rsid w:val="001529C3"/>
    <w:rsid w:val="00152BAC"/>
    <w:rsid w:val="00153DBF"/>
    <w:rsid w:val="00154168"/>
    <w:rsid w:val="00154297"/>
    <w:rsid w:val="00154B97"/>
    <w:rsid w:val="00154CC7"/>
    <w:rsid w:val="00154D52"/>
    <w:rsid w:val="0015512A"/>
    <w:rsid w:val="00155664"/>
    <w:rsid w:val="0015581A"/>
    <w:rsid w:val="00155994"/>
    <w:rsid w:val="00155D99"/>
    <w:rsid w:val="00155DDC"/>
    <w:rsid w:val="0015605C"/>
    <w:rsid w:val="00156201"/>
    <w:rsid w:val="00156206"/>
    <w:rsid w:val="001565E5"/>
    <w:rsid w:val="00156FD0"/>
    <w:rsid w:val="00157031"/>
    <w:rsid w:val="00157420"/>
    <w:rsid w:val="00157AAE"/>
    <w:rsid w:val="001600C7"/>
    <w:rsid w:val="0016026E"/>
    <w:rsid w:val="00161BB6"/>
    <w:rsid w:val="00161DF4"/>
    <w:rsid w:val="00161E36"/>
    <w:rsid w:val="00162B7C"/>
    <w:rsid w:val="00163318"/>
    <w:rsid w:val="00163498"/>
    <w:rsid w:val="00163E0D"/>
    <w:rsid w:val="00164C62"/>
    <w:rsid w:val="00164FCC"/>
    <w:rsid w:val="0016501A"/>
    <w:rsid w:val="001650FD"/>
    <w:rsid w:val="00165A06"/>
    <w:rsid w:val="00166A00"/>
    <w:rsid w:val="0016784F"/>
    <w:rsid w:val="0016786D"/>
    <w:rsid w:val="00167997"/>
    <w:rsid w:val="001708B3"/>
    <w:rsid w:val="00170C2A"/>
    <w:rsid w:val="00171321"/>
    <w:rsid w:val="00171364"/>
    <w:rsid w:val="001717B5"/>
    <w:rsid w:val="00171BB9"/>
    <w:rsid w:val="00171F97"/>
    <w:rsid w:val="001727C1"/>
    <w:rsid w:val="0017381F"/>
    <w:rsid w:val="00173C4D"/>
    <w:rsid w:val="00174124"/>
    <w:rsid w:val="00174A49"/>
    <w:rsid w:val="00175388"/>
    <w:rsid w:val="001760D6"/>
    <w:rsid w:val="001761B0"/>
    <w:rsid w:val="001761EA"/>
    <w:rsid w:val="00176AC0"/>
    <w:rsid w:val="00176DE1"/>
    <w:rsid w:val="00177270"/>
    <w:rsid w:val="001772D6"/>
    <w:rsid w:val="00180676"/>
    <w:rsid w:val="001822C7"/>
    <w:rsid w:val="00182C41"/>
    <w:rsid w:val="00183406"/>
    <w:rsid w:val="001834FA"/>
    <w:rsid w:val="001835E9"/>
    <w:rsid w:val="0018423F"/>
    <w:rsid w:val="0018536F"/>
    <w:rsid w:val="00185792"/>
    <w:rsid w:val="00185D01"/>
    <w:rsid w:val="00186AA5"/>
    <w:rsid w:val="00186F98"/>
    <w:rsid w:val="001901B1"/>
    <w:rsid w:val="001902F9"/>
    <w:rsid w:val="00190CBE"/>
    <w:rsid w:val="00190E0B"/>
    <w:rsid w:val="00190F63"/>
    <w:rsid w:val="001913AD"/>
    <w:rsid w:val="0019204C"/>
    <w:rsid w:val="001920CA"/>
    <w:rsid w:val="00192988"/>
    <w:rsid w:val="00192AF3"/>
    <w:rsid w:val="00192B6D"/>
    <w:rsid w:val="00192E59"/>
    <w:rsid w:val="00192E6D"/>
    <w:rsid w:val="00193162"/>
    <w:rsid w:val="00194542"/>
    <w:rsid w:val="00195301"/>
    <w:rsid w:val="00195733"/>
    <w:rsid w:val="00196146"/>
    <w:rsid w:val="00196313"/>
    <w:rsid w:val="00196C70"/>
    <w:rsid w:val="00196DF6"/>
    <w:rsid w:val="001971EC"/>
    <w:rsid w:val="0019746C"/>
    <w:rsid w:val="0019776E"/>
    <w:rsid w:val="00197D69"/>
    <w:rsid w:val="00197ED2"/>
    <w:rsid w:val="001A05D1"/>
    <w:rsid w:val="001A069B"/>
    <w:rsid w:val="001A1020"/>
    <w:rsid w:val="001A10D1"/>
    <w:rsid w:val="001A17F7"/>
    <w:rsid w:val="001A273C"/>
    <w:rsid w:val="001A34CA"/>
    <w:rsid w:val="001A3659"/>
    <w:rsid w:val="001A3714"/>
    <w:rsid w:val="001A3FB3"/>
    <w:rsid w:val="001A40F3"/>
    <w:rsid w:val="001A46E2"/>
    <w:rsid w:val="001A52F0"/>
    <w:rsid w:val="001A549A"/>
    <w:rsid w:val="001A60BE"/>
    <w:rsid w:val="001A74BF"/>
    <w:rsid w:val="001B00A0"/>
    <w:rsid w:val="001B0BB9"/>
    <w:rsid w:val="001B0DFB"/>
    <w:rsid w:val="001B0FB0"/>
    <w:rsid w:val="001B23ED"/>
    <w:rsid w:val="001B30D9"/>
    <w:rsid w:val="001B34DE"/>
    <w:rsid w:val="001B38C1"/>
    <w:rsid w:val="001B3BBE"/>
    <w:rsid w:val="001B3BFA"/>
    <w:rsid w:val="001B3F49"/>
    <w:rsid w:val="001B53B2"/>
    <w:rsid w:val="001B5E21"/>
    <w:rsid w:val="001B5FD3"/>
    <w:rsid w:val="001B6414"/>
    <w:rsid w:val="001B6A74"/>
    <w:rsid w:val="001B6CB5"/>
    <w:rsid w:val="001B7930"/>
    <w:rsid w:val="001B794B"/>
    <w:rsid w:val="001B79DA"/>
    <w:rsid w:val="001B7BF3"/>
    <w:rsid w:val="001B7E13"/>
    <w:rsid w:val="001C0659"/>
    <w:rsid w:val="001C06E4"/>
    <w:rsid w:val="001C07F5"/>
    <w:rsid w:val="001C0FDD"/>
    <w:rsid w:val="001C1277"/>
    <w:rsid w:val="001C1859"/>
    <w:rsid w:val="001C2E15"/>
    <w:rsid w:val="001C3137"/>
    <w:rsid w:val="001C3D5E"/>
    <w:rsid w:val="001C46A0"/>
    <w:rsid w:val="001C540A"/>
    <w:rsid w:val="001C580C"/>
    <w:rsid w:val="001C5CA5"/>
    <w:rsid w:val="001C6336"/>
    <w:rsid w:val="001C663B"/>
    <w:rsid w:val="001C7142"/>
    <w:rsid w:val="001D0C56"/>
    <w:rsid w:val="001D129F"/>
    <w:rsid w:val="001D1412"/>
    <w:rsid w:val="001D16AB"/>
    <w:rsid w:val="001D1B19"/>
    <w:rsid w:val="001D2737"/>
    <w:rsid w:val="001D32A2"/>
    <w:rsid w:val="001D36DC"/>
    <w:rsid w:val="001D4D59"/>
    <w:rsid w:val="001D4D9A"/>
    <w:rsid w:val="001D5A13"/>
    <w:rsid w:val="001D5DF2"/>
    <w:rsid w:val="001D6687"/>
    <w:rsid w:val="001D6E0E"/>
    <w:rsid w:val="001D712F"/>
    <w:rsid w:val="001D713C"/>
    <w:rsid w:val="001D7504"/>
    <w:rsid w:val="001D7A26"/>
    <w:rsid w:val="001E00C5"/>
    <w:rsid w:val="001E0B59"/>
    <w:rsid w:val="001E0ECA"/>
    <w:rsid w:val="001E1A39"/>
    <w:rsid w:val="001E20FE"/>
    <w:rsid w:val="001E242F"/>
    <w:rsid w:val="001E2D97"/>
    <w:rsid w:val="001E30E8"/>
    <w:rsid w:val="001E4285"/>
    <w:rsid w:val="001E4394"/>
    <w:rsid w:val="001E497A"/>
    <w:rsid w:val="001E4C59"/>
    <w:rsid w:val="001E531C"/>
    <w:rsid w:val="001E6963"/>
    <w:rsid w:val="001E7B21"/>
    <w:rsid w:val="001E7C96"/>
    <w:rsid w:val="001F0B0E"/>
    <w:rsid w:val="001F0C06"/>
    <w:rsid w:val="001F2787"/>
    <w:rsid w:val="001F3174"/>
    <w:rsid w:val="001F34E9"/>
    <w:rsid w:val="001F40DD"/>
    <w:rsid w:val="001F4181"/>
    <w:rsid w:val="001F454E"/>
    <w:rsid w:val="001F4B6A"/>
    <w:rsid w:val="001F4D2D"/>
    <w:rsid w:val="001F56FD"/>
    <w:rsid w:val="001F5BDB"/>
    <w:rsid w:val="001F5CD0"/>
    <w:rsid w:val="001F5D01"/>
    <w:rsid w:val="001F7703"/>
    <w:rsid w:val="001F7F01"/>
    <w:rsid w:val="0020034E"/>
    <w:rsid w:val="0020152F"/>
    <w:rsid w:val="00201AA2"/>
    <w:rsid w:val="00201B33"/>
    <w:rsid w:val="00201C06"/>
    <w:rsid w:val="00202145"/>
    <w:rsid w:val="0020272F"/>
    <w:rsid w:val="002029C1"/>
    <w:rsid w:val="0020472F"/>
    <w:rsid w:val="00204B35"/>
    <w:rsid w:val="00204DE8"/>
    <w:rsid w:val="00205012"/>
    <w:rsid w:val="0020636A"/>
    <w:rsid w:val="00207117"/>
    <w:rsid w:val="002077EE"/>
    <w:rsid w:val="00207A02"/>
    <w:rsid w:val="002101A4"/>
    <w:rsid w:val="002101DD"/>
    <w:rsid w:val="002104C4"/>
    <w:rsid w:val="002109F9"/>
    <w:rsid w:val="00211888"/>
    <w:rsid w:val="00211DD0"/>
    <w:rsid w:val="00212812"/>
    <w:rsid w:val="002128AA"/>
    <w:rsid w:val="002132CA"/>
    <w:rsid w:val="002137D2"/>
    <w:rsid w:val="00214440"/>
    <w:rsid w:val="002148C3"/>
    <w:rsid w:val="00215132"/>
    <w:rsid w:val="002154A2"/>
    <w:rsid w:val="002156C8"/>
    <w:rsid w:val="00215C83"/>
    <w:rsid w:val="00215E79"/>
    <w:rsid w:val="00216C9C"/>
    <w:rsid w:val="00220117"/>
    <w:rsid w:val="002203C5"/>
    <w:rsid w:val="00221A8F"/>
    <w:rsid w:val="00221CFE"/>
    <w:rsid w:val="00221D5A"/>
    <w:rsid w:val="00222E37"/>
    <w:rsid w:val="00223B95"/>
    <w:rsid w:val="00224269"/>
    <w:rsid w:val="0022431B"/>
    <w:rsid w:val="002248DB"/>
    <w:rsid w:val="00224B8A"/>
    <w:rsid w:val="002254A0"/>
    <w:rsid w:val="002256CA"/>
    <w:rsid w:val="0022599B"/>
    <w:rsid w:val="00226112"/>
    <w:rsid w:val="00226A0F"/>
    <w:rsid w:val="00226CFD"/>
    <w:rsid w:val="002274F9"/>
    <w:rsid w:val="00230886"/>
    <w:rsid w:val="00231316"/>
    <w:rsid w:val="00231457"/>
    <w:rsid w:val="00231713"/>
    <w:rsid w:val="002327BF"/>
    <w:rsid w:val="00232B56"/>
    <w:rsid w:val="00233F15"/>
    <w:rsid w:val="00233FAD"/>
    <w:rsid w:val="0023413F"/>
    <w:rsid w:val="00236154"/>
    <w:rsid w:val="00236399"/>
    <w:rsid w:val="00237753"/>
    <w:rsid w:val="00240CE4"/>
    <w:rsid w:val="00240D9A"/>
    <w:rsid w:val="002418DA"/>
    <w:rsid w:val="00241BAC"/>
    <w:rsid w:val="00241FBD"/>
    <w:rsid w:val="0024219A"/>
    <w:rsid w:val="002421F2"/>
    <w:rsid w:val="00242959"/>
    <w:rsid w:val="00242D96"/>
    <w:rsid w:val="00243958"/>
    <w:rsid w:val="00243B4C"/>
    <w:rsid w:val="00244389"/>
    <w:rsid w:val="00245499"/>
    <w:rsid w:val="002461C5"/>
    <w:rsid w:val="002467EB"/>
    <w:rsid w:val="00246A81"/>
    <w:rsid w:val="00246DA1"/>
    <w:rsid w:val="002505AF"/>
    <w:rsid w:val="002508E0"/>
    <w:rsid w:val="00250BDB"/>
    <w:rsid w:val="00250F73"/>
    <w:rsid w:val="002513B6"/>
    <w:rsid w:val="0025177C"/>
    <w:rsid w:val="00251DDE"/>
    <w:rsid w:val="0025241B"/>
    <w:rsid w:val="002525AC"/>
    <w:rsid w:val="00252770"/>
    <w:rsid w:val="0025295D"/>
    <w:rsid w:val="00252CBB"/>
    <w:rsid w:val="00252FDB"/>
    <w:rsid w:val="002544ED"/>
    <w:rsid w:val="00254D7C"/>
    <w:rsid w:val="00256173"/>
    <w:rsid w:val="002579B2"/>
    <w:rsid w:val="00260A02"/>
    <w:rsid w:val="00260CC9"/>
    <w:rsid w:val="0026141D"/>
    <w:rsid w:val="00261A4C"/>
    <w:rsid w:val="00261C2A"/>
    <w:rsid w:val="002621EA"/>
    <w:rsid w:val="00262266"/>
    <w:rsid w:val="00262359"/>
    <w:rsid w:val="00262648"/>
    <w:rsid w:val="002633C2"/>
    <w:rsid w:val="00263882"/>
    <w:rsid w:val="00263A58"/>
    <w:rsid w:val="00264393"/>
    <w:rsid w:val="00264CD4"/>
    <w:rsid w:val="00264D5E"/>
    <w:rsid w:val="002653B9"/>
    <w:rsid w:val="002657AD"/>
    <w:rsid w:val="00265914"/>
    <w:rsid w:val="00265B73"/>
    <w:rsid w:val="00265BF5"/>
    <w:rsid w:val="0026618E"/>
    <w:rsid w:val="002661DD"/>
    <w:rsid w:val="00266835"/>
    <w:rsid w:val="00267364"/>
    <w:rsid w:val="0026739B"/>
    <w:rsid w:val="002706B7"/>
    <w:rsid w:val="00271E70"/>
    <w:rsid w:val="00272C61"/>
    <w:rsid w:val="00273514"/>
    <w:rsid w:val="00273719"/>
    <w:rsid w:val="00273A31"/>
    <w:rsid w:val="00273D75"/>
    <w:rsid w:val="00274483"/>
    <w:rsid w:val="002746B3"/>
    <w:rsid w:val="00274765"/>
    <w:rsid w:val="00274DF1"/>
    <w:rsid w:val="00274F8C"/>
    <w:rsid w:val="00274FEA"/>
    <w:rsid w:val="0027680F"/>
    <w:rsid w:val="00276D7E"/>
    <w:rsid w:val="00276E3E"/>
    <w:rsid w:val="002770C4"/>
    <w:rsid w:val="00277240"/>
    <w:rsid w:val="00277297"/>
    <w:rsid w:val="00277610"/>
    <w:rsid w:val="00277A23"/>
    <w:rsid w:val="00280214"/>
    <w:rsid w:val="0028079B"/>
    <w:rsid w:val="002809B0"/>
    <w:rsid w:val="00280A38"/>
    <w:rsid w:val="00280E4B"/>
    <w:rsid w:val="0028129E"/>
    <w:rsid w:val="00281BB0"/>
    <w:rsid w:val="0028292A"/>
    <w:rsid w:val="00283A78"/>
    <w:rsid w:val="002852DB"/>
    <w:rsid w:val="00285ADF"/>
    <w:rsid w:val="00285F27"/>
    <w:rsid w:val="0028658B"/>
    <w:rsid w:val="002865A8"/>
    <w:rsid w:val="00287783"/>
    <w:rsid w:val="00287D70"/>
    <w:rsid w:val="00287FBB"/>
    <w:rsid w:val="0029026E"/>
    <w:rsid w:val="00290644"/>
    <w:rsid w:val="00290A03"/>
    <w:rsid w:val="00290F79"/>
    <w:rsid w:val="00291030"/>
    <w:rsid w:val="00291489"/>
    <w:rsid w:val="002919AD"/>
    <w:rsid w:val="00292888"/>
    <w:rsid w:val="00293640"/>
    <w:rsid w:val="0029371B"/>
    <w:rsid w:val="002937A2"/>
    <w:rsid w:val="00293895"/>
    <w:rsid w:val="00293B19"/>
    <w:rsid w:val="00293EB0"/>
    <w:rsid w:val="002941C9"/>
    <w:rsid w:val="00295124"/>
    <w:rsid w:val="00295D01"/>
    <w:rsid w:val="00295D88"/>
    <w:rsid w:val="00295FC8"/>
    <w:rsid w:val="00296F05"/>
    <w:rsid w:val="002973B9"/>
    <w:rsid w:val="00297C30"/>
    <w:rsid w:val="002A1335"/>
    <w:rsid w:val="002A16C6"/>
    <w:rsid w:val="002A1F5C"/>
    <w:rsid w:val="002A39AA"/>
    <w:rsid w:val="002A3A6B"/>
    <w:rsid w:val="002A3AF7"/>
    <w:rsid w:val="002A40AD"/>
    <w:rsid w:val="002A438A"/>
    <w:rsid w:val="002A45A3"/>
    <w:rsid w:val="002A47DB"/>
    <w:rsid w:val="002A4C32"/>
    <w:rsid w:val="002A52B3"/>
    <w:rsid w:val="002A5A18"/>
    <w:rsid w:val="002A5D8F"/>
    <w:rsid w:val="002A5DB7"/>
    <w:rsid w:val="002A6401"/>
    <w:rsid w:val="002A658F"/>
    <w:rsid w:val="002A694F"/>
    <w:rsid w:val="002A6C8E"/>
    <w:rsid w:val="002A75EB"/>
    <w:rsid w:val="002A7E83"/>
    <w:rsid w:val="002B18A0"/>
    <w:rsid w:val="002B245E"/>
    <w:rsid w:val="002B3E6E"/>
    <w:rsid w:val="002B4524"/>
    <w:rsid w:val="002B455E"/>
    <w:rsid w:val="002B5272"/>
    <w:rsid w:val="002B5C16"/>
    <w:rsid w:val="002B5E0C"/>
    <w:rsid w:val="002B6318"/>
    <w:rsid w:val="002B6B0A"/>
    <w:rsid w:val="002B6FCA"/>
    <w:rsid w:val="002B7124"/>
    <w:rsid w:val="002C121B"/>
    <w:rsid w:val="002C1A9A"/>
    <w:rsid w:val="002C21BC"/>
    <w:rsid w:val="002C2E8B"/>
    <w:rsid w:val="002C54A6"/>
    <w:rsid w:val="002C566C"/>
    <w:rsid w:val="002C5B5D"/>
    <w:rsid w:val="002C745C"/>
    <w:rsid w:val="002D0178"/>
    <w:rsid w:val="002D19CD"/>
    <w:rsid w:val="002D1B9B"/>
    <w:rsid w:val="002D1C77"/>
    <w:rsid w:val="002D2357"/>
    <w:rsid w:val="002D294F"/>
    <w:rsid w:val="002D2B47"/>
    <w:rsid w:val="002D2C50"/>
    <w:rsid w:val="002D2EC2"/>
    <w:rsid w:val="002D4209"/>
    <w:rsid w:val="002D4601"/>
    <w:rsid w:val="002D5E63"/>
    <w:rsid w:val="002D5F2A"/>
    <w:rsid w:val="002D61C1"/>
    <w:rsid w:val="002D688F"/>
    <w:rsid w:val="002D769E"/>
    <w:rsid w:val="002E00BA"/>
    <w:rsid w:val="002E07C9"/>
    <w:rsid w:val="002E08A4"/>
    <w:rsid w:val="002E0C1E"/>
    <w:rsid w:val="002E1CFC"/>
    <w:rsid w:val="002E2F18"/>
    <w:rsid w:val="002E2F60"/>
    <w:rsid w:val="002E3B33"/>
    <w:rsid w:val="002E3BB0"/>
    <w:rsid w:val="002E4302"/>
    <w:rsid w:val="002E4D50"/>
    <w:rsid w:val="002E5280"/>
    <w:rsid w:val="002E5BB6"/>
    <w:rsid w:val="002E620C"/>
    <w:rsid w:val="002E6619"/>
    <w:rsid w:val="002E7AB1"/>
    <w:rsid w:val="002E7DC9"/>
    <w:rsid w:val="002F0071"/>
    <w:rsid w:val="002F02EE"/>
    <w:rsid w:val="002F06CC"/>
    <w:rsid w:val="002F0CE6"/>
    <w:rsid w:val="002F2167"/>
    <w:rsid w:val="002F23A4"/>
    <w:rsid w:val="002F2F69"/>
    <w:rsid w:val="002F394D"/>
    <w:rsid w:val="002F3D53"/>
    <w:rsid w:val="002F433C"/>
    <w:rsid w:val="002F5550"/>
    <w:rsid w:val="002F5E96"/>
    <w:rsid w:val="002F5EB7"/>
    <w:rsid w:val="002F6259"/>
    <w:rsid w:val="002F6563"/>
    <w:rsid w:val="002F6EC2"/>
    <w:rsid w:val="002F788E"/>
    <w:rsid w:val="002F7982"/>
    <w:rsid w:val="002F7A19"/>
    <w:rsid w:val="002F7EEB"/>
    <w:rsid w:val="002F7F59"/>
    <w:rsid w:val="00300EA7"/>
    <w:rsid w:val="00301489"/>
    <w:rsid w:val="003015CE"/>
    <w:rsid w:val="00301C5C"/>
    <w:rsid w:val="00302F77"/>
    <w:rsid w:val="003036A2"/>
    <w:rsid w:val="003036C3"/>
    <w:rsid w:val="00305202"/>
    <w:rsid w:val="003053C7"/>
    <w:rsid w:val="003059EB"/>
    <w:rsid w:val="00305A97"/>
    <w:rsid w:val="003065E0"/>
    <w:rsid w:val="00306A4B"/>
    <w:rsid w:val="00307218"/>
    <w:rsid w:val="00307B3C"/>
    <w:rsid w:val="00307EDB"/>
    <w:rsid w:val="00310421"/>
    <w:rsid w:val="00310795"/>
    <w:rsid w:val="003109A0"/>
    <w:rsid w:val="003121DB"/>
    <w:rsid w:val="003122E7"/>
    <w:rsid w:val="00312D3C"/>
    <w:rsid w:val="0031334A"/>
    <w:rsid w:val="00313618"/>
    <w:rsid w:val="00313919"/>
    <w:rsid w:val="003139EB"/>
    <w:rsid w:val="00313CAE"/>
    <w:rsid w:val="00313D6F"/>
    <w:rsid w:val="0031605A"/>
    <w:rsid w:val="003162E4"/>
    <w:rsid w:val="0031689E"/>
    <w:rsid w:val="003169AE"/>
    <w:rsid w:val="00317268"/>
    <w:rsid w:val="003177CF"/>
    <w:rsid w:val="0032056B"/>
    <w:rsid w:val="003205B5"/>
    <w:rsid w:val="00320AA8"/>
    <w:rsid w:val="00321295"/>
    <w:rsid w:val="00322BA1"/>
    <w:rsid w:val="003245E7"/>
    <w:rsid w:val="00324880"/>
    <w:rsid w:val="00325096"/>
    <w:rsid w:val="00325364"/>
    <w:rsid w:val="00325DBB"/>
    <w:rsid w:val="003268EB"/>
    <w:rsid w:val="00326ACF"/>
    <w:rsid w:val="00327287"/>
    <w:rsid w:val="00327466"/>
    <w:rsid w:val="0032796C"/>
    <w:rsid w:val="0033030C"/>
    <w:rsid w:val="00330352"/>
    <w:rsid w:val="003304F4"/>
    <w:rsid w:val="0033078E"/>
    <w:rsid w:val="00331731"/>
    <w:rsid w:val="0033174C"/>
    <w:rsid w:val="00332394"/>
    <w:rsid w:val="0033367B"/>
    <w:rsid w:val="003339E0"/>
    <w:rsid w:val="00333EED"/>
    <w:rsid w:val="00334390"/>
    <w:rsid w:val="00335302"/>
    <w:rsid w:val="0033551F"/>
    <w:rsid w:val="00335558"/>
    <w:rsid w:val="00335870"/>
    <w:rsid w:val="00335C3C"/>
    <w:rsid w:val="00336930"/>
    <w:rsid w:val="00336A22"/>
    <w:rsid w:val="0034008F"/>
    <w:rsid w:val="00340510"/>
    <w:rsid w:val="00340740"/>
    <w:rsid w:val="00340806"/>
    <w:rsid w:val="00340BF7"/>
    <w:rsid w:val="00340CCD"/>
    <w:rsid w:val="00341645"/>
    <w:rsid w:val="003419B0"/>
    <w:rsid w:val="00341FFE"/>
    <w:rsid w:val="0034208F"/>
    <w:rsid w:val="003425BE"/>
    <w:rsid w:val="003426C9"/>
    <w:rsid w:val="00343A7F"/>
    <w:rsid w:val="00343AAF"/>
    <w:rsid w:val="00343B0F"/>
    <w:rsid w:val="003446BD"/>
    <w:rsid w:val="00344CB3"/>
    <w:rsid w:val="003450A8"/>
    <w:rsid w:val="003450C4"/>
    <w:rsid w:val="00345C2E"/>
    <w:rsid w:val="003461B2"/>
    <w:rsid w:val="00346254"/>
    <w:rsid w:val="00347C0E"/>
    <w:rsid w:val="0035218C"/>
    <w:rsid w:val="00353F52"/>
    <w:rsid w:val="003546C8"/>
    <w:rsid w:val="00354AB8"/>
    <w:rsid w:val="003550AA"/>
    <w:rsid w:val="00355329"/>
    <w:rsid w:val="00355B43"/>
    <w:rsid w:val="00357251"/>
    <w:rsid w:val="003579A8"/>
    <w:rsid w:val="00357F24"/>
    <w:rsid w:val="00360182"/>
    <w:rsid w:val="00360A23"/>
    <w:rsid w:val="00361163"/>
    <w:rsid w:val="00361C2D"/>
    <w:rsid w:val="00361EE2"/>
    <w:rsid w:val="003627A2"/>
    <w:rsid w:val="00362D72"/>
    <w:rsid w:val="0036319D"/>
    <w:rsid w:val="00363FF4"/>
    <w:rsid w:val="0036406A"/>
    <w:rsid w:val="00364469"/>
    <w:rsid w:val="00365184"/>
    <w:rsid w:val="0036586A"/>
    <w:rsid w:val="00365EB3"/>
    <w:rsid w:val="00366F81"/>
    <w:rsid w:val="00370164"/>
    <w:rsid w:val="003714C9"/>
    <w:rsid w:val="00371937"/>
    <w:rsid w:val="003722CB"/>
    <w:rsid w:val="0037248A"/>
    <w:rsid w:val="0037286E"/>
    <w:rsid w:val="00372E00"/>
    <w:rsid w:val="003736C7"/>
    <w:rsid w:val="003740D0"/>
    <w:rsid w:val="003744F9"/>
    <w:rsid w:val="00374905"/>
    <w:rsid w:val="003752B3"/>
    <w:rsid w:val="00375531"/>
    <w:rsid w:val="00376240"/>
    <w:rsid w:val="00376E25"/>
    <w:rsid w:val="00380277"/>
    <w:rsid w:val="00380D28"/>
    <w:rsid w:val="0038113F"/>
    <w:rsid w:val="00382302"/>
    <w:rsid w:val="00382BFC"/>
    <w:rsid w:val="00383ADF"/>
    <w:rsid w:val="00383B3A"/>
    <w:rsid w:val="003845B1"/>
    <w:rsid w:val="003846E8"/>
    <w:rsid w:val="0038479F"/>
    <w:rsid w:val="00385F1D"/>
    <w:rsid w:val="00386486"/>
    <w:rsid w:val="003865F0"/>
    <w:rsid w:val="00387974"/>
    <w:rsid w:val="00390015"/>
    <w:rsid w:val="003903C5"/>
    <w:rsid w:val="0039122C"/>
    <w:rsid w:val="00392004"/>
    <w:rsid w:val="003922DD"/>
    <w:rsid w:val="00392499"/>
    <w:rsid w:val="0039270B"/>
    <w:rsid w:val="003928F8"/>
    <w:rsid w:val="00393A17"/>
    <w:rsid w:val="00395373"/>
    <w:rsid w:val="00395EF5"/>
    <w:rsid w:val="00396E97"/>
    <w:rsid w:val="003970AF"/>
    <w:rsid w:val="00397184"/>
    <w:rsid w:val="0039729E"/>
    <w:rsid w:val="00397A14"/>
    <w:rsid w:val="003A0CD2"/>
    <w:rsid w:val="003A15C6"/>
    <w:rsid w:val="003A1A17"/>
    <w:rsid w:val="003A2FF2"/>
    <w:rsid w:val="003A302B"/>
    <w:rsid w:val="003A3052"/>
    <w:rsid w:val="003A323E"/>
    <w:rsid w:val="003A372E"/>
    <w:rsid w:val="003A3919"/>
    <w:rsid w:val="003A3B2A"/>
    <w:rsid w:val="003A3C51"/>
    <w:rsid w:val="003A44A9"/>
    <w:rsid w:val="003A476E"/>
    <w:rsid w:val="003A4AF4"/>
    <w:rsid w:val="003A55B9"/>
    <w:rsid w:val="003A5A58"/>
    <w:rsid w:val="003A647C"/>
    <w:rsid w:val="003A68A6"/>
    <w:rsid w:val="003A6D61"/>
    <w:rsid w:val="003A710E"/>
    <w:rsid w:val="003A7569"/>
    <w:rsid w:val="003A77F4"/>
    <w:rsid w:val="003B1238"/>
    <w:rsid w:val="003B1276"/>
    <w:rsid w:val="003B1803"/>
    <w:rsid w:val="003B21BD"/>
    <w:rsid w:val="003B2A87"/>
    <w:rsid w:val="003B4380"/>
    <w:rsid w:val="003B4B79"/>
    <w:rsid w:val="003B4CC1"/>
    <w:rsid w:val="003B4EBC"/>
    <w:rsid w:val="003B58A6"/>
    <w:rsid w:val="003B58E9"/>
    <w:rsid w:val="003B5C8A"/>
    <w:rsid w:val="003B6323"/>
    <w:rsid w:val="003B6935"/>
    <w:rsid w:val="003B6ACD"/>
    <w:rsid w:val="003B7651"/>
    <w:rsid w:val="003C0AE7"/>
    <w:rsid w:val="003C0CB9"/>
    <w:rsid w:val="003C0D1B"/>
    <w:rsid w:val="003C1A29"/>
    <w:rsid w:val="003C2A9C"/>
    <w:rsid w:val="003C351E"/>
    <w:rsid w:val="003C40B6"/>
    <w:rsid w:val="003C431B"/>
    <w:rsid w:val="003C4655"/>
    <w:rsid w:val="003C4ABF"/>
    <w:rsid w:val="003C6301"/>
    <w:rsid w:val="003C6774"/>
    <w:rsid w:val="003C694C"/>
    <w:rsid w:val="003C6E75"/>
    <w:rsid w:val="003C706C"/>
    <w:rsid w:val="003C7181"/>
    <w:rsid w:val="003C7596"/>
    <w:rsid w:val="003C77A0"/>
    <w:rsid w:val="003C77DC"/>
    <w:rsid w:val="003C7AE2"/>
    <w:rsid w:val="003C7C9A"/>
    <w:rsid w:val="003D0272"/>
    <w:rsid w:val="003D14CA"/>
    <w:rsid w:val="003D1757"/>
    <w:rsid w:val="003D1A5A"/>
    <w:rsid w:val="003D1B3C"/>
    <w:rsid w:val="003D26A3"/>
    <w:rsid w:val="003D2AEC"/>
    <w:rsid w:val="003D2DEA"/>
    <w:rsid w:val="003D321E"/>
    <w:rsid w:val="003D33FD"/>
    <w:rsid w:val="003D4864"/>
    <w:rsid w:val="003D4F86"/>
    <w:rsid w:val="003D5F2F"/>
    <w:rsid w:val="003D62C9"/>
    <w:rsid w:val="003D641F"/>
    <w:rsid w:val="003D6565"/>
    <w:rsid w:val="003D6AA9"/>
    <w:rsid w:val="003D6D13"/>
    <w:rsid w:val="003D7758"/>
    <w:rsid w:val="003D778D"/>
    <w:rsid w:val="003E0764"/>
    <w:rsid w:val="003E09F6"/>
    <w:rsid w:val="003E0EEE"/>
    <w:rsid w:val="003E0F0B"/>
    <w:rsid w:val="003E105B"/>
    <w:rsid w:val="003E116C"/>
    <w:rsid w:val="003E135D"/>
    <w:rsid w:val="003E27E2"/>
    <w:rsid w:val="003E3972"/>
    <w:rsid w:val="003E3A7B"/>
    <w:rsid w:val="003E4B78"/>
    <w:rsid w:val="003E52DE"/>
    <w:rsid w:val="003E5C0D"/>
    <w:rsid w:val="003E619A"/>
    <w:rsid w:val="003E6CA1"/>
    <w:rsid w:val="003E7359"/>
    <w:rsid w:val="003E78FF"/>
    <w:rsid w:val="003E7D0F"/>
    <w:rsid w:val="003E7EC4"/>
    <w:rsid w:val="003F061A"/>
    <w:rsid w:val="003F13E7"/>
    <w:rsid w:val="003F1806"/>
    <w:rsid w:val="003F1FBD"/>
    <w:rsid w:val="003F29C1"/>
    <w:rsid w:val="003F29CE"/>
    <w:rsid w:val="003F3800"/>
    <w:rsid w:val="003F53B9"/>
    <w:rsid w:val="003F59C8"/>
    <w:rsid w:val="003F5D80"/>
    <w:rsid w:val="003F5FCB"/>
    <w:rsid w:val="003F6AAA"/>
    <w:rsid w:val="003F6EAD"/>
    <w:rsid w:val="00400022"/>
    <w:rsid w:val="00400EBD"/>
    <w:rsid w:val="0040108B"/>
    <w:rsid w:val="0040116D"/>
    <w:rsid w:val="00401C9F"/>
    <w:rsid w:val="0040379B"/>
    <w:rsid w:val="0040389D"/>
    <w:rsid w:val="00405000"/>
    <w:rsid w:val="00405A25"/>
    <w:rsid w:val="004060B2"/>
    <w:rsid w:val="00406FD4"/>
    <w:rsid w:val="0040700F"/>
    <w:rsid w:val="004070AA"/>
    <w:rsid w:val="004106B4"/>
    <w:rsid w:val="00410CB7"/>
    <w:rsid w:val="00411649"/>
    <w:rsid w:val="004116FE"/>
    <w:rsid w:val="0041189D"/>
    <w:rsid w:val="00411E01"/>
    <w:rsid w:val="00411FA7"/>
    <w:rsid w:val="00412553"/>
    <w:rsid w:val="004134DD"/>
    <w:rsid w:val="0041378C"/>
    <w:rsid w:val="00414342"/>
    <w:rsid w:val="00414831"/>
    <w:rsid w:val="00414C96"/>
    <w:rsid w:val="0041517D"/>
    <w:rsid w:val="004157F6"/>
    <w:rsid w:val="00415E48"/>
    <w:rsid w:val="004163EA"/>
    <w:rsid w:val="00416BB7"/>
    <w:rsid w:val="00416DF7"/>
    <w:rsid w:val="00416F18"/>
    <w:rsid w:val="00417760"/>
    <w:rsid w:val="00417EB4"/>
    <w:rsid w:val="00417FC7"/>
    <w:rsid w:val="00420CC0"/>
    <w:rsid w:val="00420F57"/>
    <w:rsid w:val="0042251D"/>
    <w:rsid w:val="00423A13"/>
    <w:rsid w:val="00423BA3"/>
    <w:rsid w:val="00423F7E"/>
    <w:rsid w:val="0042418B"/>
    <w:rsid w:val="00424719"/>
    <w:rsid w:val="004251E2"/>
    <w:rsid w:val="00425B20"/>
    <w:rsid w:val="004263C8"/>
    <w:rsid w:val="00426547"/>
    <w:rsid w:val="0042676F"/>
    <w:rsid w:val="004267D1"/>
    <w:rsid w:val="00426A9A"/>
    <w:rsid w:val="00426E97"/>
    <w:rsid w:val="0043105F"/>
    <w:rsid w:val="004311E7"/>
    <w:rsid w:val="00431338"/>
    <w:rsid w:val="00431828"/>
    <w:rsid w:val="0043182D"/>
    <w:rsid w:val="0043184D"/>
    <w:rsid w:val="004335AD"/>
    <w:rsid w:val="0043382C"/>
    <w:rsid w:val="00433B6F"/>
    <w:rsid w:val="00434BF5"/>
    <w:rsid w:val="00435614"/>
    <w:rsid w:val="00435DC5"/>
    <w:rsid w:val="004362E3"/>
    <w:rsid w:val="00436F33"/>
    <w:rsid w:val="004373B7"/>
    <w:rsid w:val="004401A3"/>
    <w:rsid w:val="004406B3"/>
    <w:rsid w:val="00440CFE"/>
    <w:rsid w:val="004414F9"/>
    <w:rsid w:val="00441D99"/>
    <w:rsid w:val="0044212D"/>
    <w:rsid w:val="00442272"/>
    <w:rsid w:val="0044323D"/>
    <w:rsid w:val="004438F2"/>
    <w:rsid w:val="004439E7"/>
    <w:rsid w:val="0044489E"/>
    <w:rsid w:val="00444967"/>
    <w:rsid w:val="00444B0C"/>
    <w:rsid w:val="00444CBD"/>
    <w:rsid w:val="00444D4A"/>
    <w:rsid w:val="004458DB"/>
    <w:rsid w:val="004459B1"/>
    <w:rsid w:val="00445E07"/>
    <w:rsid w:val="004478E4"/>
    <w:rsid w:val="00447C6C"/>
    <w:rsid w:val="00450B7D"/>
    <w:rsid w:val="00450C41"/>
    <w:rsid w:val="00450E77"/>
    <w:rsid w:val="004512F8"/>
    <w:rsid w:val="00451AAE"/>
    <w:rsid w:val="004521CD"/>
    <w:rsid w:val="00452679"/>
    <w:rsid w:val="0045301B"/>
    <w:rsid w:val="00454AD9"/>
    <w:rsid w:val="00454DB2"/>
    <w:rsid w:val="0045555E"/>
    <w:rsid w:val="00455807"/>
    <w:rsid w:val="00455883"/>
    <w:rsid w:val="004559E4"/>
    <w:rsid w:val="004571FC"/>
    <w:rsid w:val="0045727E"/>
    <w:rsid w:val="00457440"/>
    <w:rsid w:val="00460CBD"/>
    <w:rsid w:val="004615DF"/>
    <w:rsid w:val="0046209B"/>
    <w:rsid w:val="00462182"/>
    <w:rsid w:val="00462753"/>
    <w:rsid w:val="00462ACE"/>
    <w:rsid w:val="00463750"/>
    <w:rsid w:val="00463ED6"/>
    <w:rsid w:val="00464065"/>
    <w:rsid w:val="0046419F"/>
    <w:rsid w:val="0046606C"/>
    <w:rsid w:val="00466556"/>
    <w:rsid w:val="004666B7"/>
    <w:rsid w:val="00466BA6"/>
    <w:rsid w:val="00467438"/>
    <w:rsid w:val="00470C22"/>
    <w:rsid w:val="004712A8"/>
    <w:rsid w:val="00471DED"/>
    <w:rsid w:val="00472002"/>
    <w:rsid w:val="00472DD7"/>
    <w:rsid w:val="00472DEE"/>
    <w:rsid w:val="004730B5"/>
    <w:rsid w:val="00473317"/>
    <w:rsid w:val="004735D9"/>
    <w:rsid w:val="00474404"/>
    <w:rsid w:val="00474BCB"/>
    <w:rsid w:val="0047544D"/>
    <w:rsid w:val="00475602"/>
    <w:rsid w:val="00475A5F"/>
    <w:rsid w:val="00475BB5"/>
    <w:rsid w:val="00475EB7"/>
    <w:rsid w:val="004766E5"/>
    <w:rsid w:val="00477C1F"/>
    <w:rsid w:val="004801D6"/>
    <w:rsid w:val="00480D49"/>
    <w:rsid w:val="00481DD8"/>
    <w:rsid w:val="004826CF"/>
    <w:rsid w:val="00483F64"/>
    <w:rsid w:val="00484FBB"/>
    <w:rsid w:val="004854D3"/>
    <w:rsid w:val="00487031"/>
    <w:rsid w:val="00487506"/>
    <w:rsid w:val="0048768F"/>
    <w:rsid w:val="00487861"/>
    <w:rsid w:val="00487D3D"/>
    <w:rsid w:val="0049079A"/>
    <w:rsid w:val="0049164D"/>
    <w:rsid w:val="00491724"/>
    <w:rsid w:val="00491B05"/>
    <w:rsid w:val="00492547"/>
    <w:rsid w:val="004928B6"/>
    <w:rsid w:val="004938A1"/>
    <w:rsid w:val="00494587"/>
    <w:rsid w:val="00494743"/>
    <w:rsid w:val="004962F8"/>
    <w:rsid w:val="00497881"/>
    <w:rsid w:val="00497EB5"/>
    <w:rsid w:val="00497FD0"/>
    <w:rsid w:val="00497FE3"/>
    <w:rsid w:val="004A067D"/>
    <w:rsid w:val="004A0B71"/>
    <w:rsid w:val="004A2463"/>
    <w:rsid w:val="004A2F33"/>
    <w:rsid w:val="004A3E75"/>
    <w:rsid w:val="004A4028"/>
    <w:rsid w:val="004A4FAC"/>
    <w:rsid w:val="004A5259"/>
    <w:rsid w:val="004A575F"/>
    <w:rsid w:val="004A5AAA"/>
    <w:rsid w:val="004A6549"/>
    <w:rsid w:val="004A6651"/>
    <w:rsid w:val="004A6A1C"/>
    <w:rsid w:val="004A7252"/>
    <w:rsid w:val="004A7999"/>
    <w:rsid w:val="004A7FA7"/>
    <w:rsid w:val="004B010B"/>
    <w:rsid w:val="004B1330"/>
    <w:rsid w:val="004B2C47"/>
    <w:rsid w:val="004B2DAA"/>
    <w:rsid w:val="004B34DE"/>
    <w:rsid w:val="004B38AE"/>
    <w:rsid w:val="004B405F"/>
    <w:rsid w:val="004B4174"/>
    <w:rsid w:val="004B509E"/>
    <w:rsid w:val="004B5AC9"/>
    <w:rsid w:val="004B6A04"/>
    <w:rsid w:val="004B70B8"/>
    <w:rsid w:val="004B783B"/>
    <w:rsid w:val="004B7A10"/>
    <w:rsid w:val="004B7EDB"/>
    <w:rsid w:val="004C000C"/>
    <w:rsid w:val="004C08B6"/>
    <w:rsid w:val="004C0975"/>
    <w:rsid w:val="004C0D00"/>
    <w:rsid w:val="004C0F22"/>
    <w:rsid w:val="004C1057"/>
    <w:rsid w:val="004C14AB"/>
    <w:rsid w:val="004C1C30"/>
    <w:rsid w:val="004C1CFB"/>
    <w:rsid w:val="004C29BC"/>
    <w:rsid w:val="004C2B74"/>
    <w:rsid w:val="004C3189"/>
    <w:rsid w:val="004C32A1"/>
    <w:rsid w:val="004C331C"/>
    <w:rsid w:val="004C3462"/>
    <w:rsid w:val="004C35FA"/>
    <w:rsid w:val="004C3A33"/>
    <w:rsid w:val="004C3E41"/>
    <w:rsid w:val="004C4F52"/>
    <w:rsid w:val="004C5772"/>
    <w:rsid w:val="004C58BB"/>
    <w:rsid w:val="004C5C49"/>
    <w:rsid w:val="004C6042"/>
    <w:rsid w:val="004C63B3"/>
    <w:rsid w:val="004C64C4"/>
    <w:rsid w:val="004C6ACC"/>
    <w:rsid w:val="004C6E15"/>
    <w:rsid w:val="004C7716"/>
    <w:rsid w:val="004D0762"/>
    <w:rsid w:val="004D0A90"/>
    <w:rsid w:val="004D108B"/>
    <w:rsid w:val="004D11B0"/>
    <w:rsid w:val="004D139E"/>
    <w:rsid w:val="004D1CE2"/>
    <w:rsid w:val="004D2810"/>
    <w:rsid w:val="004D2A9F"/>
    <w:rsid w:val="004D36D4"/>
    <w:rsid w:val="004D3DB4"/>
    <w:rsid w:val="004D424B"/>
    <w:rsid w:val="004D44AC"/>
    <w:rsid w:val="004D5398"/>
    <w:rsid w:val="004D591B"/>
    <w:rsid w:val="004D5ED7"/>
    <w:rsid w:val="004D6E91"/>
    <w:rsid w:val="004D7860"/>
    <w:rsid w:val="004E05A3"/>
    <w:rsid w:val="004E07A8"/>
    <w:rsid w:val="004E0C5F"/>
    <w:rsid w:val="004E1262"/>
    <w:rsid w:val="004E15AF"/>
    <w:rsid w:val="004E1648"/>
    <w:rsid w:val="004E1BC4"/>
    <w:rsid w:val="004E20FF"/>
    <w:rsid w:val="004E2177"/>
    <w:rsid w:val="004E226C"/>
    <w:rsid w:val="004E2DB1"/>
    <w:rsid w:val="004E3049"/>
    <w:rsid w:val="004E411B"/>
    <w:rsid w:val="004E4482"/>
    <w:rsid w:val="004E4B72"/>
    <w:rsid w:val="004E4CB2"/>
    <w:rsid w:val="004E4FBB"/>
    <w:rsid w:val="004E5109"/>
    <w:rsid w:val="004E55A1"/>
    <w:rsid w:val="004E5C69"/>
    <w:rsid w:val="004E60D0"/>
    <w:rsid w:val="004E6138"/>
    <w:rsid w:val="004E64EE"/>
    <w:rsid w:val="004E6EEB"/>
    <w:rsid w:val="004E7B04"/>
    <w:rsid w:val="004F03FD"/>
    <w:rsid w:val="004F04E5"/>
    <w:rsid w:val="004F0AF6"/>
    <w:rsid w:val="004F12A6"/>
    <w:rsid w:val="004F1565"/>
    <w:rsid w:val="004F1878"/>
    <w:rsid w:val="004F19AF"/>
    <w:rsid w:val="004F1F07"/>
    <w:rsid w:val="004F22FA"/>
    <w:rsid w:val="004F2304"/>
    <w:rsid w:val="004F26F8"/>
    <w:rsid w:val="004F3DF3"/>
    <w:rsid w:val="004F40C8"/>
    <w:rsid w:val="004F4860"/>
    <w:rsid w:val="004F4CC9"/>
    <w:rsid w:val="004F52E0"/>
    <w:rsid w:val="004F6E1B"/>
    <w:rsid w:val="004F6E7D"/>
    <w:rsid w:val="004F706E"/>
    <w:rsid w:val="004F74FD"/>
    <w:rsid w:val="004F75D8"/>
    <w:rsid w:val="004F7D12"/>
    <w:rsid w:val="004F7FE1"/>
    <w:rsid w:val="005009C1"/>
    <w:rsid w:val="00500A4A"/>
    <w:rsid w:val="00500B71"/>
    <w:rsid w:val="005017A3"/>
    <w:rsid w:val="005025FE"/>
    <w:rsid w:val="0050344F"/>
    <w:rsid w:val="005036F5"/>
    <w:rsid w:val="00504585"/>
    <w:rsid w:val="0050468E"/>
    <w:rsid w:val="005050EA"/>
    <w:rsid w:val="00505B07"/>
    <w:rsid w:val="00505B9D"/>
    <w:rsid w:val="00506079"/>
    <w:rsid w:val="005062C2"/>
    <w:rsid w:val="00506B2B"/>
    <w:rsid w:val="00506DDE"/>
    <w:rsid w:val="0050771D"/>
    <w:rsid w:val="00507C39"/>
    <w:rsid w:val="00507DDA"/>
    <w:rsid w:val="00510285"/>
    <w:rsid w:val="00510500"/>
    <w:rsid w:val="005106FA"/>
    <w:rsid w:val="0051199C"/>
    <w:rsid w:val="00511B96"/>
    <w:rsid w:val="00511CBF"/>
    <w:rsid w:val="00511DA2"/>
    <w:rsid w:val="00513186"/>
    <w:rsid w:val="005136AD"/>
    <w:rsid w:val="005136B6"/>
    <w:rsid w:val="005136C0"/>
    <w:rsid w:val="005138BA"/>
    <w:rsid w:val="00513923"/>
    <w:rsid w:val="00514EC4"/>
    <w:rsid w:val="00515286"/>
    <w:rsid w:val="005160A8"/>
    <w:rsid w:val="005160F2"/>
    <w:rsid w:val="00516657"/>
    <w:rsid w:val="00516DB2"/>
    <w:rsid w:val="00517470"/>
    <w:rsid w:val="00517E42"/>
    <w:rsid w:val="00520CB5"/>
    <w:rsid w:val="005210CC"/>
    <w:rsid w:val="005210E2"/>
    <w:rsid w:val="005211AF"/>
    <w:rsid w:val="0052126B"/>
    <w:rsid w:val="005213E2"/>
    <w:rsid w:val="00521AC2"/>
    <w:rsid w:val="005243A0"/>
    <w:rsid w:val="0052462B"/>
    <w:rsid w:val="00526E84"/>
    <w:rsid w:val="00526EAF"/>
    <w:rsid w:val="005275A0"/>
    <w:rsid w:val="005276C2"/>
    <w:rsid w:val="00527E96"/>
    <w:rsid w:val="00530223"/>
    <w:rsid w:val="00530354"/>
    <w:rsid w:val="005306B0"/>
    <w:rsid w:val="00530B43"/>
    <w:rsid w:val="00531145"/>
    <w:rsid w:val="005324C2"/>
    <w:rsid w:val="005329E8"/>
    <w:rsid w:val="00533532"/>
    <w:rsid w:val="00533696"/>
    <w:rsid w:val="005338E8"/>
    <w:rsid w:val="00533A6B"/>
    <w:rsid w:val="00535A52"/>
    <w:rsid w:val="00535A6A"/>
    <w:rsid w:val="00535D0E"/>
    <w:rsid w:val="00536B7A"/>
    <w:rsid w:val="00537546"/>
    <w:rsid w:val="00537EB9"/>
    <w:rsid w:val="00537F9E"/>
    <w:rsid w:val="005406F8"/>
    <w:rsid w:val="00541473"/>
    <w:rsid w:val="0054169B"/>
    <w:rsid w:val="005417D2"/>
    <w:rsid w:val="00541CD3"/>
    <w:rsid w:val="00541D36"/>
    <w:rsid w:val="00541E7C"/>
    <w:rsid w:val="00541E9A"/>
    <w:rsid w:val="005421CE"/>
    <w:rsid w:val="005422E4"/>
    <w:rsid w:val="00542E40"/>
    <w:rsid w:val="00543202"/>
    <w:rsid w:val="00543721"/>
    <w:rsid w:val="00544161"/>
    <w:rsid w:val="0054436C"/>
    <w:rsid w:val="00544A73"/>
    <w:rsid w:val="00545CF8"/>
    <w:rsid w:val="00546263"/>
    <w:rsid w:val="005468CF"/>
    <w:rsid w:val="00546912"/>
    <w:rsid w:val="00546B9D"/>
    <w:rsid w:val="005477EE"/>
    <w:rsid w:val="00547ABE"/>
    <w:rsid w:val="0055015D"/>
    <w:rsid w:val="00550E4D"/>
    <w:rsid w:val="00550F69"/>
    <w:rsid w:val="00550F6B"/>
    <w:rsid w:val="00551704"/>
    <w:rsid w:val="00552122"/>
    <w:rsid w:val="0055216B"/>
    <w:rsid w:val="005523C6"/>
    <w:rsid w:val="005535C1"/>
    <w:rsid w:val="00555E61"/>
    <w:rsid w:val="00555E93"/>
    <w:rsid w:val="00556727"/>
    <w:rsid w:val="00556B10"/>
    <w:rsid w:val="00556ECC"/>
    <w:rsid w:val="00560420"/>
    <w:rsid w:val="005615FE"/>
    <w:rsid w:val="005616AE"/>
    <w:rsid w:val="0056242C"/>
    <w:rsid w:val="005627CB"/>
    <w:rsid w:val="0056331B"/>
    <w:rsid w:val="00563542"/>
    <w:rsid w:val="00563813"/>
    <w:rsid w:val="00563B8C"/>
    <w:rsid w:val="00563BEF"/>
    <w:rsid w:val="00564709"/>
    <w:rsid w:val="00564D11"/>
    <w:rsid w:val="00565AE3"/>
    <w:rsid w:val="00565D72"/>
    <w:rsid w:val="00566174"/>
    <w:rsid w:val="00566341"/>
    <w:rsid w:val="005703A5"/>
    <w:rsid w:val="005713B7"/>
    <w:rsid w:val="00571937"/>
    <w:rsid w:val="00571AAC"/>
    <w:rsid w:val="00571ADF"/>
    <w:rsid w:val="00571CEA"/>
    <w:rsid w:val="00571F91"/>
    <w:rsid w:val="0057292C"/>
    <w:rsid w:val="00572CAB"/>
    <w:rsid w:val="0057362C"/>
    <w:rsid w:val="005737D8"/>
    <w:rsid w:val="00573915"/>
    <w:rsid w:val="00573A5D"/>
    <w:rsid w:val="00573BAA"/>
    <w:rsid w:val="00573E24"/>
    <w:rsid w:val="00574B40"/>
    <w:rsid w:val="00574E02"/>
    <w:rsid w:val="0057516A"/>
    <w:rsid w:val="00575E75"/>
    <w:rsid w:val="0057625E"/>
    <w:rsid w:val="00576DD3"/>
    <w:rsid w:val="0057701C"/>
    <w:rsid w:val="00580025"/>
    <w:rsid w:val="005806F1"/>
    <w:rsid w:val="00580FED"/>
    <w:rsid w:val="00581C8A"/>
    <w:rsid w:val="005824FE"/>
    <w:rsid w:val="00582BCD"/>
    <w:rsid w:val="00582EEA"/>
    <w:rsid w:val="00583564"/>
    <w:rsid w:val="00583D53"/>
    <w:rsid w:val="00584406"/>
    <w:rsid w:val="00584ADE"/>
    <w:rsid w:val="00585F46"/>
    <w:rsid w:val="00586252"/>
    <w:rsid w:val="00586B95"/>
    <w:rsid w:val="005871BD"/>
    <w:rsid w:val="005900A1"/>
    <w:rsid w:val="005900BF"/>
    <w:rsid w:val="005904D0"/>
    <w:rsid w:val="005909D6"/>
    <w:rsid w:val="00590B01"/>
    <w:rsid w:val="005912AC"/>
    <w:rsid w:val="005915D3"/>
    <w:rsid w:val="005919F0"/>
    <w:rsid w:val="005927A6"/>
    <w:rsid w:val="005938D8"/>
    <w:rsid w:val="00593F48"/>
    <w:rsid w:val="00595095"/>
    <w:rsid w:val="0059625C"/>
    <w:rsid w:val="005968E8"/>
    <w:rsid w:val="00596F22"/>
    <w:rsid w:val="005A0224"/>
    <w:rsid w:val="005A0799"/>
    <w:rsid w:val="005A0BA6"/>
    <w:rsid w:val="005A102C"/>
    <w:rsid w:val="005A1201"/>
    <w:rsid w:val="005A12BF"/>
    <w:rsid w:val="005A15E8"/>
    <w:rsid w:val="005A1870"/>
    <w:rsid w:val="005A25B8"/>
    <w:rsid w:val="005A2DEA"/>
    <w:rsid w:val="005A32AE"/>
    <w:rsid w:val="005A3582"/>
    <w:rsid w:val="005A35B2"/>
    <w:rsid w:val="005A3671"/>
    <w:rsid w:val="005A3F38"/>
    <w:rsid w:val="005A442F"/>
    <w:rsid w:val="005A48B1"/>
    <w:rsid w:val="005A4BDA"/>
    <w:rsid w:val="005A52A1"/>
    <w:rsid w:val="005A640E"/>
    <w:rsid w:val="005A68C6"/>
    <w:rsid w:val="005A6C20"/>
    <w:rsid w:val="005A6F02"/>
    <w:rsid w:val="005A774B"/>
    <w:rsid w:val="005B170A"/>
    <w:rsid w:val="005B2057"/>
    <w:rsid w:val="005B2B2E"/>
    <w:rsid w:val="005B2B40"/>
    <w:rsid w:val="005B3ADF"/>
    <w:rsid w:val="005B438A"/>
    <w:rsid w:val="005B5737"/>
    <w:rsid w:val="005B5DF7"/>
    <w:rsid w:val="005B63C1"/>
    <w:rsid w:val="005B646D"/>
    <w:rsid w:val="005B6C24"/>
    <w:rsid w:val="005B6E9A"/>
    <w:rsid w:val="005B6FB0"/>
    <w:rsid w:val="005B72CE"/>
    <w:rsid w:val="005B753C"/>
    <w:rsid w:val="005B77B6"/>
    <w:rsid w:val="005B7F15"/>
    <w:rsid w:val="005C0B56"/>
    <w:rsid w:val="005C1B4B"/>
    <w:rsid w:val="005C2541"/>
    <w:rsid w:val="005C3415"/>
    <w:rsid w:val="005C3A9C"/>
    <w:rsid w:val="005C3C9D"/>
    <w:rsid w:val="005C4063"/>
    <w:rsid w:val="005C4DD3"/>
    <w:rsid w:val="005C508D"/>
    <w:rsid w:val="005C5A1B"/>
    <w:rsid w:val="005C62BD"/>
    <w:rsid w:val="005C636B"/>
    <w:rsid w:val="005C683C"/>
    <w:rsid w:val="005C7123"/>
    <w:rsid w:val="005C71E9"/>
    <w:rsid w:val="005C7AD5"/>
    <w:rsid w:val="005C7CA5"/>
    <w:rsid w:val="005D08A8"/>
    <w:rsid w:val="005D0E15"/>
    <w:rsid w:val="005D1077"/>
    <w:rsid w:val="005D14A8"/>
    <w:rsid w:val="005D1900"/>
    <w:rsid w:val="005D1E44"/>
    <w:rsid w:val="005D2E45"/>
    <w:rsid w:val="005D30B7"/>
    <w:rsid w:val="005D3E04"/>
    <w:rsid w:val="005D5ABB"/>
    <w:rsid w:val="005D5D01"/>
    <w:rsid w:val="005D6108"/>
    <w:rsid w:val="005D62EF"/>
    <w:rsid w:val="005D64C8"/>
    <w:rsid w:val="005D69D6"/>
    <w:rsid w:val="005D6E05"/>
    <w:rsid w:val="005D7700"/>
    <w:rsid w:val="005E04C7"/>
    <w:rsid w:val="005E1317"/>
    <w:rsid w:val="005E18BE"/>
    <w:rsid w:val="005E29BA"/>
    <w:rsid w:val="005E35DF"/>
    <w:rsid w:val="005E3EFE"/>
    <w:rsid w:val="005E54FA"/>
    <w:rsid w:val="005E5EEE"/>
    <w:rsid w:val="005E612E"/>
    <w:rsid w:val="005E66D4"/>
    <w:rsid w:val="005E6D03"/>
    <w:rsid w:val="005E7012"/>
    <w:rsid w:val="005E7165"/>
    <w:rsid w:val="005E74E3"/>
    <w:rsid w:val="005F0DA6"/>
    <w:rsid w:val="005F21F6"/>
    <w:rsid w:val="005F25BD"/>
    <w:rsid w:val="005F32AD"/>
    <w:rsid w:val="005F32C7"/>
    <w:rsid w:val="005F3577"/>
    <w:rsid w:val="005F41CD"/>
    <w:rsid w:val="005F4FF5"/>
    <w:rsid w:val="005F573F"/>
    <w:rsid w:val="005F6E28"/>
    <w:rsid w:val="005F7376"/>
    <w:rsid w:val="005F7A5E"/>
    <w:rsid w:val="005F7C32"/>
    <w:rsid w:val="006001FE"/>
    <w:rsid w:val="0060022E"/>
    <w:rsid w:val="00600DE6"/>
    <w:rsid w:val="0060188D"/>
    <w:rsid w:val="00601A7B"/>
    <w:rsid w:val="00601BED"/>
    <w:rsid w:val="00603DC9"/>
    <w:rsid w:val="00604AE9"/>
    <w:rsid w:val="006065A9"/>
    <w:rsid w:val="006075B1"/>
    <w:rsid w:val="00607651"/>
    <w:rsid w:val="0060771A"/>
    <w:rsid w:val="006101EB"/>
    <w:rsid w:val="006103AF"/>
    <w:rsid w:val="006103DA"/>
    <w:rsid w:val="006105DD"/>
    <w:rsid w:val="00610C1D"/>
    <w:rsid w:val="0061159B"/>
    <w:rsid w:val="00611FC1"/>
    <w:rsid w:val="00612C3C"/>
    <w:rsid w:val="006131D3"/>
    <w:rsid w:val="006141F2"/>
    <w:rsid w:val="0061482D"/>
    <w:rsid w:val="00614E67"/>
    <w:rsid w:val="0061567B"/>
    <w:rsid w:val="006156CA"/>
    <w:rsid w:val="00615D71"/>
    <w:rsid w:val="00615D8E"/>
    <w:rsid w:val="00616D8E"/>
    <w:rsid w:val="00617962"/>
    <w:rsid w:val="0062003D"/>
    <w:rsid w:val="00620AB1"/>
    <w:rsid w:val="00620C5C"/>
    <w:rsid w:val="00621D61"/>
    <w:rsid w:val="0062212B"/>
    <w:rsid w:val="00622516"/>
    <w:rsid w:val="00622B82"/>
    <w:rsid w:val="00622DD0"/>
    <w:rsid w:val="0062349F"/>
    <w:rsid w:val="006237B0"/>
    <w:rsid w:val="00623F95"/>
    <w:rsid w:val="00624440"/>
    <w:rsid w:val="0062457E"/>
    <w:rsid w:val="00624609"/>
    <w:rsid w:val="006246EF"/>
    <w:rsid w:val="00625BAE"/>
    <w:rsid w:val="00626C6A"/>
    <w:rsid w:val="00627195"/>
    <w:rsid w:val="0062719D"/>
    <w:rsid w:val="00630E7C"/>
    <w:rsid w:val="00630E88"/>
    <w:rsid w:val="00631149"/>
    <w:rsid w:val="006317ED"/>
    <w:rsid w:val="006321E0"/>
    <w:rsid w:val="006327CE"/>
    <w:rsid w:val="00633194"/>
    <w:rsid w:val="0063341E"/>
    <w:rsid w:val="0063453B"/>
    <w:rsid w:val="0063561B"/>
    <w:rsid w:val="00635B23"/>
    <w:rsid w:val="006366B9"/>
    <w:rsid w:val="006375DA"/>
    <w:rsid w:val="006379B7"/>
    <w:rsid w:val="00637C15"/>
    <w:rsid w:val="0064042D"/>
    <w:rsid w:val="0064043D"/>
    <w:rsid w:val="00641366"/>
    <w:rsid w:val="00641953"/>
    <w:rsid w:val="00641A72"/>
    <w:rsid w:val="00641AEC"/>
    <w:rsid w:val="00641CEA"/>
    <w:rsid w:val="006425A5"/>
    <w:rsid w:val="00642AFF"/>
    <w:rsid w:val="00642B25"/>
    <w:rsid w:val="00642DD4"/>
    <w:rsid w:val="0064524B"/>
    <w:rsid w:val="00645EBA"/>
    <w:rsid w:val="006469A4"/>
    <w:rsid w:val="00646FCD"/>
    <w:rsid w:val="00647207"/>
    <w:rsid w:val="00647EA0"/>
    <w:rsid w:val="00650A8F"/>
    <w:rsid w:val="006514A2"/>
    <w:rsid w:val="00651639"/>
    <w:rsid w:val="00651877"/>
    <w:rsid w:val="00651D4B"/>
    <w:rsid w:val="00652344"/>
    <w:rsid w:val="00652805"/>
    <w:rsid w:val="00653CFE"/>
    <w:rsid w:val="00654AA7"/>
    <w:rsid w:val="00654DD9"/>
    <w:rsid w:val="00655388"/>
    <w:rsid w:val="00655450"/>
    <w:rsid w:val="0065586C"/>
    <w:rsid w:val="00655D42"/>
    <w:rsid w:val="00656055"/>
    <w:rsid w:val="00656199"/>
    <w:rsid w:val="00657B2C"/>
    <w:rsid w:val="00660512"/>
    <w:rsid w:val="00660CD6"/>
    <w:rsid w:val="00661229"/>
    <w:rsid w:val="00661784"/>
    <w:rsid w:val="006621CD"/>
    <w:rsid w:val="006628DD"/>
    <w:rsid w:val="00662B24"/>
    <w:rsid w:val="00662C94"/>
    <w:rsid w:val="00663501"/>
    <w:rsid w:val="00664149"/>
    <w:rsid w:val="00664B34"/>
    <w:rsid w:val="00664D3A"/>
    <w:rsid w:val="00665C4E"/>
    <w:rsid w:val="00665D36"/>
    <w:rsid w:val="00666B96"/>
    <w:rsid w:val="00667CD8"/>
    <w:rsid w:val="00671B56"/>
    <w:rsid w:val="00671DEE"/>
    <w:rsid w:val="00672B9D"/>
    <w:rsid w:val="0067316D"/>
    <w:rsid w:val="00673644"/>
    <w:rsid w:val="006743B4"/>
    <w:rsid w:val="00675060"/>
    <w:rsid w:val="006755DE"/>
    <w:rsid w:val="006759C2"/>
    <w:rsid w:val="00675B34"/>
    <w:rsid w:val="0067631B"/>
    <w:rsid w:val="00676356"/>
    <w:rsid w:val="00676831"/>
    <w:rsid w:val="0067689C"/>
    <w:rsid w:val="00676F89"/>
    <w:rsid w:val="00677585"/>
    <w:rsid w:val="00677A30"/>
    <w:rsid w:val="00677A9F"/>
    <w:rsid w:val="006803D8"/>
    <w:rsid w:val="006807AB"/>
    <w:rsid w:val="00681AA4"/>
    <w:rsid w:val="00681CA4"/>
    <w:rsid w:val="00681CAE"/>
    <w:rsid w:val="00682027"/>
    <w:rsid w:val="00682CD1"/>
    <w:rsid w:val="006832FF"/>
    <w:rsid w:val="0068342D"/>
    <w:rsid w:val="00683506"/>
    <w:rsid w:val="006839AA"/>
    <w:rsid w:val="00683F5E"/>
    <w:rsid w:val="00683FB4"/>
    <w:rsid w:val="006840FB"/>
    <w:rsid w:val="00684471"/>
    <w:rsid w:val="006846E0"/>
    <w:rsid w:val="00685B63"/>
    <w:rsid w:val="00685D4A"/>
    <w:rsid w:val="00686246"/>
    <w:rsid w:val="00686BB8"/>
    <w:rsid w:val="00687B39"/>
    <w:rsid w:val="00687EE5"/>
    <w:rsid w:val="00687F1D"/>
    <w:rsid w:val="00690252"/>
    <w:rsid w:val="0069072D"/>
    <w:rsid w:val="00690973"/>
    <w:rsid w:val="006911DB"/>
    <w:rsid w:val="006915BA"/>
    <w:rsid w:val="00691A63"/>
    <w:rsid w:val="00691B1D"/>
    <w:rsid w:val="006927D7"/>
    <w:rsid w:val="00692B1F"/>
    <w:rsid w:val="00692D88"/>
    <w:rsid w:val="00693CAC"/>
    <w:rsid w:val="00694E1A"/>
    <w:rsid w:val="0069500B"/>
    <w:rsid w:val="00695732"/>
    <w:rsid w:val="00695A1E"/>
    <w:rsid w:val="00695ADC"/>
    <w:rsid w:val="00695C8D"/>
    <w:rsid w:val="00695EAA"/>
    <w:rsid w:val="00696624"/>
    <w:rsid w:val="0069663B"/>
    <w:rsid w:val="00696B18"/>
    <w:rsid w:val="006972EC"/>
    <w:rsid w:val="006A183A"/>
    <w:rsid w:val="006A1BD0"/>
    <w:rsid w:val="006A25BB"/>
    <w:rsid w:val="006A27CF"/>
    <w:rsid w:val="006A2FA5"/>
    <w:rsid w:val="006A3914"/>
    <w:rsid w:val="006A4D55"/>
    <w:rsid w:val="006A4E81"/>
    <w:rsid w:val="006A4F89"/>
    <w:rsid w:val="006A5D0B"/>
    <w:rsid w:val="006A5E06"/>
    <w:rsid w:val="006A627D"/>
    <w:rsid w:val="006A67DF"/>
    <w:rsid w:val="006A73C0"/>
    <w:rsid w:val="006A752F"/>
    <w:rsid w:val="006A798E"/>
    <w:rsid w:val="006B05EE"/>
    <w:rsid w:val="006B09CD"/>
    <w:rsid w:val="006B10B6"/>
    <w:rsid w:val="006B1377"/>
    <w:rsid w:val="006B18BB"/>
    <w:rsid w:val="006B1E98"/>
    <w:rsid w:val="006B2037"/>
    <w:rsid w:val="006B2726"/>
    <w:rsid w:val="006B293E"/>
    <w:rsid w:val="006B2CE9"/>
    <w:rsid w:val="006B2FFE"/>
    <w:rsid w:val="006B3154"/>
    <w:rsid w:val="006B39D6"/>
    <w:rsid w:val="006B41A5"/>
    <w:rsid w:val="006B44EA"/>
    <w:rsid w:val="006B4F8B"/>
    <w:rsid w:val="006B57B2"/>
    <w:rsid w:val="006B5E35"/>
    <w:rsid w:val="006B72AB"/>
    <w:rsid w:val="006C071E"/>
    <w:rsid w:val="006C0EDC"/>
    <w:rsid w:val="006C0FFF"/>
    <w:rsid w:val="006C109B"/>
    <w:rsid w:val="006C180F"/>
    <w:rsid w:val="006C2F7A"/>
    <w:rsid w:val="006C3951"/>
    <w:rsid w:val="006C4214"/>
    <w:rsid w:val="006C4D5E"/>
    <w:rsid w:val="006C522D"/>
    <w:rsid w:val="006C58D9"/>
    <w:rsid w:val="006C63D3"/>
    <w:rsid w:val="006C66B5"/>
    <w:rsid w:val="006C7D16"/>
    <w:rsid w:val="006C7FA3"/>
    <w:rsid w:val="006D0732"/>
    <w:rsid w:val="006D0C5B"/>
    <w:rsid w:val="006D1070"/>
    <w:rsid w:val="006D1124"/>
    <w:rsid w:val="006D1B2D"/>
    <w:rsid w:val="006D1E80"/>
    <w:rsid w:val="006D2B83"/>
    <w:rsid w:val="006D2E8F"/>
    <w:rsid w:val="006D3178"/>
    <w:rsid w:val="006D3378"/>
    <w:rsid w:val="006D4008"/>
    <w:rsid w:val="006D4175"/>
    <w:rsid w:val="006D4890"/>
    <w:rsid w:val="006D555F"/>
    <w:rsid w:val="006D5E5C"/>
    <w:rsid w:val="006D629F"/>
    <w:rsid w:val="006D6A99"/>
    <w:rsid w:val="006D6D4B"/>
    <w:rsid w:val="006D6DB2"/>
    <w:rsid w:val="006D6E8E"/>
    <w:rsid w:val="006D700C"/>
    <w:rsid w:val="006D7A9F"/>
    <w:rsid w:val="006D7E28"/>
    <w:rsid w:val="006E1218"/>
    <w:rsid w:val="006E12B9"/>
    <w:rsid w:val="006E1661"/>
    <w:rsid w:val="006E17CD"/>
    <w:rsid w:val="006E1844"/>
    <w:rsid w:val="006E1B91"/>
    <w:rsid w:val="006E1DB7"/>
    <w:rsid w:val="006E1E52"/>
    <w:rsid w:val="006E230C"/>
    <w:rsid w:val="006E239D"/>
    <w:rsid w:val="006E23B6"/>
    <w:rsid w:val="006E25AB"/>
    <w:rsid w:val="006E2728"/>
    <w:rsid w:val="006E3262"/>
    <w:rsid w:val="006E3A6D"/>
    <w:rsid w:val="006E3BFA"/>
    <w:rsid w:val="006E40F8"/>
    <w:rsid w:val="006E4232"/>
    <w:rsid w:val="006E436D"/>
    <w:rsid w:val="006E4586"/>
    <w:rsid w:val="006E4614"/>
    <w:rsid w:val="006E4748"/>
    <w:rsid w:val="006E4B84"/>
    <w:rsid w:val="006E68AA"/>
    <w:rsid w:val="006E6955"/>
    <w:rsid w:val="006E69D1"/>
    <w:rsid w:val="006E7746"/>
    <w:rsid w:val="006E7C19"/>
    <w:rsid w:val="006E7F04"/>
    <w:rsid w:val="006E7F70"/>
    <w:rsid w:val="006F0F0E"/>
    <w:rsid w:val="006F10A4"/>
    <w:rsid w:val="006F113F"/>
    <w:rsid w:val="006F16AA"/>
    <w:rsid w:val="006F1D50"/>
    <w:rsid w:val="006F2371"/>
    <w:rsid w:val="006F2590"/>
    <w:rsid w:val="006F27C2"/>
    <w:rsid w:val="006F2C8B"/>
    <w:rsid w:val="006F2DFA"/>
    <w:rsid w:val="006F2E87"/>
    <w:rsid w:val="006F303A"/>
    <w:rsid w:val="006F3ED5"/>
    <w:rsid w:val="006F4826"/>
    <w:rsid w:val="006F4D0E"/>
    <w:rsid w:val="006F5406"/>
    <w:rsid w:val="006F5487"/>
    <w:rsid w:val="006F5676"/>
    <w:rsid w:val="006F5B6F"/>
    <w:rsid w:val="006F6308"/>
    <w:rsid w:val="006F6EA3"/>
    <w:rsid w:val="006F738D"/>
    <w:rsid w:val="00700738"/>
    <w:rsid w:val="0070099A"/>
    <w:rsid w:val="00700A0B"/>
    <w:rsid w:val="00700A95"/>
    <w:rsid w:val="00700C10"/>
    <w:rsid w:val="00700C81"/>
    <w:rsid w:val="007018D5"/>
    <w:rsid w:val="007021F3"/>
    <w:rsid w:val="0070253E"/>
    <w:rsid w:val="0070258F"/>
    <w:rsid w:val="00702D6C"/>
    <w:rsid w:val="00704162"/>
    <w:rsid w:val="0070457D"/>
    <w:rsid w:val="0070501C"/>
    <w:rsid w:val="00707736"/>
    <w:rsid w:val="00707997"/>
    <w:rsid w:val="007079D8"/>
    <w:rsid w:val="0071029B"/>
    <w:rsid w:val="0071052E"/>
    <w:rsid w:val="00711762"/>
    <w:rsid w:val="007119AF"/>
    <w:rsid w:val="00711D7B"/>
    <w:rsid w:val="0071242C"/>
    <w:rsid w:val="00712C6A"/>
    <w:rsid w:val="00713D3C"/>
    <w:rsid w:val="007145F7"/>
    <w:rsid w:val="00714C44"/>
    <w:rsid w:val="00715816"/>
    <w:rsid w:val="00716588"/>
    <w:rsid w:val="007176C4"/>
    <w:rsid w:val="007203A4"/>
    <w:rsid w:val="00720EEB"/>
    <w:rsid w:val="00721552"/>
    <w:rsid w:val="007219A2"/>
    <w:rsid w:val="00722D44"/>
    <w:rsid w:val="007231AE"/>
    <w:rsid w:val="00723469"/>
    <w:rsid w:val="00723CD2"/>
    <w:rsid w:val="00725332"/>
    <w:rsid w:val="00726045"/>
    <w:rsid w:val="00726E5E"/>
    <w:rsid w:val="00727122"/>
    <w:rsid w:val="0072795D"/>
    <w:rsid w:val="00727C8D"/>
    <w:rsid w:val="007301A3"/>
    <w:rsid w:val="00730514"/>
    <w:rsid w:val="00730962"/>
    <w:rsid w:val="00730D78"/>
    <w:rsid w:val="0073177A"/>
    <w:rsid w:val="00731D51"/>
    <w:rsid w:val="007327F4"/>
    <w:rsid w:val="00733B41"/>
    <w:rsid w:val="007343E5"/>
    <w:rsid w:val="0073516A"/>
    <w:rsid w:val="0073544B"/>
    <w:rsid w:val="00735B19"/>
    <w:rsid w:val="0073617F"/>
    <w:rsid w:val="007367A7"/>
    <w:rsid w:val="00736C0B"/>
    <w:rsid w:val="00736C13"/>
    <w:rsid w:val="00736E1E"/>
    <w:rsid w:val="00736F0E"/>
    <w:rsid w:val="00737405"/>
    <w:rsid w:val="00737E2C"/>
    <w:rsid w:val="0074118B"/>
    <w:rsid w:val="00741C3A"/>
    <w:rsid w:val="00741D55"/>
    <w:rsid w:val="00742958"/>
    <w:rsid w:val="00742B64"/>
    <w:rsid w:val="0074336F"/>
    <w:rsid w:val="00743D62"/>
    <w:rsid w:val="007445DB"/>
    <w:rsid w:val="00744DAA"/>
    <w:rsid w:val="0074504E"/>
    <w:rsid w:val="0074569B"/>
    <w:rsid w:val="0074574C"/>
    <w:rsid w:val="007457BD"/>
    <w:rsid w:val="00745F70"/>
    <w:rsid w:val="00746187"/>
    <w:rsid w:val="007510E2"/>
    <w:rsid w:val="007513AA"/>
    <w:rsid w:val="00751E37"/>
    <w:rsid w:val="00752183"/>
    <w:rsid w:val="00752232"/>
    <w:rsid w:val="00752314"/>
    <w:rsid w:val="00752473"/>
    <w:rsid w:val="00752903"/>
    <w:rsid w:val="00752FD1"/>
    <w:rsid w:val="00753C20"/>
    <w:rsid w:val="00753DD9"/>
    <w:rsid w:val="00753E5B"/>
    <w:rsid w:val="00754082"/>
    <w:rsid w:val="007540F2"/>
    <w:rsid w:val="0075434E"/>
    <w:rsid w:val="00754D4E"/>
    <w:rsid w:val="00754E59"/>
    <w:rsid w:val="00755FFE"/>
    <w:rsid w:val="00756255"/>
    <w:rsid w:val="00756A4B"/>
    <w:rsid w:val="0075717A"/>
    <w:rsid w:val="00757298"/>
    <w:rsid w:val="007579EB"/>
    <w:rsid w:val="00757D44"/>
    <w:rsid w:val="00760231"/>
    <w:rsid w:val="007606B6"/>
    <w:rsid w:val="00761870"/>
    <w:rsid w:val="00761E00"/>
    <w:rsid w:val="0076212C"/>
    <w:rsid w:val="00763075"/>
    <w:rsid w:val="00763136"/>
    <w:rsid w:val="00764406"/>
    <w:rsid w:val="0076473C"/>
    <w:rsid w:val="00764B0A"/>
    <w:rsid w:val="00764F4F"/>
    <w:rsid w:val="007669F4"/>
    <w:rsid w:val="00766BBE"/>
    <w:rsid w:val="00767521"/>
    <w:rsid w:val="00767B8C"/>
    <w:rsid w:val="00770EC4"/>
    <w:rsid w:val="007714BC"/>
    <w:rsid w:val="00771579"/>
    <w:rsid w:val="007717D9"/>
    <w:rsid w:val="00771DB0"/>
    <w:rsid w:val="00772467"/>
    <w:rsid w:val="007726EC"/>
    <w:rsid w:val="007732C9"/>
    <w:rsid w:val="007738F3"/>
    <w:rsid w:val="00774624"/>
    <w:rsid w:val="00774657"/>
    <w:rsid w:val="00774B1A"/>
    <w:rsid w:val="00774CB6"/>
    <w:rsid w:val="007753D0"/>
    <w:rsid w:val="007756C7"/>
    <w:rsid w:val="007765AA"/>
    <w:rsid w:val="007767BA"/>
    <w:rsid w:val="00776A3D"/>
    <w:rsid w:val="00777421"/>
    <w:rsid w:val="00780394"/>
    <w:rsid w:val="00780754"/>
    <w:rsid w:val="00780F57"/>
    <w:rsid w:val="00781050"/>
    <w:rsid w:val="0078111C"/>
    <w:rsid w:val="007817A2"/>
    <w:rsid w:val="00782378"/>
    <w:rsid w:val="00782488"/>
    <w:rsid w:val="00782FEA"/>
    <w:rsid w:val="0078353C"/>
    <w:rsid w:val="007835B1"/>
    <w:rsid w:val="00783CCF"/>
    <w:rsid w:val="00785B47"/>
    <w:rsid w:val="00785E49"/>
    <w:rsid w:val="00786022"/>
    <w:rsid w:val="0078620B"/>
    <w:rsid w:val="007868C5"/>
    <w:rsid w:val="00786A8D"/>
    <w:rsid w:val="00786B17"/>
    <w:rsid w:val="00786C8E"/>
    <w:rsid w:val="00787338"/>
    <w:rsid w:val="007873C7"/>
    <w:rsid w:val="00787A91"/>
    <w:rsid w:val="00787AA6"/>
    <w:rsid w:val="00787C90"/>
    <w:rsid w:val="00790A1F"/>
    <w:rsid w:val="00790B77"/>
    <w:rsid w:val="00790EDE"/>
    <w:rsid w:val="0079186C"/>
    <w:rsid w:val="00791A4B"/>
    <w:rsid w:val="00792175"/>
    <w:rsid w:val="007933BC"/>
    <w:rsid w:val="0079357B"/>
    <w:rsid w:val="0079371A"/>
    <w:rsid w:val="00793B7A"/>
    <w:rsid w:val="00793C15"/>
    <w:rsid w:val="00793DA2"/>
    <w:rsid w:val="00794ACA"/>
    <w:rsid w:val="00794D6F"/>
    <w:rsid w:val="0079520C"/>
    <w:rsid w:val="00795397"/>
    <w:rsid w:val="00795A42"/>
    <w:rsid w:val="00796481"/>
    <w:rsid w:val="00796A01"/>
    <w:rsid w:val="00796CCF"/>
    <w:rsid w:val="0079754C"/>
    <w:rsid w:val="007979BE"/>
    <w:rsid w:val="007979F4"/>
    <w:rsid w:val="007A01EB"/>
    <w:rsid w:val="007A19D2"/>
    <w:rsid w:val="007A19DD"/>
    <w:rsid w:val="007A1D1A"/>
    <w:rsid w:val="007A268A"/>
    <w:rsid w:val="007A2C96"/>
    <w:rsid w:val="007A3EAE"/>
    <w:rsid w:val="007A3F7E"/>
    <w:rsid w:val="007A4E19"/>
    <w:rsid w:val="007A54A9"/>
    <w:rsid w:val="007A563C"/>
    <w:rsid w:val="007A56F9"/>
    <w:rsid w:val="007A600E"/>
    <w:rsid w:val="007A6688"/>
    <w:rsid w:val="007A779F"/>
    <w:rsid w:val="007B0192"/>
    <w:rsid w:val="007B0539"/>
    <w:rsid w:val="007B0C44"/>
    <w:rsid w:val="007B0C5E"/>
    <w:rsid w:val="007B1112"/>
    <w:rsid w:val="007B13AE"/>
    <w:rsid w:val="007B169A"/>
    <w:rsid w:val="007B17D7"/>
    <w:rsid w:val="007B1E96"/>
    <w:rsid w:val="007B2475"/>
    <w:rsid w:val="007B249F"/>
    <w:rsid w:val="007B26CF"/>
    <w:rsid w:val="007B2ECC"/>
    <w:rsid w:val="007B459A"/>
    <w:rsid w:val="007B50B8"/>
    <w:rsid w:val="007B55B3"/>
    <w:rsid w:val="007B5A27"/>
    <w:rsid w:val="007B6999"/>
    <w:rsid w:val="007B7C0F"/>
    <w:rsid w:val="007C0C88"/>
    <w:rsid w:val="007C16AF"/>
    <w:rsid w:val="007C179B"/>
    <w:rsid w:val="007C1C90"/>
    <w:rsid w:val="007C1DF4"/>
    <w:rsid w:val="007C29B7"/>
    <w:rsid w:val="007C2C8B"/>
    <w:rsid w:val="007C37C8"/>
    <w:rsid w:val="007C3C41"/>
    <w:rsid w:val="007C5394"/>
    <w:rsid w:val="007C5520"/>
    <w:rsid w:val="007C6936"/>
    <w:rsid w:val="007C6BB9"/>
    <w:rsid w:val="007C7FFD"/>
    <w:rsid w:val="007D0084"/>
    <w:rsid w:val="007D0291"/>
    <w:rsid w:val="007D02C2"/>
    <w:rsid w:val="007D0F5E"/>
    <w:rsid w:val="007D1633"/>
    <w:rsid w:val="007D1B60"/>
    <w:rsid w:val="007D250D"/>
    <w:rsid w:val="007D2E6D"/>
    <w:rsid w:val="007D2EE8"/>
    <w:rsid w:val="007D389F"/>
    <w:rsid w:val="007D38B4"/>
    <w:rsid w:val="007D39D8"/>
    <w:rsid w:val="007D5501"/>
    <w:rsid w:val="007D55A3"/>
    <w:rsid w:val="007D5DCC"/>
    <w:rsid w:val="007D6814"/>
    <w:rsid w:val="007D6F4B"/>
    <w:rsid w:val="007D72B2"/>
    <w:rsid w:val="007D7EEA"/>
    <w:rsid w:val="007D7F23"/>
    <w:rsid w:val="007E028E"/>
    <w:rsid w:val="007E073D"/>
    <w:rsid w:val="007E1014"/>
    <w:rsid w:val="007E1E8E"/>
    <w:rsid w:val="007E23B7"/>
    <w:rsid w:val="007E260F"/>
    <w:rsid w:val="007E273F"/>
    <w:rsid w:val="007E279F"/>
    <w:rsid w:val="007E35CB"/>
    <w:rsid w:val="007E3B56"/>
    <w:rsid w:val="007E4943"/>
    <w:rsid w:val="007E4A1F"/>
    <w:rsid w:val="007E4A66"/>
    <w:rsid w:val="007E4B05"/>
    <w:rsid w:val="007E4BE0"/>
    <w:rsid w:val="007E54F0"/>
    <w:rsid w:val="007E691E"/>
    <w:rsid w:val="007E6E26"/>
    <w:rsid w:val="007F0687"/>
    <w:rsid w:val="007F0739"/>
    <w:rsid w:val="007F08DF"/>
    <w:rsid w:val="007F0C84"/>
    <w:rsid w:val="007F16A8"/>
    <w:rsid w:val="007F1FF2"/>
    <w:rsid w:val="007F34A2"/>
    <w:rsid w:val="007F3DF9"/>
    <w:rsid w:val="007F50FE"/>
    <w:rsid w:val="007F57A0"/>
    <w:rsid w:val="007F5CD3"/>
    <w:rsid w:val="007F6149"/>
    <w:rsid w:val="007F618C"/>
    <w:rsid w:val="007F688D"/>
    <w:rsid w:val="007F69B6"/>
    <w:rsid w:val="007F6EAD"/>
    <w:rsid w:val="007F7520"/>
    <w:rsid w:val="007F7D8D"/>
    <w:rsid w:val="007F7EEE"/>
    <w:rsid w:val="0080030F"/>
    <w:rsid w:val="00800DD1"/>
    <w:rsid w:val="0080134D"/>
    <w:rsid w:val="00801F3B"/>
    <w:rsid w:val="008022C6"/>
    <w:rsid w:val="00802325"/>
    <w:rsid w:val="00802AB2"/>
    <w:rsid w:val="00802DFF"/>
    <w:rsid w:val="00803629"/>
    <w:rsid w:val="0080376B"/>
    <w:rsid w:val="00804008"/>
    <w:rsid w:val="008042F5"/>
    <w:rsid w:val="008048AB"/>
    <w:rsid w:val="00804DBA"/>
    <w:rsid w:val="00804E92"/>
    <w:rsid w:val="00805C5F"/>
    <w:rsid w:val="00806F44"/>
    <w:rsid w:val="00807705"/>
    <w:rsid w:val="00807954"/>
    <w:rsid w:val="00807F70"/>
    <w:rsid w:val="008100F1"/>
    <w:rsid w:val="008113BF"/>
    <w:rsid w:val="00812006"/>
    <w:rsid w:val="00812E7D"/>
    <w:rsid w:val="00812E83"/>
    <w:rsid w:val="00813D48"/>
    <w:rsid w:val="008148A6"/>
    <w:rsid w:val="00815817"/>
    <w:rsid w:val="00815DBC"/>
    <w:rsid w:val="00816C23"/>
    <w:rsid w:val="00816DAD"/>
    <w:rsid w:val="00816F1C"/>
    <w:rsid w:val="008175AA"/>
    <w:rsid w:val="00817FEA"/>
    <w:rsid w:val="00820144"/>
    <w:rsid w:val="00820D2D"/>
    <w:rsid w:val="00821A8F"/>
    <w:rsid w:val="00821C66"/>
    <w:rsid w:val="008223E7"/>
    <w:rsid w:val="00822417"/>
    <w:rsid w:val="00822D8D"/>
    <w:rsid w:val="00823C3A"/>
    <w:rsid w:val="0082438F"/>
    <w:rsid w:val="00824583"/>
    <w:rsid w:val="00824976"/>
    <w:rsid w:val="00825875"/>
    <w:rsid w:val="00826216"/>
    <w:rsid w:val="008263A0"/>
    <w:rsid w:val="00826D20"/>
    <w:rsid w:val="008270A5"/>
    <w:rsid w:val="00827B4F"/>
    <w:rsid w:val="00827CCE"/>
    <w:rsid w:val="00830302"/>
    <w:rsid w:val="00830FA6"/>
    <w:rsid w:val="0083102F"/>
    <w:rsid w:val="00832394"/>
    <w:rsid w:val="008335CF"/>
    <w:rsid w:val="00833659"/>
    <w:rsid w:val="00833678"/>
    <w:rsid w:val="008350DF"/>
    <w:rsid w:val="0083551F"/>
    <w:rsid w:val="008366B7"/>
    <w:rsid w:val="008368AB"/>
    <w:rsid w:val="00840460"/>
    <w:rsid w:val="008408C1"/>
    <w:rsid w:val="00840B15"/>
    <w:rsid w:val="00840CB2"/>
    <w:rsid w:val="0084133B"/>
    <w:rsid w:val="008413D6"/>
    <w:rsid w:val="00842084"/>
    <w:rsid w:val="008420A1"/>
    <w:rsid w:val="0084217F"/>
    <w:rsid w:val="00842254"/>
    <w:rsid w:val="0084234E"/>
    <w:rsid w:val="008425CA"/>
    <w:rsid w:val="00842A87"/>
    <w:rsid w:val="00843A62"/>
    <w:rsid w:val="00843D31"/>
    <w:rsid w:val="00843F77"/>
    <w:rsid w:val="00844CD5"/>
    <w:rsid w:val="0084684A"/>
    <w:rsid w:val="0084737D"/>
    <w:rsid w:val="0084763A"/>
    <w:rsid w:val="00847A68"/>
    <w:rsid w:val="008503AA"/>
    <w:rsid w:val="00850D29"/>
    <w:rsid w:val="0085234E"/>
    <w:rsid w:val="008545E2"/>
    <w:rsid w:val="008549E3"/>
    <w:rsid w:val="00854CA3"/>
    <w:rsid w:val="00854E3D"/>
    <w:rsid w:val="0085508F"/>
    <w:rsid w:val="00855162"/>
    <w:rsid w:val="0085592E"/>
    <w:rsid w:val="00855D59"/>
    <w:rsid w:val="008561F9"/>
    <w:rsid w:val="00856560"/>
    <w:rsid w:val="00856C57"/>
    <w:rsid w:val="00856E94"/>
    <w:rsid w:val="008573CD"/>
    <w:rsid w:val="0085757F"/>
    <w:rsid w:val="00857B29"/>
    <w:rsid w:val="00857E65"/>
    <w:rsid w:val="008600D4"/>
    <w:rsid w:val="008601C5"/>
    <w:rsid w:val="008603E6"/>
    <w:rsid w:val="00860472"/>
    <w:rsid w:val="0086205D"/>
    <w:rsid w:val="008631BE"/>
    <w:rsid w:val="00863550"/>
    <w:rsid w:val="00863F9A"/>
    <w:rsid w:val="00864126"/>
    <w:rsid w:val="008650E5"/>
    <w:rsid w:val="0086562B"/>
    <w:rsid w:val="0086578A"/>
    <w:rsid w:val="00865E63"/>
    <w:rsid w:val="00865F66"/>
    <w:rsid w:val="00866059"/>
    <w:rsid w:val="008667BA"/>
    <w:rsid w:val="00867518"/>
    <w:rsid w:val="0086751A"/>
    <w:rsid w:val="008678E0"/>
    <w:rsid w:val="008679A9"/>
    <w:rsid w:val="00867A51"/>
    <w:rsid w:val="00867F7A"/>
    <w:rsid w:val="00870460"/>
    <w:rsid w:val="008704E4"/>
    <w:rsid w:val="00870792"/>
    <w:rsid w:val="00871545"/>
    <w:rsid w:val="00871A87"/>
    <w:rsid w:val="00871B61"/>
    <w:rsid w:val="008729E9"/>
    <w:rsid w:val="00872DDE"/>
    <w:rsid w:val="00874D47"/>
    <w:rsid w:val="008756BE"/>
    <w:rsid w:val="008757B0"/>
    <w:rsid w:val="008758A7"/>
    <w:rsid w:val="00875D77"/>
    <w:rsid w:val="00876062"/>
    <w:rsid w:val="0087685A"/>
    <w:rsid w:val="008775D5"/>
    <w:rsid w:val="008776A1"/>
    <w:rsid w:val="0087796D"/>
    <w:rsid w:val="008779EE"/>
    <w:rsid w:val="00880394"/>
    <w:rsid w:val="008804AA"/>
    <w:rsid w:val="00880650"/>
    <w:rsid w:val="00880A95"/>
    <w:rsid w:val="00880DE8"/>
    <w:rsid w:val="00881052"/>
    <w:rsid w:val="00881D98"/>
    <w:rsid w:val="008824DE"/>
    <w:rsid w:val="00882DCF"/>
    <w:rsid w:val="008837C8"/>
    <w:rsid w:val="00884788"/>
    <w:rsid w:val="00884820"/>
    <w:rsid w:val="008848B0"/>
    <w:rsid w:val="00885CD2"/>
    <w:rsid w:val="00886377"/>
    <w:rsid w:val="008870F8"/>
    <w:rsid w:val="008871E9"/>
    <w:rsid w:val="00887A0F"/>
    <w:rsid w:val="00887AD9"/>
    <w:rsid w:val="0089013B"/>
    <w:rsid w:val="00890BD7"/>
    <w:rsid w:val="00891A6E"/>
    <w:rsid w:val="00891FE3"/>
    <w:rsid w:val="00892D8F"/>
    <w:rsid w:val="008937AA"/>
    <w:rsid w:val="008940E7"/>
    <w:rsid w:val="0089417C"/>
    <w:rsid w:val="008941B7"/>
    <w:rsid w:val="0089457A"/>
    <w:rsid w:val="008951FB"/>
    <w:rsid w:val="008968EB"/>
    <w:rsid w:val="0089692D"/>
    <w:rsid w:val="00897591"/>
    <w:rsid w:val="00897689"/>
    <w:rsid w:val="00897FEE"/>
    <w:rsid w:val="008A0B57"/>
    <w:rsid w:val="008A1714"/>
    <w:rsid w:val="008A25BA"/>
    <w:rsid w:val="008A2B37"/>
    <w:rsid w:val="008A3A56"/>
    <w:rsid w:val="008A405E"/>
    <w:rsid w:val="008A4952"/>
    <w:rsid w:val="008A4DD1"/>
    <w:rsid w:val="008A4E6D"/>
    <w:rsid w:val="008A4F21"/>
    <w:rsid w:val="008A51A2"/>
    <w:rsid w:val="008A51C6"/>
    <w:rsid w:val="008A51D2"/>
    <w:rsid w:val="008A56A0"/>
    <w:rsid w:val="008A7489"/>
    <w:rsid w:val="008A7CDD"/>
    <w:rsid w:val="008B0497"/>
    <w:rsid w:val="008B13C0"/>
    <w:rsid w:val="008B154D"/>
    <w:rsid w:val="008B1728"/>
    <w:rsid w:val="008B23ED"/>
    <w:rsid w:val="008B2EB2"/>
    <w:rsid w:val="008B343B"/>
    <w:rsid w:val="008B3B43"/>
    <w:rsid w:val="008B427A"/>
    <w:rsid w:val="008B4858"/>
    <w:rsid w:val="008B48D0"/>
    <w:rsid w:val="008B4BF0"/>
    <w:rsid w:val="008B5A39"/>
    <w:rsid w:val="008B64E4"/>
    <w:rsid w:val="008B6674"/>
    <w:rsid w:val="008B6B17"/>
    <w:rsid w:val="008B7AF1"/>
    <w:rsid w:val="008C0972"/>
    <w:rsid w:val="008C0A7A"/>
    <w:rsid w:val="008C25D0"/>
    <w:rsid w:val="008C2932"/>
    <w:rsid w:val="008C2CB7"/>
    <w:rsid w:val="008C2F03"/>
    <w:rsid w:val="008C3271"/>
    <w:rsid w:val="008C3EB9"/>
    <w:rsid w:val="008C4649"/>
    <w:rsid w:val="008C4B5A"/>
    <w:rsid w:val="008C5B09"/>
    <w:rsid w:val="008C5C0D"/>
    <w:rsid w:val="008C6954"/>
    <w:rsid w:val="008C697A"/>
    <w:rsid w:val="008C7F28"/>
    <w:rsid w:val="008D103E"/>
    <w:rsid w:val="008D2179"/>
    <w:rsid w:val="008D2CA3"/>
    <w:rsid w:val="008D4436"/>
    <w:rsid w:val="008D46C8"/>
    <w:rsid w:val="008D526D"/>
    <w:rsid w:val="008D5E56"/>
    <w:rsid w:val="008D615E"/>
    <w:rsid w:val="008D6EA4"/>
    <w:rsid w:val="008D71AF"/>
    <w:rsid w:val="008D72F5"/>
    <w:rsid w:val="008D7375"/>
    <w:rsid w:val="008D753B"/>
    <w:rsid w:val="008D75F1"/>
    <w:rsid w:val="008D78FA"/>
    <w:rsid w:val="008D7D6F"/>
    <w:rsid w:val="008E1975"/>
    <w:rsid w:val="008E2D2B"/>
    <w:rsid w:val="008E2FEA"/>
    <w:rsid w:val="008E36EC"/>
    <w:rsid w:val="008E37BE"/>
    <w:rsid w:val="008E3A6A"/>
    <w:rsid w:val="008E3C1A"/>
    <w:rsid w:val="008E3DE6"/>
    <w:rsid w:val="008E4219"/>
    <w:rsid w:val="008E4A1D"/>
    <w:rsid w:val="008E54FB"/>
    <w:rsid w:val="008E5CE3"/>
    <w:rsid w:val="008E725C"/>
    <w:rsid w:val="008F10C0"/>
    <w:rsid w:val="008F1194"/>
    <w:rsid w:val="008F1EA8"/>
    <w:rsid w:val="008F254F"/>
    <w:rsid w:val="008F26FD"/>
    <w:rsid w:val="008F273A"/>
    <w:rsid w:val="008F36CF"/>
    <w:rsid w:val="008F3C3B"/>
    <w:rsid w:val="008F422B"/>
    <w:rsid w:val="008F434C"/>
    <w:rsid w:val="008F44CC"/>
    <w:rsid w:val="008F5FA6"/>
    <w:rsid w:val="008F61CD"/>
    <w:rsid w:val="008F64BD"/>
    <w:rsid w:val="008F66FE"/>
    <w:rsid w:val="008F6F80"/>
    <w:rsid w:val="008F72D0"/>
    <w:rsid w:val="008F73D1"/>
    <w:rsid w:val="008F7571"/>
    <w:rsid w:val="008F7595"/>
    <w:rsid w:val="008F7A9C"/>
    <w:rsid w:val="009003C0"/>
    <w:rsid w:val="00900503"/>
    <w:rsid w:val="009006C5"/>
    <w:rsid w:val="00900ADB"/>
    <w:rsid w:val="00901098"/>
    <w:rsid w:val="009015E7"/>
    <w:rsid w:val="00902830"/>
    <w:rsid w:val="0090301E"/>
    <w:rsid w:val="00903599"/>
    <w:rsid w:val="0090481D"/>
    <w:rsid w:val="00905130"/>
    <w:rsid w:val="00905A0C"/>
    <w:rsid w:val="00905FE2"/>
    <w:rsid w:val="00906A05"/>
    <w:rsid w:val="00907CC5"/>
    <w:rsid w:val="00907FBF"/>
    <w:rsid w:val="009100D0"/>
    <w:rsid w:val="009103AE"/>
    <w:rsid w:val="0091069E"/>
    <w:rsid w:val="00911322"/>
    <w:rsid w:val="0091170D"/>
    <w:rsid w:val="00911B67"/>
    <w:rsid w:val="00911DD2"/>
    <w:rsid w:val="009121F9"/>
    <w:rsid w:val="0091299A"/>
    <w:rsid w:val="00912D4D"/>
    <w:rsid w:val="00913203"/>
    <w:rsid w:val="00913753"/>
    <w:rsid w:val="009145C0"/>
    <w:rsid w:val="00914764"/>
    <w:rsid w:val="009149D3"/>
    <w:rsid w:val="0091539C"/>
    <w:rsid w:val="009155B6"/>
    <w:rsid w:val="00915924"/>
    <w:rsid w:val="00915E89"/>
    <w:rsid w:val="0091681A"/>
    <w:rsid w:val="009169BF"/>
    <w:rsid w:val="00916F25"/>
    <w:rsid w:val="0091759A"/>
    <w:rsid w:val="00917822"/>
    <w:rsid w:val="00917BB4"/>
    <w:rsid w:val="00917FE0"/>
    <w:rsid w:val="00920C92"/>
    <w:rsid w:val="00920EEA"/>
    <w:rsid w:val="00922403"/>
    <w:rsid w:val="009225B9"/>
    <w:rsid w:val="00922803"/>
    <w:rsid w:val="00922A83"/>
    <w:rsid w:val="00922C54"/>
    <w:rsid w:val="009238C0"/>
    <w:rsid w:val="00923B88"/>
    <w:rsid w:val="00923E28"/>
    <w:rsid w:val="00923FFB"/>
    <w:rsid w:val="00924D99"/>
    <w:rsid w:val="00925126"/>
    <w:rsid w:val="0092575C"/>
    <w:rsid w:val="00925EE3"/>
    <w:rsid w:val="00926544"/>
    <w:rsid w:val="009265B4"/>
    <w:rsid w:val="009275F4"/>
    <w:rsid w:val="0092796F"/>
    <w:rsid w:val="009317F7"/>
    <w:rsid w:val="00931B19"/>
    <w:rsid w:val="00931F73"/>
    <w:rsid w:val="009323B3"/>
    <w:rsid w:val="009328FC"/>
    <w:rsid w:val="00933D7D"/>
    <w:rsid w:val="00933D7E"/>
    <w:rsid w:val="00934A50"/>
    <w:rsid w:val="009358BD"/>
    <w:rsid w:val="009360C5"/>
    <w:rsid w:val="00936B57"/>
    <w:rsid w:val="00936E7A"/>
    <w:rsid w:val="0093734B"/>
    <w:rsid w:val="00937717"/>
    <w:rsid w:val="00937C76"/>
    <w:rsid w:val="009419BB"/>
    <w:rsid w:val="00942A02"/>
    <w:rsid w:val="00943BB9"/>
    <w:rsid w:val="00944443"/>
    <w:rsid w:val="0094487C"/>
    <w:rsid w:val="00944B55"/>
    <w:rsid w:val="00945B25"/>
    <w:rsid w:val="0094671B"/>
    <w:rsid w:val="00946881"/>
    <w:rsid w:val="009468E7"/>
    <w:rsid w:val="00947537"/>
    <w:rsid w:val="009475EA"/>
    <w:rsid w:val="00950842"/>
    <w:rsid w:val="00950C34"/>
    <w:rsid w:val="00951279"/>
    <w:rsid w:val="009517F2"/>
    <w:rsid w:val="00951F14"/>
    <w:rsid w:val="00952575"/>
    <w:rsid w:val="00952F3A"/>
    <w:rsid w:val="009530C2"/>
    <w:rsid w:val="00953405"/>
    <w:rsid w:val="009535AC"/>
    <w:rsid w:val="009538EC"/>
    <w:rsid w:val="009541BD"/>
    <w:rsid w:val="0095570A"/>
    <w:rsid w:val="0095602D"/>
    <w:rsid w:val="00957152"/>
    <w:rsid w:val="0095756D"/>
    <w:rsid w:val="00957A03"/>
    <w:rsid w:val="00957F57"/>
    <w:rsid w:val="0096064B"/>
    <w:rsid w:val="009607E4"/>
    <w:rsid w:val="00961407"/>
    <w:rsid w:val="0096193D"/>
    <w:rsid w:val="00962197"/>
    <w:rsid w:val="00962AC1"/>
    <w:rsid w:val="00963568"/>
    <w:rsid w:val="009639F0"/>
    <w:rsid w:val="00963AB0"/>
    <w:rsid w:val="00964A9B"/>
    <w:rsid w:val="009654C9"/>
    <w:rsid w:val="0096552D"/>
    <w:rsid w:val="00965F14"/>
    <w:rsid w:val="0096658A"/>
    <w:rsid w:val="00967EF2"/>
    <w:rsid w:val="009704B0"/>
    <w:rsid w:val="0097166E"/>
    <w:rsid w:val="009718FD"/>
    <w:rsid w:val="00971A9E"/>
    <w:rsid w:val="00972036"/>
    <w:rsid w:val="009727B9"/>
    <w:rsid w:val="009730E5"/>
    <w:rsid w:val="00973C60"/>
    <w:rsid w:val="00973C92"/>
    <w:rsid w:val="0097451E"/>
    <w:rsid w:val="009746FB"/>
    <w:rsid w:val="00974B44"/>
    <w:rsid w:val="009753A5"/>
    <w:rsid w:val="00975C08"/>
    <w:rsid w:val="00976A03"/>
    <w:rsid w:val="00976A8E"/>
    <w:rsid w:val="0097718A"/>
    <w:rsid w:val="00977621"/>
    <w:rsid w:val="00977A45"/>
    <w:rsid w:val="009801DC"/>
    <w:rsid w:val="00980216"/>
    <w:rsid w:val="009808BE"/>
    <w:rsid w:val="00980B4D"/>
    <w:rsid w:val="00980BD2"/>
    <w:rsid w:val="00981910"/>
    <w:rsid w:val="00982B4C"/>
    <w:rsid w:val="009831C4"/>
    <w:rsid w:val="009835B4"/>
    <w:rsid w:val="009838F9"/>
    <w:rsid w:val="0098399F"/>
    <w:rsid w:val="00983F19"/>
    <w:rsid w:val="00984242"/>
    <w:rsid w:val="00985B69"/>
    <w:rsid w:val="0098639E"/>
    <w:rsid w:val="00986653"/>
    <w:rsid w:val="00986916"/>
    <w:rsid w:val="00986CB4"/>
    <w:rsid w:val="009870A4"/>
    <w:rsid w:val="0098734C"/>
    <w:rsid w:val="00987853"/>
    <w:rsid w:val="00987EAC"/>
    <w:rsid w:val="009909E0"/>
    <w:rsid w:val="009920D4"/>
    <w:rsid w:val="00993C21"/>
    <w:rsid w:val="0099415A"/>
    <w:rsid w:val="0099432F"/>
    <w:rsid w:val="00994FEC"/>
    <w:rsid w:val="009952EB"/>
    <w:rsid w:val="00995850"/>
    <w:rsid w:val="00995AD8"/>
    <w:rsid w:val="00995B38"/>
    <w:rsid w:val="00995D43"/>
    <w:rsid w:val="009964E7"/>
    <w:rsid w:val="00996788"/>
    <w:rsid w:val="009969C2"/>
    <w:rsid w:val="00997065"/>
    <w:rsid w:val="0099714B"/>
    <w:rsid w:val="009A0608"/>
    <w:rsid w:val="009A091F"/>
    <w:rsid w:val="009A1242"/>
    <w:rsid w:val="009A180F"/>
    <w:rsid w:val="009A20E5"/>
    <w:rsid w:val="009A235B"/>
    <w:rsid w:val="009A2FFC"/>
    <w:rsid w:val="009A34FB"/>
    <w:rsid w:val="009A36FF"/>
    <w:rsid w:val="009A3CE2"/>
    <w:rsid w:val="009A46A9"/>
    <w:rsid w:val="009A4996"/>
    <w:rsid w:val="009A4FA4"/>
    <w:rsid w:val="009A5627"/>
    <w:rsid w:val="009A5C05"/>
    <w:rsid w:val="009A5CF6"/>
    <w:rsid w:val="009A623A"/>
    <w:rsid w:val="009A6855"/>
    <w:rsid w:val="009A6B92"/>
    <w:rsid w:val="009A6C0C"/>
    <w:rsid w:val="009A75B9"/>
    <w:rsid w:val="009A7EF6"/>
    <w:rsid w:val="009B0F24"/>
    <w:rsid w:val="009B1926"/>
    <w:rsid w:val="009B21ED"/>
    <w:rsid w:val="009B29A7"/>
    <w:rsid w:val="009B2B39"/>
    <w:rsid w:val="009B3319"/>
    <w:rsid w:val="009B3CF6"/>
    <w:rsid w:val="009B4B17"/>
    <w:rsid w:val="009B4CD5"/>
    <w:rsid w:val="009B4D32"/>
    <w:rsid w:val="009B50D9"/>
    <w:rsid w:val="009B5133"/>
    <w:rsid w:val="009B532B"/>
    <w:rsid w:val="009B5F0E"/>
    <w:rsid w:val="009B62BC"/>
    <w:rsid w:val="009B6A37"/>
    <w:rsid w:val="009B6B20"/>
    <w:rsid w:val="009B6D6F"/>
    <w:rsid w:val="009B7149"/>
    <w:rsid w:val="009B7560"/>
    <w:rsid w:val="009B77E9"/>
    <w:rsid w:val="009C00C2"/>
    <w:rsid w:val="009C0B52"/>
    <w:rsid w:val="009C0B6E"/>
    <w:rsid w:val="009C13C5"/>
    <w:rsid w:val="009C19DF"/>
    <w:rsid w:val="009C2CE5"/>
    <w:rsid w:val="009C3461"/>
    <w:rsid w:val="009C38A5"/>
    <w:rsid w:val="009C3E19"/>
    <w:rsid w:val="009C3FDF"/>
    <w:rsid w:val="009C4684"/>
    <w:rsid w:val="009C4E42"/>
    <w:rsid w:val="009C532F"/>
    <w:rsid w:val="009C5DC9"/>
    <w:rsid w:val="009C630A"/>
    <w:rsid w:val="009C6593"/>
    <w:rsid w:val="009C6667"/>
    <w:rsid w:val="009C69E3"/>
    <w:rsid w:val="009C6FED"/>
    <w:rsid w:val="009C7299"/>
    <w:rsid w:val="009C7912"/>
    <w:rsid w:val="009D0320"/>
    <w:rsid w:val="009D0E7D"/>
    <w:rsid w:val="009D0F4C"/>
    <w:rsid w:val="009D1009"/>
    <w:rsid w:val="009D13D5"/>
    <w:rsid w:val="009D2410"/>
    <w:rsid w:val="009D2518"/>
    <w:rsid w:val="009D28E1"/>
    <w:rsid w:val="009D29D3"/>
    <w:rsid w:val="009D33AA"/>
    <w:rsid w:val="009D3EE1"/>
    <w:rsid w:val="009D427B"/>
    <w:rsid w:val="009D4F35"/>
    <w:rsid w:val="009D5FE9"/>
    <w:rsid w:val="009D6824"/>
    <w:rsid w:val="009D6AD8"/>
    <w:rsid w:val="009D6FA1"/>
    <w:rsid w:val="009D7E49"/>
    <w:rsid w:val="009E031A"/>
    <w:rsid w:val="009E07F0"/>
    <w:rsid w:val="009E0B7F"/>
    <w:rsid w:val="009E24AD"/>
    <w:rsid w:val="009E329B"/>
    <w:rsid w:val="009E3A66"/>
    <w:rsid w:val="009E3E67"/>
    <w:rsid w:val="009E46D4"/>
    <w:rsid w:val="009E4AC2"/>
    <w:rsid w:val="009E51CE"/>
    <w:rsid w:val="009E5BC3"/>
    <w:rsid w:val="009E5D82"/>
    <w:rsid w:val="009E63C0"/>
    <w:rsid w:val="009E65C0"/>
    <w:rsid w:val="009E734D"/>
    <w:rsid w:val="009E7E12"/>
    <w:rsid w:val="009F0667"/>
    <w:rsid w:val="009F06FB"/>
    <w:rsid w:val="009F0EAA"/>
    <w:rsid w:val="009F2651"/>
    <w:rsid w:val="009F2670"/>
    <w:rsid w:val="009F281A"/>
    <w:rsid w:val="009F2E1D"/>
    <w:rsid w:val="009F38A2"/>
    <w:rsid w:val="009F42AB"/>
    <w:rsid w:val="009F4C6F"/>
    <w:rsid w:val="009F5295"/>
    <w:rsid w:val="009F5534"/>
    <w:rsid w:val="009F5A9B"/>
    <w:rsid w:val="009F63B7"/>
    <w:rsid w:val="009F6BAC"/>
    <w:rsid w:val="009F7021"/>
    <w:rsid w:val="009F7490"/>
    <w:rsid w:val="009F78CB"/>
    <w:rsid w:val="009F79B0"/>
    <w:rsid w:val="009F79DC"/>
    <w:rsid w:val="009F7BF5"/>
    <w:rsid w:val="009F7FC0"/>
    <w:rsid w:val="00A00A06"/>
    <w:rsid w:val="00A01C8B"/>
    <w:rsid w:val="00A02512"/>
    <w:rsid w:val="00A0288B"/>
    <w:rsid w:val="00A0309C"/>
    <w:rsid w:val="00A035AF"/>
    <w:rsid w:val="00A04FBE"/>
    <w:rsid w:val="00A0599B"/>
    <w:rsid w:val="00A0645D"/>
    <w:rsid w:val="00A067E4"/>
    <w:rsid w:val="00A06942"/>
    <w:rsid w:val="00A07AFF"/>
    <w:rsid w:val="00A07E5A"/>
    <w:rsid w:val="00A07F83"/>
    <w:rsid w:val="00A10EB3"/>
    <w:rsid w:val="00A13880"/>
    <w:rsid w:val="00A13A88"/>
    <w:rsid w:val="00A14107"/>
    <w:rsid w:val="00A14134"/>
    <w:rsid w:val="00A14C22"/>
    <w:rsid w:val="00A14CF4"/>
    <w:rsid w:val="00A154C1"/>
    <w:rsid w:val="00A16955"/>
    <w:rsid w:val="00A177F0"/>
    <w:rsid w:val="00A17CE5"/>
    <w:rsid w:val="00A17F05"/>
    <w:rsid w:val="00A17F74"/>
    <w:rsid w:val="00A20DBC"/>
    <w:rsid w:val="00A2118F"/>
    <w:rsid w:val="00A21589"/>
    <w:rsid w:val="00A2325D"/>
    <w:rsid w:val="00A23FE4"/>
    <w:rsid w:val="00A247A1"/>
    <w:rsid w:val="00A2524D"/>
    <w:rsid w:val="00A257B9"/>
    <w:rsid w:val="00A270C3"/>
    <w:rsid w:val="00A312B7"/>
    <w:rsid w:val="00A32EDC"/>
    <w:rsid w:val="00A32F59"/>
    <w:rsid w:val="00A3459C"/>
    <w:rsid w:val="00A34A78"/>
    <w:rsid w:val="00A35817"/>
    <w:rsid w:val="00A35B9C"/>
    <w:rsid w:val="00A36C54"/>
    <w:rsid w:val="00A3708B"/>
    <w:rsid w:val="00A3720F"/>
    <w:rsid w:val="00A373CA"/>
    <w:rsid w:val="00A377A8"/>
    <w:rsid w:val="00A379A0"/>
    <w:rsid w:val="00A37D1D"/>
    <w:rsid w:val="00A40264"/>
    <w:rsid w:val="00A408AB"/>
    <w:rsid w:val="00A40CC4"/>
    <w:rsid w:val="00A410CD"/>
    <w:rsid w:val="00A41431"/>
    <w:rsid w:val="00A423EF"/>
    <w:rsid w:val="00A426CE"/>
    <w:rsid w:val="00A4301D"/>
    <w:rsid w:val="00A4314B"/>
    <w:rsid w:val="00A436AF"/>
    <w:rsid w:val="00A43755"/>
    <w:rsid w:val="00A437F5"/>
    <w:rsid w:val="00A44D30"/>
    <w:rsid w:val="00A456F2"/>
    <w:rsid w:val="00A45E8B"/>
    <w:rsid w:val="00A46F3A"/>
    <w:rsid w:val="00A47250"/>
    <w:rsid w:val="00A502B4"/>
    <w:rsid w:val="00A50514"/>
    <w:rsid w:val="00A50E90"/>
    <w:rsid w:val="00A51160"/>
    <w:rsid w:val="00A51472"/>
    <w:rsid w:val="00A51997"/>
    <w:rsid w:val="00A52456"/>
    <w:rsid w:val="00A52C01"/>
    <w:rsid w:val="00A536BD"/>
    <w:rsid w:val="00A537F4"/>
    <w:rsid w:val="00A53967"/>
    <w:rsid w:val="00A54452"/>
    <w:rsid w:val="00A54A26"/>
    <w:rsid w:val="00A55391"/>
    <w:rsid w:val="00A5556E"/>
    <w:rsid w:val="00A560D9"/>
    <w:rsid w:val="00A563A7"/>
    <w:rsid w:val="00A56C75"/>
    <w:rsid w:val="00A57173"/>
    <w:rsid w:val="00A57403"/>
    <w:rsid w:val="00A5759F"/>
    <w:rsid w:val="00A6002C"/>
    <w:rsid w:val="00A603F0"/>
    <w:rsid w:val="00A6052B"/>
    <w:rsid w:val="00A613AA"/>
    <w:rsid w:val="00A613B3"/>
    <w:rsid w:val="00A61F8B"/>
    <w:rsid w:val="00A62282"/>
    <w:rsid w:val="00A622AF"/>
    <w:rsid w:val="00A62EC1"/>
    <w:rsid w:val="00A631E5"/>
    <w:rsid w:val="00A63318"/>
    <w:rsid w:val="00A633EB"/>
    <w:rsid w:val="00A63E89"/>
    <w:rsid w:val="00A63FBE"/>
    <w:rsid w:val="00A6423F"/>
    <w:rsid w:val="00A655EF"/>
    <w:rsid w:val="00A6577F"/>
    <w:rsid w:val="00A65E75"/>
    <w:rsid w:val="00A663B4"/>
    <w:rsid w:val="00A66400"/>
    <w:rsid w:val="00A66C7B"/>
    <w:rsid w:val="00A70341"/>
    <w:rsid w:val="00A70797"/>
    <w:rsid w:val="00A70DD1"/>
    <w:rsid w:val="00A70E07"/>
    <w:rsid w:val="00A71174"/>
    <w:rsid w:val="00A715AE"/>
    <w:rsid w:val="00A716CA"/>
    <w:rsid w:val="00A7202E"/>
    <w:rsid w:val="00A722D0"/>
    <w:rsid w:val="00A7285E"/>
    <w:rsid w:val="00A72A39"/>
    <w:rsid w:val="00A72AE2"/>
    <w:rsid w:val="00A730D7"/>
    <w:rsid w:val="00A73123"/>
    <w:rsid w:val="00A733D4"/>
    <w:rsid w:val="00A7397B"/>
    <w:rsid w:val="00A74149"/>
    <w:rsid w:val="00A75376"/>
    <w:rsid w:val="00A76DEB"/>
    <w:rsid w:val="00A76F7F"/>
    <w:rsid w:val="00A77639"/>
    <w:rsid w:val="00A77A3A"/>
    <w:rsid w:val="00A77CFF"/>
    <w:rsid w:val="00A80A18"/>
    <w:rsid w:val="00A81299"/>
    <w:rsid w:val="00A82227"/>
    <w:rsid w:val="00A82E85"/>
    <w:rsid w:val="00A8376F"/>
    <w:rsid w:val="00A83914"/>
    <w:rsid w:val="00A8403A"/>
    <w:rsid w:val="00A847E1"/>
    <w:rsid w:val="00A85C20"/>
    <w:rsid w:val="00A86058"/>
    <w:rsid w:val="00A866A0"/>
    <w:rsid w:val="00A86985"/>
    <w:rsid w:val="00A87323"/>
    <w:rsid w:val="00A87CFF"/>
    <w:rsid w:val="00A9076A"/>
    <w:rsid w:val="00A90864"/>
    <w:rsid w:val="00A90BD5"/>
    <w:rsid w:val="00A90F41"/>
    <w:rsid w:val="00A916D6"/>
    <w:rsid w:val="00A919C8"/>
    <w:rsid w:val="00A92BCF"/>
    <w:rsid w:val="00A93074"/>
    <w:rsid w:val="00A93156"/>
    <w:rsid w:val="00A943B2"/>
    <w:rsid w:val="00A94798"/>
    <w:rsid w:val="00A94BAD"/>
    <w:rsid w:val="00A95E0E"/>
    <w:rsid w:val="00A95F71"/>
    <w:rsid w:val="00A9602E"/>
    <w:rsid w:val="00A965CC"/>
    <w:rsid w:val="00A9731E"/>
    <w:rsid w:val="00AA0115"/>
    <w:rsid w:val="00AA0222"/>
    <w:rsid w:val="00AA11CA"/>
    <w:rsid w:val="00AA165B"/>
    <w:rsid w:val="00AA2618"/>
    <w:rsid w:val="00AA262F"/>
    <w:rsid w:val="00AA2CBC"/>
    <w:rsid w:val="00AA43A4"/>
    <w:rsid w:val="00AA4ACB"/>
    <w:rsid w:val="00AA4BB9"/>
    <w:rsid w:val="00AA4CC9"/>
    <w:rsid w:val="00AA50AA"/>
    <w:rsid w:val="00AA643A"/>
    <w:rsid w:val="00AA679E"/>
    <w:rsid w:val="00AA7B50"/>
    <w:rsid w:val="00AA7C96"/>
    <w:rsid w:val="00AA7DC7"/>
    <w:rsid w:val="00AB07A4"/>
    <w:rsid w:val="00AB0A88"/>
    <w:rsid w:val="00AB0C51"/>
    <w:rsid w:val="00AB181B"/>
    <w:rsid w:val="00AB2C31"/>
    <w:rsid w:val="00AB2E64"/>
    <w:rsid w:val="00AB4D75"/>
    <w:rsid w:val="00AB4FE9"/>
    <w:rsid w:val="00AB52FE"/>
    <w:rsid w:val="00AB5E47"/>
    <w:rsid w:val="00AB6E7C"/>
    <w:rsid w:val="00AC0DCB"/>
    <w:rsid w:val="00AC177B"/>
    <w:rsid w:val="00AC1AB3"/>
    <w:rsid w:val="00AC24BF"/>
    <w:rsid w:val="00AC3B69"/>
    <w:rsid w:val="00AC3D00"/>
    <w:rsid w:val="00AC3E58"/>
    <w:rsid w:val="00AC4271"/>
    <w:rsid w:val="00AC51B2"/>
    <w:rsid w:val="00AC5508"/>
    <w:rsid w:val="00AC6720"/>
    <w:rsid w:val="00AC673C"/>
    <w:rsid w:val="00AC6A23"/>
    <w:rsid w:val="00AC6E02"/>
    <w:rsid w:val="00AC6EEC"/>
    <w:rsid w:val="00AC6FCD"/>
    <w:rsid w:val="00AC7793"/>
    <w:rsid w:val="00AC7ECD"/>
    <w:rsid w:val="00AD0089"/>
    <w:rsid w:val="00AD0766"/>
    <w:rsid w:val="00AD083F"/>
    <w:rsid w:val="00AD09EB"/>
    <w:rsid w:val="00AD2170"/>
    <w:rsid w:val="00AD26BA"/>
    <w:rsid w:val="00AD275A"/>
    <w:rsid w:val="00AD3476"/>
    <w:rsid w:val="00AD3C19"/>
    <w:rsid w:val="00AD3D6D"/>
    <w:rsid w:val="00AD4BE4"/>
    <w:rsid w:val="00AD4EFB"/>
    <w:rsid w:val="00AD4FC4"/>
    <w:rsid w:val="00AD55CE"/>
    <w:rsid w:val="00AD5D44"/>
    <w:rsid w:val="00AD6F4C"/>
    <w:rsid w:val="00AD7587"/>
    <w:rsid w:val="00AD7E4D"/>
    <w:rsid w:val="00AD7F00"/>
    <w:rsid w:val="00AE0559"/>
    <w:rsid w:val="00AE07C7"/>
    <w:rsid w:val="00AE0D97"/>
    <w:rsid w:val="00AE15A1"/>
    <w:rsid w:val="00AE1C5A"/>
    <w:rsid w:val="00AE22BA"/>
    <w:rsid w:val="00AE244F"/>
    <w:rsid w:val="00AE2B22"/>
    <w:rsid w:val="00AE30E6"/>
    <w:rsid w:val="00AE3B5F"/>
    <w:rsid w:val="00AE3CFD"/>
    <w:rsid w:val="00AE4354"/>
    <w:rsid w:val="00AE5387"/>
    <w:rsid w:val="00AE55D2"/>
    <w:rsid w:val="00AE67B6"/>
    <w:rsid w:val="00AE70AF"/>
    <w:rsid w:val="00AE7106"/>
    <w:rsid w:val="00AE7789"/>
    <w:rsid w:val="00AF06CB"/>
    <w:rsid w:val="00AF1B84"/>
    <w:rsid w:val="00AF2676"/>
    <w:rsid w:val="00AF2D94"/>
    <w:rsid w:val="00AF3473"/>
    <w:rsid w:val="00AF37BE"/>
    <w:rsid w:val="00AF3C70"/>
    <w:rsid w:val="00AF3E48"/>
    <w:rsid w:val="00AF4753"/>
    <w:rsid w:val="00AF4D16"/>
    <w:rsid w:val="00AF4F0E"/>
    <w:rsid w:val="00AF52D4"/>
    <w:rsid w:val="00AF5B4A"/>
    <w:rsid w:val="00AF6215"/>
    <w:rsid w:val="00AF6280"/>
    <w:rsid w:val="00AF62EB"/>
    <w:rsid w:val="00AF7714"/>
    <w:rsid w:val="00AF792B"/>
    <w:rsid w:val="00AF79F2"/>
    <w:rsid w:val="00AF79FB"/>
    <w:rsid w:val="00AF7B40"/>
    <w:rsid w:val="00B011DE"/>
    <w:rsid w:val="00B011EA"/>
    <w:rsid w:val="00B0148C"/>
    <w:rsid w:val="00B0156A"/>
    <w:rsid w:val="00B01BF0"/>
    <w:rsid w:val="00B01FB6"/>
    <w:rsid w:val="00B0216E"/>
    <w:rsid w:val="00B02B61"/>
    <w:rsid w:val="00B02FB7"/>
    <w:rsid w:val="00B03428"/>
    <w:rsid w:val="00B035CC"/>
    <w:rsid w:val="00B03E26"/>
    <w:rsid w:val="00B03E8D"/>
    <w:rsid w:val="00B042FD"/>
    <w:rsid w:val="00B04904"/>
    <w:rsid w:val="00B052C7"/>
    <w:rsid w:val="00B054ED"/>
    <w:rsid w:val="00B061C8"/>
    <w:rsid w:val="00B0629E"/>
    <w:rsid w:val="00B06606"/>
    <w:rsid w:val="00B068D9"/>
    <w:rsid w:val="00B06E83"/>
    <w:rsid w:val="00B06F13"/>
    <w:rsid w:val="00B07FA3"/>
    <w:rsid w:val="00B103CA"/>
    <w:rsid w:val="00B107B9"/>
    <w:rsid w:val="00B10C23"/>
    <w:rsid w:val="00B10DC8"/>
    <w:rsid w:val="00B10ECF"/>
    <w:rsid w:val="00B111AD"/>
    <w:rsid w:val="00B12ABD"/>
    <w:rsid w:val="00B13C18"/>
    <w:rsid w:val="00B13F7E"/>
    <w:rsid w:val="00B14087"/>
    <w:rsid w:val="00B14465"/>
    <w:rsid w:val="00B148F6"/>
    <w:rsid w:val="00B14EDB"/>
    <w:rsid w:val="00B15348"/>
    <w:rsid w:val="00B153BC"/>
    <w:rsid w:val="00B15810"/>
    <w:rsid w:val="00B159D7"/>
    <w:rsid w:val="00B164B2"/>
    <w:rsid w:val="00B17CC5"/>
    <w:rsid w:val="00B17FD8"/>
    <w:rsid w:val="00B2074F"/>
    <w:rsid w:val="00B210FD"/>
    <w:rsid w:val="00B214BC"/>
    <w:rsid w:val="00B222AD"/>
    <w:rsid w:val="00B223F9"/>
    <w:rsid w:val="00B22837"/>
    <w:rsid w:val="00B23CE0"/>
    <w:rsid w:val="00B246F0"/>
    <w:rsid w:val="00B24FC4"/>
    <w:rsid w:val="00B2547F"/>
    <w:rsid w:val="00B2559C"/>
    <w:rsid w:val="00B2643B"/>
    <w:rsid w:val="00B26878"/>
    <w:rsid w:val="00B268F6"/>
    <w:rsid w:val="00B3026B"/>
    <w:rsid w:val="00B30320"/>
    <w:rsid w:val="00B30694"/>
    <w:rsid w:val="00B30B1E"/>
    <w:rsid w:val="00B30BBF"/>
    <w:rsid w:val="00B32265"/>
    <w:rsid w:val="00B32870"/>
    <w:rsid w:val="00B32D0E"/>
    <w:rsid w:val="00B33295"/>
    <w:rsid w:val="00B336FC"/>
    <w:rsid w:val="00B34418"/>
    <w:rsid w:val="00B3452A"/>
    <w:rsid w:val="00B34F64"/>
    <w:rsid w:val="00B362D0"/>
    <w:rsid w:val="00B36407"/>
    <w:rsid w:val="00B36963"/>
    <w:rsid w:val="00B37125"/>
    <w:rsid w:val="00B378F3"/>
    <w:rsid w:val="00B37A9F"/>
    <w:rsid w:val="00B37C86"/>
    <w:rsid w:val="00B41394"/>
    <w:rsid w:val="00B4144F"/>
    <w:rsid w:val="00B4177B"/>
    <w:rsid w:val="00B41B06"/>
    <w:rsid w:val="00B434B6"/>
    <w:rsid w:val="00B43A55"/>
    <w:rsid w:val="00B43A74"/>
    <w:rsid w:val="00B43E23"/>
    <w:rsid w:val="00B4403C"/>
    <w:rsid w:val="00B44CEF"/>
    <w:rsid w:val="00B452C2"/>
    <w:rsid w:val="00B45927"/>
    <w:rsid w:val="00B45E08"/>
    <w:rsid w:val="00B4638E"/>
    <w:rsid w:val="00B46AAE"/>
    <w:rsid w:val="00B51E8B"/>
    <w:rsid w:val="00B522B8"/>
    <w:rsid w:val="00B5275A"/>
    <w:rsid w:val="00B53061"/>
    <w:rsid w:val="00B53372"/>
    <w:rsid w:val="00B5338E"/>
    <w:rsid w:val="00B53405"/>
    <w:rsid w:val="00B5346A"/>
    <w:rsid w:val="00B538F9"/>
    <w:rsid w:val="00B53DDE"/>
    <w:rsid w:val="00B54F34"/>
    <w:rsid w:val="00B5502E"/>
    <w:rsid w:val="00B5561F"/>
    <w:rsid w:val="00B55F0E"/>
    <w:rsid w:val="00B563BF"/>
    <w:rsid w:val="00B568F1"/>
    <w:rsid w:val="00B5699C"/>
    <w:rsid w:val="00B569D6"/>
    <w:rsid w:val="00B56AB4"/>
    <w:rsid w:val="00B578E2"/>
    <w:rsid w:val="00B60A06"/>
    <w:rsid w:val="00B621B9"/>
    <w:rsid w:val="00B645C3"/>
    <w:rsid w:val="00B65418"/>
    <w:rsid w:val="00B65D6D"/>
    <w:rsid w:val="00B660DE"/>
    <w:rsid w:val="00B66B28"/>
    <w:rsid w:val="00B705D3"/>
    <w:rsid w:val="00B70FC2"/>
    <w:rsid w:val="00B718FF"/>
    <w:rsid w:val="00B71FE3"/>
    <w:rsid w:val="00B72E3C"/>
    <w:rsid w:val="00B74AA7"/>
    <w:rsid w:val="00B76824"/>
    <w:rsid w:val="00B7687A"/>
    <w:rsid w:val="00B77585"/>
    <w:rsid w:val="00B80087"/>
    <w:rsid w:val="00B80228"/>
    <w:rsid w:val="00B80F60"/>
    <w:rsid w:val="00B816CE"/>
    <w:rsid w:val="00B81DA9"/>
    <w:rsid w:val="00B82278"/>
    <w:rsid w:val="00B827FF"/>
    <w:rsid w:val="00B839EF"/>
    <w:rsid w:val="00B8445D"/>
    <w:rsid w:val="00B846E1"/>
    <w:rsid w:val="00B84837"/>
    <w:rsid w:val="00B84DC8"/>
    <w:rsid w:val="00B84E5C"/>
    <w:rsid w:val="00B84ED2"/>
    <w:rsid w:val="00B85730"/>
    <w:rsid w:val="00B85F9C"/>
    <w:rsid w:val="00B8717B"/>
    <w:rsid w:val="00B873FF"/>
    <w:rsid w:val="00B878F7"/>
    <w:rsid w:val="00B9000E"/>
    <w:rsid w:val="00B9010E"/>
    <w:rsid w:val="00B903E1"/>
    <w:rsid w:val="00B9061C"/>
    <w:rsid w:val="00B906B5"/>
    <w:rsid w:val="00B90A67"/>
    <w:rsid w:val="00B926C7"/>
    <w:rsid w:val="00B93351"/>
    <w:rsid w:val="00B933FA"/>
    <w:rsid w:val="00B937E3"/>
    <w:rsid w:val="00B93FAF"/>
    <w:rsid w:val="00B944A3"/>
    <w:rsid w:val="00B95171"/>
    <w:rsid w:val="00B95324"/>
    <w:rsid w:val="00B9601D"/>
    <w:rsid w:val="00B962A8"/>
    <w:rsid w:val="00B96A73"/>
    <w:rsid w:val="00B96AC7"/>
    <w:rsid w:val="00B96DBD"/>
    <w:rsid w:val="00B9744A"/>
    <w:rsid w:val="00B97484"/>
    <w:rsid w:val="00B974EB"/>
    <w:rsid w:val="00B97FB1"/>
    <w:rsid w:val="00BA0D89"/>
    <w:rsid w:val="00BA1723"/>
    <w:rsid w:val="00BA2B88"/>
    <w:rsid w:val="00BA3F2A"/>
    <w:rsid w:val="00BA46E4"/>
    <w:rsid w:val="00BA50D6"/>
    <w:rsid w:val="00BA55AB"/>
    <w:rsid w:val="00BA5931"/>
    <w:rsid w:val="00BA594F"/>
    <w:rsid w:val="00BA5C67"/>
    <w:rsid w:val="00BA6AAA"/>
    <w:rsid w:val="00BA6C89"/>
    <w:rsid w:val="00BA6E98"/>
    <w:rsid w:val="00BB0072"/>
    <w:rsid w:val="00BB10A1"/>
    <w:rsid w:val="00BB175F"/>
    <w:rsid w:val="00BB29EB"/>
    <w:rsid w:val="00BB2EFB"/>
    <w:rsid w:val="00BB3755"/>
    <w:rsid w:val="00BB37DF"/>
    <w:rsid w:val="00BB4E92"/>
    <w:rsid w:val="00BB65FC"/>
    <w:rsid w:val="00BB69B9"/>
    <w:rsid w:val="00BC059A"/>
    <w:rsid w:val="00BC07DF"/>
    <w:rsid w:val="00BC1168"/>
    <w:rsid w:val="00BC1D86"/>
    <w:rsid w:val="00BC2074"/>
    <w:rsid w:val="00BC20EE"/>
    <w:rsid w:val="00BC2744"/>
    <w:rsid w:val="00BC2E99"/>
    <w:rsid w:val="00BC46FA"/>
    <w:rsid w:val="00BC49F4"/>
    <w:rsid w:val="00BC4AC3"/>
    <w:rsid w:val="00BC622C"/>
    <w:rsid w:val="00BC68CE"/>
    <w:rsid w:val="00BC6A2B"/>
    <w:rsid w:val="00BC754A"/>
    <w:rsid w:val="00BC7614"/>
    <w:rsid w:val="00BC779F"/>
    <w:rsid w:val="00BC7C46"/>
    <w:rsid w:val="00BD006D"/>
    <w:rsid w:val="00BD0813"/>
    <w:rsid w:val="00BD0F4A"/>
    <w:rsid w:val="00BD241F"/>
    <w:rsid w:val="00BD2A22"/>
    <w:rsid w:val="00BD355F"/>
    <w:rsid w:val="00BD37E5"/>
    <w:rsid w:val="00BD3AD4"/>
    <w:rsid w:val="00BD3F84"/>
    <w:rsid w:val="00BD403D"/>
    <w:rsid w:val="00BD5DD8"/>
    <w:rsid w:val="00BD6676"/>
    <w:rsid w:val="00BD7002"/>
    <w:rsid w:val="00BD75D7"/>
    <w:rsid w:val="00BE0264"/>
    <w:rsid w:val="00BE05FF"/>
    <w:rsid w:val="00BE1DA8"/>
    <w:rsid w:val="00BE22F3"/>
    <w:rsid w:val="00BE2D74"/>
    <w:rsid w:val="00BE356D"/>
    <w:rsid w:val="00BE3699"/>
    <w:rsid w:val="00BE384D"/>
    <w:rsid w:val="00BE38D2"/>
    <w:rsid w:val="00BE3C7B"/>
    <w:rsid w:val="00BE4573"/>
    <w:rsid w:val="00BE57C9"/>
    <w:rsid w:val="00BE5892"/>
    <w:rsid w:val="00BE59AF"/>
    <w:rsid w:val="00BE5B7E"/>
    <w:rsid w:val="00BE6D8C"/>
    <w:rsid w:val="00BE76E1"/>
    <w:rsid w:val="00BE7C36"/>
    <w:rsid w:val="00BF109A"/>
    <w:rsid w:val="00BF1D30"/>
    <w:rsid w:val="00BF2333"/>
    <w:rsid w:val="00BF270E"/>
    <w:rsid w:val="00BF29C9"/>
    <w:rsid w:val="00BF2E42"/>
    <w:rsid w:val="00BF3E19"/>
    <w:rsid w:val="00BF6127"/>
    <w:rsid w:val="00BF6512"/>
    <w:rsid w:val="00BF69AD"/>
    <w:rsid w:val="00BF6FB1"/>
    <w:rsid w:val="00BF7213"/>
    <w:rsid w:val="00C0099E"/>
    <w:rsid w:val="00C009C5"/>
    <w:rsid w:val="00C03644"/>
    <w:rsid w:val="00C03CD5"/>
    <w:rsid w:val="00C0427F"/>
    <w:rsid w:val="00C04A5D"/>
    <w:rsid w:val="00C04C9D"/>
    <w:rsid w:val="00C04D09"/>
    <w:rsid w:val="00C069C3"/>
    <w:rsid w:val="00C06ADE"/>
    <w:rsid w:val="00C06CA3"/>
    <w:rsid w:val="00C06CDE"/>
    <w:rsid w:val="00C06D4E"/>
    <w:rsid w:val="00C06D78"/>
    <w:rsid w:val="00C07119"/>
    <w:rsid w:val="00C071CC"/>
    <w:rsid w:val="00C102B5"/>
    <w:rsid w:val="00C10F64"/>
    <w:rsid w:val="00C11477"/>
    <w:rsid w:val="00C11C52"/>
    <w:rsid w:val="00C12241"/>
    <w:rsid w:val="00C12255"/>
    <w:rsid w:val="00C122F9"/>
    <w:rsid w:val="00C13990"/>
    <w:rsid w:val="00C13E6A"/>
    <w:rsid w:val="00C14296"/>
    <w:rsid w:val="00C148C1"/>
    <w:rsid w:val="00C15008"/>
    <w:rsid w:val="00C16BEE"/>
    <w:rsid w:val="00C17383"/>
    <w:rsid w:val="00C205C0"/>
    <w:rsid w:val="00C20C06"/>
    <w:rsid w:val="00C20EA7"/>
    <w:rsid w:val="00C21916"/>
    <w:rsid w:val="00C21B75"/>
    <w:rsid w:val="00C22543"/>
    <w:rsid w:val="00C2259C"/>
    <w:rsid w:val="00C22643"/>
    <w:rsid w:val="00C2287B"/>
    <w:rsid w:val="00C23138"/>
    <w:rsid w:val="00C235CA"/>
    <w:rsid w:val="00C23C59"/>
    <w:rsid w:val="00C24188"/>
    <w:rsid w:val="00C244C3"/>
    <w:rsid w:val="00C24BAF"/>
    <w:rsid w:val="00C256D1"/>
    <w:rsid w:val="00C256DE"/>
    <w:rsid w:val="00C25CB9"/>
    <w:rsid w:val="00C25DA9"/>
    <w:rsid w:val="00C26B53"/>
    <w:rsid w:val="00C27641"/>
    <w:rsid w:val="00C278EA"/>
    <w:rsid w:val="00C3050C"/>
    <w:rsid w:val="00C30BA9"/>
    <w:rsid w:val="00C30C07"/>
    <w:rsid w:val="00C31740"/>
    <w:rsid w:val="00C318E6"/>
    <w:rsid w:val="00C321BB"/>
    <w:rsid w:val="00C32285"/>
    <w:rsid w:val="00C32BB9"/>
    <w:rsid w:val="00C32E7A"/>
    <w:rsid w:val="00C33B2F"/>
    <w:rsid w:val="00C33DC6"/>
    <w:rsid w:val="00C347F7"/>
    <w:rsid w:val="00C34D58"/>
    <w:rsid w:val="00C35E76"/>
    <w:rsid w:val="00C362F2"/>
    <w:rsid w:val="00C37051"/>
    <w:rsid w:val="00C4056A"/>
    <w:rsid w:val="00C40663"/>
    <w:rsid w:val="00C406ED"/>
    <w:rsid w:val="00C4075D"/>
    <w:rsid w:val="00C40A91"/>
    <w:rsid w:val="00C41690"/>
    <w:rsid w:val="00C41C74"/>
    <w:rsid w:val="00C41CE5"/>
    <w:rsid w:val="00C41DE7"/>
    <w:rsid w:val="00C422BC"/>
    <w:rsid w:val="00C42A82"/>
    <w:rsid w:val="00C42B47"/>
    <w:rsid w:val="00C4464D"/>
    <w:rsid w:val="00C44BBE"/>
    <w:rsid w:val="00C44DEC"/>
    <w:rsid w:val="00C45B44"/>
    <w:rsid w:val="00C45BD4"/>
    <w:rsid w:val="00C45D62"/>
    <w:rsid w:val="00C45FAA"/>
    <w:rsid w:val="00C46402"/>
    <w:rsid w:val="00C468F6"/>
    <w:rsid w:val="00C469A4"/>
    <w:rsid w:val="00C475B8"/>
    <w:rsid w:val="00C47BDE"/>
    <w:rsid w:val="00C47FBD"/>
    <w:rsid w:val="00C50572"/>
    <w:rsid w:val="00C507C3"/>
    <w:rsid w:val="00C50BBC"/>
    <w:rsid w:val="00C51DFF"/>
    <w:rsid w:val="00C51EA6"/>
    <w:rsid w:val="00C52188"/>
    <w:rsid w:val="00C5230C"/>
    <w:rsid w:val="00C52C73"/>
    <w:rsid w:val="00C532C8"/>
    <w:rsid w:val="00C5358D"/>
    <w:rsid w:val="00C540B6"/>
    <w:rsid w:val="00C557B2"/>
    <w:rsid w:val="00C558CD"/>
    <w:rsid w:val="00C55BD2"/>
    <w:rsid w:val="00C560F2"/>
    <w:rsid w:val="00C56AB8"/>
    <w:rsid w:val="00C56C9A"/>
    <w:rsid w:val="00C56D03"/>
    <w:rsid w:val="00C5733C"/>
    <w:rsid w:val="00C57677"/>
    <w:rsid w:val="00C57850"/>
    <w:rsid w:val="00C579CA"/>
    <w:rsid w:val="00C57AD4"/>
    <w:rsid w:val="00C57CC3"/>
    <w:rsid w:val="00C60206"/>
    <w:rsid w:val="00C6072B"/>
    <w:rsid w:val="00C607DC"/>
    <w:rsid w:val="00C607F8"/>
    <w:rsid w:val="00C60E53"/>
    <w:rsid w:val="00C61603"/>
    <w:rsid w:val="00C62BBB"/>
    <w:rsid w:val="00C62D1C"/>
    <w:rsid w:val="00C6302E"/>
    <w:rsid w:val="00C6362E"/>
    <w:rsid w:val="00C63B29"/>
    <w:rsid w:val="00C63B3B"/>
    <w:rsid w:val="00C64A99"/>
    <w:rsid w:val="00C64AD3"/>
    <w:rsid w:val="00C6532C"/>
    <w:rsid w:val="00C65AE2"/>
    <w:rsid w:val="00C664CC"/>
    <w:rsid w:val="00C66500"/>
    <w:rsid w:val="00C66A8B"/>
    <w:rsid w:val="00C66CDE"/>
    <w:rsid w:val="00C66ED8"/>
    <w:rsid w:val="00C66FC1"/>
    <w:rsid w:val="00C670B3"/>
    <w:rsid w:val="00C67DB8"/>
    <w:rsid w:val="00C7028C"/>
    <w:rsid w:val="00C70950"/>
    <w:rsid w:val="00C716A4"/>
    <w:rsid w:val="00C71CA1"/>
    <w:rsid w:val="00C71DCC"/>
    <w:rsid w:val="00C72567"/>
    <w:rsid w:val="00C72804"/>
    <w:rsid w:val="00C72F48"/>
    <w:rsid w:val="00C731E8"/>
    <w:rsid w:val="00C733F9"/>
    <w:rsid w:val="00C7387C"/>
    <w:rsid w:val="00C73D12"/>
    <w:rsid w:val="00C74083"/>
    <w:rsid w:val="00C760FD"/>
    <w:rsid w:val="00C76E0A"/>
    <w:rsid w:val="00C770B0"/>
    <w:rsid w:val="00C77E1B"/>
    <w:rsid w:val="00C80108"/>
    <w:rsid w:val="00C80B28"/>
    <w:rsid w:val="00C818A0"/>
    <w:rsid w:val="00C81FC3"/>
    <w:rsid w:val="00C82266"/>
    <w:rsid w:val="00C82648"/>
    <w:rsid w:val="00C82657"/>
    <w:rsid w:val="00C832E2"/>
    <w:rsid w:val="00C8344A"/>
    <w:rsid w:val="00C83B2F"/>
    <w:rsid w:val="00C83D09"/>
    <w:rsid w:val="00C83DF8"/>
    <w:rsid w:val="00C84172"/>
    <w:rsid w:val="00C858FA"/>
    <w:rsid w:val="00C85E8D"/>
    <w:rsid w:val="00C865F3"/>
    <w:rsid w:val="00C8699C"/>
    <w:rsid w:val="00C869E4"/>
    <w:rsid w:val="00C86A37"/>
    <w:rsid w:val="00C875F7"/>
    <w:rsid w:val="00C87BAB"/>
    <w:rsid w:val="00C90A48"/>
    <w:rsid w:val="00C90BB0"/>
    <w:rsid w:val="00C90C8A"/>
    <w:rsid w:val="00C91106"/>
    <w:rsid w:val="00C9139C"/>
    <w:rsid w:val="00C9159A"/>
    <w:rsid w:val="00C91CDA"/>
    <w:rsid w:val="00C9435F"/>
    <w:rsid w:val="00C94571"/>
    <w:rsid w:val="00C945DD"/>
    <w:rsid w:val="00C94923"/>
    <w:rsid w:val="00C94A9A"/>
    <w:rsid w:val="00C94C63"/>
    <w:rsid w:val="00C950ED"/>
    <w:rsid w:val="00C95E36"/>
    <w:rsid w:val="00C9621D"/>
    <w:rsid w:val="00C9660A"/>
    <w:rsid w:val="00C96D7C"/>
    <w:rsid w:val="00C9767D"/>
    <w:rsid w:val="00C97F0D"/>
    <w:rsid w:val="00CA0605"/>
    <w:rsid w:val="00CA0859"/>
    <w:rsid w:val="00CA0B75"/>
    <w:rsid w:val="00CA0DC9"/>
    <w:rsid w:val="00CA0EC7"/>
    <w:rsid w:val="00CA1421"/>
    <w:rsid w:val="00CA2318"/>
    <w:rsid w:val="00CA2ACA"/>
    <w:rsid w:val="00CA3870"/>
    <w:rsid w:val="00CA391F"/>
    <w:rsid w:val="00CA429A"/>
    <w:rsid w:val="00CA43A1"/>
    <w:rsid w:val="00CA4E97"/>
    <w:rsid w:val="00CA5249"/>
    <w:rsid w:val="00CA618B"/>
    <w:rsid w:val="00CA6263"/>
    <w:rsid w:val="00CA65F5"/>
    <w:rsid w:val="00CA6611"/>
    <w:rsid w:val="00CA6C45"/>
    <w:rsid w:val="00CA702C"/>
    <w:rsid w:val="00CA7968"/>
    <w:rsid w:val="00CA7F25"/>
    <w:rsid w:val="00CB0CA1"/>
    <w:rsid w:val="00CB1870"/>
    <w:rsid w:val="00CB1BC2"/>
    <w:rsid w:val="00CB1E8C"/>
    <w:rsid w:val="00CB2DEC"/>
    <w:rsid w:val="00CB3321"/>
    <w:rsid w:val="00CB3C8A"/>
    <w:rsid w:val="00CB3DE6"/>
    <w:rsid w:val="00CB4622"/>
    <w:rsid w:val="00CB47DA"/>
    <w:rsid w:val="00CB4B5F"/>
    <w:rsid w:val="00CB4C3E"/>
    <w:rsid w:val="00CB59D1"/>
    <w:rsid w:val="00CB5D1A"/>
    <w:rsid w:val="00CB66A5"/>
    <w:rsid w:val="00CB6763"/>
    <w:rsid w:val="00CB6C9C"/>
    <w:rsid w:val="00CB70EE"/>
    <w:rsid w:val="00CB712C"/>
    <w:rsid w:val="00CC0F54"/>
    <w:rsid w:val="00CC1597"/>
    <w:rsid w:val="00CC3D0D"/>
    <w:rsid w:val="00CC3EAE"/>
    <w:rsid w:val="00CC4D29"/>
    <w:rsid w:val="00CC5128"/>
    <w:rsid w:val="00CC58E1"/>
    <w:rsid w:val="00CC5F2F"/>
    <w:rsid w:val="00CC639D"/>
    <w:rsid w:val="00CC6401"/>
    <w:rsid w:val="00CC6FA2"/>
    <w:rsid w:val="00CC7581"/>
    <w:rsid w:val="00CD02B2"/>
    <w:rsid w:val="00CD0BAD"/>
    <w:rsid w:val="00CD1B1F"/>
    <w:rsid w:val="00CD23DC"/>
    <w:rsid w:val="00CD27C9"/>
    <w:rsid w:val="00CD3011"/>
    <w:rsid w:val="00CD316A"/>
    <w:rsid w:val="00CD33C4"/>
    <w:rsid w:val="00CD3C41"/>
    <w:rsid w:val="00CD3FD9"/>
    <w:rsid w:val="00CD4424"/>
    <w:rsid w:val="00CD55BC"/>
    <w:rsid w:val="00CD5730"/>
    <w:rsid w:val="00CD5B9E"/>
    <w:rsid w:val="00CD5FE9"/>
    <w:rsid w:val="00CD7A85"/>
    <w:rsid w:val="00CD7E74"/>
    <w:rsid w:val="00CD7F12"/>
    <w:rsid w:val="00CE10C4"/>
    <w:rsid w:val="00CE12CB"/>
    <w:rsid w:val="00CE154F"/>
    <w:rsid w:val="00CE17A5"/>
    <w:rsid w:val="00CE2967"/>
    <w:rsid w:val="00CE33F6"/>
    <w:rsid w:val="00CE3487"/>
    <w:rsid w:val="00CE44C5"/>
    <w:rsid w:val="00CE5E3B"/>
    <w:rsid w:val="00CE5E99"/>
    <w:rsid w:val="00CE6D6D"/>
    <w:rsid w:val="00CE6F5B"/>
    <w:rsid w:val="00CF1382"/>
    <w:rsid w:val="00CF1C3C"/>
    <w:rsid w:val="00CF1F0A"/>
    <w:rsid w:val="00CF4484"/>
    <w:rsid w:val="00CF561E"/>
    <w:rsid w:val="00CF5AA9"/>
    <w:rsid w:val="00CF631E"/>
    <w:rsid w:val="00CF6520"/>
    <w:rsid w:val="00CF65CD"/>
    <w:rsid w:val="00CF6956"/>
    <w:rsid w:val="00CF6B9B"/>
    <w:rsid w:val="00CF6BE6"/>
    <w:rsid w:val="00CF702B"/>
    <w:rsid w:val="00CF71B5"/>
    <w:rsid w:val="00CF729F"/>
    <w:rsid w:val="00CF7499"/>
    <w:rsid w:val="00CF7AAE"/>
    <w:rsid w:val="00CF7B71"/>
    <w:rsid w:val="00D00878"/>
    <w:rsid w:val="00D00C96"/>
    <w:rsid w:val="00D00DE0"/>
    <w:rsid w:val="00D01044"/>
    <w:rsid w:val="00D021CA"/>
    <w:rsid w:val="00D023A5"/>
    <w:rsid w:val="00D0265F"/>
    <w:rsid w:val="00D029C4"/>
    <w:rsid w:val="00D02DBF"/>
    <w:rsid w:val="00D0337F"/>
    <w:rsid w:val="00D0366F"/>
    <w:rsid w:val="00D038AB"/>
    <w:rsid w:val="00D044DD"/>
    <w:rsid w:val="00D048EA"/>
    <w:rsid w:val="00D04A4A"/>
    <w:rsid w:val="00D057A5"/>
    <w:rsid w:val="00D057BD"/>
    <w:rsid w:val="00D059E8"/>
    <w:rsid w:val="00D05F39"/>
    <w:rsid w:val="00D05FA7"/>
    <w:rsid w:val="00D0664B"/>
    <w:rsid w:val="00D0739A"/>
    <w:rsid w:val="00D1044D"/>
    <w:rsid w:val="00D10501"/>
    <w:rsid w:val="00D105D7"/>
    <w:rsid w:val="00D10638"/>
    <w:rsid w:val="00D107EA"/>
    <w:rsid w:val="00D10AA3"/>
    <w:rsid w:val="00D10CA4"/>
    <w:rsid w:val="00D10EF3"/>
    <w:rsid w:val="00D1143B"/>
    <w:rsid w:val="00D11503"/>
    <w:rsid w:val="00D115B8"/>
    <w:rsid w:val="00D11703"/>
    <w:rsid w:val="00D11C16"/>
    <w:rsid w:val="00D11DAE"/>
    <w:rsid w:val="00D125E1"/>
    <w:rsid w:val="00D14455"/>
    <w:rsid w:val="00D14796"/>
    <w:rsid w:val="00D16059"/>
    <w:rsid w:val="00D160AC"/>
    <w:rsid w:val="00D1613E"/>
    <w:rsid w:val="00D1662F"/>
    <w:rsid w:val="00D167FB"/>
    <w:rsid w:val="00D16D7D"/>
    <w:rsid w:val="00D1732F"/>
    <w:rsid w:val="00D17ACB"/>
    <w:rsid w:val="00D17D34"/>
    <w:rsid w:val="00D20077"/>
    <w:rsid w:val="00D2029F"/>
    <w:rsid w:val="00D20F92"/>
    <w:rsid w:val="00D20FF0"/>
    <w:rsid w:val="00D213B1"/>
    <w:rsid w:val="00D222ED"/>
    <w:rsid w:val="00D229DD"/>
    <w:rsid w:val="00D22AE9"/>
    <w:rsid w:val="00D22B0D"/>
    <w:rsid w:val="00D23445"/>
    <w:rsid w:val="00D249F6"/>
    <w:rsid w:val="00D25160"/>
    <w:rsid w:val="00D267DB"/>
    <w:rsid w:val="00D26EB7"/>
    <w:rsid w:val="00D2704E"/>
    <w:rsid w:val="00D27420"/>
    <w:rsid w:val="00D275B5"/>
    <w:rsid w:val="00D27863"/>
    <w:rsid w:val="00D27F64"/>
    <w:rsid w:val="00D308D9"/>
    <w:rsid w:val="00D30A98"/>
    <w:rsid w:val="00D30DD9"/>
    <w:rsid w:val="00D30F71"/>
    <w:rsid w:val="00D3161D"/>
    <w:rsid w:val="00D31A33"/>
    <w:rsid w:val="00D31C40"/>
    <w:rsid w:val="00D32500"/>
    <w:rsid w:val="00D3270C"/>
    <w:rsid w:val="00D33611"/>
    <w:rsid w:val="00D3371C"/>
    <w:rsid w:val="00D36056"/>
    <w:rsid w:val="00D36394"/>
    <w:rsid w:val="00D3706C"/>
    <w:rsid w:val="00D370F6"/>
    <w:rsid w:val="00D41204"/>
    <w:rsid w:val="00D4229E"/>
    <w:rsid w:val="00D43528"/>
    <w:rsid w:val="00D44D00"/>
    <w:rsid w:val="00D44FC4"/>
    <w:rsid w:val="00D4502E"/>
    <w:rsid w:val="00D45055"/>
    <w:rsid w:val="00D4529F"/>
    <w:rsid w:val="00D45B9E"/>
    <w:rsid w:val="00D45BFD"/>
    <w:rsid w:val="00D46E52"/>
    <w:rsid w:val="00D4748A"/>
    <w:rsid w:val="00D5151D"/>
    <w:rsid w:val="00D5191A"/>
    <w:rsid w:val="00D51969"/>
    <w:rsid w:val="00D51F39"/>
    <w:rsid w:val="00D5215A"/>
    <w:rsid w:val="00D522B0"/>
    <w:rsid w:val="00D5276C"/>
    <w:rsid w:val="00D531E7"/>
    <w:rsid w:val="00D53FA6"/>
    <w:rsid w:val="00D54618"/>
    <w:rsid w:val="00D5513A"/>
    <w:rsid w:val="00D5513C"/>
    <w:rsid w:val="00D55390"/>
    <w:rsid w:val="00D5595C"/>
    <w:rsid w:val="00D559E4"/>
    <w:rsid w:val="00D563F3"/>
    <w:rsid w:val="00D566C2"/>
    <w:rsid w:val="00D572EB"/>
    <w:rsid w:val="00D5745D"/>
    <w:rsid w:val="00D579B0"/>
    <w:rsid w:val="00D60077"/>
    <w:rsid w:val="00D616C1"/>
    <w:rsid w:val="00D61F41"/>
    <w:rsid w:val="00D62296"/>
    <w:rsid w:val="00D622F8"/>
    <w:rsid w:val="00D625E9"/>
    <w:rsid w:val="00D6286D"/>
    <w:rsid w:val="00D62C77"/>
    <w:rsid w:val="00D62CFB"/>
    <w:rsid w:val="00D62DA7"/>
    <w:rsid w:val="00D62F37"/>
    <w:rsid w:val="00D63C93"/>
    <w:rsid w:val="00D646E6"/>
    <w:rsid w:val="00D64EF5"/>
    <w:rsid w:val="00D658DC"/>
    <w:rsid w:val="00D65B61"/>
    <w:rsid w:val="00D65E33"/>
    <w:rsid w:val="00D662EE"/>
    <w:rsid w:val="00D67197"/>
    <w:rsid w:val="00D675E8"/>
    <w:rsid w:val="00D67874"/>
    <w:rsid w:val="00D67958"/>
    <w:rsid w:val="00D679DE"/>
    <w:rsid w:val="00D704E5"/>
    <w:rsid w:val="00D7081E"/>
    <w:rsid w:val="00D70B5C"/>
    <w:rsid w:val="00D70EAB"/>
    <w:rsid w:val="00D71051"/>
    <w:rsid w:val="00D7113A"/>
    <w:rsid w:val="00D7122B"/>
    <w:rsid w:val="00D71555"/>
    <w:rsid w:val="00D71703"/>
    <w:rsid w:val="00D71C38"/>
    <w:rsid w:val="00D726E8"/>
    <w:rsid w:val="00D72A02"/>
    <w:rsid w:val="00D72B5F"/>
    <w:rsid w:val="00D73E43"/>
    <w:rsid w:val="00D743B6"/>
    <w:rsid w:val="00D744D2"/>
    <w:rsid w:val="00D74957"/>
    <w:rsid w:val="00D74B27"/>
    <w:rsid w:val="00D75634"/>
    <w:rsid w:val="00D761A3"/>
    <w:rsid w:val="00D7639E"/>
    <w:rsid w:val="00D77CB7"/>
    <w:rsid w:val="00D77ECB"/>
    <w:rsid w:val="00D77F94"/>
    <w:rsid w:val="00D80059"/>
    <w:rsid w:val="00D807F9"/>
    <w:rsid w:val="00D8162A"/>
    <w:rsid w:val="00D81AA8"/>
    <w:rsid w:val="00D81B3B"/>
    <w:rsid w:val="00D81EA8"/>
    <w:rsid w:val="00D84113"/>
    <w:rsid w:val="00D847FE"/>
    <w:rsid w:val="00D84B3A"/>
    <w:rsid w:val="00D85C89"/>
    <w:rsid w:val="00D85E31"/>
    <w:rsid w:val="00D86132"/>
    <w:rsid w:val="00D871CB"/>
    <w:rsid w:val="00D8791E"/>
    <w:rsid w:val="00D90429"/>
    <w:rsid w:val="00D905FB"/>
    <w:rsid w:val="00D9063A"/>
    <w:rsid w:val="00D90BA4"/>
    <w:rsid w:val="00D92DC5"/>
    <w:rsid w:val="00D92E2E"/>
    <w:rsid w:val="00D92F83"/>
    <w:rsid w:val="00D93233"/>
    <w:rsid w:val="00D93468"/>
    <w:rsid w:val="00D94436"/>
    <w:rsid w:val="00D94918"/>
    <w:rsid w:val="00D94F12"/>
    <w:rsid w:val="00D951A9"/>
    <w:rsid w:val="00D952E0"/>
    <w:rsid w:val="00D95FC6"/>
    <w:rsid w:val="00D9699C"/>
    <w:rsid w:val="00D96E04"/>
    <w:rsid w:val="00D97032"/>
    <w:rsid w:val="00D9786B"/>
    <w:rsid w:val="00D97E56"/>
    <w:rsid w:val="00DA04CB"/>
    <w:rsid w:val="00DA0BE2"/>
    <w:rsid w:val="00DA1043"/>
    <w:rsid w:val="00DA16E8"/>
    <w:rsid w:val="00DA1A87"/>
    <w:rsid w:val="00DA2D7A"/>
    <w:rsid w:val="00DA31C2"/>
    <w:rsid w:val="00DA3CB5"/>
    <w:rsid w:val="00DA3E26"/>
    <w:rsid w:val="00DA5C41"/>
    <w:rsid w:val="00DA6034"/>
    <w:rsid w:val="00DA60F1"/>
    <w:rsid w:val="00DA6278"/>
    <w:rsid w:val="00DA635A"/>
    <w:rsid w:val="00DA6A91"/>
    <w:rsid w:val="00DA729A"/>
    <w:rsid w:val="00DA7872"/>
    <w:rsid w:val="00DA78F7"/>
    <w:rsid w:val="00DB0078"/>
    <w:rsid w:val="00DB0347"/>
    <w:rsid w:val="00DB053A"/>
    <w:rsid w:val="00DB079F"/>
    <w:rsid w:val="00DB0BBF"/>
    <w:rsid w:val="00DB0F28"/>
    <w:rsid w:val="00DB0F83"/>
    <w:rsid w:val="00DB16DC"/>
    <w:rsid w:val="00DB2075"/>
    <w:rsid w:val="00DB274F"/>
    <w:rsid w:val="00DB30AF"/>
    <w:rsid w:val="00DB333D"/>
    <w:rsid w:val="00DB3963"/>
    <w:rsid w:val="00DB40BA"/>
    <w:rsid w:val="00DB40C6"/>
    <w:rsid w:val="00DB492F"/>
    <w:rsid w:val="00DB4A7A"/>
    <w:rsid w:val="00DB525D"/>
    <w:rsid w:val="00DB55B9"/>
    <w:rsid w:val="00DB6EE5"/>
    <w:rsid w:val="00DC2413"/>
    <w:rsid w:val="00DC2AF4"/>
    <w:rsid w:val="00DC3CE7"/>
    <w:rsid w:val="00DC4163"/>
    <w:rsid w:val="00DC4A3D"/>
    <w:rsid w:val="00DC539F"/>
    <w:rsid w:val="00DC5857"/>
    <w:rsid w:val="00DC628C"/>
    <w:rsid w:val="00DC67DC"/>
    <w:rsid w:val="00DC69A5"/>
    <w:rsid w:val="00DC6A4C"/>
    <w:rsid w:val="00DC6F43"/>
    <w:rsid w:val="00DC739A"/>
    <w:rsid w:val="00DC73EF"/>
    <w:rsid w:val="00DC74BE"/>
    <w:rsid w:val="00DC7F4A"/>
    <w:rsid w:val="00DD07F6"/>
    <w:rsid w:val="00DD1476"/>
    <w:rsid w:val="00DD17DA"/>
    <w:rsid w:val="00DD29DC"/>
    <w:rsid w:val="00DD2BCB"/>
    <w:rsid w:val="00DD325F"/>
    <w:rsid w:val="00DD377F"/>
    <w:rsid w:val="00DD3C40"/>
    <w:rsid w:val="00DD431D"/>
    <w:rsid w:val="00DD4E93"/>
    <w:rsid w:val="00DD4F5E"/>
    <w:rsid w:val="00DD4F5F"/>
    <w:rsid w:val="00DD5BBD"/>
    <w:rsid w:val="00DD624A"/>
    <w:rsid w:val="00DD6295"/>
    <w:rsid w:val="00DD6589"/>
    <w:rsid w:val="00DD6D85"/>
    <w:rsid w:val="00DD7B1E"/>
    <w:rsid w:val="00DE09D9"/>
    <w:rsid w:val="00DE0F72"/>
    <w:rsid w:val="00DE13A0"/>
    <w:rsid w:val="00DE18CD"/>
    <w:rsid w:val="00DE1C54"/>
    <w:rsid w:val="00DE1FE6"/>
    <w:rsid w:val="00DE28AF"/>
    <w:rsid w:val="00DE2A87"/>
    <w:rsid w:val="00DE2BC3"/>
    <w:rsid w:val="00DE30A8"/>
    <w:rsid w:val="00DE34C8"/>
    <w:rsid w:val="00DE35B4"/>
    <w:rsid w:val="00DE385D"/>
    <w:rsid w:val="00DE4219"/>
    <w:rsid w:val="00DE45A9"/>
    <w:rsid w:val="00DE4E15"/>
    <w:rsid w:val="00DE52FE"/>
    <w:rsid w:val="00DE5A1A"/>
    <w:rsid w:val="00DE63F9"/>
    <w:rsid w:val="00DE6ED5"/>
    <w:rsid w:val="00DE732A"/>
    <w:rsid w:val="00DE73C8"/>
    <w:rsid w:val="00DE7CE1"/>
    <w:rsid w:val="00DF11E2"/>
    <w:rsid w:val="00DF15CC"/>
    <w:rsid w:val="00DF238C"/>
    <w:rsid w:val="00DF3534"/>
    <w:rsid w:val="00DF4393"/>
    <w:rsid w:val="00DF5076"/>
    <w:rsid w:val="00DF5287"/>
    <w:rsid w:val="00DF541B"/>
    <w:rsid w:val="00DF54C3"/>
    <w:rsid w:val="00DF6365"/>
    <w:rsid w:val="00E00CD7"/>
    <w:rsid w:val="00E0176B"/>
    <w:rsid w:val="00E021E3"/>
    <w:rsid w:val="00E038FA"/>
    <w:rsid w:val="00E04447"/>
    <w:rsid w:val="00E049A6"/>
    <w:rsid w:val="00E04F75"/>
    <w:rsid w:val="00E04FCB"/>
    <w:rsid w:val="00E0532F"/>
    <w:rsid w:val="00E0593B"/>
    <w:rsid w:val="00E05EC5"/>
    <w:rsid w:val="00E06970"/>
    <w:rsid w:val="00E06AC4"/>
    <w:rsid w:val="00E06C8B"/>
    <w:rsid w:val="00E079CA"/>
    <w:rsid w:val="00E07D64"/>
    <w:rsid w:val="00E07FD4"/>
    <w:rsid w:val="00E1001F"/>
    <w:rsid w:val="00E10452"/>
    <w:rsid w:val="00E10706"/>
    <w:rsid w:val="00E115D4"/>
    <w:rsid w:val="00E1167F"/>
    <w:rsid w:val="00E1170D"/>
    <w:rsid w:val="00E126F2"/>
    <w:rsid w:val="00E1313E"/>
    <w:rsid w:val="00E138B7"/>
    <w:rsid w:val="00E15CA5"/>
    <w:rsid w:val="00E15F8A"/>
    <w:rsid w:val="00E16329"/>
    <w:rsid w:val="00E16E6B"/>
    <w:rsid w:val="00E16F9B"/>
    <w:rsid w:val="00E17AC2"/>
    <w:rsid w:val="00E209F9"/>
    <w:rsid w:val="00E20A2C"/>
    <w:rsid w:val="00E2201B"/>
    <w:rsid w:val="00E22258"/>
    <w:rsid w:val="00E227DB"/>
    <w:rsid w:val="00E2287F"/>
    <w:rsid w:val="00E23661"/>
    <w:rsid w:val="00E23E36"/>
    <w:rsid w:val="00E24728"/>
    <w:rsid w:val="00E24E5A"/>
    <w:rsid w:val="00E24FC6"/>
    <w:rsid w:val="00E251B6"/>
    <w:rsid w:val="00E25CE8"/>
    <w:rsid w:val="00E25E10"/>
    <w:rsid w:val="00E268F7"/>
    <w:rsid w:val="00E269EE"/>
    <w:rsid w:val="00E2742B"/>
    <w:rsid w:val="00E278E6"/>
    <w:rsid w:val="00E27D83"/>
    <w:rsid w:val="00E309F8"/>
    <w:rsid w:val="00E30B1E"/>
    <w:rsid w:val="00E31091"/>
    <w:rsid w:val="00E31358"/>
    <w:rsid w:val="00E313DA"/>
    <w:rsid w:val="00E32A95"/>
    <w:rsid w:val="00E3337D"/>
    <w:rsid w:val="00E3395A"/>
    <w:rsid w:val="00E33BDD"/>
    <w:rsid w:val="00E3428A"/>
    <w:rsid w:val="00E34920"/>
    <w:rsid w:val="00E34923"/>
    <w:rsid w:val="00E34CA5"/>
    <w:rsid w:val="00E353BA"/>
    <w:rsid w:val="00E35766"/>
    <w:rsid w:val="00E357E4"/>
    <w:rsid w:val="00E35CE8"/>
    <w:rsid w:val="00E35E89"/>
    <w:rsid w:val="00E36862"/>
    <w:rsid w:val="00E36BFC"/>
    <w:rsid w:val="00E36DBC"/>
    <w:rsid w:val="00E376A8"/>
    <w:rsid w:val="00E377BF"/>
    <w:rsid w:val="00E404F9"/>
    <w:rsid w:val="00E40710"/>
    <w:rsid w:val="00E41259"/>
    <w:rsid w:val="00E414CC"/>
    <w:rsid w:val="00E42220"/>
    <w:rsid w:val="00E43F4C"/>
    <w:rsid w:val="00E443E3"/>
    <w:rsid w:val="00E4491D"/>
    <w:rsid w:val="00E44FD0"/>
    <w:rsid w:val="00E45065"/>
    <w:rsid w:val="00E45A1F"/>
    <w:rsid w:val="00E467E7"/>
    <w:rsid w:val="00E470E6"/>
    <w:rsid w:val="00E476C7"/>
    <w:rsid w:val="00E4798D"/>
    <w:rsid w:val="00E47B6B"/>
    <w:rsid w:val="00E47D2F"/>
    <w:rsid w:val="00E50685"/>
    <w:rsid w:val="00E50F60"/>
    <w:rsid w:val="00E5122B"/>
    <w:rsid w:val="00E5179A"/>
    <w:rsid w:val="00E52982"/>
    <w:rsid w:val="00E52DD2"/>
    <w:rsid w:val="00E539E7"/>
    <w:rsid w:val="00E53C10"/>
    <w:rsid w:val="00E55AA6"/>
    <w:rsid w:val="00E579D7"/>
    <w:rsid w:val="00E57D10"/>
    <w:rsid w:val="00E609A0"/>
    <w:rsid w:val="00E60C74"/>
    <w:rsid w:val="00E6161F"/>
    <w:rsid w:val="00E6178E"/>
    <w:rsid w:val="00E61FD3"/>
    <w:rsid w:val="00E62074"/>
    <w:rsid w:val="00E6249C"/>
    <w:rsid w:val="00E62A5B"/>
    <w:rsid w:val="00E632A8"/>
    <w:rsid w:val="00E63E40"/>
    <w:rsid w:val="00E641C9"/>
    <w:rsid w:val="00E641DC"/>
    <w:rsid w:val="00E64D27"/>
    <w:rsid w:val="00E64D2F"/>
    <w:rsid w:val="00E6596F"/>
    <w:rsid w:val="00E6598D"/>
    <w:rsid w:val="00E6605E"/>
    <w:rsid w:val="00E661F7"/>
    <w:rsid w:val="00E66BA4"/>
    <w:rsid w:val="00E66F0F"/>
    <w:rsid w:val="00E67100"/>
    <w:rsid w:val="00E67B53"/>
    <w:rsid w:val="00E7095D"/>
    <w:rsid w:val="00E70BF2"/>
    <w:rsid w:val="00E7108A"/>
    <w:rsid w:val="00E71209"/>
    <w:rsid w:val="00E71534"/>
    <w:rsid w:val="00E71D87"/>
    <w:rsid w:val="00E725D9"/>
    <w:rsid w:val="00E72FFF"/>
    <w:rsid w:val="00E73611"/>
    <w:rsid w:val="00E7446E"/>
    <w:rsid w:val="00E7596E"/>
    <w:rsid w:val="00E76B1D"/>
    <w:rsid w:val="00E77503"/>
    <w:rsid w:val="00E80CC5"/>
    <w:rsid w:val="00E81063"/>
    <w:rsid w:val="00E8129E"/>
    <w:rsid w:val="00E81CC9"/>
    <w:rsid w:val="00E81DF5"/>
    <w:rsid w:val="00E81E3F"/>
    <w:rsid w:val="00E825CA"/>
    <w:rsid w:val="00E83DBE"/>
    <w:rsid w:val="00E84118"/>
    <w:rsid w:val="00E8415D"/>
    <w:rsid w:val="00E84202"/>
    <w:rsid w:val="00E847A1"/>
    <w:rsid w:val="00E84B8C"/>
    <w:rsid w:val="00E851B0"/>
    <w:rsid w:val="00E8558B"/>
    <w:rsid w:val="00E857E0"/>
    <w:rsid w:val="00E85ACB"/>
    <w:rsid w:val="00E86111"/>
    <w:rsid w:val="00E866A2"/>
    <w:rsid w:val="00E86979"/>
    <w:rsid w:val="00E900D7"/>
    <w:rsid w:val="00E909DE"/>
    <w:rsid w:val="00E90A06"/>
    <w:rsid w:val="00E915E1"/>
    <w:rsid w:val="00E91771"/>
    <w:rsid w:val="00E921F0"/>
    <w:rsid w:val="00E92DBE"/>
    <w:rsid w:val="00E92EF9"/>
    <w:rsid w:val="00E93142"/>
    <w:rsid w:val="00E932AB"/>
    <w:rsid w:val="00E93A9D"/>
    <w:rsid w:val="00E94B3D"/>
    <w:rsid w:val="00E94CE7"/>
    <w:rsid w:val="00E9507A"/>
    <w:rsid w:val="00E95579"/>
    <w:rsid w:val="00E95956"/>
    <w:rsid w:val="00E95D77"/>
    <w:rsid w:val="00E9688A"/>
    <w:rsid w:val="00E97164"/>
    <w:rsid w:val="00EA1519"/>
    <w:rsid w:val="00EA1967"/>
    <w:rsid w:val="00EA1A5A"/>
    <w:rsid w:val="00EA1D11"/>
    <w:rsid w:val="00EA1EB6"/>
    <w:rsid w:val="00EA26D9"/>
    <w:rsid w:val="00EA2998"/>
    <w:rsid w:val="00EA3214"/>
    <w:rsid w:val="00EA3224"/>
    <w:rsid w:val="00EA328B"/>
    <w:rsid w:val="00EA3420"/>
    <w:rsid w:val="00EA36DF"/>
    <w:rsid w:val="00EA3E46"/>
    <w:rsid w:val="00EA42D5"/>
    <w:rsid w:val="00EA522D"/>
    <w:rsid w:val="00EA6195"/>
    <w:rsid w:val="00EA63C0"/>
    <w:rsid w:val="00EA69D7"/>
    <w:rsid w:val="00EA6D0E"/>
    <w:rsid w:val="00EA70C1"/>
    <w:rsid w:val="00EA73ED"/>
    <w:rsid w:val="00EA75A0"/>
    <w:rsid w:val="00EA7C58"/>
    <w:rsid w:val="00EB0407"/>
    <w:rsid w:val="00EB0536"/>
    <w:rsid w:val="00EB074A"/>
    <w:rsid w:val="00EB07BB"/>
    <w:rsid w:val="00EB183C"/>
    <w:rsid w:val="00EB1919"/>
    <w:rsid w:val="00EB1ED6"/>
    <w:rsid w:val="00EB231A"/>
    <w:rsid w:val="00EB2587"/>
    <w:rsid w:val="00EB282B"/>
    <w:rsid w:val="00EB2BAE"/>
    <w:rsid w:val="00EB2CF9"/>
    <w:rsid w:val="00EB33E6"/>
    <w:rsid w:val="00EB368D"/>
    <w:rsid w:val="00EB3A1F"/>
    <w:rsid w:val="00EB3AF3"/>
    <w:rsid w:val="00EB40F5"/>
    <w:rsid w:val="00EB42A8"/>
    <w:rsid w:val="00EB4C52"/>
    <w:rsid w:val="00EB5601"/>
    <w:rsid w:val="00EB5DA2"/>
    <w:rsid w:val="00EB6EE9"/>
    <w:rsid w:val="00EC0529"/>
    <w:rsid w:val="00EC0C44"/>
    <w:rsid w:val="00EC28B7"/>
    <w:rsid w:val="00EC3C34"/>
    <w:rsid w:val="00EC4944"/>
    <w:rsid w:val="00EC501A"/>
    <w:rsid w:val="00EC526F"/>
    <w:rsid w:val="00EC52D6"/>
    <w:rsid w:val="00EC5396"/>
    <w:rsid w:val="00EC5C01"/>
    <w:rsid w:val="00EC611B"/>
    <w:rsid w:val="00EC655F"/>
    <w:rsid w:val="00EC6C96"/>
    <w:rsid w:val="00ED055C"/>
    <w:rsid w:val="00ED0A75"/>
    <w:rsid w:val="00ED1354"/>
    <w:rsid w:val="00ED14A5"/>
    <w:rsid w:val="00ED153C"/>
    <w:rsid w:val="00ED1E3A"/>
    <w:rsid w:val="00ED2760"/>
    <w:rsid w:val="00ED27E1"/>
    <w:rsid w:val="00ED2A5E"/>
    <w:rsid w:val="00ED3D72"/>
    <w:rsid w:val="00ED40F5"/>
    <w:rsid w:val="00ED4D9C"/>
    <w:rsid w:val="00ED50B2"/>
    <w:rsid w:val="00ED5BF7"/>
    <w:rsid w:val="00ED6072"/>
    <w:rsid w:val="00ED771C"/>
    <w:rsid w:val="00EE0F4A"/>
    <w:rsid w:val="00EE1676"/>
    <w:rsid w:val="00EE21EB"/>
    <w:rsid w:val="00EE2A20"/>
    <w:rsid w:val="00EE4385"/>
    <w:rsid w:val="00EE4F1F"/>
    <w:rsid w:val="00EE52B6"/>
    <w:rsid w:val="00EE5C4C"/>
    <w:rsid w:val="00EE62F5"/>
    <w:rsid w:val="00EE665F"/>
    <w:rsid w:val="00EE66FD"/>
    <w:rsid w:val="00EE69EE"/>
    <w:rsid w:val="00EE6CB0"/>
    <w:rsid w:val="00EE6D45"/>
    <w:rsid w:val="00EE7372"/>
    <w:rsid w:val="00EF048C"/>
    <w:rsid w:val="00EF063F"/>
    <w:rsid w:val="00EF082F"/>
    <w:rsid w:val="00EF08E3"/>
    <w:rsid w:val="00EF11D3"/>
    <w:rsid w:val="00EF157B"/>
    <w:rsid w:val="00EF2E4D"/>
    <w:rsid w:val="00EF3427"/>
    <w:rsid w:val="00EF3637"/>
    <w:rsid w:val="00EF398F"/>
    <w:rsid w:val="00EF418E"/>
    <w:rsid w:val="00EF42E0"/>
    <w:rsid w:val="00EF5074"/>
    <w:rsid w:val="00EF548F"/>
    <w:rsid w:val="00EF69E8"/>
    <w:rsid w:val="00EF7187"/>
    <w:rsid w:val="00EF7CB4"/>
    <w:rsid w:val="00EF7E24"/>
    <w:rsid w:val="00F00E2F"/>
    <w:rsid w:val="00F016EE"/>
    <w:rsid w:val="00F020F8"/>
    <w:rsid w:val="00F0278D"/>
    <w:rsid w:val="00F02EAA"/>
    <w:rsid w:val="00F031E1"/>
    <w:rsid w:val="00F03CAF"/>
    <w:rsid w:val="00F04A89"/>
    <w:rsid w:val="00F053B8"/>
    <w:rsid w:val="00F0658A"/>
    <w:rsid w:val="00F068A8"/>
    <w:rsid w:val="00F06F6C"/>
    <w:rsid w:val="00F07F54"/>
    <w:rsid w:val="00F10410"/>
    <w:rsid w:val="00F1053E"/>
    <w:rsid w:val="00F10924"/>
    <w:rsid w:val="00F10A35"/>
    <w:rsid w:val="00F11203"/>
    <w:rsid w:val="00F118A3"/>
    <w:rsid w:val="00F11CD7"/>
    <w:rsid w:val="00F12C49"/>
    <w:rsid w:val="00F13597"/>
    <w:rsid w:val="00F1383B"/>
    <w:rsid w:val="00F13E3E"/>
    <w:rsid w:val="00F14D12"/>
    <w:rsid w:val="00F15118"/>
    <w:rsid w:val="00F1548E"/>
    <w:rsid w:val="00F156C4"/>
    <w:rsid w:val="00F15CEC"/>
    <w:rsid w:val="00F16569"/>
    <w:rsid w:val="00F170E9"/>
    <w:rsid w:val="00F178DE"/>
    <w:rsid w:val="00F17BA5"/>
    <w:rsid w:val="00F17EF3"/>
    <w:rsid w:val="00F208F6"/>
    <w:rsid w:val="00F21235"/>
    <w:rsid w:val="00F2214A"/>
    <w:rsid w:val="00F22C57"/>
    <w:rsid w:val="00F2346B"/>
    <w:rsid w:val="00F2370F"/>
    <w:rsid w:val="00F23A78"/>
    <w:rsid w:val="00F23D99"/>
    <w:rsid w:val="00F24A25"/>
    <w:rsid w:val="00F24A45"/>
    <w:rsid w:val="00F24E3B"/>
    <w:rsid w:val="00F2521C"/>
    <w:rsid w:val="00F2641E"/>
    <w:rsid w:val="00F27408"/>
    <w:rsid w:val="00F27E8B"/>
    <w:rsid w:val="00F3089D"/>
    <w:rsid w:val="00F30D33"/>
    <w:rsid w:val="00F31078"/>
    <w:rsid w:val="00F31535"/>
    <w:rsid w:val="00F31ECF"/>
    <w:rsid w:val="00F31F97"/>
    <w:rsid w:val="00F31FD8"/>
    <w:rsid w:val="00F33E5E"/>
    <w:rsid w:val="00F33F17"/>
    <w:rsid w:val="00F34445"/>
    <w:rsid w:val="00F345EA"/>
    <w:rsid w:val="00F34890"/>
    <w:rsid w:val="00F34BA8"/>
    <w:rsid w:val="00F34F53"/>
    <w:rsid w:val="00F35453"/>
    <w:rsid w:val="00F3651C"/>
    <w:rsid w:val="00F368F8"/>
    <w:rsid w:val="00F36D7D"/>
    <w:rsid w:val="00F36F19"/>
    <w:rsid w:val="00F379D8"/>
    <w:rsid w:val="00F37BA5"/>
    <w:rsid w:val="00F37F1D"/>
    <w:rsid w:val="00F40B38"/>
    <w:rsid w:val="00F41575"/>
    <w:rsid w:val="00F41693"/>
    <w:rsid w:val="00F41982"/>
    <w:rsid w:val="00F41FA1"/>
    <w:rsid w:val="00F4256F"/>
    <w:rsid w:val="00F42698"/>
    <w:rsid w:val="00F427E0"/>
    <w:rsid w:val="00F42AC9"/>
    <w:rsid w:val="00F43209"/>
    <w:rsid w:val="00F4441C"/>
    <w:rsid w:val="00F444B7"/>
    <w:rsid w:val="00F44ABB"/>
    <w:rsid w:val="00F44DAA"/>
    <w:rsid w:val="00F44F2A"/>
    <w:rsid w:val="00F45254"/>
    <w:rsid w:val="00F45304"/>
    <w:rsid w:val="00F45573"/>
    <w:rsid w:val="00F45CFC"/>
    <w:rsid w:val="00F46AB9"/>
    <w:rsid w:val="00F46B5A"/>
    <w:rsid w:val="00F46CC7"/>
    <w:rsid w:val="00F46D4F"/>
    <w:rsid w:val="00F471B5"/>
    <w:rsid w:val="00F507C7"/>
    <w:rsid w:val="00F5088B"/>
    <w:rsid w:val="00F50E71"/>
    <w:rsid w:val="00F5181D"/>
    <w:rsid w:val="00F519E6"/>
    <w:rsid w:val="00F52633"/>
    <w:rsid w:val="00F53915"/>
    <w:rsid w:val="00F53DC4"/>
    <w:rsid w:val="00F53F30"/>
    <w:rsid w:val="00F540E2"/>
    <w:rsid w:val="00F54BA5"/>
    <w:rsid w:val="00F550B1"/>
    <w:rsid w:val="00F56E08"/>
    <w:rsid w:val="00F57032"/>
    <w:rsid w:val="00F57934"/>
    <w:rsid w:val="00F57D9E"/>
    <w:rsid w:val="00F6104A"/>
    <w:rsid w:val="00F632A3"/>
    <w:rsid w:val="00F63EDE"/>
    <w:rsid w:val="00F64289"/>
    <w:rsid w:val="00F646FA"/>
    <w:rsid w:val="00F64EF6"/>
    <w:rsid w:val="00F64FAE"/>
    <w:rsid w:val="00F65292"/>
    <w:rsid w:val="00F65326"/>
    <w:rsid w:val="00F65AF2"/>
    <w:rsid w:val="00F66234"/>
    <w:rsid w:val="00F664AB"/>
    <w:rsid w:val="00F671DA"/>
    <w:rsid w:val="00F674C4"/>
    <w:rsid w:val="00F6763E"/>
    <w:rsid w:val="00F67893"/>
    <w:rsid w:val="00F70DA2"/>
    <w:rsid w:val="00F718C0"/>
    <w:rsid w:val="00F72300"/>
    <w:rsid w:val="00F72AC5"/>
    <w:rsid w:val="00F7306F"/>
    <w:rsid w:val="00F7384B"/>
    <w:rsid w:val="00F74271"/>
    <w:rsid w:val="00F75072"/>
    <w:rsid w:val="00F75CA3"/>
    <w:rsid w:val="00F7602A"/>
    <w:rsid w:val="00F76540"/>
    <w:rsid w:val="00F76B54"/>
    <w:rsid w:val="00F76B77"/>
    <w:rsid w:val="00F76D71"/>
    <w:rsid w:val="00F7775D"/>
    <w:rsid w:val="00F778A0"/>
    <w:rsid w:val="00F80238"/>
    <w:rsid w:val="00F807DA"/>
    <w:rsid w:val="00F8080E"/>
    <w:rsid w:val="00F81BD5"/>
    <w:rsid w:val="00F81F83"/>
    <w:rsid w:val="00F82438"/>
    <w:rsid w:val="00F83572"/>
    <w:rsid w:val="00F8357C"/>
    <w:rsid w:val="00F84DF3"/>
    <w:rsid w:val="00F84F9E"/>
    <w:rsid w:val="00F85313"/>
    <w:rsid w:val="00F85315"/>
    <w:rsid w:val="00F85475"/>
    <w:rsid w:val="00F85504"/>
    <w:rsid w:val="00F85D97"/>
    <w:rsid w:val="00F85E4C"/>
    <w:rsid w:val="00F85E6F"/>
    <w:rsid w:val="00F86154"/>
    <w:rsid w:val="00F86215"/>
    <w:rsid w:val="00F865BE"/>
    <w:rsid w:val="00F86688"/>
    <w:rsid w:val="00F867F2"/>
    <w:rsid w:val="00F86C5E"/>
    <w:rsid w:val="00F86D96"/>
    <w:rsid w:val="00F8713D"/>
    <w:rsid w:val="00F873CD"/>
    <w:rsid w:val="00F87ECD"/>
    <w:rsid w:val="00F900F6"/>
    <w:rsid w:val="00F9056C"/>
    <w:rsid w:val="00F909C7"/>
    <w:rsid w:val="00F90B68"/>
    <w:rsid w:val="00F90C89"/>
    <w:rsid w:val="00F9161F"/>
    <w:rsid w:val="00F91888"/>
    <w:rsid w:val="00F91F4C"/>
    <w:rsid w:val="00F92E0C"/>
    <w:rsid w:val="00F94669"/>
    <w:rsid w:val="00F947AE"/>
    <w:rsid w:val="00F94E98"/>
    <w:rsid w:val="00F94EF4"/>
    <w:rsid w:val="00F95213"/>
    <w:rsid w:val="00F95832"/>
    <w:rsid w:val="00F95B8D"/>
    <w:rsid w:val="00F96A50"/>
    <w:rsid w:val="00F97773"/>
    <w:rsid w:val="00FA0A5E"/>
    <w:rsid w:val="00FA0E8B"/>
    <w:rsid w:val="00FA19D0"/>
    <w:rsid w:val="00FA1C4A"/>
    <w:rsid w:val="00FA3495"/>
    <w:rsid w:val="00FA3625"/>
    <w:rsid w:val="00FA3C6A"/>
    <w:rsid w:val="00FA4164"/>
    <w:rsid w:val="00FA4BB6"/>
    <w:rsid w:val="00FA5568"/>
    <w:rsid w:val="00FA64DA"/>
    <w:rsid w:val="00FA652A"/>
    <w:rsid w:val="00FA67C4"/>
    <w:rsid w:val="00FA6837"/>
    <w:rsid w:val="00FA7543"/>
    <w:rsid w:val="00FA7D7E"/>
    <w:rsid w:val="00FA7D9B"/>
    <w:rsid w:val="00FB1FF7"/>
    <w:rsid w:val="00FB215F"/>
    <w:rsid w:val="00FB2A27"/>
    <w:rsid w:val="00FB30DE"/>
    <w:rsid w:val="00FB35DA"/>
    <w:rsid w:val="00FB4408"/>
    <w:rsid w:val="00FB4464"/>
    <w:rsid w:val="00FB4C0B"/>
    <w:rsid w:val="00FB4EC2"/>
    <w:rsid w:val="00FB5B05"/>
    <w:rsid w:val="00FB5BF5"/>
    <w:rsid w:val="00FB62FE"/>
    <w:rsid w:val="00FB6842"/>
    <w:rsid w:val="00FB6C47"/>
    <w:rsid w:val="00FB6EEB"/>
    <w:rsid w:val="00FB702E"/>
    <w:rsid w:val="00FB7260"/>
    <w:rsid w:val="00FB7E2B"/>
    <w:rsid w:val="00FC04FF"/>
    <w:rsid w:val="00FC0A02"/>
    <w:rsid w:val="00FC0BBA"/>
    <w:rsid w:val="00FC1729"/>
    <w:rsid w:val="00FC21E2"/>
    <w:rsid w:val="00FC25CB"/>
    <w:rsid w:val="00FC2697"/>
    <w:rsid w:val="00FC2995"/>
    <w:rsid w:val="00FC2CCC"/>
    <w:rsid w:val="00FC345F"/>
    <w:rsid w:val="00FC371D"/>
    <w:rsid w:val="00FC385E"/>
    <w:rsid w:val="00FC4057"/>
    <w:rsid w:val="00FC4554"/>
    <w:rsid w:val="00FC4AAD"/>
    <w:rsid w:val="00FC4B72"/>
    <w:rsid w:val="00FC4D89"/>
    <w:rsid w:val="00FC5206"/>
    <w:rsid w:val="00FC55DB"/>
    <w:rsid w:val="00FC55E0"/>
    <w:rsid w:val="00FC5C1F"/>
    <w:rsid w:val="00FC61BF"/>
    <w:rsid w:val="00FC630F"/>
    <w:rsid w:val="00FC64BB"/>
    <w:rsid w:val="00FC72C1"/>
    <w:rsid w:val="00FC73A7"/>
    <w:rsid w:val="00FC769C"/>
    <w:rsid w:val="00FD028C"/>
    <w:rsid w:val="00FD0701"/>
    <w:rsid w:val="00FD0845"/>
    <w:rsid w:val="00FD1473"/>
    <w:rsid w:val="00FD151E"/>
    <w:rsid w:val="00FD2217"/>
    <w:rsid w:val="00FD2A5D"/>
    <w:rsid w:val="00FD31CE"/>
    <w:rsid w:val="00FD37F7"/>
    <w:rsid w:val="00FD3A3B"/>
    <w:rsid w:val="00FD4557"/>
    <w:rsid w:val="00FD5AA1"/>
    <w:rsid w:val="00FD61AD"/>
    <w:rsid w:val="00FD66DD"/>
    <w:rsid w:val="00FD723D"/>
    <w:rsid w:val="00FD76CC"/>
    <w:rsid w:val="00FD7FAE"/>
    <w:rsid w:val="00FE097C"/>
    <w:rsid w:val="00FE0CF9"/>
    <w:rsid w:val="00FE1562"/>
    <w:rsid w:val="00FE2FF7"/>
    <w:rsid w:val="00FE3F4D"/>
    <w:rsid w:val="00FE45A9"/>
    <w:rsid w:val="00FE4990"/>
    <w:rsid w:val="00FE5074"/>
    <w:rsid w:val="00FE52E2"/>
    <w:rsid w:val="00FE5AA2"/>
    <w:rsid w:val="00FE5DBC"/>
    <w:rsid w:val="00FE63E5"/>
    <w:rsid w:val="00FE6529"/>
    <w:rsid w:val="00FE6708"/>
    <w:rsid w:val="00FE6F25"/>
    <w:rsid w:val="00FE6FDC"/>
    <w:rsid w:val="00FE71D7"/>
    <w:rsid w:val="00FF014F"/>
    <w:rsid w:val="00FF03D7"/>
    <w:rsid w:val="00FF2591"/>
    <w:rsid w:val="00FF369C"/>
    <w:rsid w:val="00FF3E53"/>
    <w:rsid w:val="00FF41A4"/>
    <w:rsid w:val="00FF43D5"/>
    <w:rsid w:val="00FF4DD1"/>
    <w:rsid w:val="00FF4FC3"/>
    <w:rsid w:val="00FF62EA"/>
    <w:rsid w:val="00FF6451"/>
    <w:rsid w:val="00FF6C48"/>
    <w:rsid w:val="00FF7244"/>
    <w:rsid w:val="00FF793B"/>
    <w:rsid w:val="08AA90F5"/>
    <w:rsid w:val="097E1386"/>
    <w:rsid w:val="0A082BBA"/>
    <w:rsid w:val="15B7F9BC"/>
    <w:rsid w:val="1B67C855"/>
    <w:rsid w:val="248DF834"/>
    <w:rsid w:val="257A5221"/>
    <w:rsid w:val="2AD50C9B"/>
    <w:rsid w:val="2F1F2AAF"/>
    <w:rsid w:val="39295026"/>
    <w:rsid w:val="3F885779"/>
    <w:rsid w:val="3FA3EDBD"/>
    <w:rsid w:val="455D9360"/>
    <w:rsid w:val="4D60921D"/>
    <w:rsid w:val="642BAAFB"/>
    <w:rsid w:val="68A4D378"/>
    <w:rsid w:val="6C5A3C29"/>
    <w:rsid w:val="7DE8E393"/>
    <w:rsid w:val="7E7410B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3DA8D7ED"/>
  <w15:docId w15:val="{98F4C1C8-7D4D-483B-A85D-2D675F21D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iPriority="13"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qFormat/>
    <w:rsid w:val="00985B69"/>
    <w:pPr>
      <w:spacing w:after="120"/>
    </w:pPr>
    <w:rPr>
      <w:rFonts w:eastAsia="Calibri"/>
      <w:color w:val="000000"/>
    </w:rPr>
  </w:style>
  <w:style w:type="paragraph" w:styleId="Heading1">
    <w:name w:val="heading 1"/>
    <w:basedOn w:val="BodyText"/>
    <w:next w:val="BodyText"/>
    <w:link w:val="Heading1Char"/>
    <w:uiPriority w:val="1"/>
    <w:qFormat/>
    <w:locked/>
    <w:rsid w:val="00152BAC"/>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1"/>
    <w:qFormat/>
    <w:locked/>
    <w:rsid w:val="00152BAC"/>
    <w:pPr>
      <w:pageBreakBefore/>
      <w:numPr>
        <w:numId w:val="21"/>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1"/>
    <w:qFormat/>
    <w:locked/>
    <w:rsid w:val="00152BAC"/>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152BAC"/>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152BAC"/>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152BAC"/>
    <w:pPr>
      <w:numPr>
        <w:ilvl w:val="4"/>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152BAC"/>
    <w:pPr>
      <w:spacing w:before="240" w:after="60"/>
      <w:outlineLvl w:val="6"/>
    </w:pPr>
    <w:rPr>
      <w:rFonts w:asciiTheme="minorHAnsi" w:hAnsiTheme="minorHAnsi" w:cstheme="majorBidi"/>
      <w:b/>
      <w:i/>
    </w:rPr>
  </w:style>
  <w:style w:type="paragraph" w:styleId="Heading8">
    <w:name w:val="heading 8"/>
    <w:basedOn w:val="Normal"/>
    <w:next w:val="Normal"/>
    <w:link w:val="Heading8Char"/>
    <w:uiPriority w:val="99"/>
    <w:semiHidden/>
    <w:qFormat/>
    <w:locked/>
    <w:rsid w:val="00152BAC"/>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152BAC"/>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152BAC"/>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152BAC"/>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152BAC"/>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152BAC"/>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152BAC"/>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152BAC"/>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152BAC"/>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B53405"/>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link w:val="ListBulletChar"/>
    <w:qFormat/>
    <w:locked/>
    <w:rsid w:val="00F31F97"/>
    <w:pPr>
      <w:numPr>
        <w:numId w:val="7"/>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qFormat/>
    <w:locked/>
    <w:rsid w:val="00F31F97"/>
    <w:pPr>
      <w:numPr>
        <w:ilvl w:val="1"/>
        <w:numId w:val="7"/>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152BAC"/>
    <w:pPr>
      <w:tabs>
        <w:tab w:val="left" w:pos="288"/>
        <w:tab w:val="right" w:leader="dot" w:pos="9639"/>
      </w:tabs>
      <w:spacing w:line="240" w:lineRule="auto"/>
    </w:pPr>
    <w:rPr>
      <w:b/>
      <w:noProof/>
      <w:color w:val="146692" w:themeColor="text2"/>
    </w:rPr>
  </w:style>
  <w:style w:type="paragraph" w:styleId="TOC2">
    <w:name w:val="toc 2"/>
    <w:basedOn w:val="TOC1"/>
    <w:uiPriority w:val="39"/>
    <w:unhideWhenUsed/>
    <w:locked/>
    <w:rsid w:val="00152BAC"/>
    <w:pPr>
      <w:spacing w:before="60" w:after="60"/>
    </w:pPr>
    <w:rPr>
      <w:color w:val="auto"/>
    </w:rPr>
  </w:style>
  <w:style w:type="table" w:styleId="TableGrid">
    <w:name w:val="Table Grid"/>
    <w:basedOn w:val="TableNormal"/>
    <w:uiPriority w:val="3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locked/>
    <w:rsid w:val="00152BAC"/>
    <w:pPr>
      <w:tabs>
        <w:tab w:val="left" w:pos="1134"/>
      </w:tabs>
      <w:ind w:left="567"/>
    </w:pPr>
    <w:rPr>
      <w:b w:val="0"/>
    </w:rPr>
  </w:style>
  <w:style w:type="paragraph" w:customStyle="1" w:styleId="PartTitle">
    <w:name w:val="PartTitle"/>
    <w:basedOn w:val="Heading2"/>
    <w:next w:val="BodyText"/>
    <w:uiPriority w:val="12"/>
    <w:rsid w:val="00280214"/>
    <w:pPr>
      <w:keepNext/>
      <w:pageBreakBefore w:val="0"/>
      <w:ind w:left="0" w:firstLine="0"/>
      <w:outlineLvl w:val="0"/>
    </w:pPr>
    <w:rPr>
      <w:color w:val="006D99" w:themeColor="accent1" w:themeShade="BF"/>
      <w:sz w:val="72"/>
    </w:rPr>
  </w:style>
  <w:style w:type="paragraph" w:styleId="ListNumber">
    <w:name w:val="List Number"/>
    <w:basedOn w:val="Normal"/>
    <w:uiPriority w:val="4"/>
    <w:qFormat/>
    <w:locked/>
    <w:rsid w:val="0025295D"/>
    <w:pPr>
      <w:numPr>
        <w:numId w:val="12"/>
      </w:numPr>
      <w:spacing w:before="60" w:after="60"/>
      <w:ind w:left="681" w:hanging="397"/>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num" w:pos="360"/>
        <w:tab w:val="left" w:pos="1191"/>
      </w:tabs>
      <w:ind w:left="2320" w:firstLine="0"/>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9"/>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uiPriority w:val="39"/>
    <w:qFormat/>
    <w:locked/>
    <w:rsid w:val="004B4174"/>
    <w:pPr>
      <w:spacing w:before="0" w:after="960"/>
    </w:pPr>
    <w:rPr>
      <w:sz w:val="44"/>
    </w:rPr>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39"/>
    <w:locked/>
    <w:rsid w:val="00FE3F4D"/>
    <w:pPr>
      <w:spacing w:after="100"/>
      <w:ind w:left="1760"/>
    </w:pPr>
  </w:style>
  <w:style w:type="paragraph" w:styleId="Caption">
    <w:name w:val="caption"/>
    <w:basedOn w:val="BodyText"/>
    <w:next w:val="BodyText"/>
    <w:link w:val="CaptionChar"/>
    <w:uiPriority w:val="6"/>
    <w:qFormat/>
    <w:locked/>
    <w:rsid w:val="00F379D8"/>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152BAC"/>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152BAC"/>
    <w:pPr>
      <w:numPr>
        <w:numId w:val="0"/>
      </w:numPr>
    </w:pPr>
  </w:style>
  <w:style w:type="paragraph" w:customStyle="1" w:styleId="Heading2notnumbered">
    <w:name w:val="Heading 2 not numbered"/>
    <w:basedOn w:val="Heading2"/>
    <w:next w:val="BodyText"/>
    <w:uiPriority w:val="2"/>
    <w:qFormat/>
    <w:rsid w:val="00152BAC"/>
    <w:pPr>
      <w:numPr>
        <w:numId w:val="0"/>
      </w:numPr>
    </w:pPr>
  </w:style>
  <w:style w:type="paragraph" w:customStyle="1" w:styleId="Heading1noTOC">
    <w:name w:val="Heading 1 no TOC"/>
    <w:basedOn w:val="Heading1"/>
    <w:next w:val="BodyText"/>
    <w:uiPriority w:val="2"/>
    <w:qFormat/>
    <w:rsid w:val="00152BAC"/>
    <w:pPr>
      <w:ind w:left="0"/>
    </w:pPr>
  </w:style>
  <w:style w:type="character" w:customStyle="1" w:styleId="TOCHeadingChar">
    <w:name w:val="TOC Heading Char"/>
    <w:basedOn w:val="DefaultParagraphFont"/>
    <w:link w:val="TOCHeading"/>
    <w:uiPriority w:val="39"/>
    <w:locked/>
    <w:rsid w:val="004B4174"/>
    <w:rPr>
      <w:rFonts w:asciiTheme="majorHAnsi" w:eastAsia="Times New Roman" w:hAnsiTheme="majorHAnsi"/>
      <w:b/>
      <w:color w:val="146692" w:themeColor="text2"/>
      <w:sz w:val="44"/>
      <w:szCs w:val="72"/>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2"/>
      </w:numPr>
      <w:tabs>
        <w:tab w:val="num" w:pos="1209"/>
      </w:tabs>
      <w:ind w:left="1209"/>
    </w:pPr>
  </w:style>
  <w:style w:type="paragraph" w:styleId="ListBullet5">
    <w:name w:val="List Bullet 5"/>
    <w:basedOn w:val="Normal"/>
    <w:uiPriority w:val="99"/>
    <w:semiHidden/>
    <w:locked/>
    <w:rsid w:val="00E251B6"/>
    <w:pPr>
      <w:numPr>
        <w:numId w:val="3"/>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locked/>
    <w:rsid w:val="006E436D"/>
    <w:pPr>
      <w:tabs>
        <w:tab w:val="left" w:pos="1474"/>
        <w:tab w:val="right" w:leader="dot" w:pos="9639"/>
      </w:tabs>
      <w:spacing w:before="60" w:after="60"/>
      <w:ind w:left="567"/>
    </w:pPr>
  </w:style>
  <w:style w:type="paragraph" w:styleId="TOC6">
    <w:name w:val="toc 6"/>
    <w:basedOn w:val="Normal"/>
    <w:next w:val="Normal"/>
    <w:autoRedefine/>
    <w:uiPriority w:val="39"/>
    <w:locked/>
    <w:rsid w:val="00AD275A"/>
    <w:pPr>
      <w:ind w:left="1100"/>
    </w:pPr>
  </w:style>
  <w:style w:type="paragraph" w:styleId="TOC7">
    <w:name w:val="toc 7"/>
    <w:basedOn w:val="Normal"/>
    <w:next w:val="Normal"/>
    <w:autoRedefine/>
    <w:uiPriority w:val="39"/>
    <w:locked/>
    <w:rsid w:val="00AD275A"/>
    <w:pPr>
      <w:ind w:left="1320"/>
    </w:pPr>
  </w:style>
  <w:style w:type="paragraph" w:styleId="TOC8">
    <w:name w:val="toc 8"/>
    <w:basedOn w:val="Normal"/>
    <w:next w:val="Normal"/>
    <w:autoRedefine/>
    <w:uiPriority w:val="39"/>
    <w:locked/>
    <w:rsid w:val="00AD275A"/>
    <w:pPr>
      <w:ind w:left="1540"/>
    </w:pPr>
  </w:style>
  <w:style w:type="numbering" w:customStyle="1" w:styleId="TableBullets">
    <w:name w:val="TableBullets"/>
    <w:uiPriority w:val="99"/>
    <w:rsid w:val="008861FC"/>
    <w:pPr>
      <w:numPr>
        <w:numId w:val="5"/>
      </w:numPr>
    </w:pPr>
  </w:style>
  <w:style w:type="paragraph" w:customStyle="1" w:styleId="AppendixHeading1base">
    <w:name w:val="Appendix Heading 1 base"/>
    <w:uiPriority w:val="99"/>
    <w:semiHidden/>
    <w:qFormat/>
    <w:rsid w:val="0096552D"/>
    <w:pPr>
      <w:keepNext/>
      <w:pageBreakBefore/>
      <w:numPr>
        <w:numId w:val="6"/>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280214"/>
    <w:pPr>
      <w:pageBreakBefore w:val="0"/>
      <w:spacing w:before="360" w:after="240"/>
      <w:ind w:left="0" w:firstLine="0"/>
    </w:pPr>
    <w:rPr>
      <w:sz w:val="36"/>
    </w:rPr>
  </w:style>
  <w:style w:type="paragraph" w:customStyle="1" w:styleId="AppendixHeading3">
    <w:name w:val="Appendix Heading 3"/>
    <w:basedOn w:val="Heading3"/>
    <w:next w:val="BodyText"/>
    <w:uiPriority w:val="12"/>
    <w:qFormat/>
    <w:rsid w:val="0040389D"/>
    <w:pPr>
      <w:keepLines/>
      <w:tabs>
        <w:tab w:val="left" w:pos="1134"/>
      </w:tabs>
      <w:spacing w:before="360"/>
    </w:pPr>
  </w:style>
  <w:style w:type="paragraph" w:customStyle="1" w:styleId="AppendixHeading4">
    <w:name w:val="Appendix Heading 4"/>
    <w:basedOn w:val="Heading4"/>
    <w:next w:val="BodyText"/>
    <w:uiPriority w:val="12"/>
    <w:qFormat/>
    <w:rsid w:val="001235BB"/>
    <w:pPr>
      <w:ind w:left="0" w:firstLine="0"/>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DC2413"/>
    <w:pPr>
      <w:ind w:left="567" w:hanging="567"/>
    </w:pPr>
  </w:style>
  <w:style w:type="paragraph" w:styleId="ListNumber2">
    <w:name w:val="List Number 2"/>
    <w:basedOn w:val="Normal"/>
    <w:uiPriority w:val="4"/>
    <w:qFormat/>
    <w:locked/>
    <w:rsid w:val="0025295D"/>
    <w:pPr>
      <w:numPr>
        <w:numId w:val="13"/>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152BAC"/>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uiPriority w:val="10"/>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8"/>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semiHidden/>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semiHidden/>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tabs>
        <w:tab w:val="clear" w:pos="1138"/>
        <w:tab w:val="left" w:pos="1134"/>
      </w:tabs>
      <w:ind w:left="0" w:firstLine="0"/>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semiHidden/>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semiHidden/>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10"/>
      </w:numPr>
      <w:contextualSpacing/>
    </w:pPr>
  </w:style>
  <w:style w:type="paragraph" w:styleId="ListNumber5">
    <w:name w:val="List Number 5"/>
    <w:basedOn w:val="Normal"/>
    <w:uiPriority w:val="99"/>
    <w:semiHidden/>
    <w:locked/>
    <w:rsid w:val="00A07E5A"/>
    <w:pPr>
      <w:numPr>
        <w:numId w:val="11"/>
      </w:numPr>
      <w:contextualSpacing/>
    </w:pPr>
  </w:style>
  <w:style w:type="paragraph" w:styleId="ListParagraph">
    <w:name w:val="List Paragraph"/>
    <w:basedOn w:val="Normal"/>
    <w:uiPriority w:val="34"/>
    <w:qFormat/>
    <w:locked/>
    <w:rsid w:val="00A07E5A"/>
    <w:pPr>
      <w:ind w:left="720"/>
      <w:contextualSpacing/>
    </w:pPr>
  </w:style>
  <w:style w:type="paragraph" w:styleId="NoSpacing">
    <w:name w:val="No Spacing"/>
    <w:uiPriority w:val="99"/>
    <w:semiHidden/>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A07E5A"/>
    <w:rPr>
      <w:i/>
      <w:iCs/>
      <w:color w:val="000000" w:themeColor="text1"/>
    </w:rPr>
  </w:style>
  <w:style w:type="character" w:customStyle="1" w:styleId="QuoteChar">
    <w:name w:val="Quote Char"/>
    <w:basedOn w:val="DefaultParagraphFont"/>
    <w:link w:val="Quote"/>
    <w:uiPriority w:val="99"/>
    <w:semiHidden/>
    <w:rsid w:val="00A07E5A"/>
    <w:rPr>
      <w:rFonts w:eastAsia="Calibri"/>
      <w:i/>
      <w:iCs/>
      <w:color w:val="000000" w:themeColor="text1"/>
    </w:rPr>
  </w:style>
  <w:style w:type="paragraph" w:styleId="Subtitle">
    <w:name w:val="Subtitle"/>
    <w:basedOn w:val="Normal"/>
    <w:next w:val="Normal"/>
    <w:link w:val="SubtitleChar"/>
    <w:uiPriority w:val="99"/>
    <w:semiHidden/>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semiHidden/>
    <w:rsid w:val="00A07E5A"/>
    <w:rPr>
      <w:rFonts w:asciiTheme="majorHAnsi" w:eastAsiaTheme="majorEastAsia" w:hAnsiTheme="majorHAnsi" w:cstheme="majorBidi"/>
      <w:i/>
      <w:iCs/>
      <w:color w:val="0093CD" w:themeColor="accent1"/>
      <w:spacing w:val="15"/>
    </w:rPr>
  </w:style>
  <w:style w:type="paragraph" w:customStyle="1" w:styleId="Summarystage2">
    <w:name w:val="Summary stage 2"/>
    <w:basedOn w:val="BodyText"/>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stage2">
    <w:name w:val="Summary heading stage 2"/>
    <w:basedOn w:val="Summarystage2"/>
    <w:uiPriority w:val="15"/>
    <w:qFormat/>
    <w:rsid w:val="009225B9"/>
    <w:rPr>
      <w:b/>
      <w:i/>
      <w:sz w:val="28"/>
      <w:szCs w:val="28"/>
    </w:rPr>
  </w:style>
  <w:style w:type="paragraph" w:customStyle="1" w:styleId="Summaryheadingstage3">
    <w:name w:val="Summary heading stage 3"/>
    <w:basedOn w:val="Summaryheadingstage2"/>
    <w:uiPriority w:val="16"/>
    <w:qFormat/>
    <w:rsid w:val="009225B9"/>
    <w:pPr>
      <w:shd w:val="clear" w:color="auto" w:fill="CCEEDB"/>
    </w:pPr>
  </w:style>
  <w:style w:type="paragraph" w:customStyle="1" w:styleId="Summarystage3">
    <w:name w:val="Summary stage 3"/>
    <w:basedOn w:val="Summarystage2"/>
    <w:uiPriority w:val="17"/>
    <w:qFormat/>
    <w:rsid w:val="009225B9"/>
    <w:pPr>
      <w:shd w:val="clear" w:color="auto" w:fill="CCEEDB"/>
    </w:pPr>
  </w:style>
  <w:style w:type="paragraph" w:customStyle="1" w:styleId="Summaryheadingstage1">
    <w:name w:val="Summary heading stage 1"/>
    <w:basedOn w:val="Summaryheadingstage2"/>
    <w:uiPriority w:val="14"/>
    <w:qFormat/>
    <w:rsid w:val="009225B9"/>
    <w:pPr>
      <w:shd w:val="clear" w:color="auto" w:fill="FAE3D3"/>
    </w:pPr>
  </w:style>
  <w:style w:type="paragraph" w:customStyle="1" w:styleId="Summarystage1">
    <w:name w:val="Summary stage 1"/>
    <w:basedOn w:val="Summarystage2"/>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9225B9"/>
    <w:pPr>
      <w:shd w:val="clear" w:color="auto" w:fill="FADCE3"/>
    </w:pPr>
  </w:style>
  <w:style w:type="paragraph" w:customStyle="1" w:styleId="Summarycomponent4">
    <w:name w:val="Summary component 4"/>
    <w:basedOn w:val="Summarystage2"/>
    <w:uiPriority w:val="19"/>
    <w:semiHidden/>
    <w:rsid w:val="009225B9"/>
    <w:pPr>
      <w:shd w:val="clear" w:color="auto" w:fill="FADCE3"/>
    </w:pPr>
  </w:style>
  <w:style w:type="paragraph" w:customStyle="1" w:styleId="Summaryheading">
    <w:name w:val="Summary heading"/>
    <w:basedOn w:val="Summaryheadingstage2"/>
    <w:uiPriority w:val="18"/>
    <w:qFormat/>
    <w:rsid w:val="009225B9"/>
    <w:pPr>
      <w:shd w:val="clear" w:color="auto" w:fill="E7E7E7"/>
    </w:pPr>
  </w:style>
  <w:style w:type="paragraph" w:customStyle="1" w:styleId="Summary">
    <w:name w:val="Summary"/>
    <w:basedOn w:val="Summarystage2"/>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152BAC"/>
    <w:pPr>
      <w:outlineLvl w:val="4"/>
    </w:pPr>
    <w:rPr>
      <w:b/>
      <w:sz w:val="28"/>
    </w:rPr>
  </w:style>
  <w:style w:type="paragraph" w:customStyle="1" w:styleId="Heading6notnumbered">
    <w:name w:val="Heading 6 not numbered"/>
    <w:basedOn w:val="BodyText"/>
    <w:uiPriority w:val="2"/>
    <w:qFormat/>
    <w:rsid w:val="00152BAC"/>
    <w:rPr>
      <w:b/>
      <w:szCs w:val="20"/>
    </w:rPr>
  </w:style>
  <w:style w:type="paragraph" w:customStyle="1" w:styleId="Heading6numbered">
    <w:name w:val="Heading 6 (numbered)"/>
    <w:basedOn w:val="Heading6"/>
    <w:uiPriority w:val="1"/>
    <w:semiHidden/>
    <w:qFormat/>
    <w:rsid w:val="00152BAC"/>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C122F9"/>
    <w:pPr>
      <w:spacing w:before="480"/>
      <w:ind w:left="0"/>
    </w:pPr>
    <w:rPr>
      <w:color w:val="764220" w:themeColor="background2" w:themeShade="BF"/>
      <w:sz w:val="48"/>
    </w:rPr>
  </w:style>
  <w:style w:type="character" w:customStyle="1" w:styleId="CoverTitleChar">
    <w:name w:val="CoverTitle Char"/>
    <w:basedOn w:val="Heading1Char"/>
    <w:link w:val="CoverTitle"/>
    <w:uiPriority w:val="99"/>
    <w:rsid w:val="00C122F9"/>
    <w:rPr>
      <w:rFonts w:asciiTheme="majorHAnsi" w:eastAsia="Times New Roman" w:hAnsiTheme="majorHAnsi"/>
      <w:b/>
      <w:color w:val="764220" w:themeColor="background2" w:themeShade="BF"/>
      <w:sz w:val="48"/>
      <w:szCs w:val="72"/>
    </w:rPr>
  </w:style>
  <w:style w:type="character" w:customStyle="1" w:styleId="UnresolvedMention1">
    <w:name w:val="Unresolved Mention1"/>
    <w:basedOn w:val="DefaultParagraphFont"/>
    <w:uiPriority w:val="99"/>
    <w:semiHidden/>
    <w:unhideWhenUsed/>
    <w:rsid w:val="004116FE"/>
    <w:rPr>
      <w:color w:val="808080"/>
      <w:shd w:val="clear" w:color="auto" w:fill="E6E6E6"/>
    </w:rPr>
  </w:style>
  <w:style w:type="paragraph" w:styleId="CommentText">
    <w:name w:val="annotation text"/>
    <w:aliases w:val="CT-DO NOT USE"/>
    <w:next w:val="BodyText"/>
    <w:link w:val="CommentTextChar"/>
    <w:uiPriority w:val="99"/>
    <w:locked/>
    <w:rsid w:val="00A66C7B"/>
    <w:pPr>
      <w:spacing w:line="280" w:lineRule="atLeast"/>
    </w:pPr>
    <w:rPr>
      <w:rFonts w:ascii="Arial" w:eastAsia="Times" w:hAnsi="Arial" w:cs="Arial"/>
      <w:sz w:val="20"/>
      <w:szCs w:val="20"/>
    </w:rPr>
  </w:style>
  <w:style w:type="character" w:customStyle="1" w:styleId="CommentTextChar">
    <w:name w:val="Comment Text Char"/>
    <w:aliases w:val="CT-DO NOT USE Char"/>
    <w:basedOn w:val="DefaultParagraphFont"/>
    <w:link w:val="CommentText"/>
    <w:uiPriority w:val="99"/>
    <w:rsid w:val="00A66C7B"/>
    <w:rPr>
      <w:rFonts w:ascii="Arial" w:eastAsia="Times" w:hAnsi="Arial" w:cs="Arial"/>
      <w:sz w:val="20"/>
      <w:szCs w:val="20"/>
    </w:rPr>
  </w:style>
  <w:style w:type="character" w:styleId="CommentReference">
    <w:name w:val="annotation reference"/>
    <w:aliases w:val="CR-DO NOT USE"/>
    <w:locked/>
    <w:rsid w:val="00A66C7B"/>
  </w:style>
  <w:style w:type="paragraph" w:customStyle="1" w:styleId="FiguresImagesCentred">
    <w:name w:val="Figures &amp; Images Centred"/>
    <w:basedOn w:val="Normal"/>
    <w:next w:val="Caption"/>
    <w:qFormat/>
    <w:rsid w:val="00A66C7B"/>
    <w:pPr>
      <w:keepNext/>
      <w:suppressAutoHyphens/>
      <w:spacing w:before="480" w:after="80" w:line="160" w:lineRule="atLeast"/>
      <w:jc w:val="center"/>
    </w:pPr>
    <w:rPr>
      <w:rFonts w:ascii="Arial" w:eastAsia="Times" w:hAnsi="Arial" w:cs="Arial"/>
      <w:sz w:val="20"/>
      <w:szCs w:val="20"/>
    </w:rPr>
  </w:style>
  <w:style w:type="paragraph" w:customStyle="1" w:styleId="Body">
    <w:name w:val="Body"/>
    <w:basedOn w:val="Normal"/>
    <w:link w:val="BodyChar"/>
    <w:qFormat/>
    <w:rsid w:val="009746FB"/>
    <w:pPr>
      <w:widowControl w:val="0"/>
      <w:suppressAutoHyphens/>
      <w:autoSpaceDE w:val="0"/>
      <w:autoSpaceDN w:val="0"/>
      <w:adjustRightInd w:val="0"/>
      <w:spacing w:before="0" w:after="113" w:line="280" w:lineRule="atLeast"/>
    </w:pPr>
    <w:rPr>
      <w:rFonts w:eastAsiaTheme="minorEastAsia" w:cs="Calibri"/>
      <w:sz w:val="22"/>
      <w:szCs w:val="18"/>
      <w:lang w:val="en-GB" w:eastAsia="ja-JP"/>
    </w:rPr>
  </w:style>
  <w:style w:type="paragraph" w:customStyle="1" w:styleId="Default">
    <w:name w:val="Default"/>
    <w:rsid w:val="001F5BDB"/>
    <w:pPr>
      <w:autoSpaceDE w:val="0"/>
      <w:autoSpaceDN w:val="0"/>
      <w:adjustRightInd w:val="0"/>
      <w:spacing w:before="0" w:after="0" w:line="240" w:lineRule="auto"/>
    </w:pPr>
    <w:rPr>
      <w:rFonts w:ascii="Arial" w:hAnsi="Arial" w:cs="Arial"/>
      <w:color w:val="000000"/>
    </w:rPr>
  </w:style>
  <w:style w:type="character" w:customStyle="1" w:styleId="CaptionChar">
    <w:name w:val="Caption Char"/>
    <w:basedOn w:val="DefaultParagraphFont"/>
    <w:link w:val="Caption"/>
    <w:uiPriority w:val="6"/>
    <w:locked/>
    <w:rsid w:val="000E341B"/>
    <w:rPr>
      <w:rFonts w:eastAsia="Calibri"/>
      <w:b/>
      <w:bCs/>
      <w:color w:val="146692" w:themeColor="text2"/>
      <w:sz w:val="20"/>
      <w:szCs w:val="18"/>
    </w:rPr>
  </w:style>
  <w:style w:type="character" w:customStyle="1" w:styleId="normaltextrun">
    <w:name w:val="normaltextrun"/>
    <w:basedOn w:val="DefaultParagraphFont"/>
    <w:rsid w:val="00276D7E"/>
  </w:style>
  <w:style w:type="character" w:customStyle="1" w:styleId="normaltextrun1">
    <w:name w:val="normaltextrun1"/>
    <w:basedOn w:val="DefaultParagraphFont"/>
    <w:rsid w:val="007D39D8"/>
  </w:style>
  <w:style w:type="paragraph" w:customStyle="1" w:styleId="paragraph">
    <w:name w:val="paragraph"/>
    <w:basedOn w:val="Normal"/>
    <w:rsid w:val="007D39D8"/>
    <w:pPr>
      <w:spacing w:before="0" w:after="0" w:line="240" w:lineRule="auto"/>
    </w:pPr>
    <w:rPr>
      <w:rFonts w:ascii="Times New Roman" w:eastAsia="Times New Roman" w:hAnsi="Times New Roman"/>
      <w:color w:val="auto"/>
    </w:rPr>
  </w:style>
  <w:style w:type="paragraph" w:customStyle="1" w:styleId="TableCaption">
    <w:name w:val="Table Caption"/>
    <w:basedOn w:val="Caption"/>
    <w:next w:val="BodyText"/>
    <w:uiPriority w:val="4"/>
    <w:qFormat/>
    <w:rsid w:val="007D39D8"/>
    <w:pPr>
      <w:spacing w:before="0" w:after="0"/>
      <w:contextualSpacing/>
    </w:pPr>
    <w:rPr>
      <w:b w:val="0"/>
      <w:color w:val="006D99" w:themeColor="accent1" w:themeShade="BF"/>
    </w:rPr>
  </w:style>
  <w:style w:type="paragraph" w:customStyle="1" w:styleId="Summarypink">
    <w:name w:val="Summary pink"/>
    <w:basedOn w:val="Normal"/>
    <w:uiPriority w:val="19"/>
    <w:rsid w:val="002F6EC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DCE3"/>
      <w:spacing w:after="180"/>
      <w:ind w:left="227" w:right="227"/>
    </w:pPr>
  </w:style>
  <w:style w:type="character" w:customStyle="1" w:styleId="UnresolvedMention2">
    <w:name w:val="Unresolved Mention2"/>
    <w:basedOn w:val="DefaultParagraphFont"/>
    <w:uiPriority w:val="99"/>
    <w:semiHidden/>
    <w:unhideWhenUsed/>
    <w:rsid w:val="0052462B"/>
    <w:rPr>
      <w:color w:val="605E5C"/>
      <w:shd w:val="clear" w:color="auto" w:fill="E1DFDD"/>
    </w:rPr>
  </w:style>
  <w:style w:type="character" w:customStyle="1" w:styleId="ReferencesChar">
    <w:name w:val="References Char"/>
    <w:link w:val="References"/>
    <w:locked/>
    <w:rsid w:val="0052462B"/>
    <w:rPr>
      <w:rFonts w:eastAsia="Calibri"/>
      <w:color w:val="000000"/>
    </w:rPr>
  </w:style>
  <w:style w:type="character" w:customStyle="1" w:styleId="ListBulletChar">
    <w:name w:val="List Bullet Char"/>
    <w:basedOn w:val="DefaultParagraphFont"/>
    <w:link w:val="ListBullet"/>
    <w:rsid w:val="00565D72"/>
    <w:rPr>
      <w:rFonts w:asciiTheme="minorHAnsi" w:eastAsia="Times New Roman" w:hAnsiTheme="minorHAnsi" w:cs="Arial"/>
      <w:szCs w:val="20"/>
    </w:rPr>
  </w:style>
  <w:style w:type="character" w:customStyle="1" w:styleId="BodyChar">
    <w:name w:val="Body Char"/>
    <w:basedOn w:val="DefaultParagraphFont"/>
    <w:link w:val="Body"/>
    <w:rsid w:val="00677A30"/>
    <w:rPr>
      <w:rFonts w:eastAsiaTheme="minorEastAsia" w:cs="Calibri"/>
      <w:color w:val="000000"/>
      <w:sz w:val="22"/>
      <w:szCs w:val="18"/>
      <w:lang w:val="en-GB" w:eastAsia="ja-JP"/>
    </w:rPr>
  </w:style>
  <w:style w:type="character" w:customStyle="1" w:styleId="eop">
    <w:name w:val="eop"/>
    <w:basedOn w:val="DefaultParagraphFont"/>
    <w:rsid w:val="00AB52FE"/>
  </w:style>
  <w:style w:type="character" w:customStyle="1" w:styleId="UnresolvedMention3">
    <w:name w:val="Unresolved Mention3"/>
    <w:basedOn w:val="DefaultParagraphFont"/>
    <w:uiPriority w:val="99"/>
    <w:semiHidden/>
    <w:unhideWhenUsed/>
    <w:rsid w:val="00C7028C"/>
    <w:rPr>
      <w:color w:val="605E5C"/>
      <w:shd w:val="clear" w:color="auto" w:fill="E1DFDD"/>
    </w:rPr>
  </w:style>
  <w:style w:type="character" w:styleId="UnresolvedMention">
    <w:name w:val="Unresolved Mention"/>
    <w:basedOn w:val="DefaultParagraphFont"/>
    <w:uiPriority w:val="99"/>
    <w:semiHidden/>
    <w:unhideWhenUsed/>
    <w:rsid w:val="000A5D57"/>
    <w:rPr>
      <w:color w:val="605E5C"/>
      <w:shd w:val="clear" w:color="auto" w:fill="E1DFDD"/>
    </w:rPr>
  </w:style>
  <w:style w:type="paragraph" w:customStyle="1" w:styleId="EndNoteBibliography">
    <w:name w:val="EndNote Bibliography"/>
    <w:basedOn w:val="Normal"/>
    <w:link w:val="EndNoteBibliographyChar"/>
    <w:rsid w:val="008C697A"/>
    <w:pPr>
      <w:spacing w:line="240" w:lineRule="auto"/>
      <w:jc w:val="center"/>
    </w:pPr>
    <w:rPr>
      <w:rFonts w:cs="Calibri"/>
      <w:noProof/>
    </w:rPr>
  </w:style>
  <w:style w:type="character" w:customStyle="1" w:styleId="EndNoteBibliographyChar">
    <w:name w:val="EndNote Bibliography Char"/>
    <w:basedOn w:val="DefaultParagraphFont"/>
    <w:link w:val="EndNoteBibliography"/>
    <w:rsid w:val="008C697A"/>
    <w:rPr>
      <w:rFonts w:eastAsia="Calibri" w:cs="Calibri"/>
      <w:noProof/>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58089568">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662898500">
      <w:bodyDiv w:val="1"/>
      <w:marLeft w:val="0"/>
      <w:marRight w:val="0"/>
      <w:marTop w:val="0"/>
      <w:marBottom w:val="0"/>
      <w:divBdr>
        <w:top w:val="none" w:sz="0" w:space="0" w:color="auto"/>
        <w:left w:val="none" w:sz="0" w:space="0" w:color="auto"/>
        <w:bottom w:val="none" w:sz="0" w:space="0" w:color="auto"/>
        <w:right w:val="none" w:sz="0" w:space="0" w:color="auto"/>
      </w:divBdr>
    </w:div>
    <w:div w:id="79371210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52576709">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139110120">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07921132">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60114456">
      <w:bodyDiv w:val="1"/>
      <w:marLeft w:val="0"/>
      <w:marRight w:val="0"/>
      <w:marTop w:val="0"/>
      <w:marBottom w:val="0"/>
      <w:divBdr>
        <w:top w:val="none" w:sz="0" w:space="0" w:color="auto"/>
        <w:left w:val="none" w:sz="0" w:space="0" w:color="auto"/>
        <w:bottom w:val="none" w:sz="0" w:space="0" w:color="auto"/>
        <w:right w:val="none" w:sz="0" w:space="0" w:color="auto"/>
      </w:divBdr>
    </w:div>
    <w:div w:id="2005205242">
      <w:bodyDiv w:val="1"/>
      <w:marLeft w:val="0"/>
      <w:marRight w:val="0"/>
      <w:marTop w:val="0"/>
      <w:marBottom w:val="0"/>
      <w:divBdr>
        <w:top w:val="none" w:sz="0" w:space="0" w:color="auto"/>
        <w:left w:val="none" w:sz="0" w:space="0" w:color="auto"/>
        <w:bottom w:val="none" w:sz="0" w:space="0" w:color="auto"/>
        <w:right w:val="none" w:sz="0" w:space="0" w:color="auto"/>
      </w:divBdr>
      <w:divsChild>
        <w:div w:id="21708007">
          <w:marLeft w:val="446"/>
          <w:marRight w:val="0"/>
          <w:marTop w:val="0"/>
          <w:marBottom w:val="0"/>
          <w:divBdr>
            <w:top w:val="none" w:sz="0" w:space="0" w:color="auto"/>
            <w:left w:val="none" w:sz="0" w:space="0" w:color="auto"/>
            <w:bottom w:val="none" w:sz="0" w:space="0" w:color="auto"/>
            <w:right w:val="none" w:sz="0" w:space="0" w:color="auto"/>
          </w:divBdr>
        </w:div>
      </w:divsChild>
    </w:div>
    <w:div w:id="2017078302">
      <w:bodyDiv w:val="1"/>
      <w:marLeft w:val="0"/>
      <w:marRight w:val="0"/>
      <w:marTop w:val="0"/>
      <w:marBottom w:val="0"/>
      <w:divBdr>
        <w:top w:val="none" w:sz="0" w:space="0" w:color="auto"/>
        <w:left w:val="none" w:sz="0" w:space="0" w:color="auto"/>
        <w:bottom w:val="none" w:sz="0" w:space="0" w:color="auto"/>
        <w:right w:val="none" w:sz="0" w:space="0" w:color="auto"/>
      </w:divBdr>
      <w:divsChild>
        <w:div w:id="1724257988">
          <w:marLeft w:val="0"/>
          <w:marRight w:val="0"/>
          <w:marTop w:val="0"/>
          <w:marBottom w:val="0"/>
          <w:divBdr>
            <w:top w:val="none" w:sz="0" w:space="0" w:color="auto"/>
            <w:left w:val="none" w:sz="0" w:space="0" w:color="auto"/>
            <w:bottom w:val="none" w:sz="0" w:space="0" w:color="auto"/>
            <w:right w:val="none" w:sz="0" w:space="0" w:color="auto"/>
          </w:divBdr>
          <w:divsChild>
            <w:div w:id="273558494">
              <w:marLeft w:val="0"/>
              <w:marRight w:val="0"/>
              <w:marTop w:val="0"/>
              <w:marBottom w:val="0"/>
              <w:divBdr>
                <w:top w:val="none" w:sz="0" w:space="0" w:color="auto"/>
                <w:left w:val="none" w:sz="0" w:space="0" w:color="auto"/>
                <w:bottom w:val="none" w:sz="0" w:space="0" w:color="auto"/>
                <w:right w:val="none" w:sz="0" w:space="0" w:color="auto"/>
              </w:divBdr>
              <w:divsChild>
                <w:div w:id="483815115">
                  <w:marLeft w:val="0"/>
                  <w:marRight w:val="0"/>
                  <w:marTop w:val="0"/>
                  <w:marBottom w:val="0"/>
                  <w:divBdr>
                    <w:top w:val="none" w:sz="0" w:space="0" w:color="auto"/>
                    <w:left w:val="none" w:sz="0" w:space="0" w:color="auto"/>
                    <w:bottom w:val="none" w:sz="0" w:space="0" w:color="auto"/>
                    <w:right w:val="none" w:sz="0" w:space="0" w:color="auto"/>
                  </w:divBdr>
                  <w:divsChild>
                    <w:div w:id="930311493">
                      <w:marLeft w:val="0"/>
                      <w:marRight w:val="0"/>
                      <w:marTop w:val="0"/>
                      <w:marBottom w:val="0"/>
                      <w:divBdr>
                        <w:top w:val="none" w:sz="0" w:space="0" w:color="auto"/>
                        <w:left w:val="none" w:sz="0" w:space="0" w:color="auto"/>
                        <w:bottom w:val="none" w:sz="0" w:space="0" w:color="auto"/>
                        <w:right w:val="none" w:sz="0" w:space="0" w:color="auto"/>
                      </w:divBdr>
                      <w:divsChild>
                        <w:div w:id="1127703317">
                          <w:marLeft w:val="0"/>
                          <w:marRight w:val="0"/>
                          <w:marTop w:val="0"/>
                          <w:marBottom w:val="0"/>
                          <w:divBdr>
                            <w:top w:val="none" w:sz="0" w:space="0" w:color="auto"/>
                            <w:left w:val="none" w:sz="0" w:space="0" w:color="auto"/>
                            <w:bottom w:val="none" w:sz="0" w:space="0" w:color="auto"/>
                            <w:right w:val="none" w:sz="0" w:space="0" w:color="auto"/>
                          </w:divBdr>
                          <w:divsChild>
                            <w:div w:id="1889606139">
                              <w:marLeft w:val="0"/>
                              <w:marRight w:val="0"/>
                              <w:marTop w:val="0"/>
                              <w:marBottom w:val="0"/>
                              <w:divBdr>
                                <w:top w:val="none" w:sz="0" w:space="0" w:color="auto"/>
                                <w:left w:val="none" w:sz="0" w:space="0" w:color="auto"/>
                                <w:bottom w:val="none" w:sz="0" w:space="0" w:color="auto"/>
                                <w:right w:val="none" w:sz="0" w:space="0" w:color="auto"/>
                              </w:divBdr>
                              <w:divsChild>
                                <w:div w:id="2074084865">
                                  <w:marLeft w:val="0"/>
                                  <w:marRight w:val="0"/>
                                  <w:marTop w:val="0"/>
                                  <w:marBottom w:val="0"/>
                                  <w:divBdr>
                                    <w:top w:val="none" w:sz="0" w:space="0" w:color="auto"/>
                                    <w:left w:val="none" w:sz="0" w:space="0" w:color="auto"/>
                                    <w:bottom w:val="none" w:sz="0" w:space="0" w:color="auto"/>
                                    <w:right w:val="none" w:sz="0" w:space="0" w:color="auto"/>
                                  </w:divBdr>
                                  <w:divsChild>
                                    <w:div w:id="1565214935">
                                      <w:marLeft w:val="0"/>
                                      <w:marRight w:val="0"/>
                                      <w:marTop w:val="0"/>
                                      <w:marBottom w:val="0"/>
                                      <w:divBdr>
                                        <w:top w:val="none" w:sz="0" w:space="0" w:color="auto"/>
                                        <w:left w:val="none" w:sz="0" w:space="0" w:color="auto"/>
                                        <w:bottom w:val="none" w:sz="0" w:space="0" w:color="auto"/>
                                        <w:right w:val="none" w:sz="0" w:space="0" w:color="auto"/>
                                      </w:divBdr>
                                      <w:divsChild>
                                        <w:div w:id="1785269842">
                                          <w:marLeft w:val="0"/>
                                          <w:marRight w:val="0"/>
                                          <w:marTop w:val="0"/>
                                          <w:marBottom w:val="0"/>
                                          <w:divBdr>
                                            <w:top w:val="none" w:sz="0" w:space="0" w:color="auto"/>
                                            <w:left w:val="none" w:sz="0" w:space="0" w:color="auto"/>
                                            <w:bottom w:val="none" w:sz="0" w:space="0" w:color="auto"/>
                                            <w:right w:val="none" w:sz="0" w:space="0" w:color="auto"/>
                                          </w:divBdr>
                                          <w:divsChild>
                                            <w:div w:id="2115199649">
                                              <w:marLeft w:val="0"/>
                                              <w:marRight w:val="0"/>
                                              <w:marTop w:val="0"/>
                                              <w:marBottom w:val="0"/>
                                              <w:divBdr>
                                                <w:top w:val="none" w:sz="0" w:space="0" w:color="auto"/>
                                                <w:left w:val="none" w:sz="0" w:space="0" w:color="auto"/>
                                                <w:bottom w:val="none" w:sz="0" w:space="0" w:color="auto"/>
                                                <w:right w:val="none" w:sz="0" w:space="0" w:color="auto"/>
                                              </w:divBdr>
                                              <w:divsChild>
                                                <w:div w:id="1285037068">
                                                  <w:marLeft w:val="0"/>
                                                  <w:marRight w:val="0"/>
                                                  <w:marTop w:val="0"/>
                                                  <w:marBottom w:val="0"/>
                                                  <w:divBdr>
                                                    <w:top w:val="none" w:sz="0" w:space="0" w:color="auto"/>
                                                    <w:left w:val="none" w:sz="0" w:space="0" w:color="auto"/>
                                                    <w:bottom w:val="none" w:sz="0" w:space="0" w:color="auto"/>
                                                    <w:right w:val="none" w:sz="0" w:space="0" w:color="auto"/>
                                                  </w:divBdr>
                                                  <w:divsChild>
                                                    <w:div w:id="1256137856">
                                                      <w:marLeft w:val="0"/>
                                                      <w:marRight w:val="0"/>
                                                      <w:marTop w:val="0"/>
                                                      <w:marBottom w:val="0"/>
                                                      <w:divBdr>
                                                        <w:top w:val="single" w:sz="6" w:space="0" w:color="ABABAB"/>
                                                        <w:left w:val="single" w:sz="6" w:space="0" w:color="ABABAB"/>
                                                        <w:bottom w:val="none" w:sz="0" w:space="0" w:color="auto"/>
                                                        <w:right w:val="single" w:sz="6" w:space="0" w:color="ABABAB"/>
                                                      </w:divBdr>
                                                      <w:divsChild>
                                                        <w:div w:id="1473865020">
                                                          <w:marLeft w:val="0"/>
                                                          <w:marRight w:val="0"/>
                                                          <w:marTop w:val="0"/>
                                                          <w:marBottom w:val="0"/>
                                                          <w:divBdr>
                                                            <w:top w:val="none" w:sz="0" w:space="0" w:color="auto"/>
                                                            <w:left w:val="none" w:sz="0" w:space="0" w:color="auto"/>
                                                            <w:bottom w:val="none" w:sz="0" w:space="0" w:color="auto"/>
                                                            <w:right w:val="none" w:sz="0" w:space="0" w:color="auto"/>
                                                          </w:divBdr>
                                                          <w:divsChild>
                                                            <w:div w:id="1168330223">
                                                              <w:marLeft w:val="0"/>
                                                              <w:marRight w:val="0"/>
                                                              <w:marTop w:val="0"/>
                                                              <w:marBottom w:val="0"/>
                                                              <w:divBdr>
                                                                <w:top w:val="none" w:sz="0" w:space="0" w:color="auto"/>
                                                                <w:left w:val="none" w:sz="0" w:space="0" w:color="auto"/>
                                                                <w:bottom w:val="none" w:sz="0" w:space="0" w:color="auto"/>
                                                                <w:right w:val="none" w:sz="0" w:space="0" w:color="auto"/>
                                                              </w:divBdr>
                                                              <w:divsChild>
                                                                <w:div w:id="1360741469">
                                                                  <w:marLeft w:val="0"/>
                                                                  <w:marRight w:val="0"/>
                                                                  <w:marTop w:val="0"/>
                                                                  <w:marBottom w:val="0"/>
                                                                  <w:divBdr>
                                                                    <w:top w:val="none" w:sz="0" w:space="0" w:color="auto"/>
                                                                    <w:left w:val="none" w:sz="0" w:space="0" w:color="auto"/>
                                                                    <w:bottom w:val="none" w:sz="0" w:space="0" w:color="auto"/>
                                                                    <w:right w:val="none" w:sz="0" w:space="0" w:color="auto"/>
                                                                  </w:divBdr>
                                                                  <w:divsChild>
                                                                    <w:div w:id="321667959">
                                                                      <w:marLeft w:val="0"/>
                                                                      <w:marRight w:val="0"/>
                                                                      <w:marTop w:val="0"/>
                                                                      <w:marBottom w:val="0"/>
                                                                      <w:divBdr>
                                                                        <w:top w:val="none" w:sz="0" w:space="0" w:color="auto"/>
                                                                        <w:left w:val="none" w:sz="0" w:space="0" w:color="auto"/>
                                                                        <w:bottom w:val="none" w:sz="0" w:space="0" w:color="auto"/>
                                                                        <w:right w:val="none" w:sz="0" w:space="0" w:color="auto"/>
                                                                      </w:divBdr>
                                                                      <w:divsChild>
                                                                        <w:div w:id="1576934562">
                                                                          <w:marLeft w:val="0"/>
                                                                          <w:marRight w:val="0"/>
                                                                          <w:marTop w:val="0"/>
                                                                          <w:marBottom w:val="0"/>
                                                                          <w:divBdr>
                                                                            <w:top w:val="none" w:sz="0" w:space="0" w:color="auto"/>
                                                                            <w:left w:val="none" w:sz="0" w:space="0" w:color="auto"/>
                                                                            <w:bottom w:val="none" w:sz="0" w:space="0" w:color="auto"/>
                                                                            <w:right w:val="none" w:sz="0" w:space="0" w:color="auto"/>
                                                                          </w:divBdr>
                                                                          <w:divsChild>
                                                                            <w:div w:id="1045182654">
                                                                              <w:marLeft w:val="0"/>
                                                                              <w:marRight w:val="0"/>
                                                                              <w:marTop w:val="0"/>
                                                                              <w:marBottom w:val="0"/>
                                                                              <w:divBdr>
                                                                                <w:top w:val="none" w:sz="0" w:space="0" w:color="auto"/>
                                                                                <w:left w:val="none" w:sz="0" w:space="0" w:color="auto"/>
                                                                                <w:bottom w:val="none" w:sz="0" w:space="0" w:color="auto"/>
                                                                                <w:right w:val="none" w:sz="0" w:space="0" w:color="auto"/>
                                                                              </w:divBdr>
                                                                              <w:divsChild>
                                                                                <w:div w:id="1085686050">
                                                                                  <w:marLeft w:val="0"/>
                                                                                  <w:marRight w:val="0"/>
                                                                                  <w:marTop w:val="0"/>
                                                                                  <w:marBottom w:val="0"/>
                                                                                  <w:divBdr>
                                                                                    <w:top w:val="none" w:sz="0" w:space="0" w:color="auto"/>
                                                                                    <w:left w:val="none" w:sz="0" w:space="0" w:color="auto"/>
                                                                                    <w:bottom w:val="none" w:sz="0" w:space="0" w:color="auto"/>
                                                                                    <w:right w:val="none" w:sz="0" w:space="0" w:color="auto"/>
                                                                                  </w:divBdr>
                                                                                  <w:divsChild>
                                                                                    <w:div w:id="30234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5376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3id.org/gba/glossary/cooper-basin" TargetMode="External"/><Relationship Id="rId21" Type="http://schemas.openxmlformats.org/officeDocument/2006/relationships/hyperlink" Target="http://www.ga.gov.au" TargetMode="External"/><Relationship Id="rId42" Type="http://schemas.openxmlformats.org/officeDocument/2006/relationships/hyperlink" Target="https://acola.org/wp-content/uploads/2018/08/saf06-engineering-gas-report.pdf" TargetMode="External"/><Relationship Id="rId63" Type="http://schemas.openxmlformats.org/officeDocument/2006/relationships/image" Target="media/image10.png"/><Relationship Id="rId84" Type="http://schemas.openxmlformats.org/officeDocument/2006/relationships/hyperlink" Target="https://frackinginquiry.nt.gov.au/inquiry-reports/final-report" TargetMode="External"/><Relationship Id="rId138" Type="http://schemas.openxmlformats.org/officeDocument/2006/relationships/hyperlink" Target="https://w3id.org/gba/glossary/formation" TargetMode="External"/><Relationship Id="rId159" Type="http://schemas.openxmlformats.org/officeDocument/2006/relationships/hyperlink" Target="https://w3id.org/gba/glossary/injection" TargetMode="External"/><Relationship Id="rId170" Type="http://schemas.openxmlformats.org/officeDocument/2006/relationships/hyperlink" Target="https://w3id.org/gba/glossary/migration" TargetMode="External"/><Relationship Id="rId191" Type="http://schemas.openxmlformats.org/officeDocument/2006/relationships/hyperlink" Target="https://w3id.org/gba/glossary/production-activity" TargetMode="External"/><Relationship Id="rId205" Type="http://schemas.openxmlformats.org/officeDocument/2006/relationships/hyperlink" Target="https://w3id.org/gba/glossary/seismic-survey" TargetMode="External"/><Relationship Id="rId226" Type="http://schemas.openxmlformats.org/officeDocument/2006/relationships/hyperlink" Target="https://w3id.org/gba/glossary/well" TargetMode="External"/><Relationship Id="rId107" Type="http://schemas.openxmlformats.org/officeDocument/2006/relationships/hyperlink" Target="https://w3id.org/gba/glossary/Christmas-tree" TargetMode="External"/><Relationship Id="rId11" Type="http://schemas.openxmlformats.org/officeDocument/2006/relationships/endnotes" Target="endnotes.xml"/><Relationship Id="rId32" Type="http://schemas.openxmlformats.org/officeDocument/2006/relationships/footer" Target="footer5.xml"/><Relationship Id="rId53" Type="http://schemas.openxmlformats.org/officeDocument/2006/relationships/hyperlink" Target="https://publications.csiro.au/rpr/download?pid=csiro:EP12425&amp;dsid=DS4" TargetMode="External"/><Relationship Id="rId74" Type="http://schemas.openxmlformats.org/officeDocument/2006/relationships/hyperlink" Target="https://fracfocus.org/sites/default/files/publications/state_oil__gas_agency_groundwater_investigations_optimized.pdf" TargetMode="External"/><Relationship Id="rId128" Type="http://schemas.openxmlformats.org/officeDocument/2006/relationships/hyperlink" Target="https://w3id.org/gba/glossary/ecosystem" TargetMode="External"/><Relationship Id="rId149" Type="http://schemas.openxmlformats.org/officeDocument/2006/relationships/hyperlink" Target="https://w3id.org/gba/glossary/hydraulic-fracturing" TargetMode="External"/><Relationship Id="rId5" Type="http://schemas.openxmlformats.org/officeDocument/2006/relationships/customXml" Target="../customXml/item5.xml"/><Relationship Id="rId95" Type="http://schemas.openxmlformats.org/officeDocument/2006/relationships/hyperlink" Target="https://w3id.org/gba/glossary/aquifer" TargetMode="External"/><Relationship Id="rId160" Type="http://schemas.openxmlformats.org/officeDocument/2006/relationships/hyperlink" Target="https://w3id.org/gba/glossary/lake-eyre-basin" TargetMode="External"/><Relationship Id="rId181" Type="http://schemas.openxmlformats.org/officeDocument/2006/relationships/hyperlink" Target="https://w3id.org/gba/glossary/permeability" TargetMode="External"/><Relationship Id="rId216" Type="http://schemas.openxmlformats.org/officeDocument/2006/relationships/hyperlink" Target="https://w3id.org/gba/glossary/structure" TargetMode="External"/><Relationship Id="rId237" Type="http://schemas.openxmlformats.org/officeDocument/2006/relationships/image" Target="media/image15.jpg"/><Relationship Id="rId22" Type="http://schemas.openxmlformats.org/officeDocument/2006/relationships/image" Target="media/image6.png"/><Relationship Id="rId43" Type="http://schemas.openxmlformats.org/officeDocument/2006/relationships/hyperlink" Target="https://www.researchgate.net/publication/264233141_Environmental_Impacts_of_Shale_Gas_Extraction_in_Canada_The_Expert_Panel_on_Harnessing_Science_and_Technology_to_Understand_the_Environmental_Impacts_of_Shale_Gas_Extraction" TargetMode="External"/><Relationship Id="rId64" Type="http://schemas.openxmlformats.org/officeDocument/2006/relationships/image" Target="media/image11.jpg"/><Relationship Id="rId118" Type="http://schemas.openxmlformats.org/officeDocument/2006/relationships/hyperlink" Target="https://w3id.org/gba/glossary/crude-oil" TargetMode="External"/><Relationship Id="rId139" Type="http://schemas.openxmlformats.org/officeDocument/2006/relationships/hyperlink" Target="https://w3id.org/gba/glossary/formation-fluid" TargetMode="External"/><Relationship Id="rId85" Type="http://schemas.openxmlformats.org/officeDocument/2006/relationships/hyperlink" Target="http://petroleum.statedevelopment.sa.gov.au/__data/assets/pdf_file/0003/288534/20161216_-_Santos_Production_and_Processing_EIR_2016_Final_for_consultat....pdf" TargetMode="External"/><Relationship Id="rId150" Type="http://schemas.openxmlformats.org/officeDocument/2006/relationships/hyperlink" Target="https://w3id.org/gba/glossary/hydraulic-fracturing-fluid" TargetMode="External"/><Relationship Id="rId171" Type="http://schemas.openxmlformats.org/officeDocument/2006/relationships/hyperlink" Target="https://w3id.org/gba/glossary/natural-gas" TargetMode="External"/><Relationship Id="rId192" Type="http://schemas.openxmlformats.org/officeDocument/2006/relationships/hyperlink" Target="https://w3id.org/gba/glossary/production-approvals" TargetMode="External"/><Relationship Id="rId206" Type="http://schemas.openxmlformats.org/officeDocument/2006/relationships/hyperlink" Target="https://w3id.org/gba/glossary/sensitivity" TargetMode="External"/><Relationship Id="rId227" Type="http://schemas.openxmlformats.org/officeDocument/2006/relationships/hyperlink" Target="https://w3id.org/gba/glossary/well-barrier" TargetMode="External"/><Relationship Id="rId201" Type="http://schemas.openxmlformats.org/officeDocument/2006/relationships/hyperlink" Target="https://w3id.org/gba/glossary/sandstone" TargetMode="External"/><Relationship Id="rId222" Type="http://schemas.openxmlformats.org/officeDocument/2006/relationships/hyperlink" Target="https://w3id.org/gba/glossary/trap" TargetMode="External"/><Relationship Id="rId243"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hyperlink" Target="http://www.bioregionalassessments.gov.au" TargetMode="External"/><Relationship Id="rId33" Type="http://schemas.openxmlformats.org/officeDocument/2006/relationships/header" Target="header2.xml"/><Relationship Id="rId38" Type="http://schemas.openxmlformats.org/officeDocument/2006/relationships/footer" Target="footer8.xml"/><Relationship Id="rId59" Type="http://schemas.openxmlformats.org/officeDocument/2006/relationships/footer" Target="footer9.xml"/><Relationship Id="rId103" Type="http://schemas.openxmlformats.org/officeDocument/2006/relationships/hyperlink" Target="https://w3id.org/gba/glossary/causal-pathway" TargetMode="External"/><Relationship Id="rId108" Type="http://schemas.openxmlformats.org/officeDocument/2006/relationships/hyperlink" Target="https://w3id.org/gba/glossary/cleat" TargetMode="External"/><Relationship Id="rId124" Type="http://schemas.openxmlformats.org/officeDocument/2006/relationships/hyperlink" Target="https://w3id.org/gba/glossary/deformation" TargetMode="External"/><Relationship Id="rId129" Type="http://schemas.openxmlformats.org/officeDocument/2006/relationships/hyperlink" Target="https://w3id.org/gba/glossary/effect" TargetMode="External"/><Relationship Id="rId54" Type="http://schemas.openxmlformats.org/officeDocument/2006/relationships/hyperlink" Target="https://www.dmp.wa.gov.au/Documents/Petroleum/PD-RES-PUB-134D.pdf" TargetMode="External"/><Relationship Id="rId70" Type="http://schemas.openxmlformats.org/officeDocument/2006/relationships/hyperlink" Target="http://verschurencentre.ca/report-of-the-nova-scotia-independent-panel-on-hydraulic-fracturing/" TargetMode="External"/><Relationship Id="rId75" Type="http://schemas.openxmlformats.org/officeDocument/2006/relationships/hyperlink" Target="http://www.frackinginquiry.wa.gov.au/" TargetMode="External"/><Relationship Id="rId91" Type="http://schemas.openxmlformats.org/officeDocument/2006/relationships/hyperlink" Target="https://w3id.org/gba/glossary/abandonment" TargetMode="External"/><Relationship Id="rId96" Type="http://schemas.openxmlformats.org/officeDocument/2006/relationships/hyperlink" Target="https://w3id.org/gba/glossary/aquitard" TargetMode="External"/><Relationship Id="rId140" Type="http://schemas.openxmlformats.org/officeDocument/2006/relationships/hyperlink" Target="https://w3id.org/gba/glossary/formation-water" TargetMode="External"/><Relationship Id="rId145" Type="http://schemas.openxmlformats.org/officeDocument/2006/relationships/hyperlink" Target="https://w3id.org/gba/glossary/groundwater" TargetMode="External"/><Relationship Id="rId161" Type="http://schemas.openxmlformats.org/officeDocument/2006/relationships/hyperlink" Target="https://w3id.org/gba/glossary/life-cycle-stage" TargetMode="External"/><Relationship Id="rId166" Type="http://schemas.openxmlformats.org/officeDocument/2006/relationships/hyperlink" Target="https://w3id.org/gba/glossary/material" TargetMode="External"/><Relationship Id="rId182" Type="http://schemas.openxmlformats.org/officeDocument/2006/relationships/hyperlink" Target="https://w3id.org/gba/glossary/petroleum" TargetMode="External"/><Relationship Id="rId187" Type="http://schemas.openxmlformats.org/officeDocument/2006/relationships/hyperlink" Target="https://w3id.org/gba/glossary/potential-effect" TargetMode="External"/><Relationship Id="rId217" Type="http://schemas.openxmlformats.org/officeDocument/2006/relationships/hyperlink" Target="https://w3id.org/gba/glossary/surface-casing-vent-flow" TargetMode="External"/><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hyperlink" Target="https://w3id.org/gba/glossary/spring" TargetMode="External"/><Relationship Id="rId233" Type="http://schemas.openxmlformats.org/officeDocument/2006/relationships/header" Target="header7.xml"/><Relationship Id="rId238" Type="http://schemas.openxmlformats.org/officeDocument/2006/relationships/hyperlink" Target="http://www.bioregionalassessments.gov.au" TargetMode="External"/><Relationship Id="rId23" Type="http://schemas.openxmlformats.org/officeDocument/2006/relationships/hyperlink" Target="https://creativecommons.org/licenses/by/4.0/" TargetMode="External"/><Relationship Id="rId28" Type="http://schemas.openxmlformats.org/officeDocument/2006/relationships/footer" Target="footer3.xml"/><Relationship Id="rId49" Type="http://schemas.openxmlformats.org/officeDocument/2006/relationships/hyperlink" Target="http://www.aer.ca/data-and-publications/publications/ongoing-investigations" TargetMode="External"/><Relationship Id="rId114" Type="http://schemas.openxmlformats.org/officeDocument/2006/relationships/hyperlink" Target="https://w3id.org/gba/glossary/consequence" TargetMode="External"/><Relationship Id="rId119" Type="http://schemas.openxmlformats.org/officeDocument/2006/relationships/hyperlink" Target="https://w3id.org/gba/glossary/crust" TargetMode="External"/><Relationship Id="rId44" Type="http://schemas.openxmlformats.org/officeDocument/2006/relationships/hyperlink" Target="http://energy.utexas.edu/" TargetMode="External"/><Relationship Id="rId60" Type="http://schemas.openxmlformats.org/officeDocument/2006/relationships/footer" Target="footer10.xml"/><Relationship Id="rId65" Type="http://schemas.openxmlformats.org/officeDocument/2006/relationships/image" Target="media/image12.jpeg"/><Relationship Id="rId81" Type="http://schemas.openxmlformats.org/officeDocument/2006/relationships/hyperlink" Target="https://denr.nt.gov.au/__data/assets/pdf_file/0004/428575/Amungee-nw-1h-hydraulic-fracture-stimilation-and-well-testing-full.pdf" TargetMode="External"/><Relationship Id="rId86" Type="http://schemas.openxmlformats.org/officeDocument/2006/relationships/hyperlink" Target="http://data.bioregionalassessments.gov.au/product/LEB/COO/2.3" TargetMode="External"/><Relationship Id="rId130" Type="http://schemas.openxmlformats.org/officeDocument/2006/relationships/hyperlink" Target="https://w3id.org/gba/glossary/eromanga-basin" TargetMode="External"/><Relationship Id="rId135" Type="http://schemas.openxmlformats.org/officeDocument/2006/relationships/hyperlink" Target="https://w3id.org/gba/glossary/flowback" TargetMode="External"/><Relationship Id="rId151" Type="http://schemas.openxmlformats.org/officeDocument/2006/relationships/hyperlink" Target="https://w3id.org/gba/glossary/hydraulic-fracturing-stage" TargetMode="External"/><Relationship Id="rId156" Type="http://schemas.openxmlformats.org/officeDocument/2006/relationships/hyperlink" Target="https://w3id.org/gba/glossary/impact-cause" TargetMode="External"/><Relationship Id="rId177" Type="http://schemas.openxmlformats.org/officeDocument/2006/relationships/hyperlink" Target="https://w3id.org/gba/glossary/p10" TargetMode="External"/><Relationship Id="rId198" Type="http://schemas.openxmlformats.org/officeDocument/2006/relationships/hyperlink" Target="https://w3id.org/gba/glossary/reservoir-rock" TargetMode="External"/><Relationship Id="rId172" Type="http://schemas.openxmlformats.org/officeDocument/2006/relationships/hyperlink" Target="https://w3id.org/gba/glossary/oil" TargetMode="External"/><Relationship Id="rId193" Type="http://schemas.openxmlformats.org/officeDocument/2006/relationships/hyperlink" Target="https://w3id.org/gba/glossary/production-casing" TargetMode="External"/><Relationship Id="rId202" Type="http://schemas.openxmlformats.org/officeDocument/2006/relationships/hyperlink" Target="https://w3id.org/gba/glossary/seal" TargetMode="External"/><Relationship Id="rId207" Type="http://schemas.openxmlformats.org/officeDocument/2006/relationships/hyperlink" Target="https://w3id.org/gba/glossary/severity" TargetMode="External"/><Relationship Id="rId223" Type="http://schemas.openxmlformats.org/officeDocument/2006/relationships/hyperlink" Target="https://w3id.org/gba/glossary/unconventional-gas" TargetMode="External"/><Relationship Id="rId228" Type="http://schemas.openxmlformats.org/officeDocument/2006/relationships/hyperlink" Target="https://w3id.org/gba/glossary/well-barrier-failure" TargetMode="External"/><Relationship Id="rId244"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hyperlink" Target="http://www.environment.gov.au" TargetMode="External"/><Relationship Id="rId39" Type="http://schemas.openxmlformats.org/officeDocument/2006/relationships/hyperlink" Target="https://www.epa.gov/hfstudy" TargetMode="External"/><Relationship Id="rId109" Type="http://schemas.openxmlformats.org/officeDocument/2006/relationships/hyperlink" Target="https://w3id.org/gba/glossary/coal" TargetMode="External"/><Relationship Id="rId34" Type="http://schemas.openxmlformats.org/officeDocument/2006/relationships/footer" Target="footer6.xml"/><Relationship Id="rId50" Type="http://schemas.openxmlformats.org/officeDocument/2006/relationships/hyperlink" Target="http://nlhfrp.ca/wp-content/uploads/2016/06/Final-Report-June-2016.pdf" TargetMode="External"/><Relationship Id="rId55" Type="http://schemas.openxmlformats.org/officeDocument/2006/relationships/hyperlink" Target="https://doi.org/10.2118/136884-ms" TargetMode="External"/><Relationship Id="rId76" Type="http://schemas.openxmlformats.org/officeDocument/2006/relationships/hyperlink" Target="https://frackinginquiry.nt.gov.au/__data/assets/pdf_file/0008/387764/report-inquiry-into-hydraulic-fracturing-nt.pdf" TargetMode="External"/><Relationship Id="rId97" Type="http://schemas.openxmlformats.org/officeDocument/2006/relationships/hyperlink" Target="https://w3id.org/gba/glossary/asset" TargetMode="External"/><Relationship Id="rId104" Type="http://schemas.openxmlformats.org/officeDocument/2006/relationships/hyperlink" Target="https://w3id.org/gba/glossary/cement-bond-log" TargetMode="External"/><Relationship Id="rId120" Type="http://schemas.openxmlformats.org/officeDocument/2006/relationships/hyperlink" Target="https://w3id.org/gba/glossary/cumulative-impact" TargetMode="External"/><Relationship Id="rId125" Type="http://schemas.openxmlformats.org/officeDocument/2006/relationships/hyperlink" Target="https://w3id.org/gba/glossary/development" TargetMode="External"/><Relationship Id="rId141" Type="http://schemas.openxmlformats.org/officeDocument/2006/relationships/hyperlink" Target="https://w3id.org/gba/glossary/fracking" TargetMode="External"/><Relationship Id="rId146" Type="http://schemas.openxmlformats.org/officeDocument/2006/relationships/hyperlink" Target="https://w3id.org/gba/glossary/groundwater-system" TargetMode="External"/><Relationship Id="rId167" Type="http://schemas.openxmlformats.org/officeDocument/2006/relationships/hyperlink" Target="https://w3id.org/gba/glossary/mature" TargetMode="External"/><Relationship Id="rId188" Type="http://schemas.openxmlformats.org/officeDocument/2006/relationships/hyperlink" Target="https://w3id.org/gba/glossary/produced-water" TargetMode="External"/><Relationship Id="rId7" Type="http://schemas.openxmlformats.org/officeDocument/2006/relationships/styles" Target="styles.xml"/><Relationship Id="rId71" Type="http://schemas.openxmlformats.org/officeDocument/2006/relationships/hyperlink" Target="https://acola.org/wp-content/uploads/2018/08/saf06-engineering-gas-report.pdf" TargetMode="External"/><Relationship Id="rId92" Type="http://schemas.openxmlformats.org/officeDocument/2006/relationships/hyperlink" Target="https://w3id.org/gba/glossary/accumulation" TargetMode="External"/><Relationship Id="rId162" Type="http://schemas.openxmlformats.org/officeDocument/2006/relationships/hyperlink" Target="https://w3id.org/gba/glossary/likelihood" TargetMode="External"/><Relationship Id="rId183" Type="http://schemas.openxmlformats.org/officeDocument/2006/relationships/hyperlink" Target="https://w3id.org/gba/glossary/petroleum-system" TargetMode="External"/><Relationship Id="rId213" Type="http://schemas.openxmlformats.org/officeDocument/2006/relationships/hyperlink" Target="https://w3id.org/gba/glossary/stratigraphy" TargetMode="External"/><Relationship Id="rId218" Type="http://schemas.openxmlformats.org/officeDocument/2006/relationships/hyperlink" Target="https://w3id.org/gba/glossary/surface-water" TargetMode="External"/><Relationship Id="rId234" Type="http://schemas.openxmlformats.org/officeDocument/2006/relationships/header" Target="header8.xml"/><Relationship Id="rId239" Type="http://schemas.openxmlformats.org/officeDocument/2006/relationships/image" Target="media/image16.jpg"/><Relationship Id="rId2" Type="http://schemas.openxmlformats.org/officeDocument/2006/relationships/customXml" Target="../customXml/item2.xml"/><Relationship Id="rId29" Type="http://schemas.openxmlformats.org/officeDocument/2006/relationships/hyperlink" Target="https://www.bioregionalassessments.gov.au/geological-and-bioregional-assessment-program" TargetMode="External"/><Relationship Id="rId24" Type="http://schemas.openxmlformats.org/officeDocument/2006/relationships/hyperlink" Target="http://www.bioregionalassessments.gov.au" TargetMode="External"/><Relationship Id="rId40" Type="http://schemas.openxmlformats.org/officeDocument/2006/relationships/hyperlink" Target="http://www.atlanticaenergy.org/pdfs/natural_gas/Safety/The%20Modern%20Practices%20of%20HydroFrackturingFocusOnCanadaPTAC.pdf" TargetMode="External"/><Relationship Id="rId45" Type="http://schemas.openxmlformats.org/officeDocument/2006/relationships/hyperlink" Target="http://royalsociety.org/policy/projects/shale-gas-extraction" TargetMode="External"/><Relationship Id="rId66" Type="http://schemas.openxmlformats.org/officeDocument/2006/relationships/image" Target="media/image13.png"/><Relationship Id="rId87" Type="http://schemas.openxmlformats.org/officeDocument/2006/relationships/hyperlink" Target="https://royalsociety.org/policy/projects/shale-gas-extraction" TargetMode="External"/><Relationship Id="rId110" Type="http://schemas.openxmlformats.org/officeDocument/2006/relationships/hyperlink" Target="https://w3id.org/gba/glossary/coal-seam-gas" TargetMode="External"/><Relationship Id="rId115" Type="http://schemas.openxmlformats.org/officeDocument/2006/relationships/hyperlink" Target="https://w3id.org/gba/glossary/context" TargetMode="External"/><Relationship Id="rId131" Type="http://schemas.openxmlformats.org/officeDocument/2006/relationships/hyperlink" Target="https://w3id.org/gba/glossary/exploration" TargetMode="External"/><Relationship Id="rId136" Type="http://schemas.openxmlformats.org/officeDocument/2006/relationships/hyperlink" Target="https://w3id.org/gba/glossary/flowback-water" TargetMode="External"/><Relationship Id="rId157" Type="http://schemas.openxmlformats.org/officeDocument/2006/relationships/hyperlink" Target="https://w3id.org/gba/glossary/impact-mode" TargetMode="External"/><Relationship Id="rId178" Type="http://schemas.openxmlformats.org/officeDocument/2006/relationships/hyperlink" Target="https://w3id.org/gba/glossary/pay" TargetMode="External"/><Relationship Id="rId61" Type="http://schemas.openxmlformats.org/officeDocument/2006/relationships/image" Target="media/image8.png"/><Relationship Id="rId82" Type="http://schemas.openxmlformats.org/officeDocument/2006/relationships/hyperlink" Target="https://frackinginquiry.nt.gov.au/submission-library?a=456194" TargetMode="External"/><Relationship Id="rId152" Type="http://schemas.openxmlformats.org/officeDocument/2006/relationships/hyperlink" Target="https://w3id.org/gba/glossary/hydrocarbons" TargetMode="External"/><Relationship Id="rId173" Type="http://schemas.openxmlformats.org/officeDocument/2006/relationships/hyperlink" Target="https://w3id.org/gba/glossary/operator" TargetMode="External"/><Relationship Id="rId194" Type="http://schemas.openxmlformats.org/officeDocument/2006/relationships/hyperlink" Target="https://w3id.org/gba/glossary/production-well" TargetMode="External"/><Relationship Id="rId199" Type="http://schemas.openxmlformats.org/officeDocument/2006/relationships/hyperlink" Target="https://w3id.org/gba/glossary/ridge" TargetMode="External"/><Relationship Id="rId203" Type="http://schemas.openxmlformats.org/officeDocument/2006/relationships/hyperlink" Target="https://w3id.org/gba/glossary/sediment" TargetMode="External"/><Relationship Id="rId208" Type="http://schemas.openxmlformats.org/officeDocument/2006/relationships/hyperlink" Target="https://w3id.org/gba/glossary/shale" TargetMode="External"/><Relationship Id="rId229" Type="http://schemas.openxmlformats.org/officeDocument/2006/relationships/hyperlink" Target="https://w3id.org/gba/glossary/well-integrity" TargetMode="External"/><Relationship Id="rId19" Type="http://schemas.openxmlformats.org/officeDocument/2006/relationships/hyperlink" Target="http://www.bom.gov.au/water/" TargetMode="External"/><Relationship Id="rId224" Type="http://schemas.openxmlformats.org/officeDocument/2006/relationships/hyperlink" Target="https://w3id.org/gba/glossary/water-system" TargetMode="External"/><Relationship Id="rId240" Type="http://schemas.openxmlformats.org/officeDocument/2006/relationships/image" Target="media/image17.jpeg"/><Relationship Id="rId14" Type="http://schemas.openxmlformats.org/officeDocument/2006/relationships/image" Target="media/image3.JPG"/><Relationship Id="rId30" Type="http://schemas.openxmlformats.org/officeDocument/2006/relationships/header" Target="header1.xml"/><Relationship Id="rId35" Type="http://schemas.openxmlformats.org/officeDocument/2006/relationships/header" Target="header3.xml"/><Relationship Id="rId56" Type="http://schemas.openxmlformats.org/officeDocument/2006/relationships/hyperlink" Target="https://www.epa.gov/hfstudy/report-retrospective-case-study-killdeer-north-dakota-pdf" TargetMode="External"/><Relationship Id="rId77" Type="http://schemas.openxmlformats.org/officeDocument/2006/relationships/hyperlink" Target="https://www.iso.org/standard/57056.html" TargetMode="External"/><Relationship Id="rId100" Type="http://schemas.openxmlformats.org/officeDocument/2006/relationships/hyperlink" Target="https://w3id.org/gba/glossary/bore" TargetMode="External"/><Relationship Id="rId105" Type="http://schemas.openxmlformats.org/officeDocument/2006/relationships/hyperlink" Target="https://w3id.org/gba/glossary/cementing" TargetMode="External"/><Relationship Id="rId126" Type="http://schemas.openxmlformats.org/officeDocument/2006/relationships/hyperlink" Target="https://w3id.org/gba/glossary/discovered" TargetMode="External"/><Relationship Id="rId147" Type="http://schemas.openxmlformats.org/officeDocument/2006/relationships/hyperlink" Target="https://w3id.org/gba/glossary/hazard" TargetMode="External"/><Relationship Id="rId168" Type="http://schemas.openxmlformats.org/officeDocument/2006/relationships/hyperlink" Target="https://w3id.org/gba/glossary/metamorphic-rock" TargetMode="External"/><Relationship Id="rId8" Type="http://schemas.openxmlformats.org/officeDocument/2006/relationships/settings" Target="settings.xml"/><Relationship Id="rId51" Type="http://schemas.openxmlformats.org/officeDocument/2006/relationships/hyperlink" Target="https://doi.org/10.4225/08/5a3802273ed86" TargetMode="External"/><Relationship Id="rId72" Type="http://schemas.openxmlformats.org/officeDocument/2006/relationships/hyperlink" Target="http://petroleum.statedevelopment.sa.gov.au/prospectivity/resource_plays" TargetMode="External"/><Relationship Id="rId93" Type="http://schemas.openxmlformats.org/officeDocument/2006/relationships/hyperlink" Target="https://w3id.org/gba/glossary/activity" TargetMode="External"/><Relationship Id="rId98" Type="http://schemas.openxmlformats.org/officeDocument/2006/relationships/hyperlink" Target="https://w3id.org/gba/glossary/bed" TargetMode="External"/><Relationship Id="rId121" Type="http://schemas.openxmlformats.org/officeDocument/2006/relationships/hyperlink" Target="https://w3id.org/gba/glossary/current-controls" TargetMode="External"/><Relationship Id="rId142" Type="http://schemas.openxmlformats.org/officeDocument/2006/relationships/hyperlink" Target="https://w3id.org/gba/glossary/fracture" TargetMode="External"/><Relationship Id="rId163" Type="http://schemas.openxmlformats.org/officeDocument/2006/relationships/hyperlink" Target="https://w3id.org/gba/glossary/likelihood-score" TargetMode="External"/><Relationship Id="rId184" Type="http://schemas.openxmlformats.org/officeDocument/2006/relationships/hyperlink" Target="https://w3id.org/gba/glossary/play" TargetMode="External"/><Relationship Id="rId189" Type="http://schemas.openxmlformats.org/officeDocument/2006/relationships/hyperlink" Target="https://w3id.org/gba/glossary/producing" TargetMode="External"/><Relationship Id="rId219" Type="http://schemas.openxmlformats.org/officeDocument/2006/relationships/hyperlink" Target="https://w3id.org/gba/glossary/sustained-casing-pressure" TargetMode="External"/><Relationship Id="rId3" Type="http://schemas.openxmlformats.org/officeDocument/2006/relationships/customXml" Target="../customXml/item3.xml"/><Relationship Id="rId214" Type="http://schemas.openxmlformats.org/officeDocument/2006/relationships/hyperlink" Target="https://w3id.org/gba/glossary/stress" TargetMode="External"/><Relationship Id="rId230" Type="http://schemas.openxmlformats.org/officeDocument/2006/relationships/hyperlink" Target="https://w3id.org/gba/glossary/well-integrity-failure" TargetMode="External"/><Relationship Id="rId235" Type="http://schemas.openxmlformats.org/officeDocument/2006/relationships/footer" Target="footer11.xml"/><Relationship Id="rId25" Type="http://schemas.openxmlformats.org/officeDocument/2006/relationships/hyperlink" Target="mailto:bioregionalassessments@awe.gov.au" TargetMode="External"/><Relationship Id="rId46" Type="http://schemas.openxmlformats.org/officeDocument/2006/relationships/hyperlink" Target="http://www.aer.ca/data-and-publications/publications/ongoing-investigations" TargetMode="External"/><Relationship Id="rId67" Type="http://schemas.openxmlformats.org/officeDocument/2006/relationships/hyperlink" Target="http://strike.nt.gov.au/wss.html" TargetMode="External"/><Relationship Id="rId116" Type="http://schemas.openxmlformats.org/officeDocument/2006/relationships/hyperlink" Target="https://w3id.org/gba/glossary/conventional-gas" TargetMode="External"/><Relationship Id="rId137" Type="http://schemas.openxmlformats.org/officeDocument/2006/relationships/hyperlink" Target="https://w3id.org/gba/glossary/fold" TargetMode="External"/><Relationship Id="rId158" Type="http://schemas.openxmlformats.org/officeDocument/2006/relationships/hyperlink" Target="https://w3id.org/gba/glossary/impact-modes-and-effects-analysis" TargetMode="External"/><Relationship Id="rId20" Type="http://schemas.openxmlformats.org/officeDocument/2006/relationships/hyperlink" Target="http://www.csiro.au" TargetMode="External"/><Relationship Id="rId41" Type="http://schemas.openxmlformats.org/officeDocument/2006/relationships/hyperlink" Target="http://verschurencentre.ca/report-of-the-nova-scotia-independent-panel-on-hydraulic-fracturing/" TargetMode="External"/><Relationship Id="rId62" Type="http://schemas.openxmlformats.org/officeDocument/2006/relationships/image" Target="media/image9.png"/><Relationship Id="rId83" Type="http://schemas.openxmlformats.org/officeDocument/2006/relationships/hyperlink" Target="https://denr.nt.gov.au/__data/assets/pdf_file/0006/689379/ep117-N2-origin-drilling-hyrdaulic-fracturing-well-testing-emp.pdf" TargetMode="External"/><Relationship Id="rId88" Type="http://schemas.openxmlformats.org/officeDocument/2006/relationships/hyperlink" Target="https://www.epa.gov/hfstudy" TargetMode="External"/><Relationship Id="rId111" Type="http://schemas.openxmlformats.org/officeDocument/2006/relationships/hyperlink" Target="https://w3id.org/gba/glossary/compression" TargetMode="External"/><Relationship Id="rId132" Type="http://schemas.openxmlformats.org/officeDocument/2006/relationships/hyperlink" Target="https://w3id.org/gba/glossary/extraction" TargetMode="External"/><Relationship Id="rId153" Type="http://schemas.openxmlformats.org/officeDocument/2006/relationships/hyperlink" Target="https://w3id.org/gba/glossary/hydrogeology" TargetMode="External"/><Relationship Id="rId174" Type="http://schemas.openxmlformats.org/officeDocument/2006/relationships/hyperlink" Target="https://w3id.org/gba/glossary/organic-matter" TargetMode="External"/><Relationship Id="rId179" Type="http://schemas.openxmlformats.org/officeDocument/2006/relationships/hyperlink" Target="https://w3id.org/gba/glossary/pay-zone" TargetMode="External"/><Relationship Id="rId195" Type="http://schemas.openxmlformats.org/officeDocument/2006/relationships/hyperlink" Target="https://w3id.org/gba/glossary/production-zone" TargetMode="External"/><Relationship Id="rId209" Type="http://schemas.openxmlformats.org/officeDocument/2006/relationships/hyperlink" Target="https://w3id.org/gba/glossary/shale-gas" TargetMode="External"/><Relationship Id="rId190" Type="http://schemas.openxmlformats.org/officeDocument/2006/relationships/hyperlink" Target="https://w3id.org/gba/glossary/production" TargetMode="External"/><Relationship Id="rId204" Type="http://schemas.openxmlformats.org/officeDocument/2006/relationships/hyperlink" Target="https://w3id.org/gba/glossary/sedimentary-rock" TargetMode="External"/><Relationship Id="rId220" Type="http://schemas.openxmlformats.org/officeDocument/2006/relationships/hyperlink" Target="https://w3id.org/gba/glossary/thermogenic-gas" TargetMode="External"/><Relationship Id="rId225" Type="http://schemas.openxmlformats.org/officeDocument/2006/relationships/hyperlink" Target="https://w3id.org/gba/glossary/watertable" TargetMode="External"/><Relationship Id="rId241" Type="http://schemas.openxmlformats.org/officeDocument/2006/relationships/header" Target="header9.xml"/><Relationship Id="rId15" Type="http://schemas.openxmlformats.org/officeDocument/2006/relationships/image" Target="media/image4.png"/><Relationship Id="rId36" Type="http://schemas.openxmlformats.org/officeDocument/2006/relationships/header" Target="header4.xml"/><Relationship Id="rId57" Type="http://schemas.openxmlformats.org/officeDocument/2006/relationships/header" Target="header5.xml"/><Relationship Id="rId106" Type="http://schemas.openxmlformats.org/officeDocument/2006/relationships/hyperlink" Target="https://w3id.org/gba/glossary/charge" TargetMode="External"/><Relationship Id="rId127" Type="http://schemas.openxmlformats.org/officeDocument/2006/relationships/hyperlink" Target="https://w3id.org/gba/glossary/dome" TargetMode="External"/><Relationship Id="rId10" Type="http://schemas.openxmlformats.org/officeDocument/2006/relationships/footnotes" Target="footnotes.xml"/><Relationship Id="rId31" Type="http://schemas.openxmlformats.org/officeDocument/2006/relationships/footer" Target="footer4.xml"/><Relationship Id="rId52" Type="http://schemas.openxmlformats.org/officeDocument/2006/relationships/hyperlink" Target="https://doi.org/10.2523/iptc-18538-ms" TargetMode="External"/><Relationship Id="rId73" Type="http://schemas.openxmlformats.org/officeDocument/2006/relationships/hyperlink" Target="https://frackinginquiry.nt.gov.au/?a=464723" TargetMode="External"/><Relationship Id="rId78" Type="http://schemas.openxmlformats.org/officeDocument/2006/relationships/hyperlink" Target="https://www.iso.org/standard/63192.html" TargetMode="External"/><Relationship Id="rId94" Type="http://schemas.openxmlformats.org/officeDocument/2006/relationships/hyperlink" Target="https://w3id.org/gba/glossary/anticline" TargetMode="External"/><Relationship Id="rId99" Type="http://schemas.openxmlformats.org/officeDocument/2006/relationships/hyperlink" Target="https://w3id.org/gba/glossary/biogenic-gas" TargetMode="External"/><Relationship Id="rId101" Type="http://schemas.openxmlformats.org/officeDocument/2006/relationships/hyperlink" Target="https://w3id.org/gba/glossary/casing" TargetMode="External"/><Relationship Id="rId122" Type="http://schemas.openxmlformats.org/officeDocument/2006/relationships/hyperlink" Target="https://w3id.org/gba/glossary/dataset" TargetMode="External"/><Relationship Id="rId143" Type="http://schemas.openxmlformats.org/officeDocument/2006/relationships/hyperlink" Target="https://w3id.org/gba/glossary/free-gas" TargetMode="External"/><Relationship Id="rId148" Type="http://schemas.openxmlformats.org/officeDocument/2006/relationships/hyperlink" Target="https://w3id.org/gba/glossary/horizontal-drilling" TargetMode="External"/><Relationship Id="rId164" Type="http://schemas.openxmlformats.org/officeDocument/2006/relationships/hyperlink" Target="https://w3id.org/gba/glossary/lithology" TargetMode="External"/><Relationship Id="rId169" Type="http://schemas.openxmlformats.org/officeDocument/2006/relationships/hyperlink" Target="https://w3id.org/gba/glossary/methane" TargetMode="External"/><Relationship Id="rId185" Type="http://schemas.openxmlformats.org/officeDocument/2006/relationships/hyperlink" Target="https://w3id.org/gba/glossary/plug"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w3id.org/gba/glossary/perforation" TargetMode="External"/><Relationship Id="rId210" Type="http://schemas.openxmlformats.org/officeDocument/2006/relationships/hyperlink" Target="https://w3id.org/gba/glossary/shear" TargetMode="External"/><Relationship Id="rId215" Type="http://schemas.openxmlformats.org/officeDocument/2006/relationships/hyperlink" Target="https://w3id.org/gba/glossary/stressor" TargetMode="External"/><Relationship Id="rId236" Type="http://schemas.openxmlformats.org/officeDocument/2006/relationships/footer" Target="footer12.xml"/><Relationship Id="rId26" Type="http://schemas.openxmlformats.org/officeDocument/2006/relationships/footer" Target="footer1.xml"/><Relationship Id="rId231" Type="http://schemas.openxmlformats.org/officeDocument/2006/relationships/hyperlink" Target="https://w3id.org/gba/glossary/well-pad" TargetMode="External"/><Relationship Id="rId47" Type="http://schemas.openxmlformats.org/officeDocument/2006/relationships/hyperlink" Target="https://www.aer.ca/documents/directives/Directive083.pdf" TargetMode="External"/><Relationship Id="rId68" Type="http://schemas.openxmlformats.org/officeDocument/2006/relationships/image" Target="media/image14.png"/><Relationship Id="rId89" Type="http://schemas.openxmlformats.org/officeDocument/2006/relationships/hyperlink" Target="http://www.pce.parliament.nz/media/pdfs/PCE-OilGas-web.pdf%5Cnwww.pce.parliament.nz" TargetMode="External"/><Relationship Id="rId112" Type="http://schemas.openxmlformats.org/officeDocument/2006/relationships/hyperlink" Target="https://w3id.org/gba/glossary/conceptual-model" TargetMode="External"/><Relationship Id="rId133" Type="http://schemas.openxmlformats.org/officeDocument/2006/relationships/hyperlink" Target="https://w3id.org/gba/glossary/fault" TargetMode="External"/><Relationship Id="rId154" Type="http://schemas.openxmlformats.org/officeDocument/2006/relationships/hyperlink" Target="https://w3id.org/gba/glossary/hydrostatic-pressure" TargetMode="External"/><Relationship Id="rId175" Type="http://schemas.openxmlformats.org/officeDocument/2006/relationships/hyperlink" Target="https://w3id.org/gba/glossary/outcrop" TargetMode="External"/><Relationship Id="rId196" Type="http://schemas.openxmlformats.org/officeDocument/2006/relationships/hyperlink" Target="https://w3id.org/gba/glossary/proppant" TargetMode="External"/><Relationship Id="rId200" Type="http://schemas.openxmlformats.org/officeDocument/2006/relationships/hyperlink" Target="https://w3id.org/gba/glossary/risk" TargetMode="External"/><Relationship Id="rId16" Type="http://schemas.openxmlformats.org/officeDocument/2006/relationships/image" Target="media/image5.png"/><Relationship Id="rId221" Type="http://schemas.openxmlformats.org/officeDocument/2006/relationships/hyperlink" Target="https://w3id.org/gba/glossary/tight-gas" TargetMode="External"/><Relationship Id="rId242" Type="http://schemas.openxmlformats.org/officeDocument/2006/relationships/footer" Target="footer13.xml"/><Relationship Id="rId37" Type="http://schemas.openxmlformats.org/officeDocument/2006/relationships/footer" Target="footer7.xml"/><Relationship Id="rId58" Type="http://schemas.openxmlformats.org/officeDocument/2006/relationships/header" Target="header6.xml"/><Relationship Id="rId79" Type="http://schemas.openxmlformats.org/officeDocument/2006/relationships/hyperlink" Target="https://www.environment.gov.au/system/files/resources/51c6a547-124a-4d61-af89-2cf5fd2e51a1/files/technical-report-number-04-lit-rev-hydraulic-fracture-growth.pdf" TargetMode="External"/><Relationship Id="rId102" Type="http://schemas.openxmlformats.org/officeDocument/2006/relationships/hyperlink" Target="https://w3id.org/gba/glossary/casing-string" TargetMode="External"/><Relationship Id="rId123" Type="http://schemas.openxmlformats.org/officeDocument/2006/relationships/hyperlink" Target="https://w3id.org/gba/glossary/deep-coal-gas" TargetMode="External"/><Relationship Id="rId144" Type="http://schemas.openxmlformats.org/officeDocument/2006/relationships/hyperlink" Target="https://w3id.org/gba/glossary/geological-formation" TargetMode="External"/><Relationship Id="rId90" Type="http://schemas.openxmlformats.org/officeDocument/2006/relationships/hyperlink" Target="https://w3id.org/gba/glossary" TargetMode="External"/><Relationship Id="rId165" Type="http://schemas.openxmlformats.org/officeDocument/2006/relationships/hyperlink" Target="https://w3id.org/gba/glossary/major-activity" TargetMode="External"/><Relationship Id="rId186" Type="http://schemas.openxmlformats.org/officeDocument/2006/relationships/hyperlink" Target="https://w3id.org/gba/glossary/porosity" TargetMode="External"/><Relationship Id="rId211" Type="http://schemas.openxmlformats.org/officeDocument/2006/relationships/hyperlink" Target="https://w3id.org/gba/glossary/source-rock" TargetMode="External"/><Relationship Id="rId232" Type="http://schemas.openxmlformats.org/officeDocument/2006/relationships/hyperlink" Target="https://w3id.org/gba/glossary/zonal-isolation" TargetMode="External"/><Relationship Id="rId27" Type="http://schemas.openxmlformats.org/officeDocument/2006/relationships/footer" Target="footer2.xml"/><Relationship Id="rId48" Type="http://schemas.openxmlformats.org/officeDocument/2006/relationships/hyperlink" Target="http://verschurencentre.ca/report-of-the-nova-scotia-independent-panel-on-hydraulic-fracturing/" TargetMode="External"/><Relationship Id="rId69" Type="http://schemas.openxmlformats.org/officeDocument/2006/relationships/hyperlink" Target="https://www.api.org/~/media/Files/Publications/FAQ/valueofstandards.pdf" TargetMode="External"/><Relationship Id="rId113" Type="http://schemas.openxmlformats.org/officeDocument/2006/relationships/hyperlink" Target="https://w3id.org/gba/glossary/confined-aquifer" TargetMode="External"/><Relationship Id="rId134" Type="http://schemas.openxmlformats.org/officeDocument/2006/relationships/hyperlink" Target="https://w3id.org/gba/glossary/field" TargetMode="External"/><Relationship Id="rId80" Type="http://schemas.openxmlformats.org/officeDocument/2006/relationships/hyperlink" Target="http://www.dmp.wa.gov.au/Documents/Petroleum/Report42-HydraulicFracturing_UnconventionalGas.pdf" TargetMode="External"/><Relationship Id="rId155" Type="http://schemas.openxmlformats.org/officeDocument/2006/relationships/hyperlink" Target="https://w3id.org/gba/glossary/impact" TargetMode="External"/><Relationship Id="rId176" Type="http://schemas.openxmlformats.org/officeDocument/2006/relationships/hyperlink" Target="https://w3id.org/gba/glossary/overpressure" TargetMode="External"/><Relationship Id="rId197" Type="http://schemas.openxmlformats.org/officeDocument/2006/relationships/hyperlink" Target="https://w3id.org/gba/glossary/reservoir"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1ce706f3-5237-42b3-876d-cf68da5c0e0a">NN2TW47UTC5W-1349389608-7672</_dlc_DocId>
    <_dlc_DocIdUrl xmlns="1ce706f3-5237-42b3-876d-cf68da5c0e0a">
      <Url>https://csiroau.sharepoint.com/sites/GeologicalBio-regionalAssessment/_layouts/15/DocIdRedir.aspx?ID=NN2TW47UTC5W-1349389608-7672</Url>
      <Description>NN2TW47UTC5W-1349389608-7672</Description>
    </_dlc_DocIdUrl>
    <Notes0 xmlns="f6b232a6-7847-4fcd-9f2f-4076cd779963" xsi:nil="true"/>
    <Metadata xmlns="f6b232a6-7847-4fcd-9f2f-4076cd779963">
      <Url xsi:nil="true"/>
      <Description xsi:nil="true"/>
    </Metadata>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7174BAB0-B786-4291-B802-A88C76168AF0}">
  <ds:schemaRefs>
    <ds:schemaRef ds:uri="http://schemas.openxmlformats.org/officeDocument/2006/bibliography"/>
  </ds:schemaRefs>
</ds:datastoreItem>
</file>

<file path=customXml/itemProps2.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3.xml><?xml version="1.0" encoding="utf-8"?>
<ds:datastoreItem xmlns:ds="http://schemas.openxmlformats.org/officeDocument/2006/customXml" ds:itemID="{0DABC918-224C-4109-9CB9-6C9E1B81A52E}"/>
</file>

<file path=customXml/itemProps4.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http://schemas.microsoft.com/sharepoint/v3"/>
    <ds:schemaRef ds:uri="1ce706f3-5237-42b3-876d-cf68da5c0e0a"/>
    <ds:schemaRef ds:uri="1bbdb9bd-0ec9-4219-a80a-062c6ba6971e"/>
  </ds:schemaRefs>
</ds:datastoreItem>
</file>

<file path=customXml/itemProps5.xml><?xml version="1.0" encoding="utf-8"?>
<ds:datastoreItem xmlns:ds="http://schemas.openxmlformats.org/officeDocument/2006/customXml" ds:itemID="{7F303B61-2B05-4707-853A-20624C3B600F}">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136</Pages>
  <Words>117164</Words>
  <Characters>694788</Characters>
  <Application>Microsoft Office Word</Application>
  <DocSecurity>0</DocSecurity>
  <Lines>12632</Lines>
  <Paragraphs>5306</Paragraphs>
  <ScaleCrop>false</ScaleCrop>
  <HeadingPairs>
    <vt:vector size="2" baseType="variant">
      <vt:variant>
        <vt:lpstr>Title</vt:lpstr>
      </vt:variant>
      <vt:variant>
        <vt:i4>1</vt:i4>
      </vt:variant>
    </vt:vector>
  </HeadingPairs>
  <TitlesOfParts>
    <vt:vector size="1" baseType="lpstr">
      <vt:lpstr>Hydraulic fracturing and well integrity for the GBA regions. Technical appendix for the Geological and Bioregional Assessment Program: Stage 2.</vt:lpstr>
    </vt:vector>
  </TitlesOfParts>
  <Company/>
  <LinksUpToDate>false</LinksUpToDate>
  <CharactersWithSpaces>806646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Hydraulic fracturing and well integrity for the GBA regions. Technical appendix for the Geological and Bioregional Assessment Program: Stage 2.</dc:title>
  <dc:subject/>
  <dc:creator>Kear, James (Energy, Clayton North);Dane.Kasperczyk@csiro.au</dc:creator>
  <cp:keywords/>
  <dc:description/>
  <cp:lastModifiedBy>Tetreault Campbell, Sally (L&amp;W, Clayton)</cp:lastModifiedBy>
  <cp:revision>3</cp:revision>
  <cp:lastPrinted>2018-12-17T19:06:00Z</cp:lastPrinted>
  <dcterms:created xsi:type="dcterms:W3CDTF">2021-06-29T04:36:00Z</dcterms:created>
  <dcterms:modified xsi:type="dcterms:W3CDTF">2021-06-29T04:43:00Z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http://csl.mendeley.com/styles/17840491/harvard-cite-them-right-GBA</vt:lpwstr>
  </property>
  <property fmtid="{D5CDD505-2E9C-101B-9397-08002B2CF9AE}" pid="12" name="Mendeley Recent Style Name 3_1">
    <vt:lpwstr>Cite Them Right 10th edition - Harvard - James Kear</vt:lpwstr>
  </property>
  <property fmtid="{D5CDD505-2E9C-101B-9397-08002B2CF9AE}" pid="13" name="Mendeley Recent Style Id 4_1">
    <vt:lpwstr>http://www.zotero.org/styles/harvard1</vt:lpwstr>
  </property>
  <property fmtid="{D5CDD505-2E9C-101B-9397-08002B2CF9AE}" pid="14" name="Mendeley Recent Style Id 5_1">
    <vt:lpwstr>http://www.zotero.org/styles/ieee</vt:lpwstr>
  </property>
  <property fmtid="{D5CDD505-2E9C-101B-9397-08002B2CF9AE}" pid="15" name="Mendeley Document_1">
    <vt:lpwstr>True</vt:lpwstr>
  </property>
  <property fmtid="{D5CDD505-2E9C-101B-9397-08002B2CF9AE}" pid="16" name="Mendeley Citation Style_1">
    <vt:lpwstr>http://www.zotero.org/styles/harvard-cite-them-right</vt:lpwstr>
  </property>
  <property fmtid="{D5CDD505-2E9C-101B-9397-08002B2CF9AE}" pid="17" name="BusinessUnit">
    <vt:lpwstr>2;#ENERGY|b8ac8469-2d4b-4eb3-b25e-06479d9c7712</vt:lpwstr>
  </property>
  <property fmtid="{D5CDD505-2E9C-101B-9397-08002B2CF9AE}" pid="18" name="SiteType">
    <vt:lpwstr>1;#Project|3a45af54-e5b6-4b9b-88a3-82dc3e88895d</vt:lpwstr>
  </property>
  <property fmtid="{D5CDD505-2E9C-101B-9397-08002B2CF9AE}" pid="19" name="DocumentType">
    <vt:lpwstr/>
  </property>
  <property fmtid="{D5CDD505-2E9C-101B-9397-08002B2CF9AE}" pid="20" name="Tags">
    <vt:lpwstr/>
  </property>
  <property fmtid="{D5CDD505-2E9C-101B-9397-08002B2CF9AE}" pid="21" name="Mendeley Recent Style Name 4_1">
    <vt:lpwstr>Harvard reference format 1 (deprecated)</vt:lpwstr>
  </property>
  <property fmtid="{D5CDD505-2E9C-101B-9397-08002B2CF9AE}" pid="22" name="Mendeley Recent Style Name 5_1">
    <vt:lpwstr>IEEE</vt:lpwstr>
  </property>
  <property fmtid="{D5CDD505-2E9C-101B-9397-08002B2CF9AE}" pid="23" name="Mendeley Recent Style Id 6_1">
    <vt:lpwstr>http://www.zotero.org/styles/modern-humanities-research-association</vt:lpwstr>
  </property>
  <property fmtid="{D5CDD505-2E9C-101B-9397-08002B2CF9AE}" pid="24" name="Mendeley Recent Style Name 6_1">
    <vt:lpwstr>Modern Humanities Research Association 3rd edition (note with bibliography)</vt:lpwstr>
  </property>
  <property fmtid="{D5CDD505-2E9C-101B-9397-08002B2CF9AE}" pid="25" name="Mendeley Recent Style Id 7_1">
    <vt:lpwstr>http://www.zotero.org/styles/modern-language-association</vt:lpwstr>
  </property>
  <property fmtid="{D5CDD505-2E9C-101B-9397-08002B2CF9AE}" pid="26" name="Mendeley Recent Style Name 7_1">
    <vt:lpwstr>Modern Language Association 8th edition</vt:lpwstr>
  </property>
  <property fmtid="{D5CDD505-2E9C-101B-9397-08002B2CF9AE}" pid="27" name="Mendeley Recent Style Id 8_1">
    <vt:lpwstr>http://www.zotero.org/styles/nature</vt:lpwstr>
  </property>
  <property fmtid="{D5CDD505-2E9C-101B-9397-08002B2CF9AE}" pid="28" name="Mendeley Recent Style Name 8_1">
    <vt:lpwstr>Nature</vt:lpwstr>
  </property>
  <property fmtid="{D5CDD505-2E9C-101B-9397-08002B2CF9AE}" pid="29" name="Mendeley Recent Style Id 9_1">
    <vt:lpwstr>http://www.zotero.org/styles/reliability-engineering-and-system-safety</vt:lpwstr>
  </property>
  <property fmtid="{D5CDD505-2E9C-101B-9397-08002B2CF9AE}" pid="30" name="Mendeley Recent Style Name 9_1">
    <vt:lpwstr>Reliability Engineering and System Safety</vt:lpwstr>
  </property>
  <property fmtid="{D5CDD505-2E9C-101B-9397-08002B2CF9AE}" pid="31" name="Mendeley Unique User Id_1">
    <vt:lpwstr>ce64b632-3637-39ac-9051-5fc0f1cc38ca</vt:lpwstr>
  </property>
  <property fmtid="{D5CDD505-2E9C-101B-9397-08002B2CF9AE}" pid="32" name="AuthorIds_UIVersion_23040">
    <vt:lpwstr>43</vt:lpwstr>
  </property>
  <property fmtid="{D5CDD505-2E9C-101B-9397-08002B2CF9AE}" pid="33" name="AuthorIds_UIVersion_37888">
    <vt:lpwstr>45</vt:lpwstr>
  </property>
  <property fmtid="{D5CDD505-2E9C-101B-9397-08002B2CF9AE}" pid="34" name="AuthorIds_UIVersion_38400">
    <vt:lpwstr>44</vt:lpwstr>
  </property>
  <property fmtid="{D5CDD505-2E9C-101B-9397-08002B2CF9AE}" pid="35" name="_dlc_DocIdItemGuid">
    <vt:lpwstr>27e5ce26-6edf-41ea-8899-03864443df6d</vt:lpwstr>
  </property>
</Properties>
</file>